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1B8C2" w14:textId="7A395C84" w:rsidR="0085206F" w:rsidRDefault="00CA3DF7" w:rsidP="0085206F">
      <w:pPr>
        <w:pStyle w:val="Heading1NotTOC"/>
      </w:pPr>
      <w:bookmarkStart w:id="0" w:name="_AppendixNotByChapter"/>
      <w:bookmarkStart w:id="1" w:name="ChapterNumber"/>
      <w:bookmarkStart w:id="2" w:name="_GoBack"/>
      <w:bookmarkEnd w:id="0"/>
      <w:bookmarkEnd w:id="2"/>
      <w:r>
        <w:rPr>
          <w:b/>
          <w:noProof/>
          <w:lang w:eastAsia="en-AU"/>
        </w:rPr>
        <w:drawing>
          <wp:anchor distT="0" distB="0" distL="114300" distR="114300" simplePos="0" relativeHeight="251669504" behindDoc="0" locked="0" layoutInCell="1" allowOverlap="1" wp14:anchorId="5C8D0495" wp14:editId="059F2F84">
            <wp:simplePos x="829340" y="829340"/>
            <wp:positionH relativeFrom="page">
              <wp:align>center</wp:align>
            </wp:positionH>
            <wp:positionV relativeFrom="page">
              <wp:align>center</wp:align>
            </wp:positionV>
            <wp:extent cx="7558405" cy="10690860"/>
            <wp:effectExtent l="0" t="0" r="444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a:extLst>
                        <a:ext uri="{28A0092B-C50C-407E-A947-70E740481C1C}">
                          <a14:useLocalDpi xmlns:a14="http://schemas.microsoft.com/office/drawing/2010/main" val="0"/>
                        </a:ext>
                      </a:extLst>
                    </a:blip>
                    <a:stretch>
                      <a:fillRect/>
                    </a:stretch>
                  </pic:blipFill>
                  <pic:spPr>
                    <a:xfrm>
                      <a:off x="0" y="0"/>
                      <a:ext cx="7558405" cy="10691486"/>
                    </a:xfrm>
                    <a:prstGeom prst="rect">
                      <a:avLst/>
                    </a:prstGeom>
                  </pic:spPr>
                </pic:pic>
              </a:graphicData>
            </a:graphic>
            <wp14:sizeRelH relativeFrom="margin">
              <wp14:pctWidth>0</wp14:pctWidth>
            </wp14:sizeRelH>
            <wp14:sizeRelV relativeFrom="margin">
              <wp14:pctHeight>0</wp14:pctHeight>
            </wp14:sizeRelV>
          </wp:anchor>
        </w:drawing>
      </w:r>
      <w:r w:rsidR="0085206F" w:rsidRPr="00B153C3">
        <w:t>Contents</w:t>
      </w:r>
      <w:bookmarkStart w:id="3" w:name="InsertContents"/>
      <w:bookmarkEnd w:id="3"/>
    </w:p>
    <w:p w14:paraId="6699BABA" w14:textId="77777777" w:rsidR="0085206F" w:rsidRDefault="0085206F" w:rsidP="0085206F">
      <w:pPr>
        <w:pStyle w:val="BodyText"/>
        <w:shd w:val="clear" w:color="auto" w:fill="39531E" w:themeFill="accent2" w:themeFillShade="BF"/>
        <w:spacing w:line="276" w:lineRule="auto"/>
        <w:jc w:val="center"/>
        <w:rPr>
          <w:noProof/>
        </w:rPr>
      </w:pPr>
      <w:r>
        <w:rPr>
          <w:rFonts w:ascii="Arial" w:hAnsi="Arial" w:cs="Arial"/>
          <w:b/>
          <w:color w:val="FFFFFF" w:themeColor="background1"/>
          <w:sz w:val="32"/>
          <w:szCs w:val="32"/>
        </w:rPr>
        <w:t>Supporting material (appendixes B–K)</w:t>
      </w:r>
    </w:p>
    <w:p w14:paraId="329D50A8" w14:textId="77777777" w:rsidR="0085206F" w:rsidRDefault="0085206F" w:rsidP="0085206F">
      <w:pPr>
        <w:pStyle w:val="TOC1"/>
        <w:spacing w:before="480" w:after="120"/>
        <w:rPr>
          <w:noProof/>
          <w:color w:val="3B5117"/>
          <w:sz w:val="28"/>
          <w:szCs w:val="28"/>
        </w:rPr>
      </w:pPr>
      <w:r w:rsidRPr="00957FF6">
        <w:rPr>
          <w:noProof/>
          <w:color w:val="3B5117"/>
          <w:sz w:val="28"/>
          <w:szCs w:val="28"/>
        </w:rPr>
        <w:t>Part V</w:t>
      </w:r>
      <w:r>
        <w:rPr>
          <w:noProof/>
          <w:color w:val="3B5117"/>
          <w:sz w:val="28"/>
          <w:szCs w:val="28"/>
        </w:rPr>
        <w:t>I</w:t>
      </w:r>
      <w:r w:rsidRPr="00957FF6">
        <w:rPr>
          <w:noProof/>
          <w:color w:val="3B5117"/>
          <w:sz w:val="28"/>
          <w:szCs w:val="28"/>
        </w:rPr>
        <w:t> – </w:t>
      </w:r>
      <w:r>
        <w:rPr>
          <w:noProof/>
          <w:color w:val="3B5117"/>
          <w:sz w:val="28"/>
          <w:szCs w:val="28"/>
        </w:rPr>
        <w:t xml:space="preserve">Supporting material </w:t>
      </w:r>
      <w:r w:rsidRPr="0037620F">
        <w:rPr>
          <w:noProof/>
          <w:color w:val="263714" w:themeColor="accent2" w:themeShade="80"/>
          <w:sz w:val="24"/>
          <w:szCs w:val="24"/>
        </w:rPr>
        <w:t>(on-line only)</w:t>
      </w:r>
    </w:p>
    <w:p w14:paraId="582C03C3" w14:textId="77777777" w:rsidR="0085206F" w:rsidRDefault="0085206F" w:rsidP="0085206F">
      <w:pPr>
        <w:pStyle w:val="TOC1"/>
      </w:pPr>
      <w:r>
        <w:t>B</w:t>
      </w:r>
      <w:r>
        <w:tab/>
        <w:t>Public consultations</w:t>
      </w:r>
    </w:p>
    <w:p w14:paraId="2B993BAA" w14:textId="77777777" w:rsidR="0085206F" w:rsidRDefault="0085206F" w:rsidP="0085206F">
      <w:pPr>
        <w:pStyle w:val="TOC1"/>
      </w:pPr>
      <w:r>
        <w:t>C</w:t>
      </w:r>
      <w:r>
        <w:tab/>
        <w:t>Income and employment support</w:t>
      </w:r>
    </w:p>
    <w:p w14:paraId="3092AAD9" w14:textId="77777777" w:rsidR="0085206F" w:rsidRDefault="0085206F" w:rsidP="0085206F">
      <w:pPr>
        <w:pStyle w:val="TOC1"/>
      </w:pPr>
      <w:r>
        <w:t>D</w:t>
      </w:r>
      <w:r>
        <w:tab/>
        <w:t>Employment and mental health</w:t>
      </w:r>
    </w:p>
    <w:p w14:paraId="05B10241" w14:textId="77777777" w:rsidR="0085206F" w:rsidRDefault="0085206F" w:rsidP="0085206F">
      <w:pPr>
        <w:pStyle w:val="TOC1"/>
      </w:pPr>
      <w:r>
        <w:t>E</w:t>
      </w:r>
      <w:r>
        <w:tab/>
        <w:t>Bullying and mental health</w:t>
      </w:r>
    </w:p>
    <w:p w14:paraId="72B02CA9" w14:textId="77777777" w:rsidR="0085206F" w:rsidRDefault="0085206F" w:rsidP="0085206F">
      <w:pPr>
        <w:pStyle w:val="TOC1"/>
      </w:pPr>
      <w:r>
        <w:t>F</w:t>
      </w:r>
      <w:r>
        <w:tab/>
        <w:t>Mental health and the workers compensation system</w:t>
      </w:r>
    </w:p>
    <w:p w14:paraId="6BAE404F" w14:textId="77777777" w:rsidR="0085206F" w:rsidRPr="00746848" w:rsidRDefault="0085206F" w:rsidP="0085206F">
      <w:pPr>
        <w:pStyle w:val="TOC1"/>
        <w:rPr>
          <w:spacing w:val="-4"/>
        </w:rPr>
      </w:pPr>
      <w:r>
        <w:t>G</w:t>
      </w:r>
      <w:r>
        <w:tab/>
      </w:r>
      <w:r w:rsidRPr="00746848">
        <w:rPr>
          <w:spacing w:val="-4"/>
        </w:rPr>
        <w:t>Funding and commissioning arrangements: supporting detail</w:t>
      </w:r>
    </w:p>
    <w:p w14:paraId="16E60CB7" w14:textId="77777777" w:rsidR="0085206F" w:rsidRDefault="0085206F" w:rsidP="0085206F">
      <w:pPr>
        <w:pStyle w:val="TOC1"/>
      </w:pPr>
      <w:r>
        <w:t>H</w:t>
      </w:r>
      <w:r>
        <w:tab/>
        <w:t>Calculating the cost of mental ill</w:t>
      </w:r>
      <w:r>
        <w:rPr>
          <w:rFonts w:ascii="Cambria Math" w:hAnsi="Cambria Math" w:cs="Cambria Math"/>
        </w:rPr>
        <w:t>‑</w:t>
      </w:r>
      <w:r>
        <w:t>health and suicide in Australia</w:t>
      </w:r>
    </w:p>
    <w:p w14:paraId="12827F42" w14:textId="77777777" w:rsidR="0085206F" w:rsidRDefault="0085206F" w:rsidP="0085206F">
      <w:pPr>
        <w:pStyle w:val="TOC1"/>
      </w:pPr>
      <w:r>
        <w:t>I</w:t>
      </w:r>
      <w:r>
        <w:tab/>
        <w:t>Benefits and costs of improved mental health</w:t>
      </w:r>
    </w:p>
    <w:p w14:paraId="3358B1FD" w14:textId="77777777" w:rsidR="0085206F" w:rsidRDefault="0085206F" w:rsidP="0085206F">
      <w:pPr>
        <w:pStyle w:val="TOC1"/>
      </w:pPr>
      <w:r>
        <w:t>J</w:t>
      </w:r>
      <w:r>
        <w:tab/>
        <w:t>Mental health, labour market outcomes and health-related quality of life</w:t>
      </w:r>
    </w:p>
    <w:p w14:paraId="6CB0F46D" w14:textId="77777777" w:rsidR="0085206F" w:rsidRDefault="0085206F" w:rsidP="0085206F">
      <w:pPr>
        <w:pStyle w:val="TOC1"/>
      </w:pPr>
      <w:r>
        <w:t>K</w:t>
      </w:r>
      <w:r>
        <w:tab/>
        <w:t>Detailed assumptions about benefits and costs</w:t>
      </w:r>
      <w:bookmarkStart w:id="4" w:name="Abbreviations"/>
      <w:bookmarkStart w:id="5" w:name="RDnote"/>
      <w:bookmarkEnd w:id="4"/>
      <w:bookmarkEnd w:id="5"/>
    </w:p>
    <w:p w14:paraId="5B9DD84E" w14:textId="3C0A8266" w:rsidR="0085206F" w:rsidRPr="000C39B5" w:rsidRDefault="0085206F" w:rsidP="0085206F">
      <w:pPr>
        <w:pStyle w:val="Heading1"/>
        <w:rPr>
          <w:color w:val="FFFFFF" w:themeColor="background1"/>
          <w:sz w:val="16"/>
          <w:szCs w:val="16"/>
        </w:rPr>
      </w:pPr>
      <w:r w:rsidRPr="000C39B5">
        <w:rPr>
          <w:color w:val="FFFFFF" w:themeColor="background1"/>
          <w:sz w:val="16"/>
          <w:szCs w:val="16"/>
        </w:rPr>
        <w:t>Mental Health</w:t>
      </w:r>
    </w:p>
    <w:p w14:paraId="518018F4" w14:textId="77777777" w:rsidR="0085206F" w:rsidRPr="000C39B5" w:rsidRDefault="0085206F" w:rsidP="0085206F">
      <w:pPr>
        <w:pStyle w:val="Copyrightbodytext"/>
        <w:rPr>
          <w:color w:val="FFFFFF" w:themeColor="background1"/>
          <w:sz w:val="16"/>
          <w:szCs w:val="16"/>
        </w:rPr>
      </w:pPr>
      <w:r w:rsidRPr="000C39B5">
        <w:rPr>
          <w:color w:val="FFFFFF" w:themeColor="background1"/>
          <w:sz w:val="16"/>
          <w:szCs w:val="16"/>
        </w:rPr>
        <w:t>Productivity Commission Report no. 95</w:t>
      </w:r>
    </w:p>
    <w:p w14:paraId="3A4A22B5" w14:textId="77777777" w:rsidR="0085206F" w:rsidRDefault="0085206F" w:rsidP="0085206F">
      <w:pPr>
        <w:pStyle w:val="BodyText"/>
        <w:rPr>
          <w:b/>
          <w:szCs w:val="26"/>
        </w:rPr>
      </w:pPr>
      <w:r>
        <w:br w:type="page"/>
      </w:r>
    </w:p>
    <w:p w14:paraId="492239F8" w14:textId="77777777" w:rsidR="0085206F" w:rsidRDefault="0085206F" w:rsidP="0085206F">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2020</w:t>
      </w:r>
    </w:p>
    <w:p w14:paraId="4116AC1F" w14:textId="77777777" w:rsidR="0085206F" w:rsidRDefault="0085206F" w:rsidP="0085206F">
      <w:pPr>
        <w:pStyle w:val="BodyText"/>
        <w:spacing w:after="120"/>
      </w:pPr>
      <w:bookmarkStart w:id="6" w:name="ISSN"/>
      <w:bookmarkEnd w:id="6"/>
      <w:r w:rsidRPr="00862D8F">
        <w:rPr>
          <w:noProof/>
          <w:sz w:val="22"/>
          <w:szCs w:val="22"/>
        </w:rPr>
        <w:drawing>
          <wp:inline distT="0" distB="0" distL="0" distR="0" wp14:anchorId="7522186E" wp14:editId="38103942">
            <wp:extent cx="843280" cy="295043"/>
            <wp:effectExtent l="0" t="0" r="0" b="0"/>
            <wp:docPr id="53" name="Picture 5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1DD5F09D" w14:textId="77777777" w:rsidR="0085206F" w:rsidRPr="008A3857" w:rsidRDefault="0085206F" w:rsidP="0085206F">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http://creativecommons.org/licenses/by/3.0/au</w:t>
      </w:r>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337C7839" w14:textId="77777777" w:rsidR="0085206F" w:rsidRPr="008A3857" w:rsidRDefault="0085206F" w:rsidP="0085206F">
      <w:pPr>
        <w:pStyle w:val="Copyrightsubtitle"/>
      </w:pPr>
      <w:r w:rsidRPr="008A3857">
        <w:t>Use of the Commonwealth Coat of Arms</w:t>
      </w:r>
    </w:p>
    <w:p w14:paraId="491CFD98" w14:textId="77777777" w:rsidR="0085206F" w:rsidRPr="008A3857" w:rsidRDefault="0085206F" w:rsidP="0085206F">
      <w:pPr>
        <w:pStyle w:val="Copyrightbodytext"/>
      </w:pPr>
      <w:r>
        <w:t>Terms of use for the Coat of Arms are available from the Department of the Prime Minister and Cabinet’s website:</w:t>
      </w:r>
      <w:r>
        <w:rPr>
          <w:spacing w:val="-6"/>
        </w:rPr>
        <w:t xml:space="preserve"> </w:t>
      </w:r>
      <w:r w:rsidRPr="00B1727A">
        <w:rPr>
          <w:rStyle w:val="Hyperlink"/>
        </w:rPr>
        <w:t>https://www.pmc.gov.au/government/commonwealth-coat-arms</w:t>
      </w:r>
    </w:p>
    <w:p w14:paraId="783996B8" w14:textId="77777777" w:rsidR="0085206F" w:rsidRPr="008A3857" w:rsidRDefault="0085206F" w:rsidP="0085206F">
      <w:pPr>
        <w:pStyle w:val="Copyrightsubtitle"/>
      </w:pPr>
      <w:r w:rsidRPr="008A3857">
        <w:t>Third party copyright</w:t>
      </w:r>
    </w:p>
    <w:p w14:paraId="5457FD44" w14:textId="77777777" w:rsidR="0085206F" w:rsidRPr="008A3857" w:rsidRDefault="0085206F" w:rsidP="0085206F">
      <w:pPr>
        <w:pStyle w:val="Copyrightbodytext"/>
      </w:pPr>
      <w:r w:rsidRPr="008A3857">
        <w:t>Wherever a third party holds copyright in this material, the copyright remains with that party. Their permission may be required to use the material, please contact them directly.</w:t>
      </w:r>
    </w:p>
    <w:p w14:paraId="4E9BED3F" w14:textId="77777777" w:rsidR="0085206F" w:rsidRPr="008A3857" w:rsidRDefault="0085206F" w:rsidP="0085206F">
      <w:pPr>
        <w:pStyle w:val="Copyrightsubtitle"/>
      </w:pPr>
      <w:r w:rsidRPr="008A3857">
        <w:t>Attribution</w:t>
      </w:r>
    </w:p>
    <w:p w14:paraId="4EE97808" w14:textId="77777777" w:rsidR="0085206F" w:rsidRPr="008A3857" w:rsidRDefault="0085206F" w:rsidP="0085206F">
      <w:pPr>
        <w:pStyle w:val="Copyrightbodytext"/>
      </w:pPr>
      <w:r w:rsidRPr="008A3857">
        <w:t xml:space="preserve">This work should be attributed as follows, </w:t>
      </w:r>
      <w:r w:rsidRPr="008E242D">
        <w:rPr>
          <w:i/>
        </w:rPr>
        <w:t xml:space="preserve">Source: Productivity Commission, </w:t>
      </w:r>
      <w:r>
        <w:rPr>
          <w:i/>
        </w:rPr>
        <w:t>Mental Health, Inquiry Report</w:t>
      </w:r>
      <w:r w:rsidRPr="008A3857">
        <w:t>.</w:t>
      </w:r>
    </w:p>
    <w:p w14:paraId="6DAEA531" w14:textId="77777777" w:rsidR="0085206F" w:rsidRPr="008A3857" w:rsidRDefault="0085206F" w:rsidP="0085206F">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Pr>
          <w:i/>
        </w:rPr>
        <w:t>Mental Health, Inquiry Report.</w:t>
      </w:r>
    </w:p>
    <w:p w14:paraId="60044448" w14:textId="77777777" w:rsidR="0085206F" w:rsidRPr="008A3857" w:rsidRDefault="0085206F" w:rsidP="0085206F">
      <w:pPr>
        <w:pStyle w:val="Copyrightsubtitle"/>
      </w:pPr>
      <w:r w:rsidRPr="008A3857">
        <w:t xml:space="preserve">An appropriate </w:t>
      </w:r>
      <w:r>
        <w:t>reference</w:t>
      </w:r>
      <w:r w:rsidRPr="008A3857">
        <w:t xml:space="preserve"> for this publication is:</w:t>
      </w:r>
    </w:p>
    <w:p w14:paraId="1EBC652F" w14:textId="77777777" w:rsidR="0085206F" w:rsidRDefault="0085206F" w:rsidP="0085206F">
      <w:pPr>
        <w:pStyle w:val="Copyrightbodytext"/>
      </w:pPr>
      <w:r>
        <w:t xml:space="preserve">Productivity Commission 2020, </w:t>
      </w:r>
      <w:r>
        <w:rPr>
          <w:i/>
        </w:rPr>
        <w:t>Mental Health</w:t>
      </w:r>
      <w:r>
        <w:t>, Report no. 95, Canberra</w:t>
      </w:r>
    </w:p>
    <w:p w14:paraId="3C828C8C" w14:textId="77777777" w:rsidR="0085206F" w:rsidRPr="008A3857" w:rsidRDefault="0085206F" w:rsidP="0085206F">
      <w:pPr>
        <w:pStyle w:val="Copyrightsubtitle"/>
      </w:pPr>
      <w:r w:rsidRPr="008A3857">
        <w:t>Publications enquiries</w:t>
      </w:r>
    </w:p>
    <w:p w14:paraId="7756B3D8" w14:textId="77777777" w:rsidR="0085206F" w:rsidRDefault="0085206F" w:rsidP="0085206F">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543E4F44" w14:textId="77777777" w:rsidR="0085206F" w:rsidRDefault="0085206F" w:rsidP="008520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5206F" w14:paraId="76F8AF9C" w14:textId="77777777" w:rsidTr="004E2ABA">
        <w:trPr>
          <w:tblHeader/>
        </w:trPr>
        <w:tc>
          <w:tcPr>
            <w:tcW w:w="5000" w:type="pct"/>
            <w:tcBorders>
              <w:top w:val="single" w:sz="6" w:space="0" w:color="78A22F"/>
              <w:left w:val="nil"/>
              <w:bottom w:val="nil"/>
              <w:right w:val="nil"/>
            </w:tcBorders>
            <w:shd w:val="clear" w:color="auto" w:fill="F2F2F2" w:themeFill="background1" w:themeFillShade="F2"/>
          </w:tcPr>
          <w:p w14:paraId="7573CFD2" w14:textId="77777777" w:rsidR="0085206F" w:rsidRPr="008A3857" w:rsidRDefault="0085206F" w:rsidP="004E2ABA">
            <w:pPr>
              <w:pStyle w:val="BoxTitle"/>
              <w:rPr>
                <w:sz w:val="22"/>
                <w:szCs w:val="22"/>
              </w:rPr>
            </w:pPr>
            <w:r w:rsidRPr="008A3857">
              <w:rPr>
                <w:sz w:val="22"/>
                <w:szCs w:val="22"/>
              </w:rPr>
              <w:t>The Productivity Commission</w:t>
            </w:r>
          </w:p>
        </w:tc>
      </w:tr>
      <w:tr w:rsidR="0085206F" w14:paraId="2E85524F" w14:textId="77777777" w:rsidTr="004E2ABA">
        <w:tc>
          <w:tcPr>
            <w:tcW w:w="5000" w:type="pct"/>
            <w:tcBorders>
              <w:top w:val="nil"/>
              <w:left w:val="nil"/>
              <w:bottom w:val="nil"/>
              <w:right w:val="nil"/>
            </w:tcBorders>
            <w:shd w:val="clear" w:color="auto" w:fill="F2F2F2" w:themeFill="background1" w:themeFillShade="F2"/>
          </w:tcPr>
          <w:p w14:paraId="3D75EB7C" w14:textId="77777777" w:rsidR="0085206F" w:rsidRDefault="0085206F" w:rsidP="004E2ABA">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6FD7B89B" w14:textId="77777777" w:rsidR="0085206F" w:rsidRDefault="0085206F" w:rsidP="004E2ABA">
            <w:pPr>
              <w:pStyle w:val="Box"/>
            </w:pPr>
            <w:r w:rsidRPr="00BB5DCF">
              <w:t>The Commission’s independence is underpinned by an Act of Parliament. Its processes and outputs are open to public scrutiny and are driven by concern for the wellbeing of the community as a whole.</w:t>
            </w:r>
          </w:p>
          <w:p w14:paraId="41D1F3DE" w14:textId="77777777" w:rsidR="0085206F" w:rsidRDefault="0085206F" w:rsidP="004E2ABA">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85206F" w14:paraId="3B57A102" w14:textId="77777777" w:rsidTr="004E2ABA">
        <w:tc>
          <w:tcPr>
            <w:tcW w:w="5000" w:type="pct"/>
            <w:tcBorders>
              <w:top w:val="nil"/>
              <w:left w:val="nil"/>
              <w:bottom w:val="single" w:sz="6" w:space="0" w:color="78A22F"/>
              <w:right w:val="nil"/>
            </w:tcBorders>
            <w:shd w:val="clear" w:color="auto" w:fill="F2F2F2" w:themeFill="background1" w:themeFillShade="F2"/>
          </w:tcPr>
          <w:p w14:paraId="4BB35F30" w14:textId="77777777" w:rsidR="0085206F" w:rsidRDefault="0085206F" w:rsidP="004E2ABA">
            <w:pPr>
              <w:pStyle w:val="Box"/>
              <w:spacing w:before="0" w:line="120" w:lineRule="exact"/>
            </w:pPr>
          </w:p>
        </w:tc>
      </w:tr>
    </w:tbl>
    <w:p w14:paraId="2BC8AB23" w14:textId="77777777" w:rsidR="0085206F" w:rsidRDefault="0085206F" w:rsidP="0085206F">
      <w:pPr>
        <w:pStyle w:val="BodyText"/>
      </w:pPr>
      <w:bookmarkStart w:id="7" w:name="cov"/>
      <w:bookmarkEnd w:id="7"/>
      <w:r>
        <w:br w:type="page"/>
      </w:r>
    </w:p>
    <w:p w14:paraId="4C5A1649" w14:textId="77777777" w:rsidR="0085206F" w:rsidRDefault="0085206F" w:rsidP="0085206F">
      <w:pPr>
        <w:pStyle w:val="BodyText"/>
        <w:sectPr w:rsidR="0085206F" w:rsidSect="0085206F">
          <w:pgSz w:w="11907" w:h="16840" w:code="9"/>
          <w:pgMar w:top="1304" w:right="1304" w:bottom="567" w:left="1814" w:header="1701" w:footer="397" w:gutter="0"/>
          <w:pgNumType w:fmt="lowerRoman" w:start="1"/>
          <w:cols w:space="720"/>
          <w:titlePg/>
        </w:sectPr>
      </w:pPr>
    </w:p>
    <w:p w14:paraId="3715CDAE" w14:textId="77777777" w:rsidR="0085206F" w:rsidRDefault="0085206F" w:rsidP="0085206F">
      <w:pPr>
        <w:pStyle w:val="Heading1NotTOC"/>
      </w:pPr>
      <w:bookmarkStart w:id="8" w:name="Contents"/>
      <w:bookmarkEnd w:id="8"/>
      <w:r w:rsidRPr="00B153C3">
        <w:lastRenderedPageBreak/>
        <w:t>Contents</w:t>
      </w:r>
    </w:p>
    <w:p w14:paraId="5A8059E9" w14:textId="77777777" w:rsidR="0085206F" w:rsidRDefault="00E555DF" w:rsidP="0085206F">
      <w:pPr>
        <w:pStyle w:val="BodyText"/>
        <w:shd w:val="clear" w:color="auto" w:fill="39531E" w:themeFill="accent2" w:themeFillShade="BF"/>
        <w:spacing w:line="276" w:lineRule="auto"/>
        <w:jc w:val="center"/>
        <w:rPr>
          <w:noProof/>
        </w:rPr>
      </w:pPr>
      <w:r>
        <w:rPr>
          <w:rFonts w:ascii="Arial" w:hAnsi="Arial" w:cs="Arial"/>
          <w:b/>
          <w:color w:val="FFFFFF" w:themeColor="background1"/>
          <w:sz w:val="32"/>
          <w:szCs w:val="32"/>
        </w:rPr>
        <w:t>Supporting material (on-line only)</w:t>
      </w:r>
    </w:p>
    <w:p w14:paraId="09062759" w14:textId="77777777" w:rsidR="0085206F" w:rsidRDefault="0085206F" w:rsidP="0085206F">
      <w:pPr>
        <w:pStyle w:val="TOC1"/>
        <w:spacing w:before="480" w:after="120"/>
        <w:rPr>
          <w:noProof/>
          <w:color w:val="3B5117"/>
          <w:sz w:val="28"/>
          <w:szCs w:val="28"/>
        </w:rPr>
      </w:pPr>
      <w:r w:rsidRPr="00957FF6">
        <w:rPr>
          <w:noProof/>
          <w:color w:val="3B5117"/>
          <w:sz w:val="28"/>
          <w:szCs w:val="28"/>
        </w:rPr>
        <w:t>Part V</w:t>
      </w:r>
      <w:r>
        <w:rPr>
          <w:noProof/>
          <w:color w:val="3B5117"/>
          <w:sz w:val="28"/>
          <w:szCs w:val="28"/>
        </w:rPr>
        <w:t>I</w:t>
      </w:r>
      <w:r w:rsidRPr="00957FF6">
        <w:rPr>
          <w:noProof/>
          <w:color w:val="3B5117"/>
          <w:sz w:val="28"/>
          <w:szCs w:val="28"/>
        </w:rPr>
        <w:t> – </w:t>
      </w:r>
      <w:r>
        <w:rPr>
          <w:noProof/>
          <w:color w:val="3B5117"/>
          <w:sz w:val="28"/>
          <w:szCs w:val="28"/>
        </w:rPr>
        <w:t xml:space="preserve">Supporting material </w:t>
      </w:r>
    </w:p>
    <w:p w14:paraId="4C2043CB" w14:textId="77777777" w:rsidR="0085206F" w:rsidRDefault="0085206F" w:rsidP="00203312">
      <w:pPr>
        <w:pStyle w:val="TOC1"/>
        <w:tabs>
          <w:tab w:val="clear" w:pos="8789"/>
          <w:tab w:val="left" w:pos="567"/>
          <w:tab w:val="right" w:pos="8788"/>
        </w:tabs>
        <w:ind w:left="567" w:right="0" w:hanging="567"/>
      </w:pPr>
      <w:r>
        <w:t>B</w:t>
      </w:r>
      <w:r>
        <w:tab/>
        <w:t>Public consultations</w:t>
      </w:r>
      <w:r>
        <w:tab/>
      </w:r>
      <w:r w:rsidR="00203312">
        <w:t>5</w:t>
      </w:r>
    </w:p>
    <w:p w14:paraId="0CD5A102" w14:textId="77777777" w:rsidR="0085206F" w:rsidRDefault="0085206F" w:rsidP="00203312">
      <w:pPr>
        <w:pStyle w:val="TOC1"/>
        <w:tabs>
          <w:tab w:val="clear" w:pos="8789"/>
          <w:tab w:val="left" w:pos="567"/>
          <w:tab w:val="right" w:pos="8788"/>
        </w:tabs>
        <w:ind w:left="567" w:right="0" w:hanging="567"/>
      </w:pPr>
      <w:r>
        <w:t>C</w:t>
      </w:r>
      <w:r>
        <w:tab/>
        <w:t>Income and employment support</w:t>
      </w:r>
      <w:r>
        <w:tab/>
      </w:r>
      <w:r w:rsidR="00203312">
        <w:t>47</w:t>
      </w:r>
    </w:p>
    <w:p w14:paraId="7A8E9088" w14:textId="77777777" w:rsidR="0085206F" w:rsidRDefault="0085206F" w:rsidP="00203312">
      <w:pPr>
        <w:pStyle w:val="TOC1"/>
        <w:tabs>
          <w:tab w:val="clear" w:pos="8789"/>
          <w:tab w:val="left" w:pos="567"/>
          <w:tab w:val="right" w:pos="8788"/>
        </w:tabs>
        <w:ind w:left="567" w:right="0" w:hanging="567"/>
      </w:pPr>
      <w:r>
        <w:t>D</w:t>
      </w:r>
      <w:r>
        <w:tab/>
        <w:t>Employment and mental health</w:t>
      </w:r>
      <w:r>
        <w:tab/>
      </w:r>
      <w:r w:rsidR="00203312">
        <w:t>65</w:t>
      </w:r>
    </w:p>
    <w:p w14:paraId="4A4BA432" w14:textId="77777777" w:rsidR="0085206F" w:rsidRDefault="0085206F" w:rsidP="00203312">
      <w:pPr>
        <w:pStyle w:val="TOC1"/>
        <w:tabs>
          <w:tab w:val="clear" w:pos="8789"/>
          <w:tab w:val="left" w:pos="567"/>
          <w:tab w:val="right" w:pos="8788"/>
        </w:tabs>
        <w:ind w:left="567" w:right="0" w:hanging="567"/>
      </w:pPr>
      <w:r>
        <w:t>E</w:t>
      </w:r>
      <w:r>
        <w:tab/>
        <w:t>Bullying and mental health</w:t>
      </w:r>
      <w:r>
        <w:tab/>
      </w:r>
      <w:r w:rsidR="00203312">
        <w:t>79</w:t>
      </w:r>
    </w:p>
    <w:p w14:paraId="52E6F67E" w14:textId="77777777" w:rsidR="0085206F" w:rsidRDefault="0085206F" w:rsidP="00203312">
      <w:pPr>
        <w:pStyle w:val="TOC1"/>
        <w:tabs>
          <w:tab w:val="clear" w:pos="8789"/>
          <w:tab w:val="left" w:pos="567"/>
          <w:tab w:val="right" w:pos="8788"/>
        </w:tabs>
        <w:ind w:left="567" w:right="0" w:hanging="567"/>
      </w:pPr>
      <w:r>
        <w:t>F</w:t>
      </w:r>
      <w:r>
        <w:tab/>
        <w:t>Mental health and the workers compensation system</w:t>
      </w:r>
      <w:r>
        <w:tab/>
      </w:r>
      <w:r w:rsidR="00203312">
        <w:t>95</w:t>
      </w:r>
    </w:p>
    <w:p w14:paraId="018B21EF" w14:textId="77777777" w:rsidR="0085206F" w:rsidRPr="00746848" w:rsidRDefault="0085206F" w:rsidP="00203312">
      <w:pPr>
        <w:pStyle w:val="TOC1"/>
        <w:tabs>
          <w:tab w:val="clear" w:pos="8789"/>
          <w:tab w:val="left" w:pos="567"/>
          <w:tab w:val="right" w:pos="8788"/>
        </w:tabs>
        <w:ind w:left="567" w:right="0" w:hanging="567"/>
        <w:rPr>
          <w:spacing w:val="-4"/>
        </w:rPr>
      </w:pPr>
      <w:r>
        <w:t>G</w:t>
      </w:r>
      <w:r>
        <w:tab/>
      </w:r>
      <w:r w:rsidRPr="00746848">
        <w:rPr>
          <w:spacing w:val="-4"/>
        </w:rPr>
        <w:t xml:space="preserve">Funding and commissioning arrangements: supporting </w:t>
      </w:r>
      <w:r w:rsidR="00203312">
        <w:rPr>
          <w:spacing w:val="-4"/>
        </w:rPr>
        <w:br/>
      </w:r>
      <w:r w:rsidRPr="00746848">
        <w:rPr>
          <w:spacing w:val="-4"/>
        </w:rPr>
        <w:t>detail</w:t>
      </w:r>
      <w:r>
        <w:rPr>
          <w:spacing w:val="-4"/>
        </w:rPr>
        <w:tab/>
      </w:r>
      <w:r w:rsidR="00203312">
        <w:rPr>
          <w:spacing w:val="-4"/>
        </w:rPr>
        <w:t>103</w:t>
      </w:r>
    </w:p>
    <w:p w14:paraId="51A17F5A" w14:textId="77777777" w:rsidR="0085206F" w:rsidRDefault="0085206F" w:rsidP="00203312">
      <w:pPr>
        <w:pStyle w:val="TOC1"/>
        <w:tabs>
          <w:tab w:val="clear" w:pos="8789"/>
          <w:tab w:val="left" w:pos="567"/>
          <w:tab w:val="right" w:pos="8788"/>
        </w:tabs>
        <w:ind w:left="567" w:right="0" w:hanging="567"/>
      </w:pPr>
      <w:r>
        <w:t>H</w:t>
      </w:r>
      <w:r>
        <w:tab/>
        <w:t>Calculating the cost of mental ill</w:t>
      </w:r>
      <w:r>
        <w:rPr>
          <w:rFonts w:ascii="Cambria Math" w:hAnsi="Cambria Math" w:cs="Cambria Math"/>
        </w:rPr>
        <w:t>‑</w:t>
      </w:r>
      <w:r>
        <w:t xml:space="preserve">health and suicide </w:t>
      </w:r>
      <w:r w:rsidR="00203312">
        <w:br/>
      </w:r>
      <w:r>
        <w:t>in Australia</w:t>
      </w:r>
      <w:r>
        <w:tab/>
      </w:r>
      <w:r w:rsidR="00203312">
        <w:t>149</w:t>
      </w:r>
    </w:p>
    <w:p w14:paraId="3B9F7C02" w14:textId="77777777" w:rsidR="0085206F" w:rsidRDefault="0085206F" w:rsidP="00203312">
      <w:pPr>
        <w:pStyle w:val="TOC1"/>
        <w:tabs>
          <w:tab w:val="clear" w:pos="8789"/>
          <w:tab w:val="left" w:pos="567"/>
          <w:tab w:val="right" w:pos="8788"/>
        </w:tabs>
        <w:ind w:left="567" w:right="0" w:hanging="567"/>
      </w:pPr>
      <w:r>
        <w:t>I</w:t>
      </w:r>
      <w:r>
        <w:tab/>
        <w:t>Benefits and costs of improved mental health</w:t>
      </w:r>
      <w:r>
        <w:tab/>
      </w:r>
      <w:r w:rsidR="00203312">
        <w:t>171</w:t>
      </w:r>
    </w:p>
    <w:p w14:paraId="706535A3" w14:textId="77777777" w:rsidR="0085206F" w:rsidRDefault="0085206F" w:rsidP="00203312">
      <w:pPr>
        <w:pStyle w:val="TOC1"/>
        <w:tabs>
          <w:tab w:val="clear" w:pos="8789"/>
          <w:tab w:val="left" w:pos="567"/>
          <w:tab w:val="right" w:pos="8788"/>
        </w:tabs>
        <w:ind w:left="567" w:right="0" w:hanging="567"/>
      </w:pPr>
      <w:r>
        <w:t>J</w:t>
      </w:r>
      <w:r>
        <w:tab/>
        <w:t xml:space="preserve">Mental health, labour market outcomes and </w:t>
      </w:r>
      <w:r w:rsidR="00203312">
        <w:br/>
      </w:r>
      <w:r>
        <w:t>health-related quality of life</w:t>
      </w:r>
      <w:r>
        <w:tab/>
      </w:r>
      <w:r w:rsidR="00203312">
        <w:t>191</w:t>
      </w:r>
    </w:p>
    <w:p w14:paraId="75C7910B" w14:textId="77777777" w:rsidR="0085206F" w:rsidRDefault="0085206F" w:rsidP="00203312">
      <w:pPr>
        <w:pStyle w:val="TOC1"/>
        <w:tabs>
          <w:tab w:val="clear" w:pos="8789"/>
          <w:tab w:val="left" w:pos="567"/>
          <w:tab w:val="right" w:pos="8788"/>
        </w:tabs>
        <w:ind w:left="567" w:right="0" w:hanging="567"/>
      </w:pPr>
      <w:r>
        <w:t>K</w:t>
      </w:r>
      <w:r>
        <w:tab/>
        <w:t>Detailed assumptions about benefits and costs</w:t>
      </w:r>
      <w:r>
        <w:tab/>
      </w:r>
      <w:r w:rsidR="00203312">
        <w:t>209</w:t>
      </w:r>
    </w:p>
    <w:p w14:paraId="04144351" w14:textId="77777777" w:rsidR="0085206F" w:rsidRPr="0038377B" w:rsidRDefault="0085206F" w:rsidP="0085206F">
      <w:pPr>
        <w:pStyle w:val="TOC2"/>
      </w:pPr>
    </w:p>
    <w:p w14:paraId="186738B2" w14:textId="77777777" w:rsidR="0085206F" w:rsidRDefault="0085206F" w:rsidP="0085206F">
      <w:pPr>
        <w:pStyle w:val="BodyText"/>
        <w:sectPr w:rsidR="0085206F" w:rsidSect="004E2ABA">
          <w:headerReference w:type="even" r:id="rId10"/>
          <w:headerReference w:type="default" r:id="rId11"/>
          <w:footerReference w:type="even" r:id="rId12"/>
          <w:footerReference w:type="default" r:id="rId13"/>
          <w:type w:val="oddPage"/>
          <w:pgSz w:w="11906" w:h="16838" w:code="9"/>
          <w:pgMar w:top="1985" w:right="1304" w:bottom="1247" w:left="1814" w:header="1701" w:footer="397" w:gutter="0"/>
          <w:pgNumType w:fmt="lowerRoman"/>
          <w:cols w:space="708"/>
          <w:docGrid w:linePitch="360"/>
        </w:sectPr>
      </w:pPr>
    </w:p>
    <w:p w14:paraId="4AF6B5F7" w14:textId="77777777" w:rsidR="009C6940" w:rsidRPr="00EF7969" w:rsidRDefault="009C6940" w:rsidP="0085206F">
      <w:pPr>
        <w:pStyle w:val="Heading1"/>
      </w:pPr>
      <w:bookmarkStart w:id="9" w:name="EndContents"/>
      <w:bookmarkEnd w:id="9"/>
      <w:r>
        <w:lastRenderedPageBreak/>
        <w:t>B</w:t>
      </w:r>
      <w:bookmarkEnd w:id="1"/>
      <w:r>
        <w:tab/>
      </w:r>
      <w:bookmarkStart w:id="10" w:name="ChapterTitle"/>
      <w:r>
        <w:t>Public consultations</w:t>
      </w:r>
      <w:bookmarkEnd w:id="10"/>
    </w:p>
    <w:p w14:paraId="75AFB27F" w14:textId="77777777" w:rsidR="009C6940" w:rsidRPr="00EF7969" w:rsidRDefault="009C6940" w:rsidP="009C6940">
      <w:pPr>
        <w:pStyle w:val="BodyText"/>
        <w:widowControl w:val="0"/>
        <w:spacing w:before="200"/>
      </w:pPr>
      <w:bookmarkStart w:id="11" w:name="begin"/>
      <w:bookmarkEnd w:id="11"/>
      <w:r w:rsidRPr="00EF7969">
        <w:t xml:space="preserve">This appendix describes the stakeholder consultation process undertaken for the </w:t>
      </w:r>
      <w:r>
        <w:t>I</w:t>
      </w:r>
      <w:r w:rsidRPr="00EF7969">
        <w:t>nquiry and list</w:t>
      </w:r>
      <w:r>
        <w:t>s</w:t>
      </w:r>
      <w:r w:rsidRPr="00EF7969">
        <w:t xml:space="preserve"> the organisations and individuals who have participated.</w:t>
      </w:r>
    </w:p>
    <w:p w14:paraId="705FB64F" w14:textId="77777777" w:rsidR="009C6940" w:rsidRPr="00EF7969" w:rsidRDefault="009C6940" w:rsidP="009C6940">
      <w:pPr>
        <w:pStyle w:val="Heading4"/>
        <w:keepNext w:val="0"/>
        <w:widowControl w:val="0"/>
        <w:spacing w:before="400"/>
      </w:pPr>
      <w:r w:rsidRPr="00EF7969">
        <w:t xml:space="preserve">Consultations </w:t>
      </w:r>
    </w:p>
    <w:p w14:paraId="22E1DE6D" w14:textId="77777777" w:rsidR="009C6940" w:rsidRPr="00EF7969" w:rsidRDefault="009C6940" w:rsidP="009C6940">
      <w:pPr>
        <w:pStyle w:val="BodyText"/>
        <w:widowControl w:val="0"/>
        <w:spacing w:before="200"/>
        <w:rPr>
          <w:spacing w:val="-4"/>
        </w:rPr>
      </w:pPr>
      <w:r>
        <w:rPr>
          <w:spacing w:val="-4"/>
        </w:rPr>
        <w:t>The</w:t>
      </w:r>
      <w:r w:rsidRPr="00EF7969">
        <w:rPr>
          <w:spacing w:val="-4"/>
        </w:rPr>
        <w:t xml:space="preserve"> </w:t>
      </w:r>
      <w:r>
        <w:rPr>
          <w:spacing w:val="-4"/>
        </w:rPr>
        <w:t xml:space="preserve">Productivity </w:t>
      </w:r>
      <w:r w:rsidRPr="00EF7969">
        <w:rPr>
          <w:spacing w:val="-4"/>
        </w:rPr>
        <w:t xml:space="preserve">Commission </w:t>
      </w:r>
      <w:r>
        <w:rPr>
          <w:spacing w:val="-4"/>
        </w:rPr>
        <w:t xml:space="preserve">convened the </w:t>
      </w:r>
      <w:r w:rsidRPr="00EF7969">
        <w:rPr>
          <w:spacing w:val="-4"/>
        </w:rPr>
        <w:t>following consultations processes</w:t>
      </w:r>
      <w:r>
        <w:rPr>
          <w:spacing w:val="-4"/>
        </w:rPr>
        <w:t>.</w:t>
      </w:r>
    </w:p>
    <w:p w14:paraId="4E1EBA76" w14:textId="77777777" w:rsidR="009C6940" w:rsidRPr="00A27559" w:rsidRDefault="009C6940" w:rsidP="009C6940">
      <w:pPr>
        <w:pStyle w:val="ListBullet"/>
      </w:pPr>
      <w:r>
        <w:t>6</w:t>
      </w:r>
      <w:r w:rsidRPr="00EF7969">
        <w:t xml:space="preserve"> roundtables</w:t>
      </w:r>
      <w:r>
        <w:t>: Consumers and Carers; Early Childhood Services; Aboriginal and Torres Strait Islander People in Urban Areas; Mental Health Modelling; Education System; and Workplace Mental Health (table B.5).</w:t>
      </w:r>
    </w:p>
    <w:p w14:paraId="0BE429EC" w14:textId="77777777" w:rsidR="009C6940" w:rsidRPr="00EF7969" w:rsidRDefault="009C6940" w:rsidP="009C6940">
      <w:pPr>
        <w:pStyle w:val="ListBullet"/>
      </w:pPr>
      <w:r w:rsidRPr="00EF7969">
        <w:t>13 days of public h</w:t>
      </w:r>
      <w:r>
        <w:t xml:space="preserve">earings </w:t>
      </w:r>
      <w:r w:rsidRPr="00EF7969">
        <w:t>Adelaide (5 February 20</w:t>
      </w:r>
      <w:r>
        <w:t>20</w:t>
      </w:r>
      <w:r w:rsidRPr="00EF7969">
        <w:t>); Brisbane (3 December 2019); Broken Hill (28 November 2019): Canberra (15 November 2019); Darwin (27 February 2020); Geraldton (20 November 2019); Launceston (9 December 2019); Melbourne (18</w:t>
      </w:r>
      <w:r>
        <w:noBreakHyphen/>
      </w:r>
      <w:r w:rsidRPr="00EF7969">
        <w:t>19 November 2019); Perth (21 November 2019</w:t>
      </w:r>
      <w:r>
        <w:t>)</w:t>
      </w:r>
      <w:r w:rsidRPr="00EF7969">
        <w:t>; Sydney (25-26 November</w:t>
      </w:r>
      <w:r>
        <w:t xml:space="preserve"> 2019</w:t>
      </w:r>
      <w:r w:rsidRPr="00EF7969">
        <w:t xml:space="preserve">) and Rockhampton (2 December 2019) (table </w:t>
      </w:r>
      <w:r>
        <w:t>B.</w:t>
      </w:r>
      <w:r w:rsidRPr="00EF7969">
        <w:t xml:space="preserve">4).  </w:t>
      </w:r>
    </w:p>
    <w:p w14:paraId="4B28E92C" w14:textId="77777777" w:rsidR="009C6940" w:rsidRPr="00EF7969" w:rsidRDefault="009C6940" w:rsidP="009C6940">
      <w:pPr>
        <w:pStyle w:val="ListBullet"/>
      </w:pPr>
      <w:r w:rsidRPr="00EF7969">
        <w:t xml:space="preserve">Hearings were advertised in </w:t>
      </w:r>
      <w:r w:rsidRPr="00EF7969">
        <w:rPr>
          <w:i/>
          <w:spacing w:val="-4"/>
        </w:rPr>
        <w:t>The</w:t>
      </w:r>
      <w:r w:rsidRPr="00EF7969">
        <w:rPr>
          <w:spacing w:val="-4"/>
        </w:rPr>
        <w:t> </w:t>
      </w:r>
      <w:r w:rsidRPr="00EF7969">
        <w:rPr>
          <w:i/>
          <w:spacing w:val="-4"/>
        </w:rPr>
        <w:t xml:space="preserve">Australian </w:t>
      </w:r>
      <w:r w:rsidRPr="00EF7969">
        <w:rPr>
          <w:spacing w:val="-4"/>
        </w:rPr>
        <w:t>on 24 October 2019; the</w:t>
      </w:r>
      <w:r w:rsidRPr="00EF7969">
        <w:rPr>
          <w:i/>
          <w:spacing w:val="-4"/>
        </w:rPr>
        <w:t xml:space="preserve"> Midwest Times </w:t>
      </w:r>
      <w:r w:rsidRPr="00EF7969">
        <w:rPr>
          <w:spacing w:val="-4"/>
        </w:rPr>
        <w:t xml:space="preserve">on 13 November for </w:t>
      </w:r>
      <w:r w:rsidRPr="00EF7969">
        <w:t xml:space="preserve">Geraldton hearing and </w:t>
      </w:r>
      <w:r w:rsidRPr="00EF7969">
        <w:rPr>
          <w:i/>
        </w:rPr>
        <w:t>Barrier Daily Truth</w:t>
      </w:r>
      <w:r w:rsidRPr="00EF7969">
        <w:t xml:space="preserve"> 16 November 2019 for Broken Hill and through Facebook and Twitter</w:t>
      </w:r>
      <w:r>
        <w:t>; through</w:t>
      </w:r>
      <w:r w:rsidRPr="00EF7969">
        <w:t xml:space="preserve"> a flyer </w:t>
      </w:r>
      <w:r>
        <w:t xml:space="preserve">that </w:t>
      </w:r>
      <w:r w:rsidRPr="00EF7969">
        <w:t xml:space="preserve">was emailed to key stakeholders for distribution and </w:t>
      </w:r>
      <w:r w:rsidRPr="00EF7969">
        <w:rPr>
          <w:spacing w:val="-4"/>
        </w:rPr>
        <w:t>additional information distributed to Inquiry registered participants</w:t>
      </w:r>
      <w:r>
        <w:rPr>
          <w:spacing w:val="-4"/>
        </w:rPr>
        <w:t>.</w:t>
      </w:r>
      <w:r w:rsidRPr="00EF7969">
        <w:rPr>
          <w:color w:val="FF0000"/>
          <w:spacing w:val="-4"/>
        </w:rPr>
        <w:t xml:space="preserve"> </w:t>
      </w:r>
    </w:p>
    <w:p w14:paraId="7B861DCA" w14:textId="77777777" w:rsidR="009C6940" w:rsidRPr="004B4F85" w:rsidRDefault="009C6940" w:rsidP="009C6940">
      <w:pPr>
        <w:pStyle w:val="ListBullet"/>
      </w:pPr>
      <w:r w:rsidRPr="004B4F85">
        <w:rPr>
          <w:spacing w:val="-4"/>
        </w:rPr>
        <w:t>278 meetings with individual stakeholders across Australia (B.3)</w:t>
      </w:r>
      <w:r>
        <w:rPr>
          <w:spacing w:val="-4"/>
        </w:rPr>
        <w:t>.</w:t>
      </w:r>
    </w:p>
    <w:p w14:paraId="6331C24C" w14:textId="77777777" w:rsidR="009C6940" w:rsidRPr="004B4F85" w:rsidRDefault="009C6940" w:rsidP="009C6940">
      <w:pPr>
        <w:pStyle w:val="BodyText"/>
        <w:widowControl w:val="0"/>
        <w:spacing w:before="200"/>
        <w:rPr>
          <w:spacing w:val="-4"/>
        </w:rPr>
      </w:pPr>
      <w:r w:rsidRPr="004B4F85">
        <w:rPr>
          <w:spacing w:val="-4"/>
        </w:rPr>
        <w:t xml:space="preserve">The </w:t>
      </w:r>
      <w:r>
        <w:rPr>
          <w:spacing w:val="-4"/>
        </w:rPr>
        <w:t xml:space="preserve">Productivity </w:t>
      </w:r>
      <w:r w:rsidRPr="004B4F85">
        <w:rPr>
          <w:spacing w:val="-4"/>
        </w:rPr>
        <w:t>Commission received 1244 public submission during the Inquiry — 564 prior to the Draft Report and 680 in response to the Draft Report (table B.1).</w:t>
      </w:r>
      <w:r>
        <w:t xml:space="preserve"> </w:t>
      </w:r>
      <w:r w:rsidRPr="004B4F85">
        <w:t>All public su</w:t>
      </w:r>
      <w:r>
        <w:t>bmissions are available on the I</w:t>
      </w:r>
      <w:r w:rsidRPr="004B4F85">
        <w:t>nquiry website.</w:t>
      </w:r>
    </w:p>
    <w:p w14:paraId="06F7B774" w14:textId="77777777" w:rsidR="009C6940" w:rsidRPr="00EF7969" w:rsidRDefault="009C6940" w:rsidP="009C6940">
      <w:pPr>
        <w:pStyle w:val="BodyText"/>
        <w:widowControl w:val="0"/>
        <w:spacing w:before="200"/>
        <w:rPr>
          <w:spacing w:val="-4"/>
        </w:rPr>
      </w:pPr>
      <w:r w:rsidRPr="004B4F85">
        <w:rPr>
          <w:spacing w:val="-4"/>
        </w:rPr>
        <w:t xml:space="preserve">The </w:t>
      </w:r>
      <w:r>
        <w:rPr>
          <w:spacing w:val="-4"/>
        </w:rPr>
        <w:t xml:space="preserve">Productivity </w:t>
      </w:r>
      <w:r w:rsidRPr="004B4F85">
        <w:rPr>
          <w:spacing w:val="-4"/>
        </w:rPr>
        <w:t>Commission also provided facilities on th</w:t>
      </w:r>
      <w:r>
        <w:rPr>
          <w:spacing w:val="-4"/>
        </w:rPr>
        <w:t>e I</w:t>
      </w:r>
      <w:r w:rsidRPr="004B4F85">
        <w:rPr>
          <w:spacing w:val="-4"/>
        </w:rPr>
        <w:t>nquiry website for interested stakeholders to lodge a brief comment (</w:t>
      </w:r>
      <w:r>
        <w:rPr>
          <w:spacing w:val="-4"/>
        </w:rPr>
        <w:t xml:space="preserve">table </w:t>
      </w:r>
      <w:r w:rsidRPr="004B4F85">
        <w:rPr>
          <w:spacing w:val="-4"/>
        </w:rPr>
        <w:t xml:space="preserve">B.2). A total of 488 comments were received  —191 comments prior to the Draft Report and 297 in response to the Draft </w:t>
      </w:r>
      <w:r w:rsidRPr="00EF7969">
        <w:rPr>
          <w:spacing w:val="-4"/>
        </w:rPr>
        <w:t>Report.</w:t>
      </w:r>
    </w:p>
    <w:p w14:paraId="68458872"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181EA8D9" w14:textId="77777777" w:rsidTr="009C6940">
        <w:trPr>
          <w:tblHeader/>
        </w:trPr>
        <w:tc>
          <w:tcPr>
            <w:tcW w:w="8789" w:type="dxa"/>
            <w:tcBorders>
              <w:top w:val="single" w:sz="6" w:space="0" w:color="78A22F"/>
              <w:left w:val="nil"/>
              <w:bottom w:val="nil"/>
              <w:right w:val="nil"/>
            </w:tcBorders>
            <w:shd w:val="clear" w:color="auto" w:fill="auto"/>
          </w:tcPr>
          <w:p w14:paraId="4E907D2B" w14:textId="77777777" w:rsidR="009C6940" w:rsidRPr="00EF7969" w:rsidRDefault="009C6940" w:rsidP="009C6940">
            <w:pPr>
              <w:pStyle w:val="TableTitle"/>
            </w:pPr>
            <w:r>
              <w:rPr>
                <w:b w:val="0"/>
              </w:rPr>
              <w:t>Table B</w:t>
            </w:r>
            <w:r w:rsidRPr="00EF7969">
              <w:rPr>
                <w:b w:val="0"/>
              </w:rPr>
              <w:t>.</w:t>
            </w:r>
            <w:r w:rsidRPr="00EF7969">
              <w:rPr>
                <w:b w:val="0"/>
                <w:noProof/>
              </w:rPr>
              <w:t>1</w:t>
            </w:r>
            <w:r w:rsidRPr="00EF7969">
              <w:tab/>
              <w:t>Public submissions received</w:t>
            </w:r>
          </w:p>
        </w:tc>
      </w:tr>
      <w:tr w:rsidR="009C6940" w:rsidRPr="00EF7969" w14:paraId="245653DD" w14:textId="77777777" w:rsidTr="009C6940">
        <w:tc>
          <w:tcPr>
            <w:tcW w:w="8789" w:type="dxa"/>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6378"/>
              <w:gridCol w:w="2126"/>
            </w:tblGrid>
            <w:tr w:rsidR="009C6940" w:rsidRPr="00EF7969" w14:paraId="11D062A1" w14:textId="77777777" w:rsidTr="009C6940">
              <w:trPr>
                <w:tblHeader/>
              </w:trPr>
              <w:tc>
                <w:tcPr>
                  <w:tcW w:w="6378" w:type="dxa"/>
                  <w:tcBorders>
                    <w:top w:val="single" w:sz="6" w:space="0" w:color="BFBFBF"/>
                    <w:bottom w:val="single" w:sz="6" w:space="0" w:color="BFBFBF"/>
                  </w:tcBorders>
                  <w:shd w:val="clear" w:color="auto" w:fill="auto"/>
                  <w:tcMar>
                    <w:top w:w="28" w:type="dxa"/>
                  </w:tcMar>
                </w:tcPr>
                <w:p w14:paraId="6B405895"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tcPr>
                <w:p w14:paraId="1E933E79" w14:textId="77777777" w:rsidR="009C6940" w:rsidRPr="00EF7969" w:rsidRDefault="009C6940" w:rsidP="009C6940">
                  <w:pPr>
                    <w:pStyle w:val="TableColumnHeading"/>
                    <w:ind w:right="28"/>
                  </w:pPr>
                  <w:r w:rsidRPr="00EF7969">
                    <w:t>Submission no.</w:t>
                  </w:r>
                </w:p>
              </w:tc>
            </w:tr>
            <w:tr w:rsidR="009C6940" w:rsidRPr="00EF7969" w14:paraId="43C8D03C" w14:textId="77777777" w:rsidTr="009C6940">
              <w:tc>
                <w:tcPr>
                  <w:tcW w:w="6378" w:type="dxa"/>
                  <w:tcBorders>
                    <w:top w:val="single" w:sz="6" w:space="0" w:color="BFBFBF"/>
                  </w:tcBorders>
                </w:tcPr>
                <w:p w14:paraId="02647696" w14:textId="77777777" w:rsidR="009C6940" w:rsidRPr="003C0CE8" w:rsidRDefault="009C6940" w:rsidP="009C6940">
                  <w:pPr>
                    <w:pStyle w:val="TableBodyText"/>
                    <w:spacing w:before="40"/>
                    <w:jc w:val="left"/>
                  </w:pPr>
                  <w:r w:rsidRPr="003C0CE8">
                    <w:t>Aaron Fornarino</w:t>
                  </w:r>
                </w:p>
              </w:tc>
              <w:tc>
                <w:tcPr>
                  <w:tcW w:w="2126" w:type="dxa"/>
                  <w:tcBorders>
                    <w:top w:val="single" w:sz="6" w:space="0" w:color="BFBFBF"/>
                  </w:tcBorders>
                </w:tcPr>
                <w:p w14:paraId="6325FF87" w14:textId="77777777" w:rsidR="009C6940" w:rsidRPr="003C0CE8" w:rsidRDefault="009C6940" w:rsidP="009C6940">
                  <w:pPr>
                    <w:pStyle w:val="TableBodyText"/>
                    <w:spacing w:before="40"/>
                  </w:pPr>
                  <w:r w:rsidRPr="003C0CE8">
                    <w:t>17</w:t>
                  </w:r>
                </w:p>
              </w:tc>
            </w:tr>
            <w:tr w:rsidR="009C6940" w:rsidRPr="00EF7969" w14:paraId="0E5A315A" w14:textId="77777777" w:rsidTr="009C6940">
              <w:tc>
                <w:tcPr>
                  <w:tcW w:w="6378" w:type="dxa"/>
                </w:tcPr>
                <w:p w14:paraId="09E977C0" w14:textId="77777777" w:rsidR="009C6940" w:rsidRPr="003C0CE8" w:rsidRDefault="009C6940" w:rsidP="009C6940">
                  <w:pPr>
                    <w:pStyle w:val="TableBodyText"/>
                    <w:jc w:val="left"/>
                  </w:pPr>
                  <w:r w:rsidRPr="003C0CE8">
                    <w:t>Abdul Moos</w:t>
                  </w:r>
                </w:p>
              </w:tc>
              <w:tc>
                <w:tcPr>
                  <w:tcW w:w="2126" w:type="dxa"/>
                </w:tcPr>
                <w:p w14:paraId="5CA3AE15" w14:textId="77777777" w:rsidR="009C6940" w:rsidRPr="003C0CE8" w:rsidRDefault="009C6940" w:rsidP="009C6940">
                  <w:pPr>
                    <w:pStyle w:val="TableBodyText"/>
                  </w:pPr>
                  <w:r w:rsidRPr="003C0CE8">
                    <w:t>984</w:t>
                  </w:r>
                </w:p>
              </w:tc>
            </w:tr>
            <w:tr w:rsidR="009C6940" w:rsidRPr="00EF7969" w14:paraId="1438CBCB" w14:textId="77777777" w:rsidTr="009C6940">
              <w:tc>
                <w:tcPr>
                  <w:tcW w:w="6378" w:type="dxa"/>
                  <w:shd w:val="clear" w:color="auto" w:fill="auto"/>
                </w:tcPr>
                <w:p w14:paraId="3523F561" w14:textId="77777777" w:rsidR="009C6940" w:rsidRPr="003C0CE8" w:rsidRDefault="009C6940" w:rsidP="009C6940">
                  <w:pPr>
                    <w:pStyle w:val="TableBodyText"/>
                    <w:jc w:val="left"/>
                  </w:pPr>
                  <w:r w:rsidRPr="003C0CE8">
                    <w:t>Aboriginal Health and Medical Research Council (AH&amp;MRC)</w:t>
                  </w:r>
                </w:p>
              </w:tc>
              <w:tc>
                <w:tcPr>
                  <w:tcW w:w="2126" w:type="dxa"/>
                </w:tcPr>
                <w:p w14:paraId="3F89601B" w14:textId="77777777" w:rsidR="009C6940" w:rsidRPr="003C0CE8" w:rsidRDefault="009C6940" w:rsidP="009C6940">
                  <w:pPr>
                    <w:pStyle w:val="TableBodyText"/>
                  </w:pPr>
                  <w:r w:rsidRPr="003C0CE8">
                    <w:t>206</w:t>
                  </w:r>
                </w:p>
              </w:tc>
            </w:tr>
            <w:tr w:rsidR="009C6940" w:rsidRPr="00EF7969" w14:paraId="53F67878" w14:textId="77777777" w:rsidTr="009C6940">
              <w:tc>
                <w:tcPr>
                  <w:tcW w:w="6378" w:type="dxa"/>
                  <w:shd w:val="clear" w:color="auto" w:fill="auto"/>
                </w:tcPr>
                <w:p w14:paraId="61EEF85F" w14:textId="77777777" w:rsidR="009C6940" w:rsidRPr="003C0CE8" w:rsidRDefault="009C6940" w:rsidP="009C6940">
                  <w:pPr>
                    <w:pStyle w:val="TableBodyText"/>
                    <w:jc w:val="left"/>
                  </w:pPr>
                  <w:r w:rsidRPr="003C0CE8">
                    <w:t>Aboriginal Medical Services Alliance NT (AMSANT)</w:t>
                  </w:r>
                </w:p>
              </w:tc>
              <w:tc>
                <w:tcPr>
                  <w:tcW w:w="2126" w:type="dxa"/>
                </w:tcPr>
                <w:p w14:paraId="27BB353F" w14:textId="77777777" w:rsidR="009C6940" w:rsidRPr="003C0CE8" w:rsidRDefault="009C6940" w:rsidP="009C6940">
                  <w:pPr>
                    <w:pStyle w:val="TableBodyText"/>
                  </w:pPr>
                  <w:r w:rsidRPr="003C0CE8">
                    <w:t>434, 1190</w:t>
                  </w:r>
                </w:p>
              </w:tc>
            </w:tr>
            <w:tr w:rsidR="009C6940" w:rsidRPr="00EF7969" w14:paraId="29D8C220" w14:textId="77777777" w:rsidTr="009C6940">
              <w:tc>
                <w:tcPr>
                  <w:tcW w:w="6378" w:type="dxa"/>
                  <w:shd w:val="clear" w:color="auto" w:fill="auto"/>
                </w:tcPr>
                <w:p w14:paraId="3178717B" w14:textId="77777777" w:rsidR="009C6940" w:rsidRPr="003C0CE8" w:rsidRDefault="009C6940" w:rsidP="009C6940">
                  <w:pPr>
                    <w:pStyle w:val="TableBodyText"/>
                    <w:jc w:val="left"/>
                  </w:pPr>
                  <w:r w:rsidRPr="003C0CE8">
                    <w:t>Aborigines Advancement League (AAL)</w:t>
                  </w:r>
                </w:p>
              </w:tc>
              <w:tc>
                <w:tcPr>
                  <w:tcW w:w="2126" w:type="dxa"/>
                </w:tcPr>
                <w:p w14:paraId="74A64602" w14:textId="77777777" w:rsidR="009C6940" w:rsidRPr="003C0CE8" w:rsidRDefault="009C6940" w:rsidP="009C6940">
                  <w:pPr>
                    <w:pStyle w:val="TableBodyText"/>
                  </w:pPr>
                  <w:r w:rsidRPr="003C0CE8">
                    <w:t>151</w:t>
                  </w:r>
                </w:p>
              </w:tc>
            </w:tr>
            <w:tr w:rsidR="009C6940" w:rsidRPr="00EF7969" w14:paraId="5E814FC1" w14:textId="77777777" w:rsidTr="009C6940">
              <w:tc>
                <w:tcPr>
                  <w:tcW w:w="6378" w:type="dxa"/>
                  <w:shd w:val="clear" w:color="auto" w:fill="auto"/>
                </w:tcPr>
                <w:p w14:paraId="7B9C01CA" w14:textId="77777777" w:rsidR="009C6940" w:rsidRPr="003C0CE8" w:rsidRDefault="009C6940" w:rsidP="009C6940">
                  <w:pPr>
                    <w:pStyle w:val="TableBodyText"/>
                    <w:jc w:val="left"/>
                  </w:pPr>
                  <w:r w:rsidRPr="003C0CE8">
                    <w:t>Accoras</w:t>
                  </w:r>
                </w:p>
              </w:tc>
              <w:tc>
                <w:tcPr>
                  <w:tcW w:w="2126" w:type="dxa"/>
                </w:tcPr>
                <w:p w14:paraId="2AFD9D1E" w14:textId="77777777" w:rsidR="009C6940" w:rsidRPr="003C0CE8" w:rsidRDefault="009C6940" w:rsidP="009C6940">
                  <w:pPr>
                    <w:pStyle w:val="TableBodyText"/>
                  </w:pPr>
                  <w:r w:rsidRPr="003C0CE8">
                    <w:t>135</w:t>
                  </w:r>
                </w:p>
              </w:tc>
            </w:tr>
            <w:tr w:rsidR="009C6940" w:rsidRPr="00EF7969" w14:paraId="164B9BA1" w14:textId="77777777" w:rsidTr="009C6940">
              <w:tc>
                <w:tcPr>
                  <w:tcW w:w="6378" w:type="dxa"/>
                  <w:shd w:val="clear" w:color="auto" w:fill="auto"/>
                </w:tcPr>
                <w:p w14:paraId="21DD805F" w14:textId="77777777" w:rsidR="009C6940" w:rsidRPr="003C0CE8" w:rsidRDefault="009C6940" w:rsidP="009C6940">
                  <w:pPr>
                    <w:pStyle w:val="TableBodyText"/>
                    <w:jc w:val="left"/>
                  </w:pPr>
                  <w:r w:rsidRPr="003C0CE8">
                    <w:t>ACON</w:t>
                  </w:r>
                </w:p>
              </w:tc>
              <w:tc>
                <w:tcPr>
                  <w:tcW w:w="2126" w:type="dxa"/>
                </w:tcPr>
                <w:p w14:paraId="49928D82" w14:textId="77777777" w:rsidR="009C6940" w:rsidRPr="003C0CE8" w:rsidRDefault="009C6940" w:rsidP="009C6940">
                  <w:pPr>
                    <w:pStyle w:val="TableBodyText"/>
                  </w:pPr>
                  <w:r w:rsidRPr="003C0CE8">
                    <w:t>381</w:t>
                  </w:r>
                </w:p>
              </w:tc>
            </w:tr>
            <w:tr w:rsidR="009C6940" w:rsidRPr="00EF7969" w14:paraId="059BFEC9" w14:textId="77777777" w:rsidTr="009C6940">
              <w:tc>
                <w:tcPr>
                  <w:tcW w:w="6378" w:type="dxa"/>
                  <w:shd w:val="clear" w:color="auto" w:fill="auto"/>
                </w:tcPr>
                <w:p w14:paraId="6D9E3C70" w14:textId="77777777" w:rsidR="009C6940" w:rsidRPr="003C0CE8" w:rsidRDefault="009C6940" w:rsidP="009C6940">
                  <w:pPr>
                    <w:pStyle w:val="TableBodyText"/>
                    <w:jc w:val="left"/>
                  </w:pPr>
                  <w:r w:rsidRPr="003C0CE8">
                    <w:t xml:space="preserve">ACT Disability Aged </w:t>
                  </w:r>
                  <w:r>
                    <w:t xml:space="preserve">and </w:t>
                  </w:r>
                  <w:r w:rsidRPr="003C0CE8">
                    <w:t>Carer Advocacy Services (ADACAS)</w:t>
                  </w:r>
                </w:p>
              </w:tc>
              <w:tc>
                <w:tcPr>
                  <w:tcW w:w="2126" w:type="dxa"/>
                </w:tcPr>
                <w:p w14:paraId="6A81836E" w14:textId="77777777" w:rsidR="009C6940" w:rsidRPr="003C0CE8" w:rsidRDefault="009C6940" w:rsidP="009C6940">
                  <w:pPr>
                    <w:pStyle w:val="TableBodyText"/>
                  </w:pPr>
                  <w:r w:rsidRPr="003C0CE8">
                    <w:t>493</w:t>
                  </w:r>
                </w:p>
              </w:tc>
            </w:tr>
            <w:tr w:rsidR="009C6940" w:rsidRPr="00EF7969" w14:paraId="23BB3445" w14:textId="77777777" w:rsidTr="009C6940">
              <w:tc>
                <w:tcPr>
                  <w:tcW w:w="6378" w:type="dxa"/>
                  <w:shd w:val="clear" w:color="auto" w:fill="auto"/>
                </w:tcPr>
                <w:p w14:paraId="4C8A271B" w14:textId="77777777" w:rsidR="009C6940" w:rsidRPr="003C0CE8" w:rsidRDefault="009C6940" w:rsidP="009C6940">
                  <w:pPr>
                    <w:pStyle w:val="TableBodyText"/>
                    <w:jc w:val="left"/>
                  </w:pPr>
                  <w:r w:rsidRPr="003C0CE8">
                    <w:t xml:space="preserve">ACT Government </w:t>
                  </w:r>
                </w:p>
              </w:tc>
              <w:tc>
                <w:tcPr>
                  <w:tcW w:w="2126" w:type="dxa"/>
                </w:tcPr>
                <w:p w14:paraId="6B0B1896" w14:textId="77777777" w:rsidR="009C6940" w:rsidRPr="003C0CE8" w:rsidRDefault="009C6940" w:rsidP="009C6940">
                  <w:pPr>
                    <w:pStyle w:val="TableBodyText"/>
                  </w:pPr>
                  <w:r w:rsidRPr="003C0CE8">
                    <w:t>210, 1241</w:t>
                  </w:r>
                </w:p>
              </w:tc>
            </w:tr>
            <w:tr w:rsidR="009C6940" w:rsidRPr="00EF7969" w14:paraId="2E68DD56" w14:textId="77777777" w:rsidTr="009C6940">
              <w:tc>
                <w:tcPr>
                  <w:tcW w:w="6378" w:type="dxa"/>
                  <w:shd w:val="clear" w:color="auto" w:fill="auto"/>
                </w:tcPr>
                <w:p w14:paraId="5FD1059E" w14:textId="77777777" w:rsidR="009C6940" w:rsidRPr="003C0CE8" w:rsidRDefault="009C6940" w:rsidP="009C6940">
                  <w:pPr>
                    <w:pStyle w:val="TableBodyText"/>
                    <w:jc w:val="left"/>
                  </w:pPr>
                  <w:r w:rsidRPr="003C0CE8">
                    <w:t>ACT Mental Health Consumer Network</w:t>
                  </w:r>
                </w:p>
              </w:tc>
              <w:tc>
                <w:tcPr>
                  <w:tcW w:w="2126" w:type="dxa"/>
                </w:tcPr>
                <w:p w14:paraId="70D17455" w14:textId="77777777" w:rsidR="009C6940" w:rsidRPr="003C0CE8" w:rsidRDefault="009C6940" w:rsidP="009C6940">
                  <w:pPr>
                    <w:pStyle w:val="TableBodyText"/>
                  </w:pPr>
                  <w:r w:rsidRPr="003C0CE8">
                    <w:t>297</w:t>
                  </w:r>
                </w:p>
              </w:tc>
            </w:tr>
            <w:tr w:rsidR="009C6940" w:rsidRPr="00EF7969" w14:paraId="77BFC8C2" w14:textId="77777777" w:rsidTr="009C6940">
              <w:tc>
                <w:tcPr>
                  <w:tcW w:w="6378" w:type="dxa"/>
                  <w:shd w:val="clear" w:color="auto" w:fill="auto"/>
                </w:tcPr>
                <w:p w14:paraId="07FFFAD9" w14:textId="77777777" w:rsidR="009C6940" w:rsidRPr="003C0CE8" w:rsidRDefault="009C6940" w:rsidP="009C6940">
                  <w:pPr>
                    <w:pStyle w:val="TableBodyText"/>
                    <w:jc w:val="left"/>
                  </w:pPr>
                  <w:r w:rsidRPr="003C0CE8">
                    <w:t>Actuaries Institute</w:t>
                  </w:r>
                </w:p>
              </w:tc>
              <w:tc>
                <w:tcPr>
                  <w:tcW w:w="2126" w:type="dxa"/>
                </w:tcPr>
                <w:p w14:paraId="0246F8B4" w14:textId="77777777" w:rsidR="009C6940" w:rsidRPr="003C0CE8" w:rsidRDefault="009C6940" w:rsidP="009C6940">
                  <w:pPr>
                    <w:pStyle w:val="TableBodyText"/>
                  </w:pPr>
                  <w:r w:rsidRPr="003C0CE8">
                    <w:t>257, 938</w:t>
                  </w:r>
                </w:p>
              </w:tc>
            </w:tr>
            <w:tr w:rsidR="009C6940" w:rsidRPr="00EF7969" w14:paraId="58A926A5" w14:textId="77777777" w:rsidTr="009C6940">
              <w:tc>
                <w:tcPr>
                  <w:tcW w:w="6378" w:type="dxa"/>
                  <w:shd w:val="clear" w:color="auto" w:fill="auto"/>
                </w:tcPr>
                <w:p w14:paraId="1385C39A" w14:textId="77777777" w:rsidR="009C6940" w:rsidRPr="003C0CE8" w:rsidRDefault="009C6940" w:rsidP="009C6940">
                  <w:pPr>
                    <w:pStyle w:val="TableBodyText"/>
                    <w:jc w:val="left"/>
                  </w:pPr>
                  <w:r w:rsidRPr="003C0CE8">
                    <w:t>Adam Carmody</w:t>
                  </w:r>
                </w:p>
              </w:tc>
              <w:tc>
                <w:tcPr>
                  <w:tcW w:w="2126" w:type="dxa"/>
                </w:tcPr>
                <w:p w14:paraId="0DAD9E93" w14:textId="77777777" w:rsidR="009C6940" w:rsidRPr="003C0CE8" w:rsidRDefault="009C6940" w:rsidP="009C6940">
                  <w:pPr>
                    <w:pStyle w:val="TableBodyText"/>
                  </w:pPr>
                  <w:r w:rsidRPr="003C0CE8">
                    <w:t>1096</w:t>
                  </w:r>
                </w:p>
              </w:tc>
            </w:tr>
            <w:tr w:rsidR="009C6940" w:rsidRPr="00EF7969" w14:paraId="5691C7C2" w14:textId="77777777" w:rsidTr="009C6940">
              <w:tc>
                <w:tcPr>
                  <w:tcW w:w="6378" w:type="dxa"/>
                  <w:shd w:val="clear" w:color="auto" w:fill="auto"/>
                </w:tcPr>
                <w:p w14:paraId="6C3C7F73" w14:textId="77777777" w:rsidR="009C6940" w:rsidRPr="003C0CE8" w:rsidRDefault="009C6940" w:rsidP="009C6940">
                  <w:pPr>
                    <w:pStyle w:val="TableBodyText"/>
                    <w:jc w:val="left"/>
                  </w:pPr>
                  <w:r w:rsidRPr="003C0CE8">
                    <w:t>Adam Clarke</w:t>
                  </w:r>
                </w:p>
              </w:tc>
              <w:tc>
                <w:tcPr>
                  <w:tcW w:w="2126" w:type="dxa"/>
                </w:tcPr>
                <w:p w14:paraId="67F2541D" w14:textId="77777777" w:rsidR="009C6940" w:rsidRPr="003C0CE8" w:rsidRDefault="009C6940" w:rsidP="009C6940">
                  <w:pPr>
                    <w:pStyle w:val="TableBodyText"/>
                  </w:pPr>
                  <w:r w:rsidRPr="003C0CE8">
                    <w:t>973</w:t>
                  </w:r>
                </w:p>
              </w:tc>
            </w:tr>
            <w:tr w:rsidR="009C6940" w:rsidRPr="00EF7969" w14:paraId="2BC97A85" w14:textId="77777777" w:rsidTr="009C6940">
              <w:trPr>
                <w:trHeight w:val="237"/>
              </w:trPr>
              <w:tc>
                <w:tcPr>
                  <w:tcW w:w="6378" w:type="dxa"/>
                  <w:shd w:val="clear" w:color="auto" w:fill="auto"/>
                </w:tcPr>
                <w:p w14:paraId="31A9348B" w14:textId="77777777" w:rsidR="009C6940" w:rsidRPr="003C0CE8" w:rsidRDefault="009C6940" w:rsidP="009C6940">
                  <w:pPr>
                    <w:pStyle w:val="TableBodyText"/>
                    <w:jc w:val="left"/>
                  </w:pPr>
                  <w:r w:rsidRPr="003C0CE8">
                    <w:t>Adam Finkelstein</w:t>
                  </w:r>
                </w:p>
              </w:tc>
              <w:tc>
                <w:tcPr>
                  <w:tcW w:w="2126" w:type="dxa"/>
                </w:tcPr>
                <w:p w14:paraId="435194E2" w14:textId="77777777" w:rsidR="009C6940" w:rsidRPr="003C0CE8" w:rsidRDefault="009C6940" w:rsidP="009C6940">
                  <w:pPr>
                    <w:pStyle w:val="TableBodyText"/>
                  </w:pPr>
                  <w:r w:rsidRPr="003C0CE8">
                    <w:t>891</w:t>
                  </w:r>
                </w:p>
              </w:tc>
            </w:tr>
            <w:tr w:rsidR="009C6940" w:rsidRPr="00EF7969" w14:paraId="4EE9FB9B" w14:textId="77777777" w:rsidTr="009C6940">
              <w:tc>
                <w:tcPr>
                  <w:tcW w:w="6378" w:type="dxa"/>
                  <w:shd w:val="clear" w:color="auto" w:fill="auto"/>
                </w:tcPr>
                <w:p w14:paraId="6B6E00AD" w14:textId="77777777" w:rsidR="009C6940" w:rsidRPr="003C0CE8" w:rsidRDefault="009C6940" w:rsidP="009C6940">
                  <w:pPr>
                    <w:pStyle w:val="TableBodyText"/>
                    <w:jc w:val="left"/>
                  </w:pPr>
                  <w:r w:rsidRPr="003C0CE8">
                    <w:t xml:space="preserve">Adelaide Psychological Services </w:t>
                  </w:r>
                </w:p>
              </w:tc>
              <w:tc>
                <w:tcPr>
                  <w:tcW w:w="2126" w:type="dxa"/>
                </w:tcPr>
                <w:p w14:paraId="761CEE2C" w14:textId="77777777" w:rsidR="009C6940" w:rsidRPr="003C0CE8" w:rsidRDefault="009C6940" w:rsidP="009C6940">
                  <w:pPr>
                    <w:pStyle w:val="TableBodyText"/>
                  </w:pPr>
                  <w:r w:rsidRPr="003C0CE8">
                    <w:t>519, 603</w:t>
                  </w:r>
                </w:p>
              </w:tc>
            </w:tr>
            <w:tr w:rsidR="009C6940" w:rsidRPr="00EF7969" w14:paraId="69BDBA24" w14:textId="77777777" w:rsidTr="009C6940">
              <w:tc>
                <w:tcPr>
                  <w:tcW w:w="6378" w:type="dxa"/>
                  <w:shd w:val="clear" w:color="auto" w:fill="auto"/>
                </w:tcPr>
                <w:p w14:paraId="01663943" w14:textId="77777777" w:rsidR="009C6940" w:rsidRPr="003C0CE8" w:rsidRDefault="009C6940" w:rsidP="009C6940">
                  <w:pPr>
                    <w:pStyle w:val="TableBodyText"/>
                    <w:jc w:val="left"/>
                  </w:pPr>
                  <w:r w:rsidRPr="003C0CE8">
                    <w:t>ADHD Australia</w:t>
                  </w:r>
                </w:p>
              </w:tc>
              <w:tc>
                <w:tcPr>
                  <w:tcW w:w="2126" w:type="dxa"/>
                </w:tcPr>
                <w:p w14:paraId="49AF6B8C" w14:textId="77777777" w:rsidR="009C6940" w:rsidRPr="003C0CE8" w:rsidRDefault="009C6940" w:rsidP="009C6940">
                  <w:pPr>
                    <w:pStyle w:val="TableBodyText"/>
                  </w:pPr>
                  <w:r w:rsidRPr="003C0CE8">
                    <w:t>295</w:t>
                  </w:r>
                </w:p>
              </w:tc>
            </w:tr>
            <w:tr w:rsidR="009C6940" w:rsidRPr="00EF7969" w14:paraId="1F86D0CF" w14:textId="77777777" w:rsidTr="009C6940">
              <w:tc>
                <w:tcPr>
                  <w:tcW w:w="6378" w:type="dxa"/>
                  <w:shd w:val="clear" w:color="auto" w:fill="auto"/>
                </w:tcPr>
                <w:p w14:paraId="2E9AEC0B" w14:textId="77777777" w:rsidR="009C6940" w:rsidRPr="003C0CE8" w:rsidRDefault="009C6940" w:rsidP="009C6940">
                  <w:pPr>
                    <w:pStyle w:val="TableBodyText"/>
                    <w:jc w:val="left"/>
                  </w:pPr>
                  <w:r w:rsidRPr="003C0CE8">
                    <w:t>Adrian Barkus</w:t>
                  </w:r>
                </w:p>
              </w:tc>
              <w:tc>
                <w:tcPr>
                  <w:tcW w:w="2126" w:type="dxa"/>
                </w:tcPr>
                <w:p w14:paraId="085E2A3B" w14:textId="77777777" w:rsidR="009C6940" w:rsidRPr="003C0CE8" w:rsidRDefault="009C6940" w:rsidP="009C6940">
                  <w:pPr>
                    <w:pStyle w:val="TableBodyText"/>
                  </w:pPr>
                  <w:r w:rsidRPr="003C0CE8">
                    <w:t>1159</w:t>
                  </w:r>
                </w:p>
              </w:tc>
            </w:tr>
            <w:tr w:rsidR="009C6940" w:rsidRPr="00EF7969" w14:paraId="3F708EB2" w14:textId="77777777" w:rsidTr="009C6940">
              <w:tc>
                <w:tcPr>
                  <w:tcW w:w="6378" w:type="dxa"/>
                  <w:shd w:val="clear" w:color="auto" w:fill="auto"/>
                </w:tcPr>
                <w:p w14:paraId="12055198" w14:textId="77777777" w:rsidR="009C6940" w:rsidRPr="003C0CE8" w:rsidRDefault="009C6940" w:rsidP="009C6940">
                  <w:pPr>
                    <w:pStyle w:val="TableBodyText"/>
                    <w:jc w:val="left"/>
                  </w:pPr>
                  <w:r w:rsidRPr="003C0CE8">
                    <w:t>Advocacy for Inclusion (AFI)</w:t>
                  </w:r>
                </w:p>
              </w:tc>
              <w:tc>
                <w:tcPr>
                  <w:tcW w:w="2126" w:type="dxa"/>
                </w:tcPr>
                <w:p w14:paraId="7117F721" w14:textId="77777777" w:rsidR="009C6940" w:rsidRPr="003C0CE8" w:rsidRDefault="009C6940" w:rsidP="009C6940">
                  <w:pPr>
                    <w:pStyle w:val="TableBodyText"/>
                  </w:pPr>
                  <w:r w:rsidRPr="003C0CE8">
                    <w:t>935</w:t>
                  </w:r>
                </w:p>
              </w:tc>
            </w:tr>
            <w:tr w:rsidR="009C6940" w:rsidRPr="00EF7969" w14:paraId="67BE6307" w14:textId="77777777" w:rsidTr="009C6940">
              <w:tc>
                <w:tcPr>
                  <w:tcW w:w="6378" w:type="dxa"/>
                  <w:shd w:val="clear" w:color="auto" w:fill="auto"/>
                </w:tcPr>
                <w:p w14:paraId="5C1F171B" w14:textId="77777777" w:rsidR="009C6940" w:rsidRPr="003C0CE8" w:rsidRDefault="009C6940" w:rsidP="009C6940">
                  <w:pPr>
                    <w:pStyle w:val="TableBodyText"/>
                    <w:jc w:val="left"/>
                  </w:pPr>
                  <w:r w:rsidRPr="003C0CE8">
                    <w:t>Aftercare</w:t>
                  </w:r>
                </w:p>
              </w:tc>
              <w:tc>
                <w:tcPr>
                  <w:tcW w:w="2126" w:type="dxa"/>
                </w:tcPr>
                <w:p w14:paraId="2FC65BD9" w14:textId="77777777" w:rsidR="009C6940" w:rsidRPr="003C0CE8" w:rsidRDefault="009C6940" w:rsidP="009C6940">
                  <w:pPr>
                    <w:pStyle w:val="TableBodyText"/>
                  </w:pPr>
                  <w:r w:rsidRPr="003C0CE8">
                    <w:t>480, 835</w:t>
                  </w:r>
                </w:p>
              </w:tc>
            </w:tr>
            <w:tr w:rsidR="009C6940" w:rsidRPr="00EF7969" w14:paraId="4303432B" w14:textId="77777777" w:rsidTr="009C6940">
              <w:tc>
                <w:tcPr>
                  <w:tcW w:w="6378" w:type="dxa"/>
                  <w:shd w:val="clear" w:color="auto" w:fill="auto"/>
                </w:tcPr>
                <w:p w14:paraId="0DEA0386" w14:textId="77777777" w:rsidR="009C6940" w:rsidRPr="003C0CE8" w:rsidRDefault="009C6940" w:rsidP="009C6940">
                  <w:pPr>
                    <w:pStyle w:val="TableBodyText"/>
                    <w:jc w:val="left"/>
                  </w:pPr>
                  <w:r w:rsidRPr="003C0CE8">
                    <w:t>Agatin Abbott</w:t>
                  </w:r>
                </w:p>
              </w:tc>
              <w:tc>
                <w:tcPr>
                  <w:tcW w:w="2126" w:type="dxa"/>
                </w:tcPr>
                <w:p w14:paraId="6595E872" w14:textId="77777777" w:rsidR="009C6940" w:rsidRPr="003C0CE8" w:rsidRDefault="009C6940" w:rsidP="009C6940">
                  <w:pPr>
                    <w:pStyle w:val="TableBodyText"/>
                  </w:pPr>
                  <w:r w:rsidRPr="003C0CE8">
                    <w:t>993</w:t>
                  </w:r>
                </w:p>
              </w:tc>
            </w:tr>
            <w:tr w:rsidR="009C6940" w:rsidRPr="00EF7969" w14:paraId="4B60E81C" w14:textId="77777777" w:rsidTr="009C6940">
              <w:tc>
                <w:tcPr>
                  <w:tcW w:w="6378" w:type="dxa"/>
                  <w:shd w:val="clear" w:color="auto" w:fill="auto"/>
                </w:tcPr>
                <w:p w14:paraId="6F3495B8" w14:textId="77777777" w:rsidR="009C6940" w:rsidRPr="003C0CE8" w:rsidRDefault="009C6940" w:rsidP="009C6940">
                  <w:pPr>
                    <w:pStyle w:val="TableBodyText"/>
                    <w:jc w:val="left"/>
                  </w:pPr>
                  <w:r w:rsidRPr="003C0CE8">
                    <w:t>AIA Australia (AIAA)</w:t>
                  </w:r>
                </w:p>
              </w:tc>
              <w:tc>
                <w:tcPr>
                  <w:tcW w:w="2126" w:type="dxa"/>
                </w:tcPr>
                <w:p w14:paraId="4F60B086" w14:textId="77777777" w:rsidR="009C6940" w:rsidRPr="003C0CE8" w:rsidRDefault="009C6940" w:rsidP="009C6940">
                  <w:pPr>
                    <w:pStyle w:val="TableBodyText"/>
                  </w:pPr>
                  <w:r w:rsidRPr="003C0CE8">
                    <w:t>472</w:t>
                  </w:r>
                </w:p>
              </w:tc>
            </w:tr>
            <w:tr w:rsidR="009C6940" w:rsidRPr="00EF7969" w14:paraId="46B09627" w14:textId="77777777" w:rsidTr="009C6940">
              <w:tc>
                <w:tcPr>
                  <w:tcW w:w="6378" w:type="dxa"/>
                  <w:shd w:val="clear" w:color="auto" w:fill="auto"/>
                </w:tcPr>
                <w:p w14:paraId="5FB5556F" w14:textId="77777777" w:rsidR="009C6940" w:rsidRPr="003C0CE8" w:rsidRDefault="009C6940" w:rsidP="009C6940">
                  <w:pPr>
                    <w:pStyle w:val="TableBodyText"/>
                    <w:jc w:val="left"/>
                  </w:pPr>
                  <w:r w:rsidRPr="003C0CE8">
                    <w:t>Akiko Wood</w:t>
                  </w:r>
                </w:p>
              </w:tc>
              <w:tc>
                <w:tcPr>
                  <w:tcW w:w="2126" w:type="dxa"/>
                </w:tcPr>
                <w:p w14:paraId="4A9B664E" w14:textId="77777777" w:rsidR="009C6940" w:rsidRPr="003C0CE8" w:rsidRDefault="009C6940" w:rsidP="009C6940">
                  <w:pPr>
                    <w:pStyle w:val="TableBodyText"/>
                  </w:pPr>
                  <w:r w:rsidRPr="003C0CE8">
                    <w:t>1027</w:t>
                  </w:r>
                </w:p>
              </w:tc>
            </w:tr>
            <w:tr w:rsidR="009C6940" w:rsidRPr="00EF7969" w14:paraId="5E8DE727" w14:textId="77777777" w:rsidTr="009C6940">
              <w:tc>
                <w:tcPr>
                  <w:tcW w:w="6378" w:type="dxa"/>
                  <w:shd w:val="clear" w:color="auto" w:fill="auto"/>
                </w:tcPr>
                <w:p w14:paraId="7F7D2B82" w14:textId="77777777" w:rsidR="009C6940" w:rsidRPr="003C0CE8" w:rsidRDefault="009C6940" w:rsidP="009C6940">
                  <w:pPr>
                    <w:pStyle w:val="TableBodyText"/>
                    <w:jc w:val="left"/>
                  </w:pPr>
                  <w:r w:rsidRPr="003C0CE8">
                    <w:t>Alcohol and Drug Foundation</w:t>
                  </w:r>
                </w:p>
              </w:tc>
              <w:tc>
                <w:tcPr>
                  <w:tcW w:w="2126" w:type="dxa"/>
                </w:tcPr>
                <w:p w14:paraId="7FFB1628" w14:textId="77777777" w:rsidR="009C6940" w:rsidRPr="003C0CE8" w:rsidRDefault="009C6940" w:rsidP="009C6940">
                  <w:pPr>
                    <w:pStyle w:val="TableBodyText"/>
                  </w:pPr>
                  <w:r w:rsidRPr="003C0CE8">
                    <w:t>288, 775</w:t>
                  </w:r>
                </w:p>
              </w:tc>
            </w:tr>
            <w:tr w:rsidR="009C6940" w:rsidRPr="00EF7969" w14:paraId="73C63AC3" w14:textId="77777777" w:rsidTr="009C6940">
              <w:tc>
                <w:tcPr>
                  <w:tcW w:w="6378" w:type="dxa"/>
                  <w:shd w:val="clear" w:color="auto" w:fill="auto"/>
                </w:tcPr>
                <w:p w14:paraId="04E9AF4B" w14:textId="77777777" w:rsidR="009C6940" w:rsidRPr="003C0CE8" w:rsidRDefault="009C6940" w:rsidP="009C6940">
                  <w:pPr>
                    <w:pStyle w:val="TableBodyText"/>
                    <w:jc w:val="left"/>
                  </w:pPr>
                  <w:r w:rsidRPr="003C0CE8">
                    <w:t>Alex Wernelarg</w:t>
                  </w:r>
                </w:p>
              </w:tc>
              <w:tc>
                <w:tcPr>
                  <w:tcW w:w="2126" w:type="dxa"/>
                </w:tcPr>
                <w:p w14:paraId="13F687D9" w14:textId="77777777" w:rsidR="009C6940" w:rsidRPr="003C0CE8" w:rsidRDefault="009C6940" w:rsidP="009C6940">
                  <w:pPr>
                    <w:pStyle w:val="TableBodyText"/>
                  </w:pPr>
                  <w:r w:rsidRPr="003C0CE8">
                    <w:t>1143</w:t>
                  </w:r>
                </w:p>
              </w:tc>
            </w:tr>
            <w:tr w:rsidR="009C6940" w:rsidRPr="00EF7969" w14:paraId="33C38D07" w14:textId="77777777" w:rsidTr="009C6940">
              <w:tc>
                <w:tcPr>
                  <w:tcW w:w="6378" w:type="dxa"/>
                  <w:shd w:val="clear" w:color="auto" w:fill="auto"/>
                </w:tcPr>
                <w:p w14:paraId="16C94E1E" w14:textId="77777777" w:rsidR="009C6940" w:rsidRPr="003C0CE8" w:rsidRDefault="009C6940" w:rsidP="009C6940">
                  <w:pPr>
                    <w:pStyle w:val="TableBodyText"/>
                    <w:jc w:val="left"/>
                  </w:pPr>
                  <w:r w:rsidRPr="003C0CE8">
                    <w:t>Alexander Robertson</w:t>
                  </w:r>
                </w:p>
              </w:tc>
              <w:tc>
                <w:tcPr>
                  <w:tcW w:w="2126" w:type="dxa"/>
                </w:tcPr>
                <w:p w14:paraId="43C6915E" w14:textId="77777777" w:rsidR="009C6940" w:rsidRPr="003C0CE8" w:rsidRDefault="009C6940" w:rsidP="009C6940">
                  <w:pPr>
                    <w:pStyle w:val="TableBodyText"/>
                  </w:pPr>
                  <w:r w:rsidRPr="003C0CE8">
                    <w:t>996</w:t>
                  </w:r>
                </w:p>
              </w:tc>
            </w:tr>
            <w:tr w:rsidR="009C6940" w:rsidRPr="00EF7969" w14:paraId="2DAD395B" w14:textId="77777777" w:rsidTr="009C6940">
              <w:tc>
                <w:tcPr>
                  <w:tcW w:w="6378" w:type="dxa"/>
                  <w:shd w:val="clear" w:color="auto" w:fill="auto"/>
                </w:tcPr>
                <w:p w14:paraId="70062320" w14:textId="77777777" w:rsidR="009C6940" w:rsidRPr="003C0CE8" w:rsidRDefault="009C6940" w:rsidP="009C6940">
                  <w:pPr>
                    <w:pStyle w:val="TableBodyText"/>
                    <w:jc w:val="left"/>
                  </w:pPr>
                  <w:r w:rsidRPr="003C0CE8">
                    <w:t>Alicia Badran</w:t>
                  </w:r>
                </w:p>
              </w:tc>
              <w:tc>
                <w:tcPr>
                  <w:tcW w:w="2126" w:type="dxa"/>
                </w:tcPr>
                <w:p w14:paraId="367E7DCF" w14:textId="77777777" w:rsidR="009C6940" w:rsidRPr="003C0CE8" w:rsidRDefault="009C6940" w:rsidP="009C6940">
                  <w:pPr>
                    <w:pStyle w:val="TableBodyText"/>
                  </w:pPr>
                  <w:r w:rsidRPr="003C0CE8">
                    <w:t>1025</w:t>
                  </w:r>
                </w:p>
              </w:tc>
            </w:tr>
            <w:tr w:rsidR="009C6940" w:rsidRPr="00EF7969" w14:paraId="6CA80C0D" w14:textId="77777777" w:rsidTr="009C6940">
              <w:tc>
                <w:tcPr>
                  <w:tcW w:w="6378" w:type="dxa"/>
                  <w:shd w:val="clear" w:color="auto" w:fill="auto"/>
                </w:tcPr>
                <w:p w14:paraId="697E12A6" w14:textId="77777777" w:rsidR="009C6940" w:rsidRPr="003C0CE8" w:rsidRDefault="009C6940" w:rsidP="009C6940">
                  <w:pPr>
                    <w:pStyle w:val="TableBodyText"/>
                    <w:jc w:val="left"/>
                  </w:pPr>
                  <w:r w:rsidRPr="003C0CE8">
                    <w:t>Alicia Halls</w:t>
                  </w:r>
                </w:p>
              </w:tc>
              <w:tc>
                <w:tcPr>
                  <w:tcW w:w="2126" w:type="dxa"/>
                </w:tcPr>
                <w:p w14:paraId="249E6C28" w14:textId="77777777" w:rsidR="009C6940" w:rsidRPr="003C0CE8" w:rsidRDefault="009C6940" w:rsidP="009C6940">
                  <w:pPr>
                    <w:pStyle w:val="TableBodyText"/>
                  </w:pPr>
                  <w:r w:rsidRPr="003C0CE8">
                    <w:t>138</w:t>
                  </w:r>
                </w:p>
              </w:tc>
            </w:tr>
            <w:tr w:rsidR="009C6940" w:rsidRPr="00EF7969" w14:paraId="1598F2D2" w14:textId="77777777" w:rsidTr="009C6940">
              <w:tc>
                <w:tcPr>
                  <w:tcW w:w="6378" w:type="dxa"/>
                  <w:shd w:val="clear" w:color="auto" w:fill="auto"/>
                </w:tcPr>
                <w:p w14:paraId="05E3408B" w14:textId="77777777" w:rsidR="009C6940" w:rsidRPr="003C0CE8" w:rsidRDefault="009C6940" w:rsidP="009C6940">
                  <w:pPr>
                    <w:pStyle w:val="TableBodyText"/>
                    <w:jc w:val="left"/>
                  </w:pPr>
                  <w:r w:rsidRPr="003C0CE8">
                    <w:t>Allan Fels</w:t>
                  </w:r>
                </w:p>
              </w:tc>
              <w:tc>
                <w:tcPr>
                  <w:tcW w:w="2126" w:type="dxa"/>
                </w:tcPr>
                <w:p w14:paraId="7A2FC4AC" w14:textId="77777777" w:rsidR="009C6940" w:rsidRPr="003C0CE8" w:rsidRDefault="009C6940" w:rsidP="009C6940">
                  <w:pPr>
                    <w:pStyle w:val="TableBodyText"/>
                  </w:pPr>
                  <w:r w:rsidRPr="003C0CE8">
                    <w:t>303</w:t>
                  </w:r>
                </w:p>
              </w:tc>
            </w:tr>
            <w:tr w:rsidR="009C6940" w:rsidRPr="00EF7969" w14:paraId="27538F88" w14:textId="77777777" w:rsidTr="009C6940">
              <w:tc>
                <w:tcPr>
                  <w:tcW w:w="6378" w:type="dxa"/>
                  <w:shd w:val="clear" w:color="auto" w:fill="auto"/>
                </w:tcPr>
                <w:p w14:paraId="27A83157" w14:textId="77777777" w:rsidR="009C6940" w:rsidRPr="003C0CE8" w:rsidRDefault="009C6940" w:rsidP="009C6940">
                  <w:pPr>
                    <w:pStyle w:val="TableBodyText"/>
                    <w:jc w:val="left"/>
                  </w:pPr>
                  <w:r w:rsidRPr="003C0CE8">
                    <w:t>Allianz Australia</w:t>
                  </w:r>
                </w:p>
              </w:tc>
              <w:tc>
                <w:tcPr>
                  <w:tcW w:w="2126" w:type="dxa"/>
                </w:tcPr>
                <w:p w14:paraId="7A79A248" w14:textId="77777777" w:rsidR="009C6940" w:rsidRPr="003C0CE8" w:rsidRDefault="009C6940" w:rsidP="009C6940">
                  <w:pPr>
                    <w:pStyle w:val="TableBodyText"/>
                  </w:pPr>
                  <w:r w:rsidRPr="003C0CE8">
                    <w:t>213</w:t>
                  </w:r>
                </w:p>
              </w:tc>
            </w:tr>
            <w:tr w:rsidR="009C6940" w:rsidRPr="00EF7969" w14:paraId="1472A2EC" w14:textId="77777777" w:rsidTr="009C6940">
              <w:tc>
                <w:tcPr>
                  <w:tcW w:w="6378" w:type="dxa"/>
                  <w:shd w:val="clear" w:color="auto" w:fill="auto"/>
                </w:tcPr>
                <w:p w14:paraId="4BB6131F" w14:textId="77777777" w:rsidR="009C6940" w:rsidRPr="003C0CE8" w:rsidRDefault="009C6940" w:rsidP="009C6940">
                  <w:pPr>
                    <w:pStyle w:val="TableBodyText"/>
                    <w:jc w:val="left"/>
                  </w:pPr>
                  <w:r w:rsidRPr="003C0CE8">
                    <w:t>Allied Health Professions Australia (AHPA)</w:t>
                  </w:r>
                </w:p>
              </w:tc>
              <w:tc>
                <w:tcPr>
                  <w:tcW w:w="2126" w:type="dxa"/>
                </w:tcPr>
                <w:p w14:paraId="23086760" w14:textId="77777777" w:rsidR="009C6940" w:rsidRPr="003C0CE8" w:rsidRDefault="009C6940" w:rsidP="009C6940">
                  <w:pPr>
                    <w:pStyle w:val="TableBodyText"/>
                  </w:pPr>
                  <w:r w:rsidRPr="003C0CE8">
                    <w:t>834</w:t>
                  </w:r>
                </w:p>
              </w:tc>
            </w:tr>
            <w:tr w:rsidR="009C6940" w:rsidRPr="00EF7969" w14:paraId="4C326D32" w14:textId="77777777" w:rsidTr="009C6940">
              <w:tc>
                <w:tcPr>
                  <w:tcW w:w="6378" w:type="dxa"/>
                  <w:shd w:val="clear" w:color="auto" w:fill="auto"/>
                </w:tcPr>
                <w:p w14:paraId="0CE0F16F" w14:textId="77777777" w:rsidR="009C6940" w:rsidRPr="003C0CE8" w:rsidRDefault="009C6940" w:rsidP="009C6940">
                  <w:pPr>
                    <w:pStyle w:val="TableBodyText"/>
                    <w:jc w:val="left"/>
                  </w:pPr>
                  <w:r w:rsidRPr="003C0CE8">
                    <w:t>Allison Axford</w:t>
                  </w:r>
                </w:p>
              </w:tc>
              <w:tc>
                <w:tcPr>
                  <w:tcW w:w="2126" w:type="dxa"/>
                </w:tcPr>
                <w:p w14:paraId="2C9ADD8E" w14:textId="77777777" w:rsidR="009C6940" w:rsidRPr="003C0CE8" w:rsidRDefault="009C6940" w:rsidP="009C6940">
                  <w:pPr>
                    <w:pStyle w:val="TableBodyText"/>
                  </w:pPr>
                  <w:r w:rsidRPr="003C0CE8">
                    <w:t>1020, 1053</w:t>
                  </w:r>
                </w:p>
              </w:tc>
            </w:tr>
            <w:tr w:rsidR="009C6940" w:rsidRPr="00EF7969" w14:paraId="042D0F3C" w14:textId="77777777" w:rsidTr="009C6940">
              <w:tc>
                <w:tcPr>
                  <w:tcW w:w="6378" w:type="dxa"/>
                  <w:shd w:val="clear" w:color="auto" w:fill="auto"/>
                </w:tcPr>
                <w:p w14:paraId="4594047C" w14:textId="77777777" w:rsidR="009C6940" w:rsidRPr="003C0CE8" w:rsidRDefault="009C6940" w:rsidP="009C6940">
                  <w:pPr>
                    <w:pStyle w:val="TableBodyText"/>
                    <w:jc w:val="left"/>
                  </w:pPr>
                  <w:r w:rsidRPr="003C0CE8">
                    <w:t>Almondale</w:t>
                  </w:r>
                </w:p>
              </w:tc>
              <w:tc>
                <w:tcPr>
                  <w:tcW w:w="2126" w:type="dxa"/>
                </w:tcPr>
                <w:p w14:paraId="5A7CE369" w14:textId="77777777" w:rsidR="009C6940" w:rsidRPr="003C0CE8" w:rsidRDefault="009C6940" w:rsidP="009C6940">
                  <w:pPr>
                    <w:pStyle w:val="TableBodyText"/>
                  </w:pPr>
                  <w:r w:rsidRPr="003C0CE8">
                    <w:t>735</w:t>
                  </w:r>
                </w:p>
              </w:tc>
            </w:tr>
            <w:tr w:rsidR="009C6940" w:rsidRPr="00EF7969" w14:paraId="03D8C29C" w14:textId="77777777" w:rsidTr="009C6940">
              <w:tc>
                <w:tcPr>
                  <w:tcW w:w="6378" w:type="dxa"/>
                  <w:shd w:val="clear" w:color="auto" w:fill="auto"/>
                </w:tcPr>
                <w:p w14:paraId="4FAE2D57" w14:textId="77777777" w:rsidR="009C6940" w:rsidRPr="003C0CE8" w:rsidRDefault="009C6940" w:rsidP="009C6940">
                  <w:pPr>
                    <w:pStyle w:val="TableBodyText"/>
                    <w:jc w:val="left"/>
                  </w:pPr>
                  <w:r w:rsidRPr="003C0CE8">
                    <w:t>Amanda Beats</w:t>
                  </w:r>
                </w:p>
              </w:tc>
              <w:tc>
                <w:tcPr>
                  <w:tcW w:w="2126" w:type="dxa"/>
                </w:tcPr>
                <w:p w14:paraId="680E3373" w14:textId="77777777" w:rsidR="009C6940" w:rsidRPr="003C0CE8" w:rsidRDefault="009C6940" w:rsidP="009C6940">
                  <w:pPr>
                    <w:pStyle w:val="TableBodyText"/>
                  </w:pPr>
                  <w:r w:rsidRPr="003C0CE8">
                    <w:t>999</w:t>
                  </w:r>
                </w:p>
              </w:tc>
            </w:tr>
            <w:tr w:rsidR="009C6940" w:rsidRPr="00EF7969" w14:paraId="2A20917E" w14:textId="77777777" w:rsidTr="009C6940">
              <w:tc>
                <w:tcPr>
                  <w:tcW w:w="6378" w:type="dxa"/>
                  <w:shd w:val="clear" w:color="auto" w:fill="auto"/>
                </w:tcPr>
                <w:p w14:paraId="2DAE8981" w14:textId="77777777" w:rsidR="009C6940" w:rsidRPr="003C0CE8" w:rsidRDefault="009C6940" w:rsidP="009C6940">
                  <w:pPr>
                    <w:pStyle w:val="TableBodyText"/>
                    <w:jc w:val="left"/>
                  </w:pPr>
                  <w:r w:rsidRPr="003C0CE8">
                    <w:t>AMAZE</w:t>
                  </w:r>
                </w:p>
              </w:tc>
              <w:tc>
                <w:tcPr>
                  <w:tcW w:w="2126" w:type="dxa"/>
                </w:tcPr>
                <w:p w14:paraId="1BDDE17F" w14:textId="77777777" w:rsidR="009C6940" w:rsidRPr="003C0CE8" w:rsidRDefault="009C6940" w:rsidP="009C6940">
                  <w:pPr>
                    <w:pStyle w:val="TableBodyText"/>
                  </w:pPr>
                  <w:r w:rsidRPr="003C0CE8">
                    <w:t>201, 825</w:t>
                  </w:r>
                </w:p>
              </w:tc>
            </w:tr>
            <w:tr w:rsidR="009C6940" w:rsidRPr="00EF7969" w14:paraId="136941FD" w14:textId="77777777" w:rsidTr="009C6940">
              <w:tc>
                <w:tcPr>
                  <w:tcW w:w="6378" w:type="dxa"/>
                  <w:shd w:val="clear" w:color="auto" w:fill="auto"/>
                </w:tcPr>
                <w:p w14:paraId="3E7A45C5" w14:textId="77777777" w:rsidR="009C6940" w:rsidRPr="003C0CE8" w:rsidRDefault="009C6940" w:rsidP="009C6940">
                  <w:pPr>
                    <w:pStyle w:val="TableBodyText"/>
                    <w:jc w:val="left"/>
                  </w:pPr>
                  <w:r w:rsidRPr="003C0CE8">
                    <w:t>Amy Wilson</w:t>
                  </w:r>
                </w:p>
              </w:tc>
              <w:tc>
                <w:tcPr>
                  <w:tcW w:w="2126" w:type="dxa"/>
                </w:tcPr>
                <w:p w14:paraId="73D37CD7" w14:textId="77777777" w:rsidR="009C6940" w:rsidRPr="003C0CE8" w:rsidRDefault="009C6940" w:rsidP="009C6940">
                  <w:pPr>
                    <w:pStyle w:val="TableBodyText"/>
                  </w:pPr>
                  <w:r w:rsidRPr="003C0CE8">
                    <w:t>467</w:t>
                  </w:r>
                </w:p>
              </w:tc>
            </w:tr>
            <w:tr w:rsidR="009C6940" w:rsidRPr="00EF7969" w14:paraId="0F7892DC" w14:textId="77777777" w:rsidTr="009C6940">
              <w:tc>
                <w:tcPr>
                  <w:tcW w:w="6378" w:type="dxa"/>
                  <w:shd w:val="clear" w:color="auto" w:fill="auto"/>
                </w:tcPr>
                <w:p w14:paraId="48154061" w14:textId="77777777" w:rsidR="009C6940" w:rsidRPr="003C0CE8" w:rsidRDefault="009C6940" w:rsidP="009C6940">
                  <w:pPr>
                    <w:pStyle w:val="TableBodyText"/>
                    <w:jc w:val="left"/>
                  </w:pPr>
                  <w:r w:rsidRPr="003C0CE8">
                    <w:t>Andralee V</w:t>
                  </w:r>
                </w:p>
              </w:tc>
              <w:tc>
                <w:tcPr>
                  <w:tcW w:w="2126" w:type="dxa"/>
                </w:tcPr>
                <w:p w14:paraId="7253AF4A" w14:textId="77777777" w:rsidR="009C6940" w:rsidRPr="003C0CE8" w:rsidRDefault="009C6940" w:rsidP="009C6940">
                  <w:pPr>
                    <w:pStyle w:val="TableBodyText"/>
                  </w:pPr>
                  <w:r w:rsidRPr="003C0CE8">
                    <w:t>1173</w:t>
                  </w:r>
                </w:p>
              </w:tc>
            </w:tr>
            <w:tr w:rsidR="009C6940" w:rsidRPr="00EF7969" w14:paraId="10690911" w14:textId="77777777" w:rsidTr="009C6940">
              <w:tc>
                <w:tcPr>
                  <w:tcW w:w="6378" w:type="dxa"/>
                  <w:shd w:val="clear" w:color="auto" w:fill="auto"/>
                </w:tcPr>
                <w:p w14:paraId="1FA6C7D5" w14:textId="77777777" w:rsidR="009C6940" w:rsidRPr="003C0CE8" w:rsidRDefault="009C6940" w:rsidP="009C6940">
                  <w:pPr>
                    <w:pStyle w:val="TableBodyText"/>
                    <w:jc w:val="left"/>
                  </w:pPr>
                  <w:r w:rsidRPr="003C0CE8">
                    <w:t>Andrew Fairlie</w:t>
                  </w:r>
                </w:p>
              </w:tc>
              <w:tc>
                <w:tcPr>
                  <w:tcW w:w="2126" w:type="dxa"/>
                </w:tcPr>
                <w:p w14:paraId="5C4CFBE9" w14:textId="77777777" w:rsidR="009C6940" w:rsidRPr="003C0CE8" w:rsidRDefault="009C6940" w:rsidP="009C6940">
                  <w:pPr>
                    <w:pStyle w:val="TableBodyText"/>
                  </w:pPr>
                  <w:r w:rsidRPr="003C0CE8">
                    <w:t>1048</w:t>
                  </w:r>
                </w:p>
              </w:tc>
            </w:tr>
            <w:tr w:rsidR="009C6940" w:rsidRPr="00EF7969" w14:paraId="5B81176B" w14:textId="77777777" w:rsidTr="009C6940">
              <w:tc>
                <w:tcPr>
                  <w:tcW w:w="6378" w:type="dxa"/>
                  <w:shd w:val="clear" w:color="auto" w:fill="auto"/>
                </w:tcPr>
                <w:p w14:paraId="288D887A" w14:textId="77777777" w:rsidR="009C6940" w:rsidRPr="003C0CE8" w:rsidRDefault="009C6940" w:rsidP="009C6940">
                  <w:pPr>
                    <w:pStyle w:val="TableBodyText"/>
                    <w:jc w:val="left"/>
                  </w:pPr>
                  <w:r w:rsidRPr="003C0CE8">
                    <w:t>Andrew Macdonald</w:t>
                  </w:r>
                </w:p>
              </w:tc>
              <w:tc>
                <w:tcPr>
                  <w:tcW w:w="2126" w:type="dxa"/>
                </w:tcPr>
                <w:p w14:paraId="58B965BE" w14:textId="77777777" w:rsidR="009C6940" w:rsidRPr="003C0CE8" w:rsidRDefault="009C6940" w:rsidP="009C6940">
                  <w:pPr>
                    <w:pStyle w:val="TableBodyText"/>
                  </w:pPr>
                  <w:r w:rsidRPr="003C0CE8">
                    <w:t>965</w:t>
                  </w:r>
                </w:p>
              </w:tc>
            </w:tr>
            <w:tr w:rsidR="009C6940" w:rsidRPr="00EF7969" w14:paraId="52ABBBD7" w14:textId="77777777" w:rsidTr="009C6940">
              <w:tc>
                <w:tcPr>
                  <w:tcW w:w="6378" w:type="dxa"/>
                  <w:shd w:val="clear" w:color="auto" w:fill="auto"/>
                </w:tcPr>
                <w:p w14:paraId="026C4535" w14:textId="77777777" w:rsidR="009C6940" w:rsidRPr="003C0CE8" w:rsidRDefault="009C6940" w:rsidP="009C6940">
                  <w:pPr>
                    <w:pStyle w:val="TableBodyText"/>
                    <w:jc w:val="left"/>
                  </w:pPr>
                  <w:r w:rsidRPr="003C0CE8">
                    <w:t>Andrew Morgan</w:t>
                  </w:r>
                </w:p>
              </w:tc>
              <w:tc>
                <w:tcPr>
                  <w:tcW w:w="2126" w:type="dxa"/>
                </w:tcPr>
                <w:p w14:paraId="0EA7B3DC" w14:textId="77777777" w:rsidR="009C6940" w:rsidRPr="003C0CE8" w:rsidRDefault="009C6940" w:rsidP="009C6940">
                  <w:pPr>
                    <w:pStyle w:val="TableBodyText"/>
                  </w:pPr>
                  <w:r w:rsidRPr="003C0CE8">
                    <w:t>588</w:t>
                  </w:r>
                </w:p>
              </w:tc>
            </w:tr>
            <w:tr w:rsidR="009C6940" w:rsidRPr="00EF7969" w14:paraId="46F9DD93" w14:textId="77777777" w:rsidTr="009C6940">
              <w:tc>
                <w:tcPr>
                  <w:tcW w:w="6378" w:type="dxa"/>
                  <w:shd w:val="clear" w:color="auto" w:fill="auto"/>
                </w:tcPr>
                <w:p w14:paraId="21520B70" w14:textId="77777777" w:rsidR="009C6940" w:rsidRPr="003C0CE8" w:rsidRDefault="009C6940" w:rsidP="009C6940">
                  <w:pPr>
                    <w:pStyle w:val="TableBodyText"/>
                    <w:jc w:val="left"/>
                  </w:pPr>
                  <w:r w:rsidRPr="003C0CE8">
                    <w:t>Andrew Wenborn</w:t>
                  </w:r>
                </w:p>
              </w:tc>
              <w:tc>
                <w:tcPr>
                  <w:tcW w:w="2126" w:type="dxa"/>
                </w:tcPr>
                <w:p w14:paraId="638D837A" w14:textId="77777777" w:rsidR="009C6940" w:rsidRPr="003C0CE8" w:rsidRDefault="009C6940" w:rsidP="009C6940">
                  <w:pPr>
                    <w:pStyle w:val="TableBodyText"/>
                  </w:pPr>
                  <w:r w:rsidRPr="003C0CE8">
                    <w:t>1098</w:t>
                  </w:r>
                </w:p>
              </w:tc>
            </w:tr>
            <w:tr w:rsidR="009C6940" w:rsidRPr="00EF7969" w14:paraId="1D612406" w14:textId="77777777" w:rsidTr="009C6940">
              <w:tc>
                <w:tcPr>
                  <w:tcW w:w="6378" w:type="dxa"/>
                  <w:shd w:val="clear" w:color="auto" w:fill="auto"/>
                </w:tcPr>
                <w:p w14:paraId="7AB62CB6" w14:textId="77777777" w:rsidR="009C6940" w:rsidRPr="003C0CE8" w:rsidRDefault="009C6940" w:rsidP="009C6940">
                  <w:pPr>
                    <w:pStyle w:val="TableBodyText"/>
                    <w:jc w:val="left"/>
                  </w:pPr>
                  <w:r w:rsidRPr="003C0CE8">
                    <w:t>Andris Markovs</w:t>
                  </w:r>
                </w:p>
              </w:tc>
              <w:tc>
                <w:tcPr>
                  <w:tcW w:w="2126" w:type="dxa"/>
                </w:tcPr>
                <w:p w14:paraId="39DE39EE" w14:textId="77777777" w:rsidR="009C6940" w:rsidRPr="003C0CE8" w:rsidRDefault="009C6940" w:rsidP="009C6940">
                  <w:pPr>
                    <w:pStyle w:val="TableBodyText"/>
                  </w:pPr>
                  <w:r w:rsidRPr="003C0CE8">
                    <w:t>589</w:t>
                  </w:r>
                </w:p>
              </w:tc>
            </w:tr>
            <w:tr w:rsidR="009C6940" w:rsidRPr="00EF7969" w14:paraId="0BA58886" w14:textId="77777777" w:rsidTr="009C6940">
              <w:tc>
                <w:tcPr>
                  <w:tcW w:w="6378" w:type="dxa"/>
                  <w:tcBorders>
                    <w:bottom w:val="single" w:sz="6" w:space="0" w:color="BFBFBF"/>
                  </w:tcBorders>
                  <w:shd w:val="clear" w:color="auto" w:fill="auto"/>
                </w:tcPr>
                <w:p w14:paraId="32AFB560" w14:textId="77777777" w:rsidR="009C6940" w:rsidRPr="003C0CE8" w:rsidRDefault="009C6940" w:rsidP="009C6940">
                  <w:pPr>
                    <w:pStyle w:val="TableBodyText"/>
                    <w:jc w:val="left"/>
                  </w:pPr>
                  <w:r w:rsidRPr="003C0CE8">
                    <w:t>Angel Tseng</w:t>
                  </w:r>
                </w:p>
              </w:tc>
              <w:tc>
                <w:tcPr>
                  <w:tcW w:w="2126" w:type="dxa"/>
                  <w:tcBorders>
                    <w:bottom w:val="single" w:sz="6" w:space="0" w:color="BFBFBF"/>
                  </w:tcBorders>
                </w:tcPr>
                <w:p w14:paraId="19CDEA63" w14:textId="77777777" w:rsidR="009C6940" w:rsidRPr="003C0CE8" w:rsidRDefault="009C6940" w:rsidP="009C6940">
                  <w:pPr>
                    <w:pStyle w:val="TableBodyText"/>
                  </w:pPr>
                  <w:r w:rsidRPr="003C0CE8">
                    <w:t>1168</w:t>
                  </w:r>
                </w:p>
              </w:tc>
            </w:tr>
          </w:tbl>
          <w:p w14:paraId="687324C4" w14:textId="77777777" w:rsidR="009C6940" w:rsidRPr="00EF7969" w:rsidRDefault="009C6940" w:rsidP="009C6940">
            <w:pPr>
              <w:pStyle w:val="Box"/>
            </w:pPr>
          </w:p>
        </w:tc>
      </w:tr>
      <w:tr w:rsidR="009C6940" w:rsidRPr="00EF7969" w14:paraId="79B4CD8F" w14:textId="77777777" w:rsidTr="009C6940">
        <w:tc>
          <w:tcPr>
            <w:tcW w:w="8789" w:type="dxa"/>
            <w:tcBorders>
              <w:top w:val="nil"/>
              <w:left w:val="nil"/>
              <w:bottom w:val="nil"/>
              <w:right w:val="nil"/>
            </w:tcBorders>
            <w:shd w:val="clear" w:color="auto" w:fill="auto"/>
          </w:tcPr>
          <w:p w14:paraId="1EDC04E7" w14:textId="77777777" w:rsidR="009C6940" w:rsidRPr="00EF7969" w:rsidRDefault="009C6940" w:rsidP="009C6940">
            <w:pPr>
              <w:pStyle w:val="Continued"/>
            </w:pPr>
            <w:r w:rsidRPr="00EF7969">
              <w:t>(continued next page)</w:t>
            </w:r>
          </w:p>
        </w:tc>
      </w:tr>
      <w:tr w:rsidR="009C6940" w:rsidRPr="00EF7969" w14:paraId="0DD53056" w14:textId="77777777" w:rsidTr="009C6940">
        <w:tc>
          <w:tcPr>
            <w:tcW w:w="8789" w:type="dxa"/>
            <w:tcBorders>
              <w:top w:val="nil"/>
              <w:left w:val="nil"/>
              <w:bottom w:val="single" w:sz="6" w:space="0" w:color="78A22F"/>
              <w:right w:val="nil"/>
            </w:tcBorders>
            <w:shd w:val="clear" w:color="auto" w:fill="auto"/>
          </w:tcPr>
          <w:p w14:paraId="283ED745" w14:textId="77777777" w:rsidR="009C6940" w:rsidRPr="00EF7969" w:rsidRDefault="009C6940" w:rsidP="009C6940">
            <w:pPr>
              <w:pStyle w:val="Box"/>
              <w:spacing w:before="0" w:line="120" w:lineRule="exact"/>
            </w:pPr>
          </w:p>
        </w:tc>
      </w:tr>
      <w:tr w:rsidR="009C6940" w:rsidRPr="00EF7969" w14:paraId="50373644" w14:textId="77777777" w:rsidTr="009C6940">
        <w:tc>
          <w:tcPr>
            <w:tcW w:w="8789" w:type="dxa"/>
            <w:tcBorders>
              <w:top w:val="single" w:sz="6" w:space="0" w:color="78A22F"/>
              <w:left w:val="nil"/>
              <w:bottom w:val="nil"/>
              <w:right w:val="nil"/>
            </w:tcBorders>
          </w:tcPr>
          <w:p w14:paraId="46AC048C" w14:textId="77777777" w:rsidR="009C6940" w:rsidRPr="00EF7969" w:rsidRDefault="009C6940" w:rsidP="009C6940">
            <w:pPr>
              <w:pStyle w:val="BoxSpaceBelow"/>
            </w:pPr>
          </w:p>
        </w:tc>
      </w:tr>
    </w:tbl>
    <w:p w14:paraId="7129AC83" w14:textId="77777777" w:rsidR="009C6940" w:rsidRPr="00EF7969" w:rsidRDefault="009C6940" w:rsidP="009C6940">
      <w:pPr>
        <w:pStyle w:val="BoxSpaceAbove"/>
      </w:pPr>
      <w:permStart w:id="9848709" w:edGrp="everyone"/>
      <w:permEnd w:id="9848709"/>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3C416D4B" w14:textId="77777777" w:rsidTr="009C6940">
        <w:trPr>
          <w:tblHeader/>
        </w:trPr>
        <w:tc>
          <w:tcPr>
            <w:tcW w:w="8789" w:type="dxa"/>
            <w:tcBorders>
              <w:top w:val="single" w:sz="6" w:space="0" w:color="78A22F"/>
              <w:left w:val="nil"/>
              <w:bottom w:val="nil"/>
              <w:right w:val="nil"/>
            </w:tcBorders>
            <w:shd w:val="clear" w:color="auto" w:fill="auto"/>
          </w:tcPr>
          <w:p w14:paraId="66CC0750" w14:textId="77777777" w:rsidR="009C6940" w:rsidRPr="00EF7969" w:rsidRDefault="009C6940" w:rsidP="009C6940">
            <w:pPr>
              <w:pStyle w:val="TableTitle"/>
              <w:spacing w:before="80"/>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2A0B19F2"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12A53BEF"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350A98EF"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7299D59F" w14:textId="77777777" w:rsidR="009C6940" w:rsidRPr="00EF7969" w:rsidRDefault="009C6940" w:rsidP="009C6940">
                  <w:pPr>
                    <w:pStyle w:val="TableColumnHeading"/>
                    <w:ind w:right="28"/>
                  </w:pPr>
                  <w:r w:rsidRPr="00EF7969">
                    <w:t>Submission no.</w:t>
                  </w:r>
                </w:p>
              </w:tc>
            </w:tr>
            <w:tr w:rsidR="009C6940" w:rsidRPr="00EF7969" w14:paraId="33165F48" w14:textId="77777777" w:rsidTr="009C6940">
              <w:tc>
                <w:tcPr>
                  <w:tcW w:w="6377" w:type="dxa"/>
                  <w:shd w:val="clear" w:color="auto" w:fill="auto"/>
                </w:tcPr>
                <w:p w14:paraId="67F90D5F" w14:textId="77777777" w:rsidR="009C6940" w:rsidRPr="00EF7969" w:rsidRDefault="009C6940" w:rsidP="009C6940">
                  <w:pPr>
                    <w:pStyle w:val="TableBodyText"/>
                    <w:spacing w:before="40"/>
                    <w:jc w:val="left"/>
                  </w:pPr>
                  <w:r w:rsidRPr="00EF7969">
                    <w:t>Angelo Virgona</w:t>
                  </w:r>
                </w:p>
              </w:tc>
              <w:tc>
                <w:tcPr>
                  <w:tcW w:w="2126" w:type="dxa"/>
                  <w:shd w:val="clear" w:color="auto" w:fill="auto"/>
                </w:tcPr>
                <w:p w14:paraId="5882F5A3" w14:textId="77777777" w:rsidR="009C6940" w:rsidRPr="00EF7969" w:rsidRDefault="009C6940" w:rsidP="009C6940">
                  <w:pPr>
                    <w:pStyle w:val="TableBodyText"/>
                    <w:spacing w:before="40"/>
                  </w:pPr>
                  <w:r w:rsidRPr="00EF7969">
                    <w:t>296</w:t>
                  </w:r>
                </w:p>
              </w:tc>
            </w:tr>
            <w:tr w:rsidR="009C6940" w:rsidRPr="00EF7969" w14:paraId="47DAB2CE" w14:textId="77777777" w:rsidTr="009C6940">
              <w:tc>
                <w:tcPr>
                  <w:tcW w:w="6377" w:type="dxa"/>
                  <w:shd w:val="clear" w:color="auto" w:fill="auto"/>
                </w:tcPr>
                <w:p w14:paraId="7C522AAA" w14:textId="77777777" w:rsidR="009C6940" w:rsidRPr="00EF7969" w:rsidRDefault="009C6940" w:rsidP="009C6940">
                  <w:pPr>
                    <w:pStyle w:val="TableBodyText"/>
                    <w:jc w:val="left"/>
                  </w:pPr>
                  <w:r w:rsidRPr="00EF7969">
                    <w:t>Anglicare Australia</w:t>
                  </w:r>
                </w:p>
              </w:tc>
              <w:tc>
                <w:tcPr>
                  <w:tcW w:w="2126" w:type="dxa"/>
                  <w:shd w:val="clear" w:color="auto" w:fill="auto"/>
                </w:tcPr>
                <w:p w14:paraId="773BAFF8" w14:textId="77777777" w:rsidR="009C6940" w:rsidRPr="00EF7969" w:rsidRDefault="009C6940" w:rsidP="009C6940">
                  <w:pPr>
                    <w:pStyle w:val="TableBodyText"/>
                  </w:pPr>
                  <w:r w:rsidRPr="00EF7969">
                    <w:t>376, 1206</w:t>
                  </w:r>
                </w:p>
              </w:tc>
            </w:tr>
            <w:tr w:rsidR="009C6940" w:rsidRPr="00EF7969" w14:paraId="5784DB96" w14:textId="77777777" w:rsidTr="009C6940">
              <w:tc>
                <w:tcPr>
                  <w:tcW w:w="6377" w:type="dxa"/>
                  <w:shd w:val="clear" w:color="auto" w:fill="auto"/>
                </w:tcPr>
                <w:p w14:paraId="2C0A7077" w14:textId="77777777" w:rsidR="009C6940" w:rsidRPr="00EF7969" w:rsidRDefault="009C6940" w:rsidP="009C6940">
                  <w:pPr>
                    <w:pStyle w:val="TableBodyText"/>
                    <w:jc w:val="left"/>
                  </w:pPr>
                  <w:r w:rsidRPr="00EF7969">
                    <w:t>Anglicare NT</w:t>
                  </w:r>
                </w:p>
              </w:tc>
              <w:tc>
                <w:tcPr>
                  <w:tcW w:w="2126" w:type="dxa"/>
                  <w:shd w:val="clear" w:color="auto" w:fill="auto"/>
                </w:tcPr>
                <w:p w14:paraId="278940BA" w14:textId="77777777" w:rsidR="009C6940" w:rsidRPr="00EF7969" w:rsidRDefault="009C6940" w:rsidP="009C6940">
                  <w:pPr>
                    <w:pStyle w:val="TableBodyText"/>
                  </w:pPr>
                  <w:r w:rsidRPr="00EF7969">
                    <w:t>53</w:t>
                  </w:r>
                </w:p>
              </w:tc>
            </w:tr>
            <w:tr w:rsidR="009C6940" w:rsidRPr="00EF7969" w14:paraId="4B8671F3" w14:textId="77777777" w:rsidTr="009C6940">
              <w:tc>
                <w:tcPr>
                  <w:tcW w:w="6377" w:type="dxa"/>
                  <w:shd w:val="clear" w:color="auto" w:fill="auto"/>
                </w:tcPr>
                <w:p w14:paraId="1EE8F64A" w14:textId="77777777" w:rsidR="009C6940" w:rsidRPr="00EF7969" w:rsidRDefault="009C6940" w:rsidP="009C6940">
                  <w:pPr>
                    <w:pStyle w:val="TableBodyText"/>
                    <w:jc w:val="left"/>
                  </w:pPr>
                  <w:r w:rsidRPr="00EF7969">
                    <w:t>Anglicare Sydney</w:t>
                  </w:r>
                </w:p>
              </w:tc>
              <w:tc>
                <w:tcPr>
                  <w:tcW w:w="2126" w:type="dxa"/>
                  <w:shd w:val="clear" w:color="auto" w:fill="auto"/>
                </w:tcPr>
                <w:p w14:paraId="6A3D44D4" w14:textId="77777777" w:rsidR="009C6940" w:rsidRPr="00EF7969" w:rsidRDefault="009C6940" w:rsidP="009C6940">
                  <w:pPr>
                    <w:pStyle w:val="TableBodyText"/>
                  </w:pPr>
                  <w:r w:rsidRPr="00EF7969">
                    <w:t>190</w:t>
                  </w:r>
                </w:p>
              </w:tc>
            </w:tr>
            <w:tr w:rsidR="009C6940" w:rsidRPr="00EF7969" w14:paraId="27BEF607" w14:textId="77777777" w:rsidTr="009C6940">
              <w:tc>
                <w:tcPr>
                  <w:tcW w:w="6377" w:type="dxa"/>
                  <w:shd w:val="clear" w:color="auto" w:fill="auto"/>
                </w:tcPr>
                <w:p w14:paraId="7FCE578E" w14:textId="77777777" w:rsidR="009C6940" w:rsidRPr="00EF7969" w:rsidRDefault="009C6940" w:rsidP="009C6940">
                  <w:pPr>
                    <w:pStyle w:val="TableBodyText"/>
                    <w:jc w:val="left"/>
                  </w:pPr>
                  <w:r w:rsidRPr="00EF7969">
                    <w:t>Anglicare Victoria</w:t>
                  </w:r>
                </w:p>
              </w:tc>
              <w:tc>
                <w:tcPr>
                  <w:tcW w:w="2126" w:type="dxa"/>
                  <w:shd w:val="clear" w:color="auto" w:fill="auto"/>
                </w:tcPr>
                <w:p w14:paraId="2A01F273" w14:textId="77777777" w:rsidR="009C6940" w:rsidRPr="00EF7969" w:rsidRDefault="009C6940" w:rsidP="009C6940">
                  <w:pPr>
                    <w:pStyle w:val="TableBodyText"/>
                  </w:pPr>
                  <w:r w:rsidRPr="00EF7969">
                    <w:t>312</w:t>
                  </w:r>
                </w:p>
              </w:tc>
            </w:tr>
            <w:tr w:rsidR="009C6940" w:rsidRPr="00EF7969" w14:paraId="45AD8FBB" w14:textId="77777777" w:rsidTr="009C6940">
              <w:tc>
                <w:tcPr>
                  <w:tcW w:w="6377" w:type="dxa"/>
                  <w:shd w:val="clear" w:color="auto" w:fill="auto"/>
                </w:tcPr>
                <w:p w14:paraId="63F1329F" w14:textId="77777777" w:rsidR="009C6940" w:rsidRPr="00EF7969" w:rsidRDefault="009C6940" w:rsidP="009C6940">
                  <w:pPr>
                    <w:pStyle w:val="TableBodyText"/>
                    <w:jc w:val="left"/>
                  </w:pPr>
                  <w:r w:rsidRPr="00EF7969">
                    <w:t>Anna Curnuck</w:t>
                  </w:r>
                </w:p>
              </w:tc>
              <w:tc>
                <w:tcPr>
                  <w:tcW w:w="2126" w:type="dxa"/>
                  <w:shd w:val="clear" w:color="auto" w:fill="auto"/>
                </w:tcPr>
                <w:p w14:paraId="372FF3ED" w14:textId="77777777" w:rsidR="009C6940" w:rsidRPr="00EF7969" w:rsidRDefault="009C6940" w:rsidP="009C6940">
                  <w:pPr>
                    <w:pStyle w:val="TableBodyText"/>
                  </w:pPr>
                  <w:r w:rsidRPr="00EF7969">
                    <w:t>1082</w:t>
                  </w:r>
                </w:p>
              </w:tc>
            </w:tr>
            <w:tr w:rsidR="009C6940" w:rsidRPr="00EF7969" w14:paraId="67E04AE7" w14:textId="77777777" w:rsidTr="009C6940">
              <w:tc>
                <w:tcPr>
                  <w:tcW w:w="6377" w:type="dxa"/>
                  <w:shd w:val="clear" w:color="auto" w:fill="auto"/>
                </w:tcPr>
                <w:p w14:paraId="2E6FE176" w14:textId="77777777" w:rsidR="009C6940" w:rsidRPr="00EF7969" w:rsidRDefault="009C6940" w:rsidP="009C6940">
                  <w:pPr>
                    <w:pStyle w:val="TableBodyText"/>
                    <w:jc w:val="left"/>
                  </w:pPr>
                  <w:r w:rsidRPr="00EF7969">
                    <w:t>Anna Vale</w:t>
                  </w:r>
                </w:p>
              </w:tc>
              <w:tc>
                <w:tcPr>
                  <w:tcW w:w="2126" w:type="dxa"/>
                  <w:shd w:val="clear" w:color="auto" w:fill="auto"/>
                </w:tcPr>
                <w:p w14:paraId="15292E42" w14:textId="77777777" w:rsidR="009C6940" w:rsidRPr="00EF7969" w:rsidRDefault="009C6940" w:rsidP="009C6940">
                  <w:pPr>
                    <w:pStyle w:val="TableBodyText"/>
                  </w:pPr>
                  <w:r w:rsidRPr="00EF7969">
                    <w:t>1155</w:t>
                  </w:r>
                </w:p>
              </w:tc>
            </w:tr>
            <w:tr w:rsidR="009C6940" w:rsidRPr="00EF7969" w14:paraId="708AB7F8" w14:textId="77777777" w:rsidTr="009C6940">
              <w:tc>
                <w:tcPr>
                  <w:tcW w:w="6377" w:type="dxa"/>
                  <w:shd w:val="clear" w:color="auto" w:fill="auto"/>
                </w:tcPr>
                <w:p w14:paraId="22A67136" w14:textId="77777777" w:rsidR="009C6940" w:rsidRPr="00EF7969" w:rsidRDefault="009C6940" w:rsidP="009C6940">
                  <w:pPr>
                    <w:pStyle w:val="TableBodyText"/>
                    <w:jc w:val="left"/>
                  </w:pPr>
                  <w:r w:rsidRPr="00EF7969">
                    <w:t>Anne Barbara</w:t>
                  </w:r>
                </w:p>
              </w:tc>
              <w:tc>
                <w:tcPr>
                  <w:tcW w:w="2126" w:type="dxa"/>
                  <w:shd w:val="clear" w:color="auto" w:fill="auto"/>
                </w:tcPr>
                <w:p w14:paraId="6651F0AB" w14:textId="77777777" w:rsidR="009C6940" w:rsidRPr="00EF7969" w:rsidRDefault="009C6940" w:rsidP="009C6940">
                  <w:pPr>
                    <w:pStyle w:val="TableBodyText"/>
                  </w:pPr>
                  <w:r w:rsidRPr="00EF7969">
                    <w:t>910</w:t>
                  </w:r>
                </w:p>
              </w:tc>
            </w:tr>
            <w:tr w:rsidR="009C6940" w:rsidRPr="00EF7969" w14:paraId="642E3331" w14:textId="77777777" w:rsidTr="009C6940">
              <w:tc>
                <w:tcPr>
                  <w:tcW w:w="6377" w:type="dxa"/>
                  <w:shd w:val="clear" w:color="auto" w:fill="auto"/>
                </w:tcPr>
                <w:p w14:paraId="14C09BDC" w14:textId="77777777" w:rsidR="009C6940" w:rsidRPr="00EF7969" w:rsidRDefault="009C6940" w:rsidP="009C6940">
                  <w:pPr>
                    <w:pStyle w:val="TableBodyText"/>
                    <w:jc w:val="left"/>
                  </w:pPr>
                  <w:r w:rsidRPr="00EF7969">
                    <w:t>Anne Farrelly</w:t>
                  </w:r>
                </w:p>
              </w:tc>
              <w:tc>
                <w:tcPr>
                  <w:tcW w:w="2126" w:type="dxa"/>
                  <w:shd w:val="clear" w:color="auto" w:fill="auto"/>
                </w:tcPr>
                <w:p w14:paraId="3C27F6A7" w14:textId="77777777" w:rsidR="009C6940" w:rsidRPr="00EF7969" w:rsidRDefault="009C6940" w:rsidP="009C6940">
                  <w:pPr>
                    <w:pStyle w:val="TableBodyText"/>
                  </w:pPr>
                  <w:r w:rsidRPr="00EF7969">
                    <w:t>963</w:t>
                  </w:r>
                </w:p>
              </w:tc>
            </w:tr>
            <w:tr w:rsidR="009C6940" w:rsidRPr="00EF7969" w14:paraId="170CB586" w14:textId="77777777" w:rsidTr="009C6940">
              <w:tc>
                <w:tcPr>
                  <w:tcW w:w="6377" w:type="dxa"/>
                  <w:shd w:val="clear" w:color="auto" w:fill="auto"/>
                </w:tcPr>
                <w:p w14:paraId="5B6EC66D" w14:textId="77777777" w:rsidR="009C6940" w:rsidRPr="00EF7969" w:rsidRDefault="009C6940" w:rsidP="009C6940">
                  <w:pPr>
                    <w:pStyle w:val="TableBodyText"/>
                    <w:jc w:val="left"/>
                  </w:pPr>
                  <w:r w:rsidRPr="00EF7969">
                    <w:t>Anne Mill</w:t>
                  </w:r>
                </w:p>
              </w:tc>
              <w:tc>
                <w:tcPr>
                  <w:tcW w:w="2126" w:type="dxa"/>
                  <w:shd w:val="clear" w:color="auto" w:fill="auto"/>
                </w:tcPr>
                <w:p w14:paraId="43BF2574" w14:textId="77777777" w:rsidR="009C6940" w:rsidRPr="00EF7969" w:rsidRDefault="009C6940" w:rsidP="009C6940">
                  <w:pPr>
                    <w:pStyle w:val="TableBodyText"/>
                  </w:pPr>
                  <w:r w:rsidRPr="00EF7969">
                    <w:t>348</w:t>
                  </w:r>
                </w:p>
              </w:tc>
            </w:tr>
            <w:tr w:rsidR="009C6940" w:rsidRPr="00EF7969" w14:paraId="7F6D6B9D" w14:textId="77777777" w:rsidTr="009C6940">
              <w:tc>
                <w:tcPr>
                  <w:tcW w:w="6377" w:type="dxa"/>
                  <w:shd w:val="clear" w:color="auto" w:fill="auto"/>
                </w:tcPr>
                <w:p w14:paraId="5D9C9C1C" w14:textId="77777777" w:rsidR="009C6940" w:rsidRPr="00EF7969" w:rsidRDefault="009C6940" w:rsidP="009C6940">
                  <w:pPr>
                    <w:pStyle w:val="TableBodyText"/>
                    <w:jc w:val="left"/>
                  </w:pPr>
                  <w:r w:rsidRPr="00EF7969">
                    <w:t>Anne</w:t>
                  </w:r>
                  <w:r w:rsidRPr="00EF7969">
                    <w:noBreakHyphen/>
                    <w:t>Marie Elias</w:t>
                  </w:r>
                </w:p>
              </w:tc>
              <w:tc>
                <w:tcPr>
                  <w:tcW w:w="2126" w:type="dxa"/>
                  <w:shd w:val="clear" w:color="auto" w:fill="auto"/>
                </w:tcPr>
                <w:p w14:paraId="5C1DD47B" w14:textId="77777777" w:rsidR="009C6940" w:rsidRPr="00EF7969" w:rsidRDefault="009C6940" w:rsidP="009C6940">
                  <w:pPr>
                    <w:pStyle w:val="TableBodyText"/>
                  </w:pPr>
                  <w:r w:rsidRPr="00EF7969">
                    <w:t>119</w:t>
                  </w:r>
                </w:p>
              </w:tc>
            </w:tr>
            <w:tr w:rsidR="009C6940" w:rsidRPr="00EF7969" w14:paraId="6A434E3C" w14:textId="77777777" w:rsidTr="009C6940">
              <w:tc>
                <w:tcPr>
                  <w:tcW w:w="6377" w:type="dxa"/>
                  <w:shd w:val="clear" w:color="auto" w:fill="auto"/>
                </w:tcPr>
                <w:p w14:paraId="23C66CAF" w14:textId="77777777" w:rsidR="009C6940" w:rsidRPr="00EF7969" w:rsidRDefault="009C6940" w:rsidP="009C6940">
                  <w:pPr>
                    <w:pStyle w:val="TableBodyText"/>
                    <w:jc w:val="left"/>
                  </w:pPr>
                  <w:r w:rsidRPr="00EF7969">
                    <w:t>Annette Valentine Eriksen</w:t>
                  </w:r>
                </w:p>
              </w:tc>
              <w:tc>
                <w:tcPr>
                  <w:tcW w:w="2126" w:type="dxa"/>
                  <w:shd w:val="clear" w:color="auto" w:fill="auto"/>
                </w:tcPr>
                <w:p w14:paraId="0E4438CA" w14:textId="77777777" w:rsidR="009C6940" w:rsidRPr="00EF7969" w:rsidRDefault="009C6940" w:rsidP="009C6940">
                  <w:pPr>
                    <w:pStyle w:val="TableBodyText"/>
                  </w:pPr>
                  <w:r w:rsidRPr="00EF7969">
                    <w:t>150</w:t>
                  </w:r>
                </w:p>
              </w:tc>
            </w:tr>
            <w:tr w:rsidR="009C6940" w:rsidRPr="00EF7969" w14:paraId="028EB8CE" w14:textId="77777777" w:rsidTr="009C6940">
              <w:tc>
                <w:tcPr>
                  <w:tcW w:w="6377" w:type="dxa"/>
                  <w:shd w:val="clear" w:color="auto" w:fill="auto"/>
                </w:tcPr>
                <w:p w14:paraId="331D3E1F" w14:textId="77777777" w:rsidR="009C6940" w:rsidRPr="00EF7969" w:rsidRDefault="009C6940" w:rsidP="009C6940">
                  <w:pPr>
                    <w:pStyle w:val="TableBodyText"/>
                    <w:jc w:val="left"/>
                  </w:pPr>
                  <w:r w:rsidRPr="00EF7969">
                    <w:t>Anonymous Parent</w:t>
                  </w:r>
                </w:p>
              </w:tc>
              <w:tc>
                <w:tcPr>
                  <w:tcW w:w="2126" w:type="dxa"/>
                  <w:shd w:val="clear" w:color="auto" w:fill="auto"/>
                </w:tcPr>
                <w:p w14:paraId="03E4FB70" w14:textId="77777777" w:rsidR="009C6940" w:rsidRPr="00EF7969" w:rsidRDefault="009C6940" w:rsidP="009C6940">
                  <w:pPr>
                    <w:pStyle w:val="TableBodyText"/>
                  </w:pPr>
                  <w:r w:rsidRPr="00EF7969">
                    <w:t>399</w:t>
                  </w:r>
                </w:p>
              </w:tc>
            </w:tr>
            <w:tr w:rsidR="009C6940" w:rsidRPr="00EF7969" w14:paraId="3C8E7F54" w14:textId="77777777" w:rsidTr="009C6940">
              <w:tc>
                <w:tcPr>
                  <w:tcW w:w="6377" w:type="dxa"/>
                  <w:shd w:val="clear" w:color="auto" w:fill="auto"/>
                </w:tcPr>
                <w:p w14:paraId="38546465" w14:textId="77777777" w:rsidR="009C6940" w:rsidRPr="00EF7969" w:rsidRDefault="009C6940" w:rsidP="009C6940">
                  <w:pPr>
                    <w:pStyle w:val="TableBodyText"/>
                    <w:jc w:val="left"/>
                  </w:pPr>
                  <w:r w:rsidRPr="00EF7969">
                    <w:t>Anonymously</w:t>
                  </w:r>
                </w:p>
              </w:tc>
              <w:tc>
                <w:tcPr>
                  <w:tcW w:w="2126" w:type="dxa"/>
                  <w:shd w:val="clear" w:color="auto" w:fill="auto"/>
                </w:tcPr>
                <w:p w14:paraId="189C3AF5" w14:textId="77777777" w:rsidR="009C6940" w:rsidRPr="00EF7969" w:rsidRDefault="009C6940" w:rsidP="009C6940">
                  <w:pPr>
                    <w:pStyle w:val="TableBodyText"/>
                  </w:pPr>
                  <w:r w:rsidRPr="00EF7969">
                    <w:t>740</w:t>
                  </w:r>
                </w:p>
              </w:tc>
            </w:tr>
            <w:tr w:rsidR="009C6940" w:rsidRPr="00EF7969" w14:paraId="30EAA9B5" w14:textId="77777777" w:rsidTr="009C6940">
              <w:tc>
                <w:tcPr>
                  <w:tcW w:w="6377" w:type="dxa"/>
                  <w:shd w:val="clear" w:color="auto" w:fill="auto"/>
                </w:tcPr>
                <w:p w14:paraId="41B78771" w14:textId="77777777" w:rsidR="009C6940" w:rsidRPr="00EF7969" w:rsidRDefault="009C6940" w:rsidP="009C6940">
                  <w:pPr>
                    <w:pStyle w:val="TableBodyText"/>
                    <w:jc w:val="left"/>
                  </w:pPr>
                  <w:r w:rsidRPr="00EF7969">
                    <w:t>Anthony Jorm</w:t>
                  </w:r>
                </w:p>
              </w:tc>
              <w:tc>
                <w:tcPr>
                  <w:tcW w:w="2126" w:type="dxa"/>
                  <w:shd w:val="clear" w:color="auto" w:fill="auto"/>
                </w:tcPr>
                <w:p w14:paraId="38D3D04B" w14:textId="77777777" w:rsidR="009C6940" w:rsidRPr="00EF7969" w:rsidRDefault="009C6940" w:rsidP="009C6940">
                  <w:pPr>
                    <w:pStyle w:val="TableBodyText"/>
                  </w:pPr>
                  <w:r w:rsidRPr="00EF7969">
                    <w:t>45, 612</w:t>
                  </w:r>
                </w:p>
              </w:tc>
            </w:tr>
            <w:tr w:rsidR="009C6940" w:rsidRPr="00EF7969" w14:paraId="4FDCA620" w14:textId="77777777" w:rsidTr="009C6940">
              <w:tc>
                <w:tcPr>
                  <w:tcW w:w="6377" w:type="dxa"/>
                  <w:shd w:val="clear" w:color="auto" w:fill="auto"/>
                </w:tcPr>
                <w:p w14:paraId="357D6423" w14:textId="77777777" w:rsidR="009C6940" w:rsidRPr="00EF7969" w:rsidRDefault="009C6940" w:rsidP="009C6940">
                  <w:pPr>
                    <w:pStyle w:val="TableBodyText"/>
                    <w:jc w:val="left"/>
                  </w:pPr>
                  <w:r w:rsidRPr="00EF7969">
                    <w:t>Anthony Smith</w:t>
                  </w:r>
                </w:p>
              </w:tc>
              <w:tc>
                <w:tcPr>
                  <w:tcW w:w="2126" w:type="dxa"/>
                  <w:shd w:val="clear" w:color="auto" w:fill="auto"/>
                </w:tcPr>
                <w:p w14:paraId="26777553" w14:textId="77777777" w:rsidR="009C6940" w:rsidRPr="00EF7969" w:rsidRDefault="009C6940" w:rsidP="009C6940">
                  <w:pPr>
                    <w:pStyle w:val="TableBodyText"/>
                  </w:pPr>
                  <w:r w:rsidRPr="00EF7969">
                    <w:t>896</w:t>
                  </w:r>
                </w:p>
              </w:tc>
            </w:tr>
            <w:tr w:rsidR="009C6940" w:rsidRPr="00EF7969" w14:paraId="44C37ECD" w14:textId="77777777" w:rsidTr="009C6940">
              <w:tc>
                <w:tcPr>
                  <w:tcW w:w="6377" w:type="dxa"/>
                  <w:shd w:val="clear" w:color="auto" w:fill="auto"/>
                </w:tcPr>
                <w:p w14:paraId="5EDE0392" w14:textId="77777777" w:rsidR="009C6940" w:rsidRPr="00EF7969" w:rsidRDefault="009C6940" w:rsidP="009C6940">
                  <w:pPr>
                    <w:pStyle w:val="TableBodyText"/>
                    <w:jc w:val="left"/>
                  </w:pPr>
                  <w:r w:rsidRPr="00EF7969">
                    <w:t>ANU College of Health and Medicine</w:t>
                  </w:r>
                </w:p>
              </w:tc>
              <w:tc>
                <w:tcPr>
                  <w:tcW w:w="2126" w:type="dxa"/>
                  <w:shd w:val="clear" w:color="auto" w:fill="auto"/>
                </w:tcPr>
                <w:p w14:paraId="063BF21A" w14:textId="77777777" w:rsidR="009C6940" w:rsidRPr="00EF7969" w:rsidRDefault="009C6940" w:rsidP="009C6940">
                  <w:pPr>
                    <w:pStyle w:val="TableBodyText"/>
                  </w:pPr>
                  <w:r w:rsidRPr="00EF7969">
                    <w:t>669</w:t>
                  </w:r>
                </w:p>
              </w:tc>
            </w:tr>
            <w:tr w:rsidR="009C6940" w:rsidRPr="00EF7969" w14:paraId="2F65EF0F" w14:textId="77777777" w:rsidTr="009C6940">
              <w:tc>
                <w:tcPr>
                  <w:tcW w:w="6377" w:type="dxa"/>
                  <w:shd w:val="clear" w:color="auto" w:fill="auto"/>
                </w:tcPr>
                <w:p w14:paraId="1AE45086" w14:textId="77777777" w:rsidR="009C6940" w:rsidRPr="00EF7969" w:rsidRDefault="009C6940" w:rsidP="009C6940">
                  <w:pPr>
                    <w:pStyle w:val="TableBodyText"/>
                    <w:jc w:val="left"/>
                  </w:pPr>
                  <w:r w:rsidRPr="00EF7969">
                    <w:t>Asia Pacific Centre for Work Health and Safety</w:t>
                  </w:r>
                </w:p>
              </w:tc>
              <w:tc>
                <w:tcPr>
                  <w:tcW w:w="2126" w:type="dxa"/>
                  <w:shd w:val="clear" w:color="auto" w:fill="auto"/>
                </w:tcPr>
                <w:p w14:paraId="43F1D42F" w14:textId="77777777" w:rsidR="009C6940" w:rsidRPr="00EF7969" w:rsidRDefault="009C6940" w:rsidP="009C6940">
                  <w:pPr>
                    <w:pStyle w:val="TableBodyText"/>
                  </w:pPr>
                  <w:r w:rsidRPr="00EF7969">
                    <w:t>289</w:t>
                  </w:r>
                </w:p>
              </w:tc>
            </w:tr>
            <w:tr w:rsidR="009C6940" w:rsidRPr="00EF7969" w14:paraId="607148DF" w14:textId="77777777" w:rsidTr="009C6940">
              <w:tc>
                <w:tcPr>
                  <w:tcW w:w="6377" w:type="dxa"/>
                  <w:shd w:val="clear" w:color="auto" w:fill="auto"/>
                </w:tcPr>
                <w:p w14:paraId="7490E012" w14:textId="77777777" w:rsidR="009C6940" w:rsidRPr="00EF7969" w:rsidRDefault="009C6940" w:rsidP="009C6940">
                  <w:pPr>
                    <w:pStyle w:val="TableBodyText"/>
                    <w:jc w:val="left"/>
                  </w:pPr>
                  <w:r w:rsidRPr="00EF7969">
                    <w:t>Association of Australian Medical Research Institutes (AAMRI)</w:t>
                  </w:r>
                </w:p>
              </w:tc>
              <w:tc>
                <w:tcPr>
                  <w:tcW w:w="2126" w:type="dxa"/>
                  <w:shd w:val="clear" w:color="auto" w:fill="auto"/>
                </w:tcPr>
                <w:p w14:paraId="74F119A2" w14:textId="77777777" w:rsidR="009C6940" w:rsidRPr="00EF7969" w:rsidRDefault="009C6940" w:rsidP="009C6940">
                  <w:pPr>
                    <w:pStyle w:val="TableBodyText"/>
                  </w:pPr>
                  <w:r w:rsidRPr="00EF7969">
                    <w:t>27</w:t>
                  </w:r>
                </w:p>
              </w:tc>
            </w:tr>
            <w:tr w:rsidR="009C6940" w:rsidRPr="00EF7969" w14:paraId="71CF2E01" w14:textId="77777777" w:rsidTr="009C6940">
              <w:tc>
                <w:tcPr>
                  <w:tcW w:w="6377" w:type="dxa"/>
                  <w:shd w:val="clear" w:color="auto" w:fill="auto"/>
                </w:tcPr>
                <w:p w14:paraId="750577F0" w14:textId="77777777" w:rsidR="009C6940" w:rsidRPr="00EF7969" w:rsidRDefault="009C6940" w:rsidP="009C6940">
                  <w:pPr>
                    <w:pStyle w:val="TableBodyText"/>
                    <w:jc w:val="left"/>
                  </w:pPr>
                  <w:r w:rsidRPr="00EF7969">
                    <w:t>Association of Counselling Psychologists (ACP)</w:t>
                  </w:r>
                </w:p>
              </w:tc>
              <w:tc>
                <w:tcPr>
                  <w:tcW w:w="2126" w:type="dxa"/>
                  <w:shd w:val="clear" w:color="auto" w:fill="auto"/>
                </w:tcPr>
                <w:p w14:paraId="6DD725B9" w14:textId="77777777" w:rsidR="009C6940" w:rsidRPr="00EF7969" w:rsidRDefault="009C6940" w:rsidP="009C6940">
                  <w:pPr>
                    <w:pStyle w:val="TableBodyText"/>
                  </w:pPr>
                  <w:r w:rsidRPr="00EF7969">
                    <w:t>522, 763</w:t>
                  </w:r>
                </w:p>
              </w:tc>
            </w:tr>
            <w:tr w:rsidR="009C6940" w:rsidRPr="00EF7969" w14:paraId="557E6B25" w14:textId="77777777" w:rsidTr="009C6940">
              <w:tc>
                <w:tcPr>
                  <w:tcW w:w="6377" w:type="dxa"/>
                  <w:shd w:val="clear" w:color="auto" w:fill="auto"/>
                </w:tcPr>
                <w:p w14:paraId="3424C9AF" w14:textId="77777777" w:rsidR="009C6940" w:rsidRPr="00EF7969" w:rsidRDefault="009C6940" w:rsidP="009C6940">
                  <w:pPr>
                    <w:pStyle w:val="TableBodyText"/>
                    <w:jc w:val="left"/>
                  </w:pPr>
                  <w:r w:rsidRPr="00EF7969">
                    <w:t>Association of Heads of Independent Schools of Australia (AHISA)</w:t>
                  </w:r>
                </w:p>
              </w:tc>
              <w:tc>
                <w:tcPr>
                  <w:tcW w:w="2126" w:type="dxa"/>
                  <w:shd w:val="clear" w:color="auto" w:fill="auto"/>
                </w:tcPr>
                <w:p w14:paraId="025A1904" w14:textId="77777777" w:rsidR="009C6940" w:rsidRPr="00EF7969" w:rsidRDefault="009C6940" w:rsidP="009C6940">
                  <w:pPr>
                    <w:pStyle w:val="TableBodyText"/>
                  </w:pPr>
                  <w:r w:rsidRPr="00EF7969">
                    <w:t>734</w:t>
                  </w:r>
                </w:p>
              </w:tc>
            </w:tr>
            <w:tr w:rsidR="009C6940" w:rsidRPr="00EF7969" w14:paraId="366E1690" w14:textId="77777777" w:rsidTr="009C6940">
              <w:tc>
                <w:tcPr>
                  <w:tcW w:w="6377" w:type="dxa"/>
                  <w:shd w:val="clear" w:color="auto" w:fill="auto"/>
                </w:tcPr>
                <w:p w14:paraId="6DE1493A" w14:textId="77777777" w:rsidR="009C6940" w:rsidRPr="00EF7969" w:rsidRDefault="009C6940" w:rsidP="009C6940">
                  <w:pPr>
                    <w:pStyle w:val="TableBodyText"/>
                    <w:jc w:val="left"/>
                  </w:pPr>
                  <w:r w:rsidRPr="00EF7969">
                    <w:t>AusPsy</w:t>
                  </w:r>
                </w:p>
              </w:tc>
              <w:tc>
                <w:tcPr>
                  <w:tcW w:w="2126" w:type="dxa"/>
                  <w:shd w:val="clear" w:color="auto" w:fill="auto"/>
                </w:tcPr>
                <w:p w14:paraId="76C31E4B" w14:textId="77777777" w:rsidR="009C6940" w:rsidRPr="00EF7969" w:rsidRDefault="009C6940" w:rsidP="009C6940">
                  <w:pPr>
                    <w:pStyle w:val="TableBodyText"/>
                  </w:pPr>
                  <w:r w:rsidRPr="00EF7969">
                    <w:t>460</w:t>
                  </w:r>
                </w:p>
              </w:tc>
            </w:tr>
            <w:tr w:rsidR="009C6940" w:rsidRPr="00EF7969" w14:paraId="44CF4BDC" w14:textId="77777777" w:rsidTr="009C6940">
              <w:tc>
                <w:tcPr>
                  <w:tcW w:w="6377" w:type="dxa"/>
                  <w:shd w:val="clear" w:color="auto" w:fill="auto"/>
                </w:tcPr>
                <w:p w14:paraId="38645AC5" w14:textId="77777777" w:rsidR="009C6940" w:rsidRPr="00EF7969" w:rsidRDefault="009C6940" w:rsidP="009C6940">
                  <w:pPr>
                    <w:pStyle w:val="TableBodyText"/>
                    <w:jc w:val="left"/>
                  </w:pPr>
                  <w:r w:rsidRPr="00EF7969">
                    <w:t>Australasian College for Emergency Medicine (ACEM)</w:t>
                  </w:r>
                </w:p>
              </w:tc>
              <w:tc>
                <w:tcPr>
                  <w:tcW w:w="2126" w:type="dxa"/>
                  <w:shd w:val="clear" w:color="auto" w:fill="auto"/>
                </w:tcPr>
                <w:p w14:paraId="7CFB03D7" w14:textId="77777777" w:rsidR="009C6940" w:rsidRPr="00EF7969" w:rsidRDefault="009C6940" w:rsidP="009C6940">
                  <w:pPr>
                    <w:pStyle w:val="TableBodyText"/>
                  </w:pPr>
                  <w:r w:rsidRPr="00EF7969">
                    <w:t>516, 926</w:t>
                  </w:r>
                </w:p>
              </w:tc>
            </w:tr>
            <w:tr w:rsidR="009C6940" w:rsidRPr="00EF7969" w14:paraId="0CDC80B6" w14:textId="77777777" w:rsidTr="009C6940">
              <w:tc>
                <w:tcPr>
                  <w:tcW w:w="6377" w:type="dxa"/>
                  <w:shd w:val="clear" w:color="auto" w:fill="auto"/>
                </w:tcPr>
                <w:p w14:paraId="5F9E2165" w14:textId="77777777" w:rsidR="009C6940" w:rsidRPr="00EF7969" w:rsidRDefault="009C6940" w:rsidP="009C6940">
                  <w:pPr>
                    <w:pStyle w:val="TableBodyText"/>
                    <w:jc w:val="left"/>
                  </w:pPr>
                  <w:r w:rsidRPr="00EF7969">
                    <w:t>Australasian Sleep Association (ASA)</w:t>
                  </w:r>
                </w:p>
              </w:tc>
              <w:tc>
                <w:tcPr>
                  <w:tcW w:w="2126" w:type="dxa"/>
                  <w:shd w:val="clear" w:color="auto" w:fill="auto"/>
                </w:tcPr>
                <w:p w14:paraId="5073FDCD" w14:textId="77777777" w:rsidR="009C6940" w:rsidRPr="00EF7969" w:rsidRDefault="009C6940" w:rsidP="009C6940">
                  <w:pPr>
                    <w:pStyle w:val="TableBodyText"/>
                  </w:pPr>
                  <w:r w:rsidRPr="00EF7969">
                    <w:t>96, 672</w:t>
                  </w:r>
                </w:p>
              </w:tc>
            </w:tr>
            <w:tr w:rsidR="009C6940" w:rsidRPr="00EF7969" w14:paraId="2738B2C4" w14:textId="77777777" w:rsidTr="009C6940">
              <w:tc>
                <w:tcPr>
                  <w:tcW w:w="6377" w:type="dxa"/>
                  <w:shd w:val="clear" w:color="auto" w:fill="auto"/>
                </w:tcPr>
                <w:p w14:paraId="0242746D" w14:textId="77777777" w:rsidR="009C6940" w:rsidRPr="00EF7969" w:rsidRDefault="009C6940" w:rsidP="009C6940">
                  <w:pPr>
                    <w:pStyle w:val="TableBodyText"/>
                    <w:jc w:val="left"/>
                  </w:pPr>
                  <w:r w:rsidRPr="00EF7969">
                    <w:t>Australian Services Union (ASU)</w:t>
                  </w:r>
                </w:p>
              </w:tc>
              <w:tc>
                <w:tcPr>
                  <w:tcW w:w="2126" w:type="dxa"/>
                  <w:shd w:val="clear" w:color="auto" w:fill="auto"/>
                </w:tcPr>
                <w:p w14:paraId="4A7936D0" w14:textId="77777777" w:rsidR="009C6940" w:rsidRPr="00EF7969" w:rsidRDefault="009C6940" w:rsidP="009C6940">
                  <w:pPr>
                    <w:pStyle w:val="TableBodyText"/>
                  </w:pPr>
                  <w:r w:rsidRPr="00EF7969">
                    <w:t>791</w:t>
                  </w:r>
                </w:p>
              </w:tc>
            </w:tr>
            <w:tr w:rsidR="009C6940" w:rsidRPr="00EF7969" w14:paraId="3E631A9D" w14:textId="77777777" w:rsidTr="009C6940">
              <w:tc>
                <w:tcPr>
                  <w:tcW w:w="6377" w:type="dxa"/>
                  <w:shd w:val="clear" w:color="auto" w:fill="auto"/>
                </w:tcPr>
                <w:p w14:paraId="452ED495" w14:textId="77777777" w:rsidR="009C6940" w:rsidRPr="00EF7969" w:rsidRDefault="009C6940" w:rsidP="009C6940">
                  <w:pPr>
                    <w:pStyle w:val="TableBodyText"/>
                    <w:jc w:val="left"/>
                  </w:pPr>
                  <w:r w:rsidRPr="00EF7969">
                    <w:t>Australian Allied Health Leadership Forum (AAHLF)</w:t>
                  </w:r>
                </w:p>
              </w:tc>
              <w:tc>
                <w:tcPr>
                  <w:tcW w:w="2126" w:type="dxa"/>
                  <w:shd w:val="clear" w:color="auto" w:fill="auto"/>
                </w:tcPr>
                <w:p w14:paraId="309E27A1" w14:textId="77777777" w:rsidR="009C6940" w:rsidRPr="00EF7969" w:rsidRDefault="009C6940" w:rsidP="009C6940">
                  <w:pPr>
                    <w:pStyle w:val="TableBodyText"/>
                  </w:pPr>
                  <w:r w:rsidRPr="00EF7969">
                    <w:t>923</w:t>
                  </w:r>
                </w:p>
              </w:tc>
            </w:tr>
            <w:tr w:rsidR="009C6940" w:rsidRPr="00EF7969" w14:paraId="5FE1C965" w14:textId="77777777" w:rsidTr="009C6940">
              <w:tc>
                <w:tcPr>
                  <w:tcW w:w="6377" w:type="dxa"/>
                  <w:shd w:val="clear" w:color="auto" w:fill="auto"/>
                </w:tcPr>
                <w:p w14:paraId="7B00CBAE" w14:textId="77777777" w:rsidR="009C6940" w:rsidRPr="00EF7969" w:rsidRDefault="009C6940" w:rsidP="009C6940">
                  <w:pPr>
                    <w:pStyle w:val="TableBodyText"/>
                    <w:jc w:val="left"/>
                  </w:pPr>
                  <w:r w:rsidRPr="00EF7969">
                    <w:t>Australian and New Zealand Academy for Eating Disorders Inc (ANZAED)</w:t>
                  </w:r>
                </w:p>
              </w:tc>
              <w:tc>
                <w:tcPr>
                  <w:tcW w:w="2126" w:type="dxa"/>
                  <w:shd w:val="clear" w:color="auto" w:fill="auto"/>
                </w:tcPr>
                <w:p w14:paraId="6892B976" w14:textId="77777777" w:rsidR="009C6940" w:rsidRPr="00EF7969" w:rsidRDefault="009C6940" w:rsidP="009C6940">
                  <w:pPr>
                    <w:pStyle w:val="TableBodyText"/>
                  </w:pPr>
                  <w:r w:rsidRPr="00EF7969">
                    <w:t>60</w:t>
                  </w:r>
                </w:p>
              </w:tc>
            </w:tr>
            <w:tr w:rsidR="009C6940" w:rsidRPr="00EF7969" w14:paraId="6C7B37D7" w14:textId="77777777" w:rsidTr="009C6940">
              <w:tc>
                <w:tcPr>
                  <w:tcW w:w="6377" w:type="dxa"/>
                  <w:shd w:val="clear" w:color="auto" w:fill="auto"/>
                </w:tcPr>
                <w:p w14:paraId="73F80640" w14:textId="77777777" w:rsidR="009C6940" w:rsidRPr="00EF7969" w:rsidRDefault="009C6940" w:rsidP="009C6940">
                  <w:pPr>
                    <w:pStyle w:val="TableBodyText"/>
                    <w:jc w:val="left"/>
                  </w:pPr>
                  <w:r w:rsidRPr="00EF7969">
                    <w:t>Australian Antidepressants Awareness</w:t>
                  </w:r>
                </w:p>
              </w:tc>
              <w:tc>
                <w:tcPr>
                  <w:tcW w:w="2126" w:type="dxa"/>
                  <w:shd w:val="clear" w:color="auto" w:fill="auto"/>
                </w:tcPr>
                <w:p w14:paraId="0D14A7EF" w14:textId="77777777" w:rsidR="009C6940" w:rsidRPr="00EF7969" w:rsidRDefault="009C6940" w:rsidP="009C6940">
                  <w:pPr>
                    <w:pStyle w:val="TableBodyText"/>
                  </w:pPr>
                  <w:r w:rsidRPr="00EF7969">
                    <w:t>743</w:t>
                  </w:r>
                </w:p>
              </w:tc>
            </w:tr>
            <w:tr w:rsidR="009C6940" w:rsidRPr="00EF7969" w14:paraId="41FC0738" w14:textId="77777777" w:rsidTr="009C6940">
              <w:tc>
                <w:tcPr>
                  <w:tcW w:w="6377" w:type="dxa"/>
                  <w:shd w:val="clear" w:color="auto" w:fill="auto"/>
                </w:tcPr>
                <w:p w14:paraId="4E1A1FE7" w14:textId="77777777" w:rsidR="009C6940" w:rsidRPr="00EF7969" w:rsidRDefault="009C6940" w:rsidP="009C6940">
                  <w:pPr>
                    <w:pStyle w:val="TableBodyText"/>
                    <w:jc w:val="left"/>
                  </w:pPr>
                  <w:r w:rsidRPr="00EF7969">
                    <w:t>Australian Association of Psychologists Inc (AAPi)</w:t>
                  </w:r>
                </w:p>
              </w:tc>
              <w:tc>
                <w:tcPr>
                  <w:tcW w:w="2126" w:type="dxa"/>
                  <w:shd w:val="clear" w:color="auto" w:fill="auto"/>
                </w:tcPr>
                <w:p w14:paraId="5B46B0DD" w14:textId="77777777" w:rsidR="009C6940" w:rsidRPr="00EF7969" w:rsidRDefault="009C6940" w:rsidP="009C6940">
                  <w:pPr>
                    <w:pStyle w:val="TableBodyText"/>
                  </w:pPr>
                  <w:r w:rsidRPr="00EF7969">
                    <w:t>292, 909</w:t>
                  </w:r>
                </w:p>
              </w:tc>
            </w:tr>
            <w:tr w:rsidR="009C6940" w:rsidRPr="00EF7969" w14:paraId="1887C860" w14:textId="77777777" w:rsidTr="009C6940">
              <w:tc>
                <w:tcPr>
                  <w:tcW w:w="6377" w:type="dxa"/>
                  <w:shd w:val="clear" w:color="auto" w:fill="auto"/>
                </w:tcPr>
                <w:p w14:paraId="7CADCFA0" w14:textId="77777777" w:rsidR="009C6940" w:rsidRPr="00EF7969" w:rsidRDefault="009C6940" w:rsidP="009C6940">
                  <w:pPr>
                    <w:pStyle w:val="TableBodyText"/>
                    <w:jc w:val="left"/>
                  </w:pPr>
                  <w:r w:rsidRPr="00EF7969">
                    <w:t>Australian Association of Social Workers (AASW)</w:t>
                  </w:r>
                </w:p>
              </w:tc>
              <w:tc>
                <w:tcPr>
                  <w:tcW w:w="2126" w:type="dxa"/>
                  <w:shd w:val="clear" w:color="auto" w:fill="auto"/>
                </w:tcPr>
                <w:p w14:paraId="330316A0" w14:textId="77777777" w:rsidR="009C6940" w:rsidRPr="00EF7969" w:rsidRDefault="009C6940" w:rsidP="009C6940">
                  <w:pPr>
                    <w:pStyle w:val="TableBodyText"/>
                  </w:pPr>
                  <w:r w:rsidRPr="00EF7969">
                    <w:t>432, 848</w:t>
                  </w:r>
                </w:p>
              </w:tc>
            </w:tr>
            <w:tr w:rsidR="009C6940" w:rsidRPr="00EF7969" w14:paraId="694A3378" w14:textId="77777777" w:rsidTr="009C6940">
              <w:tc>
                <w:tcPr>
                  <w:tcW w:w="6377" w:type="dxa"/>
                  <w:shd w:val="clear" w:color="auto" w:fill="auto"/>
                </w:tcPr>
                <w:p w14:paraId="2C1ED2F5" w14:textId="77777777" w:rsidR="009C6940" w:rsidRPr="00EF7969" w:rsidRDefault="009C6940" w:rsidP="009C6940">
                  <w:pPr>
                    <w:pStyle w:val="TableBodyText"/>
                    <w:jc w:val="left"/>
                  </w:pPr>
                  <w:r w:rsidRPr="00EF7969">
                    <w:t>Australian BPD Foundation</w:t>
                  </w:r>
                </w:p>
              </w:tc>
              <w:tc>
                <w:tcPr>
                  <w:tcW w:w="2126" w:type="dxa"/>
                  <w:shd w:val="clear" w:color="auto" w:fill="auto"/>
                </w:tcPr>
                <w:p w14:paraId="358FD0CE" w14:textId="77777777" w:rsidR="009C6940" w:rsidRPr="00EF7969" w:rsidRDefault="009C6940" w:rsidP="009C6940">
                  <w:pPr>
                    <w:pStyle w:val="TableBodyText"/>
                  </w:pPr>
                  <w:r w:rsidRPr="00EF7969">
                    <w:t>267</w:t>
                  </w:r>
                </w:p>
              </w:tc>
            </w:tr>
            <w:tr w:rsidR="009C6940" w:rsidRPr="00EF7969" w14:paraId="4AA22599" w14:textId="77777777" w:rsidTr="009C6940">
              <w:tc>
                <w:tcPr>
                  <w:tcW w:w="6377" w:type="dxa"/>
                  <w:shd w:val="clear" w:color="auto" w:fill="auto"/>
                </w:tcPr>
                <w:p w14:paraId="5EA56B1E" w14:textId="77777777" w:rsidR="009C6940" w:rsidRPr="00EF7969" w:rsidRDefault="009C6940" w:rsidP="009C6940">
                  <w:pPr>
                    <w:pStyle w:val="TableBodyText"/>
                    <w:jc w:val="left"/>
                  </w:pPr>
                  <w:r w:rsidRPr="00EF7969">
                    <w:t>Australian Catholic Bishops Conference (ACBC)</w:t>
                  </w:r>
                </w:p>
              </w:tc>
              <w:tc>
                <w:tcPr>
                  <w:tcW w:w="2126" w:type="dxa"/>
                  <w:shd w:val="clear" w:color="auto" w:fill="auto"/>
                </w:tcPr>
                <w:p w14:paraId="0B0B46A7" w14:textId="77777777" w:rsidR="009C6940" w:rsidRPr="00EF7969" w:rsidRDefault="009C6940" w:rsidP="009C6940">
                  <w:pPr>
                    <w:pStyle w:val="TableBodyText"/>
                  </w:pPr>
                  <w:r w:rsidRPr="00EF7969">
                    <w:t>913</w:t>
                  </w:r>
                </w:p>
              </w:tc>
            </w:tr>
            <w:tr w:rsidR="009C6940" w:rsidRPr="00EF7969" w14:paraId="5D11456D" w14:textId="77777777" w:rsidTr="009C6940">
              <w:tc>
                <w:tcPr>
                  <w:tcW w:w="6377" w:type="dxa"/>
                  <w:shd w:val="clear" w:color="auto" w:fill="auto"/>
                </w:tcPr>
                <w:p w14:paraId="49892983" w14:textId="77777777" w:rsidR="009C6940" w:rsidRPr="00EF7969" w:rsidRDefault="009C6940" w:rsidP="009C6940">
                  <w:pPr>
                    <w:pStyle w:val="TableBodyText"/>
                    <w:jc w:val="left"/>
                  </w:pPr>
                  <w:r w:rsidRPr="00EF7969">
                    <w:t>Australian Chamber of Commerce and Industry (ACCI)</w:t>
                  </w:r>
                </w:p>
              </w:tc>
              <w:tc>
                <w:tcPr>
                  <w:tcW w:w="2126" w:type="dxa"/>
                  <w:shd w:val="clear" w:color="auto" w:fill="auto"/>
                </w:tcPr>
                <w:p w14:paraId="2E0A52A5" w14:textId="77777777" w:rsidR="009C6940" w:rsidRPr="00EF7969" w:rsidRDefault="009C6940" w:rsidP="009C6940">
                  <w:pPr>
                    <w:pStyle w:val="TableBodyText"/>
                  </w:pPr>
                  <w:r w:rsidRPr="00EF7969">
                    <w:t>365, 1202</w:t>
                  </w:r>
                </w:p>
              </w:tc>
            </w:tr>
            <w:tr w:rsidR="009C6940" w:rsidRPr="00EF7969" w14:paraId="34BE7E9C" w14:textId="77777777" w:rsidTr="009C6940">
              <w:tc>
                <w:tcPr>
                  <w:tcW w:w="6377" w:type="dxa"/>
                  <w:shd w:val="clear" w:color="auto" w:fill="auto"/>
                </w:tcPr>
                <w:p w14:paraId="7AA15D5B" w14:textId="77777777" w:rsidR="009C6940" w:rsidRPr="00EF7969" w:rsidRDefault="009C6940" w:rsidP="009C6940">
                  <w:pPr>
                    <w:pStyle w:val="TableBodyText"/>
                    <w:jc w:val="left"/>
                  </w:pPr>
                  <w:r w:rsidRPr="00EF7969">
                    <w:t>Australian Childcare Alliance (ACA)</w:t>
                  </w:r>
                </w:p>
              </w:tc>
              <w:tc>
                <w:tcPr>
                  <w:tcW w:w="2126" w:type="dxa"/>
                  <w:shd w:val="clear" w:color="auto" w:fill="auto"/>
                </w:tcPr>
                <w:p w14:paraId="1B876871" w14:textId="77777777" w:rsidR="009C6940" w:rsidRPr="00EF7969" w:rsidRDefault="009C6940" w:rsidP="009C6940">
                  <w:pPr>
                    <w:pStyle w:val="TableBodyText"/>
                  </w:pPr>
                  <w:r w:rsidRPr="00EF7969">
                    <w:t>867</w:t>
                  </w:r>
                </w:p>
              </w:tc>
            </w:tr>
            <w:tr w:rsidR="009C6940" w:rsidRPr="00EF7969" w14:paraId="3647BE94" w14:textId="77777777" w:rsidTr="009C6940">
              <w:tc>
                <w:tcPr>
                  <w:tcW w:w="6377" w:type="dxa"/>
                  <w:shd w:val="clear" w:color="auto" w:fill="auto"/>
                </w:tcPr>
                <w:p w14:paraId="0B0BEC0F" w14:textId="77777777" w:rsidR="009C6940" w:rsidRPr="00EF7969" w:rsidRDefault="009C6940" w:rsidP="009C6940">
                  <w:pPr>
                    <w:pStyle w:val="TableBodyText"/>
                    <w:jc w:val="left"/>
                  </w:pPr>
                  <w:r w:rsidRPr="00EF7969">
                    <w:t>Australian Childcare Alliance (ACA), Monash Partners and SPHERE; National</w:t>
                  </w:r>
                  <w:r>
                    <w:br/>
                  </w:r>
                  <w:r w:rsidRPr="00EF7969">
                    <w:t xml:space="preserve"> </w:t>
                  </w:r>
                  <w:r>
                    <w:t xml:space="preserve"> </w:t>
                  </w:r>
                  <w:r w:rsidRPr="00EF7969">
                    <w:t>Voice for our Children (SNAICC)</w:t>
                  </w:r>
                </w:p>
              </w:tc>
              <w:tc>
                <w:tcPr>
                  <w:tcW w:w="2126" w:type="dxa"/>
                  <w:shd w:val="clear" w:color="auto" w:fill="auto"/>
                </w:tcPr>
                <w:p w14:paraId="636BB691" w14:textId="77777777" w:rsidR="009C6940" w:rsidRPr="00EF7969" w:rsidRDefault="009C6940" w:rsidP="009C6940">
                  <w:pPr>
                    <w:pStyle w:val="TableBodyText"/>
                  </w:pPr>
                  <w:r w:rsidRPr="00EF7969">
                    <w:t>868</w:t>
                  </w:r>
                </w:p>
              </w:tc>
            </w:tr>
            <w:tr w:rsidR="009C6940" w:rsidRPr="00EF7969" w14:paraId="4ED548F9" w14:textId="77777777" w:rsidTr="009C6940">
              <w:tc>
                <w:tcPr>
                  <w:tcW w:w="6377" w:type="dxa"/>
                  <w:shd w:val="clear" w:color="auto" w:fill="auto"/>
                </w:tcPr>
                <w:p w14:paraId="79670ECD" w14:textId="77777777" w:rsidR="009C6940" w:rsidRPr="00EF7969" w:rsidRDefault="009C6940" w:rsidP="009C6940">
                  <w:pPr>
                    <w:pStyle w:val="TableBodyText"/>
                    <w:jc w:val="left"/>
                  </w:pPr>
                  <w:r w:rsidRPr="00EF7969">
                    <w:t>Australian Children’s Education and Care Quality Authority (ACECQA)</w:t>
                  </w:r>
                </w:p>
              </w:tc>
              <w:tc>
                <w:tcPr>
                  <w:tcW w:w="2126" w:type="dxa"/>
                  <w:shd w:val="clear" w:color="auto" w:fill="auto"/>
                  <w:vAlign w:val="center"/>
                </w:tcPr>
                <w:p w14:paraId="01AFC2EA" w14:textId="77777777" w:rsidR="009C6940" w:rsidRPr="00EF7969" w:rsidRDefault="009C6940" w:rsidP="009C6940">
                  <w:pPr>
                    <w:pStyle w:val="TableBodyText"/>
                  </w:pPr>
                  <w:r w:rsidRPr="00EF7969">
                    <w:t>673</w:t>
                  </w:r>
                </w:p>
              </w:tc>
            </w:tr>
            <w:tr w:rsidR="009C6940" w:rsidRPr="00EF7969" w14:paraId="1A8AA8B5" w14:textId="77777777" w:rsidTr="009C6940">
              <w:tc>
                <w:tcPr>
                  <w:tcW w:w="6377" w:type="dxa"/>
                  <w:shd w:val="clear" w:color="auto" w:fill="auto"/>
                </w:tcPr>
                <w:p w14:paraId="675D5A9D" w14:textId="77777777" w:rsidR="009C6940" w:rsidRPr="00EF7969" w:rsidRDefault="009C6940" w:rsidP="009C6940">
                  <w:pPr>
                    <w:pStyle w:val="TableBodyText"/>
                    <w:jc w:val="left"/>
                  </w:pPr>
                  <w:r w:rsidRPr="00EF7969">
                    <w:t>Australian Chronic Disease Prevention Alliance (ACDPA) and Quit Victoria</w:t>
                  </w:r>
                </w:p>
              </w:tc>
              <w:tc>
                <w:tcPr>
                  <w:tcW w:w="2126" w:type="dxa"/>
                  <w:shd w:val="clear" w:color="auto" w:fill="auto"/>
                </w:tcPr>
                <w:p w14:paraId="036A27EF" w14:textId="77777777" w:rsidR="009C6940" w:rsidRPr="00EF7969" w:rsidRDefault="009C6940" w:rsidP="009C6940">
                  <w:pPr>
                    <w:pStyle w:val="TableBodyText"/>
                  </w:pPr>
                  <w:r w:rsidRPr="00EF7969">
                    <w:t>140</w:t>
                  </w:r>
                </w:p>
              </w:tc>
            </w:tr>
            <w:tr w:rsidR="009C6940" w:rsidRPr="00EF7969" w14:paraId="2A123E43" w14:textId="77777777" w:rsidTr="009C6940">
              <w:tc>
                <w:tcPr>
                  <w:tcW w:w="6377" w:type="dxa"/>
                  <w:shd w:val="clear" w:color="auto" w:fill="auto"/>
                </w:tcPr>
                <w:p w14:paraId="5476FA06" w14:textId="77777777" w:rsidR="009C6940" w:rsidRPr="00EF7969" w:rsidRDefault="009C6940" w:rsidP="009C6940">
                  <w:pPr>
                    <w:pStyle w:val="TableBodyText"/>
                    <w:jc w:val="left"/>
                  </w:pPr>
                  <w:r w:rsidRPr="00EF7969">
                    <w:t>Australian City Mental Health Alliance</w:t>
                  </w:r>
                </w:p>
              </w:tc>
              <w:tc>
                <w:tcPr>
                  <w:tcW w:w="2126" w:type="dxa"/>
                  <w:shd w:val="clear" w:color="auto" w:fill="auto"/>
                </w:tcPr>
                <w:p w14:paraId="7362A2F3" w14:textId="77777777" w:rsidR="009C6940" w:rsidRPr="00EF7969" w:rsidRDefault="009C6940" w:rsidP="009C6940">
                  <w:pPr>
                    <w:pStyle w:val="TableBodyText"/>
                  </w:pPr>
                  <w:r w:rsidRPr="00EF7969">
                    <w:t>471</w:t>
                  </w:r>
                </w:p>
              </w:tc>
            </w:tr>
            <w:tr w:rsidR="009C6940" w:rsidRPr="00EF7969" w14:paraId="11ABA92D" w14:textId="77777777" w:rsidTr="009C6940">
              <w:tc>
                <w:tcPr>
                  <w:tcW w:w="6377" w:type="dxa"/>
                  <w:shd w:val="clear" w:color="auto" w:fill="auto"/>
                </w:tcPr>
                <w:p w14:paraId="18EB5F18" w14:textId="77777777" w:rsidR="009C6940" w:rsidRPr="00EF7969" w:rsidRDefault="009C6940" w:rsidP="009C6940">
                  <w:pPr>
                    <w:pStyle w:val="TableBodyText"/>
                    <w:jc w:val="left"/>
                  </w:pPr>
                  <w:r w:rsidRPr="00EF7969">
                    <w:t>Australian Clinical Psychology Association (ACPA)</w:t>
                  </w:r>
                </w:p>
              </w:tc>
              <w:tc>
                <w:tcPr>
                  <w:tcW w:w="2126" w:type="dxa"/>
                  <w:shd w:val="clear" w:color="auto" w:fill="auto"/>
                </w:tcPr>
                <w:p w14:paraId="18ABCB87" w14:textId="77777777" w:rsidR="009C6940" w:rsidRPr="00EF7969" w:rsidRDefault="009C6940" w:rsidP="009C6940">
                  <w:pPr>
                    <w:pStyle w:val="TableBodyText"/>
                  </w:pPr>
                  <w:r w:rsidRPr="00EF7969">
                    <w:t>359, 727</w:t>
                  </w:r>
                </w:p>
              </w:tc>
            </w:tr>
            <w:tr w:rsidR="009C6940" w:rsidRPr="00EF7969" w14:paraId="4F6C5B70" w14:textId="77777777" w:rsidTr="009C6940">
              <w:tc>
                <w:tcPr>
                  <w:tcW w:w="6377" w:type="dxa"/>
                  <w:shd w:val="clear" w:color="auto" w:fill="auto"/>
                </w:tcPr>
                <w:p w14:paraId="0185E07E" w14:textId="77777777" w:rsidR="009C6940" w:rsidRPr="00EF7969" w:rsidRDefault="009C6940" w:rsidP="009C6940">
                  <w:pPr>
                    <w:pStyle w:val="TableBodyText"/>
                    <w:jc w:val="left"/>
                  </w:pPr>
                  <w:r w:rsidRPr="00EF7969">
                    <w:t>Australian College of Mental Health Nurses (ACMHN)</w:t>
                  </w:r>
                </w:p>
              </w:tc>
              <w:tc>
                <w:tcPr>
                  <w:tcW w:w="2126" w:type="dxa"/>
                  <w:shd w:val="clear" w:color="auto" w:fill="auto"/>
                </w:tcPr>
                <w:p w14:paraId="0801FDA5" w14:textId="77777777" w:rsidR="009C6940" w:rsidRPr="00EF7969" w:rsidRDefault="009C6940" w:rsidP="009C6940">
                  <w:pPr>
                    <w:pStyle w:val="TableBodyText"/>
                  </w:pPr>
                  <w:r w:rsidRPr="00EF7969">
                    <w:t>501, 852</w:t>
                  </w:r>
                </w:p>
              </w:tc>
            </w:tr>
            <w:tr w:rsidR="009C6940" w:rsidRPr="00EF7969" w14:paraId="41326F6D" w14:textId="77777777" w:rsidTr="009C6940">
              <w:tc>
                <w:tcPr>
                  <w:tcW w:w="6377" w:type="dxa"/>
                  <w:shd w:val="clear" w:color="auto" w:fill="auto"/>
                </w:tcPr>
                <w:p w14:paraId="0AFCBB62" w14:textId="77777777" w:rsidR="009C6940" w:rsidRPr="00EF7969" w:rsidRDefault="009C6940" w:rsidP="009C6940">
                  <w:pPr>
                    <w:pStyle w:val="TableBodyText"/>
                    <w:jc w:val="left"/>
                  </w:pPr>
                  <w:r w:rsidRPr="00EF7969">
                    <w:t>Australian College of Midwives (ACM)</w:t>
                  </w:r>
                </w:p>
              </w:tc>
              <w:tc>
                <w:tcPr>
                  <w:tcW w:w="2126" w:type="dxa"/>
                  <w:shd w:val="clear" w:color="auto" w:fill="auto"/>
                </w:tcPr>
                <w:p w14:paraId="1CAD58C0" w14:textId="77777777" w:rsidR="009C6940" w:rsidRPr="00EF7969" w:rsidRDefault="009C6940" w:rsidP="009C6940">
                  <w:pPr>
                    <w:pStyle w:val="TableBodyText"/>
                  </w:pPr>
                  <w:r w:rsidRPr="00EF7969">
                    <w:t>1230</w:t>
                  </w:r>
                </w:p>
              </w:tc>
            </w:tr>
            <w:tr w:rsidR="009C6940" w:rsidRPr="00EF7969" w14:paraId="40453CDE" w14:textId="77777777" w:rsidTr="009C6940">
              <w:tc>
                <w:tcPr>
                  <w:tcW w:w="6377" w:type="dxa"/>
                  <w:tcBorders>
                    <w:bottom w:val="single" w:sz="6" w:space="0" w:color="BFBFBF"/>
                  </w:tcBorders>
                  <w:shd w:val="clear" w:color="auto" w:fill="auto"/>
                </w:tcPr>
                <w:p w14:paraId="46E992D9" w14:textId="77777777" w:rsidR="009C6940" w:rsidRPr="00EF7969" w:rsidRDefault="009C6940" w:rsidP="009C6940">
                  <w:pPr>
                    <w:pStyle w:val="TableBodyText"/>
                    <w:jc w:val="left"/>
                  </w:pPr>
                  <w:r w:rsidRPr="00EF7969">
                    <w:t>Australian College of Nursing (ACN)</w:t>
                  </w:r>
                </w:p>
              </w:tc>
              <w:tc>
                <w:tcPr>
                  <w:tcW w:w="2126" w:type="dxa"/>
                  <w:tcBorders>
                    <w:bottom w:val="single" w:sz="6" w:space="0" w:color="BFBFBF"/>
                  </w:tcBorders>
                  <w:shd w:val="clear" w:color="auto" w:fill="auto"/>
                </w:tcPr>
                <w:p w14:paraId="09B3580A" w14:textId="77777777" w:rsidR="009C6940" w:rsidRPr="00EF7969" w:rsidRDefault="009C6940" w:rsidP="009C6940">
                  <w:pPr>
                    <w:pStyle w:val="TableBodyText"/>
                  </w:pPr>
                  <w:r w:rsidRPr="00EF7969">
                    <w:t>914</w:t>
                  </w:r>
                </w:p>
              </w:tc>
            </w:tr>
          </w:tbl>
          <w:p w14:paraId="3B3CE432" w14:textId="77777777" w:rsidR="009C6940" w:rsidRPr="00EF7969" w:rsidRDefault="009C6940" w:rsidP="009C6940">
            <w:pPr>
              <w:pStyle w:val="Box"/>
            </w:pPr>
          </w:p>
        </w:tc>
      </w:tr>
      <w:tr w:rsidR="009C6940" w:rsidRPr="00EF7969" w14:paraId="218C2703" w14:textId="77777777" w:rsidTr="009C6940">
        <w:tc>
          <w:tcPr>
            <w:tcW w:w="8789" w:type="dxa"/>
            <w:tcBorders>
              <w:top w:val="nil"/>
              <w:left w:val="nil"/>
              <w:bottom w:val="nil"/>
              <w:right w:val="nil"/>
            </w:tcBorders>
            <w:shd w:val="clear" w:color="auto" w:fill="auto"/>
          </w:tcPr>
          <w:p w14:paraId="06EF3335" w14:textId="77777777" w:rsidR="009C6940" w:rsidRPr="00EF7969" w:rsidRDefault="009C6940" w:rsidP="009C6940">
            <w:pPr>
              <w:pStyle w:val="Continued"/>
            </w:pPr>
            <w:r w:rsidRPr="00EF7969">
              <w:t>(continued next page)</w:t>
            </w:r>
          </w:p>
        </w:tc>
      </w:tr>
      <w:tr w:rsidR="009C6940" w:rsidRPr="00EF7969" w14:paraId="4D5CE296" w14:textId="77777777" w:rsidTr="009C6940">
        <w:tc>
          <w:tcPr>
            <w:tcW w:w="8789" w:type="dxa"/>
            <w:tcBorders>
              <w:top w:val="nil"/>
              <w:left w:val="nil"/>
              <w:bottom w:val="single" w:sz="6" w:space="0" w:color="78A22F"/>
              <w:right w:val="nil"/>
            </w:tcBorders>
            <w:shd w:val="clear" w:color="auto" w:fill="auto"/>
          </w:tcPr>
          <w:p w14:paraId="18C15EC1" w14:textId="77777777" w:rsidR="009C6940" w:rsidRPr="00EF7969" w:rsidRDefault="009C6940" w:rsidP="009C6940">
            <w:pPr>
              <w:pStyle w:val="Box"/>
              <w:spacing w:before="0" w:line="120" w:lineRule="exact"/>
            </w:pPr>
          </w:p>
        </w:tc>
      </w:tr>
      <w:tr w:rsidR="009C6940" w:rsidRPr="00EF7969" w14:paraId="24A73F1F" w14:textId="77777777" w:rsidTr="009C6940">
        <w:tc>
          <w:tcPr>
            <w:tcW w:w="8789" w:type="dxa"/>
            <w:tcBorders>
              <w:top w:val="single" w:sz="6" w:space="0" w:color="78A22F"/>
              <w:left w:val="nil"/>
              <w:bottom w:val="nil"/>
              <w:right w:val="nil"/>
            </w:tcBorders>
          </w:tcPr>
          <w:p w14:paraId="7F6D717A" w14:textId="77777777" w:rsidR="009C6940" w:rsidRPr="00EF7969" w:rsidRDefault="009C6940" w:rsidP="009C6940">
            <w:pPr>
              <w:pStyle w:val="BoxSpaceBelow"/>
            </w:pPr>
          </w:p>
        </w:tc>
      </w:tr>
    </w:tbl>
    <w:p w14:paraId="3F2D4E05"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3392EA97" w14:textId="77777777" w:rsidTr="009C6940">
        <w:trPr>
          <w:tblHeader/>
        </w:trPr>
        <w:tc>
          <w:tcPr>
            <w:tcW w:w="8789" w:type="dxa"/>
            <w:tcBorders>
              <w:top w:val="single" w:sz="6" w:space="0" w:color="78A22F"/>
              <w:left w:val="nil"/>
              <w:bottom w:val="nil"/>
              <w:right w:val="nil"/>
            </w:tcBorders>
            <w:shd w:val="clear" w:color="auto" w:fill="auto"/>
          </w:tcPr>
          <w:p w14:paraId="4816F3C7" w14:textId="77777777" w:rsidR="009C6940" w:rsidRPr="00EF7969" w:rsidRDefault="009C6940" w:rsidP="009C6940">
            <w:pPr>
              <w:pStyle w:val="TableTitle"/>
              <w:spacing w:before="80"/>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338BD2A7" w14:textId="77777777" w:rsidTr="009C6940">
        <w:tc>
          <w:tcPr>
            <w:tcW w:w="8789" w:type="dxa"/>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6378"/>
              <w:gridCol w:w="2126"/>
            </w:tblGrid>
            <w:tr w:rsidR="009C6940" w:rsidRPr="00EF7969" w14:paraId="2B08D427" w14:textId="77777777" w:rsidTr="009C6940">
              <w:trPr>
                <w:tblHeader/>
              </w:trPr>
              <w:tc>
                <w:tcPr>
                  <w:tcW w:w="6378" w:type="dxa"/>
                  <w:tcBorders>
                    <w:top w:val="single" w:sz="6" w:space="0" w:color="BFBFBF"/>
                    <w:bottom w:val="single" w:sz="6" w:space="0" w:color="BFBFBF"/>
                  </w:tcBorders>
                  <w:shd w:val="clear" w:color="auto" w:fill="auto"/>
                  <w:tcMar>
                    <w:top w:w="28" w:type="dxa"/>
                  </w:tcMar>
                </w:tcPr>
                <w:p w14:paraId="263E7FC5"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46B86509" w14:textId="77777777" w:rsidR="009C6940" w:rsidRPr="00EF7969" w:rsidRDefault="009C6940" w:rsidP="009C6940">
                  <w:pPr>
                    <w:pStyle w:val="TableColumnHeading"/>
                    <w:ind w:right="28"/>
                  </w:pPr>
                  <w:r w:rsidRPr="00EF7969">
                    <w:t>Submission no.</w:t>
                  </w:r>
                </w:p>
              </w:tc>
            </w:tr>
            <w:tr w:rsidR="009C6940" w:rsidRPr="00EF7969" w14:paraId="3424D4F5" w14:textId="77777777" w:rsidTr="009C6940">
              <w:tc>
                <w:tcPr>
                  <w:tcW w:w="6378" w:type="dxa"/>
                  <w:shd w:val="clear" w:color="auto" w:fill="auto"/>
                </w:tcPr>
                <w:p w14:paraId="0CBF9365" w14:textId="77777777" w:rsidR="009C6940" w:rsidRPr="00EF7969" w:rsidRDefault="009C6940" w:rsidP="009C6940">
                  <w:pPr>
                    <w:pStyle w:val="TableBodyText"/>
                    <w:spacing w:before="40"/>
                    <w:jc w:val="left"/>
                  </w:pPr>
                  <w:r w:rsidRPr="00EF7969">
                    <w:t>Australian Council of Social Service (ACOSS)</w:t>
                  </w:r>
                </w:p>
              </w:tc>
              <w:tc>
                <w:tcPr>
                  <w:tcW w:w="2126" w:type="dxa"/>
                  <w:shd w:val="clear" w:color="auto" w:fill="auto"/>
                </w:tcPr>
                <w:p w14:paraId="2C863826" w14:textId="77777777" w:rsidR="009C6940" w:rsidRPr="00EF7969" w:rsidRDefault="009C6940" w:rsidP="009C6940">
                  <w:pPr>
                    <w:pStyle w:val="TableBodyText"/>
                    <w:spacing w:before="40"/>
                  </w:pPr>
                  <w:r w:rsidRPr="00EF7969">
                    <w:t>270, 1208</w:t>
                  </w:r>
                </w:p>
              </w:tc>
            </w:tr>
            <w:tr w:rsidR="009C6940" w:rsidRPr="00EF7969" w14:paraId="03502E16" w14:textId="77777777" w:rsidTr="009C6940">
              <w:tc>
                <w:tcPr>
                  <w:tcW w:w="6378" w:type="dxa"/>
                  <w:shd w:val="clear" w:color="auto" w:fill="auto"/>
                </w:tcPr>
                <w:p w14:paraId="040A9BF7" w14:textId="77777777" w:rsidR="009C6940" w:rsidRPr="00EF7969" w:rsidRDefault="009C6940" w:rsidP="009C6940">
                  <w:pPr>
                    <w:pStyle w:val="TableBodyText"/>
                    <w:jc w:val="left"/>
                  </w:pPr>
                  <w:r w:rsidRPr="00EF7969">
                    <w:t>Australian Council of Trade Unions (ACTU)</w:t>
                  </w:r>
                </w:p>
              </w:tc>
              <w:tc>
                <w:tcPr>
                  <w:tcW w:w="2126" w:type="dxa"/>
                  <w:shd w:val="clear" w:color="auto" w:fill="auto"/>
                </w:tcPr>
                <w:p w14:paraId="260E07DB" w14:textId="77777777" w:rsidR="009C6940" w:rsidRPr="00EF7969" w:rsidRDefault="009C6940" w:rsidP="009C6940">
                  <w:pPr>
                    <w:pStyle w:val="TableBodyText"/>
                  </w:pPr>
                  <w:r w:rsidRPr="00EF7969">
                    <w:t>452, 1214</w:t>
                  </w:r>
                </w:p>
              </w:tc>
            </w:tr>
            <w:tr w:rsidR="009C6940" w:rsidRPr="00EF7969" w14:paraId="41394C17" w14:textId="77777777" w:rsidTr="009C6940">
              <w:tc>
                <w:tcPr>
                  <w:tcW w:w="6378" w:type="dxa"/>
                  <w:shd w:val="clear" w:color="auto" w:fill="auto"/>
                </w:tcPr>
                <w:p w14:paraId="3604A715" w14:textId="77777777" w:rsidR="009C6940" w:rsidRPr="00EF7969" w:rsidRDefault="009C6940" w:rsidP="009C6940">
                  <w:pPr>
                    <w:pStyle w:val="TableBodyText"/>
                    <w:jc w:val="left"/>
                  </w:pPr>
                  <w:r w:rsidRPr="00EF7969">
                    <w:t>Australian Counselling Association</w:t>
                  </w:r>
                </w:p>
              </w:tc>
              <w:tc>
                <w:tcPr>
                  <w:tcW w:w="2126" w:type="dxa"/>
                  <w:shd w:val="clear" w:color="auto" w:fill="auto"/>
                </w:tcPr>
                <w:p w14:paraId="6B8AA719" w14:textId="77777777" w:rsidR="009C6940" w:rsidRPr="00EF7969" w:rsidRDefault="009C6940" w:rsidP="009C6940">
                  <w:pPr>
                    <w:pStyle w:val="TableBodyText"/>
                  </w:pPr>
                  <w:r w:rsidRPr="00EF7969">
                    <w:t>1115</w:t>
                  </w:r>
                </w:p>
              </w:tc>
            </w:tr>
            <w:tr w:rsidR="009C6940" w:rsidRPr="00EF7969" w14:paraId="4C5E1550" w14:textId="77777777" w:rsidTr="009C6940">
              <w:tc>
                <w:tcPr>
                  <w:tcW w:w="6378" w:type="dxa"/>
                  <w:shd w:val="clear" w:color="auto" w:fill="auto"/>
                </w:tcPr>
                <w:p w14:paraId="4E28D84F" w14:textId="77777777" w:rsidR="009C6940" w:rsidRPr="00EF7969" w:rsidRDefault="009C6940" w:rsidP="009C6940">
                  <w:pPr>
                    <w:pStyle w:val="TableBodyText"/>
                    <w:jc w:val="left"/>
                  </w:pPr>
                  <w:r w:rsidRPr="00EF7969">
                    <w:t xml:space="preserve">Australian Education Union (AEU) NSW Teachers Federation </w:t>
                  </w:r>
                </w:p>
              </w:tc>
              <w:tc>
                <w:tcPr>
                  <w:tcW w:w="2126" w:type="dxa"/>
                  <w:shd w:val="clear" w:color="auto" w:fill="auto"/>
                </w:tcPr>
                <w:p w14:paraId="0FFF3342" w14:textId="77777777" w:rsidR="009C6940" w:rsidRPr="00EF7969" w:rsidRDefault="009C6940" w:rsidP="009C6940">
                  <w:pPr>
                    <w:pStyle w:val="TableBodyText"/>
                  </w:pPr>
                  <w:r w:rsidRPr="00EF7969">
                    <w:t>305</w:t>
                  </w:r>
                </w:p>
              </w:tc>
            </w:tr>
            <w:tr w:rsidR="009C6940" w:rsidRPr="00EF7969" w14:paraId="530C3B21" w14:textId="77777777" w:rsidTr="009C6940">
              <w:tc>
                <w:tcPr>
                  <w:tcW w:w="6378" w:type="dxa"/>
                  <w:shd w:val="clear" w:color="auto" w:fill="auto"/>
                </w:tcPr>
                <w:p w14:paraId="50646997" w14:textId="77777777" w:rsidR="009C6940" w:rsidRPr="00EF7969" w:rsidRDefault="009C6940" w:rsidP="009C6940">
                  <w:pPr>
                    <w:pStyle w:val="TableBodyText"/>
                    <w:jc w:val="left"/>
                  </w:pPr>
                  <w:r w:rsidRPr="00EF7969">
                    <w:t xml:space="preserve">Australian Government Department of Communications and the Arts </w:t>
                  </w:r>
                </w:p>
              </w:tc>
              <w:tc>
                <w:tcPr>
                  <w:tcW w:w="2126" w:type="dxa"/>
                  <w:shd w:val="clear" w:color="auto" w:fill="auto"/>
                </w:tcPr>
                <w:p w14:paraId="3733A34B" w14:textId="77777777" w:rsidR="009C6940" w:rsidRPr="00EF7969" w:rsidRDefault="009C6940" w:rsidP="009C6940">
                  <w:pPr>
                    <w:pStyle w:val="TableBodyText"/>
                  </w:pPr>
                  <w:r w:rsidRPr="00EF7969">
                    <w:t>82</w:t>
                  </w:r>
                </w:p>
              </w:tc>
            </w:tr>
            <w:tr w:rsidR="009C6940" w:rsidRPr="00EF7969" w14:paraId="3422AEBB" w14:textId="77777777" w:rsidTr="009C6940">
              <w:tc>
                <w:tcPr>
                  <w:tcW w:w="6378" w:type="dxa"/>
                  <w:shd w:val="clear" w:color="auto" w:fill="auto"/>
                </w:tcPr>
                <w:p w14:paraId="17453463" w14:textId="77777777" w:rsidR="009C6940" w:rsidRPr="00EF7969" w:rsidRDefault="009C6940" w:rsidP="009C6940">
                  <w:pPr>
                    <w:pStyle w:val="TableBodyText"/>
                    <w:jc w:val="left"/>
                  </w:pPr>
                  <w:r w:rsidRPr="00EF7969">
                    <w:t>Australian Government Department of Health (DoH)</w:t>
                  </w:r>
                </w:p>
              </w:tc>
              <w:tc>
                <w:tcPr>
                  <w:tcW w:w="2126" w:type="dxa"/>
                  <w:shd w:val="clear" w:color="auto" w:fill="auto"/>
                </w:tcPr>
                <w:p w14:paraId="54F773CF" w14:textId="77777777" w:rsidR="009C6940" w:rsidRPr="00EF7969" w:rsidRDefault="009C6940" w:rsidP="009C6940">
                  <w:pPr>
                    <w:pStyle w:val="TableBodyText"/>
                  </w:pPr>
                  <w:r w:rsidRPr="00EF7969">
                    <w:t>556</w:t>
                  </w:r>
                </w:p>
              </w:tc>
            </w:tr>
            <w:tr w:rsidR="009C6940" w:rsidRPr="00EF7969" w14:paraId="3D64A151" w14:textId="77777777" w:rsidTr="009C6940">
              <w:tc>
                <w:tcPr>
                  <w:tcW w:w="6378" w:type="dxa"/>
                  <w:shd w:val="clear" w:color="auto" w:fill="auto"/>
                </w:tcPr>
                <w:p w14:paraId="3196104E" w14:textId="77777777" w:rsidR="009C6940" w:rsidRPr="00EF7969" w:rsidRDefault="009C6940" w:rsidP="009C6940">
                  <w:pPr>
                    <w:pStyle w:val="TableBodyText"/>
                    <w:jc w:val="left"/>
                  </w:pPr>
                  <w:r w:rsidRPr="00EF7969">
                    <w:t>Australian Government Department of Jobs and Small Business (DJSB)</w:t>
                  </w:r>
                </w:p>
              </w:tc>
              <w:tc>
                <w:tcPr>
                  <w:tcW w:w="2126" w:type="dxa"/>
                  <w:shd w:val="clear" w:color="auto" w:fill="auto"/>
                </w:tcPr>
                <w:p w14:paraId="64FC480A" w14:textId="77777777" w:rsidR="009C6940" w:rsidRPr="00EF7969" w:rsidRDefault="009C6940" w:rsidP="009C6940">
                  <w:pPr>
                    <w:pStyle w:val="TableBodyText"/>
                  </w:pPr>
                  <w:r w:rsidRPr="00EF7969">
                    <w:t>302</w:t>
                  </w:r>
                </w:p>
              </w:tc>
            </w:tr>
            <w:tr w:rsidR="009C6940" w:rsidRPr="00EF7969" w14:paraId="6AB67123" w14:textId="77777777" w:rsidTr="009C6940">
              <w:tc>
                <w:tcPr>
                  <w:tcW w:w="6378" w:type="dxa"/>
                  <w:shd w:val="clear" w:color="auto" w:fill="auto"/>
                </w:tcPr>
                <w:p w14:paraId="588D79AA" w14:textId="77777777" w:rsidR="009C6940" w:rsidRPr="00EF7969" w:rsidRDefault="009C6940" w:rsidP="009C6940">
                  <w:pPr>
                    <w:pStyle w:val="TableBodyText"/>
                    <w:jc w:val="left"/>
                  </w:pPr>
                  <w:r w:rsidRPr="00EF7969">
                    <w:t>Australian Healthcare and Hospitals Association (AHHA)</w:t>
                  </w:r>
                </w:p>
              </w:tc>
              <w:tc>
                <w:tcPr>
                  <w:tcW w:w="2126" w:type="dxa"/>
                  <w:shd w:val="clear" w:color="auto" w:fill="auto"/>
                </w:tcPr>
                <w:p w14:paraId="46815569" w14:textId="77777777" w:rsidR="009C6940" w:rsidRPr="00EF7969" w:rsidRDefault="009C6940" w:rsidP="009C6940">
                  <w:pPr>
                    <w:pStyle w:val="TableBodyText"/>
                  </w:pPr>
                  <w:r w:rsidRPr="00EF7969">
                    <w:t>884</w:t>
                  </w:r>
                </w:p>
              </w:tc>
            </w:tr>
            <w:tr w:rsidR="009C6940" w:rsidRPr="00EF7969" w14:paraId="5925FEC8" w14:textId="77777777" w:rsidTr="009C6940">
              <w:tc>
                <w:tcPr>
                  <w:tcW w:w="6378" w:type="dxa"/>
                  <w:shd w:val="clear" w:color="auto" w:fill="auto"/>
                </w:tcPr>
                <w:p w14:paraId="741F3D4E" w14:textId="77777777" w:rsidR="009C6940" w:rsidRPr="00EF7969" w:rsidRDefault="009C6940" w:rsidP="009C6940">
                  <w:pPr>
                    <w:pStyle w:val="TableBodyText"/>
                    <w:jc w:val="left"/>
                  </w:pPr>
                  <w:r w:rsidRPr="00EF7969">
                    <w:t>Australian Housing and Urban Research Institute (AHURI)</w:t>
                  </w:r>
                </w:p>
              </w:tc>
              <w:tc>
                <w:tcPr>
                  <w:tcW w:w="2126" w:type="dxa"/>
                  <w:shd w:val="clear" w:color="auto" w:fill="auto"/>
                </w:tcPr>
                <w:p w14:paraId="6D7FC142" w14:textId="77777777" w:rsidR="009C6940" w:rsidRPr="00EF7969" w:rsidRDefault="009C6940" w:rsidP="009C6940">
                  <w:pPr>
                    <w:pStyle w:val="TableBodyText"/>
                  </w:pPr>
                  <w:r w:rsidRPr="00EF7969">
                    <w:t>885</w:t>
                  </w:r>
                </w:p>
              </w:tc>
            </w:tr>
            <w:tr w:rsidR="009C6940" w:rsidRPr="00EF7969" w14:paraId="6A7D94E6" w14:textId="77777777" w:rsidTr="009C6940">
              <w:tc>
                <w:tcPr>
                  <w:tcW w:w="6378" w:type="dxa"/>
                  <w:shd w:val="clear" w:color="auto" w:fill="auto"/>
                </w:tcPr>
                <w:p w14:paraId="21AC1799" w14:textId="77777777" w:rsidR="009C6940" w:rsidRPr="00EF7969" w:rsidRDefault="009C6940" w:rsidP="009C6940">
                  <w:pPr>
                    <w:pStyle w:val="TableBodyText"/>
                    <w:jc w:val="left"/>
                  </w:pPr>
                  <w:r w:rsidRPr="00EF7969">
                    <w:t>Australian Human Rights Commission (AHRC)</w:t>
                  </w:r>
                </w:p>
              </w:tc>
              <w:tc>
                <w:tcPr>
                  <w:tcW w:w="2126" w:type="dxa"/>
                  <w:shd w:val="clear" w:color="auto" w:fill="auto"/>
                </w:tcPr>
                <w:p w14:paraId="6212135C" w14:textId="77777777" w:rsidR="009C6940" w:rsidRPr="00EF7969" w:rsidRDefault="009C6940" w:rsidP="009C6940">
                  <w:pPr>
                    <w:pStyle w:val="TableBodyText"/>
                  </w:pPr>
                  <w:r w:rsidRPr="00EF7969">
                    <w:t>491, 679</w:t>
                  </w:r>
                </w:p>
              </w:tc>
            </w:tr>
            <w:tr w:rsidR="009C6940" w:rsidRPr="00EF7969" w14:paraId="6C32C3C6" w14:textId="77777777" w:rsidTr="009C6940">
              <w:tc>
                <w:tcPr>
                  <w:tcW w:w="6378" w:type="dxa"/>
                  <w:shd w:val="clear" w:color="auto" w:fill="auto"/>
                </w:tcPr>
                <w:p w14:paraId="6EC62BA5" w14:textId="77777777" w:rsidR="009C6940" w:rsidRPr="00EF7969" w:rsidRDefault="009C6940" w:rsidP="009C6940">
                  <w:pPr>
                    <w:pStyle w:val="TableBodyText"/>
                    <w:jc w:val="left"/>
                  </w:pPr>
                  <w:r w:rsidRPr="00EF7969">
                    <w:t>Australian Industry Group (Ai Group)</w:t>
                  </w:r>
                </w:p>
              </w:tc>
              <w:tc>
                <w:tcPr>
                  <w:tcW w:w="2126" w:type="dxa"/>
                  <w:shd w:val="clear" w:color="auto" w:fill="auto"/>
                </w:tcPr>
                <w:p w14:paraId="43854EF4" w14:textId="77777777" w:rsidR="009C6940" w:rsidRPr="00EF7969" w:rsidRDefault="009C6940" w:rsidP="009C6940">
                  <w:pPr>
                    <w:pStyle w:val="TableBodyText"/>
                  </w:pPr>
                  <w:r w:rsidRPr="00EF7969">
                    <w:t>208, 819</w:t>
                  </w:r>
                </w:p>
              </w:tc>
            </w:tr>
            <w:tr w:rsidR="009C6940" w:rsidRPr="00EF7969" w14:paraId="140F9EBE" w14:textId="77777777" w:rsidTr="009C6940">
              <w:tc>
                <w:tcPr>
                  <w:tcW w:w="6378" w:type="dxa"/>
                  <w:shd w:val="clear" w:color="auto" w:fill="auto"/>
                </w:tcPr>
                <w:p w14:paraId="728D7AAA" w14:textId="77777777" w:rsidR="009C6940" w:rsidRPr="00EF7969" w:rsidRDefault="009C6940" w:rsidP="009C6940">
                  <w:pPr>
                    <w:pStyle w:val="TableBodyText"/>
                    <w:jc w:val="left"/>
                  </w:pPr>
                  <w:r w:rsidRPr="00EF7969">
                    <w:t>Australian Institute of Family Studies (AIFS)</w:t>
                  </w:r>
                </w:p>
              </w:tc>
              <w:tc>
                <w:tcPr>
                  <w:tcW w:w="2126" w:type="dxa"/>
                  <w:shd w:val="clear" w:color="auto" w:fill="auto"/>
                </w:tcPr>
                <w:p w14:paraId="38A7AFCA" w14:textId="77777777" w:rsidR="009C6940" w:rsidRPr="00EF7969" w:rsidRDefault="009C6940" w:rsidP="009C6940">
                  <w:pPr>
                    <w:pStyle w:val="TableBodyText"/>
                  </w:pPr>
                  <w:r w:rsidRPr="00EF7969">
                    <w:t>753</w:t>
                  </w:r>
                </w:p>
              </w:tc>
            </w:tr>
            <w:tr w:rsidR="009C6940" w:rsidRPr="00EF7969" w14:paraId="3531C9FF" w14:textId="77777777" w:rsidTr="009C6940">
              <w:tc>
                <w:tcPr>
                  <w:tcW w:w="6378" w:type="dxa"/>
                  <w:shd w:val="clear" w:color="auto" w:fill="auto"/>
                </w:tcPr>
                <w:p w14:paraId="3649A801" w14:textId="77777777" w:rsidR="009C6940" w:rsidRPr="00EF7969" w:rsidRDefault="009C6940" w:rsidP="009C6940">
                  <w:pPr>
                    <w:pStyle w:val="TableBodyText"/>
                    <w:jc w:val="left"/>
                  </w:pPr>
                  <w:r w:rsidRPr="00EF7969">
                    <w:t>Australian Institute of Health and Welfare (AIHW)</w:t>
                  </w:r>
                </w:p>
              </w:tc>
              <w:tc>
                <w:tcPr>
                  <w:tcW w:w="2126" w:type="dxa"/>
                  <w:shd w:val="clear" w:color="auto" w:fill="auto"/>
                </w:tcPr>
                <w:p w14:paraId="42BF050E" w14:textId="77777777" w:rsidR="009C6940" w:rsidRPr="00EF7969" w:rsidRDefault="009C6940" w:rsidP="009C6940">
                  <w:pPr>
                    <w:pStyle w:val="TableBodyText"/>
                  </w:pPr>
                  <w:r w:rsidRPr="00EF7969">
                    <w:t>370</w:t>
                  </w:r>
                </w:p>
              </w:tc>
            </w:tr>
            <w:tr w:rsidR="009C6940" w:rsidRPr="00EF7969" w14:paraId="64B397A7" w14:textId="77777777" w:rsidTr="009C6940">
              <w:tc>
                <w:tcPr>
                  <w:tcW w:w="6378" w:type="dxa"/>
                  <w:shd w:val="clear" w:color="auto" w:fill="auto"/>
                </w:tcPr>
                <w:p w14:paraId="521F024B" w14:textId="77777777" w:rsidR="009C6940" w:rsidRPr="00EF7969" w:rsidRDefault="009C6940" w:rsidP="009C6940">
                  <w:pPr>
                    <w:pStyle w:val="TableBodyText"/>
                    <w:jc w:val="left"/>
                  </w:pPr>
                  <w:r w:rsidRPr="00EF7969">
                    <w:t>Australian Kookaburra Kids Foundation (AKKF)</w:t>
                  </w:r>
                </w:p>
              </w:tc>
              <w:tc>
                <w:tcPr>
                  <w:tcW w:w="2126" w:type="dxa"/>
                  <w:shd w:val="clear" w:color="auto" w:fill="auto"/>
                </w:tcPr>
                <w:p w14:paraId="0AA7DC1A" w14:textId="77777777" w:rsidR="009C6940" w:rsidRPr="00EF7969" w:rsidRDefault="009C6940" w:rsidP="009C6940">
                  <w:pPr>
                    <w:pStyle w:val="TableBodyText"/>
                  </w:pPr>
                  <w:r w:rsidRPr="00EF7969">
                    <w:t>421</w:t>
                  </w:r>
                </w:p>
              </w:tc>
            </w:tr>
            <w:tr w:rsidR="009C6940" w:rsidRPr="00EF7969" w14:paraId="649186E6" w14:textId="77777777" w:rsidTr="009C6940">
              <w:tc>
                <w:tcPr>
                  <w:tcW w:w="6378" w:type="dxa"/>
                  <w:shd w:val="clear" w:color="auto" w:fill="auto"/>
                </w:tcPr>
                <w:p w14:paraId="58CDC313" w14:textId="77777777" w:rsidR="009C6940" w:rsidRPr="00EF7969" w:rsidRDefault="009C6940" w:rsidP="009C6940">
                  <w:pPr>
                    <w:pStyle w:val="TableBodyText"/>
                    <w:jc w:val="left"/>
                  </w:pPr>
                  <w:r w:rsidRPr="00EF7969">
                    <w:t>Australian Library and Information Association (ALIA)</w:t>
                  </w:r>
                </w:p>
              </w:tc>
              <w:tc>
                <w:tcPr>
                  <w:tcW w:w="2126" w:type="dxa"/>
                  <w:shd w:val="clear" w:color="auto" w:fill="auto"/>
                </w:tcPr>
                <w:p w14:paraId="68C18ED6" w14:textId="77777777" w:rsidR="009C6940" w:rsidRPr="00EF7969" w:rsidRDefault="009C6940" w:rsidP="009C6940">
                  <w:pPr>
                    <w:pStyle w:val="TableBodyText"/>
                  </w:pPr>
                  <w:r w:rsidRPr="00EF7969">
                    <w:t>185</w:t>
                  </w:r>
                </w:p>
              </w:tc>
            </w:tr>
            <w:tr w:rsidR="009C6940" w:rsidRPr="00EF7969" w14:paraId="2E3A69E8" w14:textId="77777777" w:rsidTr="009C6940">
              <w:tc>
                <w:tcPr>
                  <w:tcW w:w="6378" w:type="dxa"/>
                  <w:shd w:val="clear" w:color="auto" w:fill="auto"/>
                </w:tcPr>
                <w:p w14:paraId="3DF1199E" w14:textId="77777777" w:rsidR="009C6940" w:rsidRPr="00EF7969" w:rsidRDefault="009C6940" w:rsidP="009C6940">
                  <w:pPr>
                    <w:pStyle w:val="TableBodyText"/>
                    <w:jc w:val="left"/>
                  </w:pPr>
                  <w:r w:rsidRPr="00EF7969">
                    <w:t>Australian Longitudinal Study on Women’s Health</w:t>
                  </w:r>
                </w:p>
              </w:tc>
              <w:tc>
                <w:tcPr>
                  <w:tcW w:w="2126" w:type="dxa"/>
                  <w:shd w:val="clear" w:color="auto" w:fill="auto"/>
                </w:tcPr>
                <w:p w14:paraId="6570AA19" w14:textId="77777777" w:rsidR="009C6940" w:rsidRPr="00EF7969" w:rsidRDefault="009C6940" w:rsidP="009C6940">
                  <w:pPr>
                    <w:pStyle w:val="TableBodyText"/>
                  </w:pPr>
                  <w:r w:rsidRPr="00EF7969">
                    <w:t>218</w:t>
                  </w:r>
                </w:p>
              </w:tc>
            </w:tr>
            <w:tr w:rsidR="009C6940" w:rsidRPr="00EF7969" w14:paraId="687C0AC3" w14:textId="77777777" w:rsidTr="009C6940">
              <w:tc>
                <w:tcPr>
                  <w:tcW w:w="6378" w:type="dxa"/>
                  <w:shd w:val="clear" w:color="auto" w:fill="auto"/>
                </w:tcPr>
                <w:p w14:paraId="11FDC78B" w14:textId="77777777" w:rsidR="009C6940" w:rsidRPr="00EF7969" w:rsidRDefault="009C6940" w:rsidP="009C6940">
                  <w:pPr>
                    <w:pStyle w:val="TableBodyText"/>
                    <w:jc w:val="left"/>
                  </w:pPr>
                  <w:r w:rsidRPr="00EF7969">
                    <w:t>Australian Medical Association – Victoria (AMA Victoria)</w:t>
                  </w:r>
                </w:p>
              </w:tc>
              <w:tc>
                <w:tcPr>
                  <w:tcW w:w="2126" w:type="dxa"/>
                  <w:shd w:val="clear" w:color="auto" w:fill="auto"/>
                </w:tcPr>
                <w:p w14:paraId="4FDCE64D" w14:textId="77777777" w:rsidR="009C6940" w:rsidRPr="00EF7969" w:rsidRDefault="009C6940" w:rsidP="009C6940">
                  <w:pPr>
                    <w:pStyle w:val="TableBodyText"/>
                  </w:pPr>
                  <w:r w:rsidRPr="00EF7969">
                    <w:t>925</w:t>
                  </w:r>
                </w:p>
              </w:tc>
            </w:tr>
            <w:tr w:rsidR="009C6940" w:rsidRPr="00EF7969" w14:paraId="0E37C856" w14:textId="77777777" w:rsidTr="009C6940">
              <w:tc>
                <w:tcPr>
                  <w:tcW w:w="6378" w:type="dxa"/>
                  <w:shd w:val="clear" w:color="auto" w:fill="auto"/>
                </w:tcPr>
                <w:p w14:paraId="79B5BF2A" w14:textId="77777777" w:rsidR="009C6940" w:rsidRPr="00EF7969" w:rsidRDefault="009C6940" w:rsidP="009C6940">
                  <w:pPr>
                    <w:pStyle w:val="TableBodyText"/>
                    <w:jc w:val="left"/>
                  </w:pPr>
                  <w:r w:rsidRPr="00EF7969">
                    <w:t>Australian Medical Association (AMA)</w:t>
                  </w:r>
                </w:p>
              </w:tc>
              <w:tc>
                <w:tcPr>
                  <w:tcW w:w="2126" w:type="dxa"/>
                  <w:shd w:val="clear" w:color="auto" w:fill="auto"/>
                </w:tcPr>
                <w:p w14:paraId="4C73B6C7" w14:textId="77777777" w:rsidR="009C6940" w:rsidRPr="00EF7969" w:rsidRDefault="009C6940" w:rsidP="009C6940">
                  <w:pPr>
                    <w:pStyle w:val="TableBodyText"/>
                  </w:pPr>
                  <w:r w:rsidRPr="00EF7969">
                    <w:t>387, 633</w:t>
                  </w:r>
                </w:p>
              </w:tc>
            </w:tr>
            <w:tr w:rsidR="009C6940" w:rsidRPr="00EF7969" w14:paraId="160D3967" w14:textId="77777777" w:rsidTr="009C6940">
              <w:tc>
                <w:tcPr>
                  <w:tcW w:w="6378" w:type="dxa"/>
                  <w:shd w:val="clear" w:color="auto" w:fill="auto"/>
                </w:tcPr>
                <w:p w14:paraId="0D0D4F21" w14:textId="77777777" w:rsidR="009C6940" w:rsidRPr="00EF7969" w:rsidRDefault="009C6940" w:rsidP="009C6940">
                  <w:pPr>
                    <w:pStyle w:val="TableBodyText"/>
                    <w:jc w:val="left"/>
                  </w:pPr>
                  <w:r w:rsidRPr="00EF7969">
                    <w:t>Australian Museums and Galleries Association (AMaGA)</w:t>
                  </w:r>
                </w:p>
              </w:tc>
              <w:tc>
                <w:tcPr>
                  <w:tcW w:w="2126" w:type="dxa"/>
                  <w:shd w:val="clear" w:color="auto" w:fill="auto"/>
                </w:tcPr>
                <w:p w14:paraId="52A16E31" w14:textId="77777777" w:rsidR="009C6940" w:rsidRPr="00EF7969" w:rsidRDefault="009C6940" w:rsidP="009C6940">
                  <w:pPr>
                    <w:pStyle w:val="TableBodyText"/>
                  </w:pPr>
                  <w:r w:rsidRPr="00EF7969">
                    <w:t>113</w:t>
                  </w:r>
                </w:p>
              </w:tc>
            </w:tr>
            <w:tr w:rsidR="009C6940" w:rsidRPr="00EF7969" w14:paraId="753961DB" w14:textId="77777777" w:rsidTr="009C6940">
              <w:tc>
                <w:tcPr>
                  <w:tcW w:w="6378" w:type="dxa"/>
                  <w:shd w:val="clear" w:color="auto" w:fill="auto"/>
                </w:tcPr>
                <w:p w14:paraId="145FD19A" w14:textId="77777777" w:rsidR="009C6940" w:rsidRPr="00EF7969" w:rsidRDefault="009C6940" w:rsidP="009C6940">
                  <w:pPr>
                    <w:pStyle w:val="TableBodyText"/>
                    <w:jc w:val="left"/>
                  </w:pPr>
                  <w:r w:rsidRPr="00EF7969">
                    <w:t>Australian Music Therapy Association (AMTA)</w:t>
                  </w:r>
                </w:p>
              </w:tc>
              <w:tc>
                <w:tcPr>
                  <w:tcW w:w="2126" w:type="dxa"/>
                  <w:shd w:val="clear" w:color="auto" w:fill="auto"/>
                </w:tcPr>
                <w:p w14:paraId="3AF8C8BA" w14:textId="77777777" w:rsidR="009C6940" w:rsidRPr="00EF7969" w:rsidRDefault="009C6940" w:rsidP="009C6940">
                  <w:pPr>
                    <w:pStyle w:val="TableBodyText"/>
                  </w:pPr>
                  <w:r w:rsidRPr="00EF7969">
                    <w:t>301, 789</w:t>
                  </w:r>
                </w:p>
              </w:tc>
            </w:tr>
            <w:tr w:rsidR="009C6940" w:rsidRPr="00EF7969" w14:paraId="3DBB0BDE" w14:textId="77777777" w:rsidTr="009C6940">
              <w:tc>
                <w:tcPr>
                  <w:tcW w:w="6378" w:type="dxa"/>
                  <w:shd w:val="clear" w:color="auto" w:fill="auto"/>
                </w:tcPr>
                <w:p w14:paraId="356C0A0B" w14:textId="77777777" w:rsidR="009C6940" w:rsidRPr="00EF7969" w:rsidRDefault="009C6940" w:rsidP="009C6940">
                  <w:pPr>
                    <w:pStyle w:val="TableBodyText"/>
                    <w:jc w:val="left"/>
                  </w:pPr>
                  <w:r w:rsidRPr="00EF7969">
                    <w:t xml:space="preserve">Australian National Office of the Citizens Commission On Human Rights </w:t>
                  </w:r>
                </w:p>
              </w:tc>
              <w:tc>
                <w:tcPr>
                  <w:tcW w:w="2126" w:type="dxa"/>
                  <w:shd w:val="clear" w:color="auto" w:fill="auto"/>
                </w:tcPr>
                <w:p w14:paraId="0CCA08AA" w14:textId="77777777" w:rsidR="009C6940" w:rsidRPr="00EF7969" w:rsidRDefault="009C6940" w:rsidP="009C6940">
                  <w:pPr>
                    <w:pStyle w:val="TableBodyText"/>
                  </w:pPr>
                  <w:r w:rsidRPr="00EF7969">
                    <w:t>290, 941</w:t>
                  </w:r>
                </w:p>
              </w:tc>
            </w:tr>
            <w:tr w:rsidR="009C6940" w:rsidRPr="00EF7969" w14:paraId="679C5C6D" w14:textId="77777777" w:rsidTr="009C6940">
              <w:tc>
                <w:tcPr>
                  <w:tcW w:w="6378" w:type="dxa"/>
                  <w:shd w:val="clear" w:color="auto" w:fill="auto"/>
                </w:tcPr>
                <w:p w14:paraId="4BC320A2" w14:textId="77777777" w:rsidR="009C6940" w:rsidRPr="00EF7969" w:rsidRDefault="009C6940" w:rsidP="009C6940">
                  <w:pPr>
                    <w:pStyle w:val="TableBodyText"/>
                    <w:jc w:val="left"/>
                  </w:pPr>
                  <w:r w:rsidRPr="00EF7969">
                    <w:t>Australian Nursing and Midwifery Federation (ANMF)</w:t>
                  </w:r>
                </w:p>
              </w:tc>
              <w:tc>
                <w:tcPr>
                  <w:tcW w:w="2126" w:type="dxa"/>
                  <w:shd w:val="clear" w:color="auto" w:fill="auto"/>
                </w:tcPr>
                <w:p w14:paraId="17C7D0A7" w14:textId="77777777" w:rsidR="009C6940" w:rsidRPr="00EF7969" w:rsidRDefault="009C6940" w:rsidP="009C6940">
                  <w:pPr>
                    <w:pStyle w:val="TableBodyText"/>
                  </w:pPr>
                  <w:r w:rsidRPr="00EF7969">
                    <w:t>317, 1187</w:t>
                  </w:r>
                </w:p>
              </w:tc>
            </w:tr>
            <w:tr w:rsidR="009C6940" w:rsidRPr="00EF7969" w14:paraId="736307DF" w14:textId="77777777" w:rsidTr="009C6940">
              <w:tc>
                <w:tcPr>
                  <w:tcW w:w="6378" w:type="dxa"/>
                  <w:shd w:val="clear" w:color="auto" w:fill="auto"/>
                </w:tcPr>
                <w:p w14:paraId="74929F8E" w14:textId="77777777" w:rsidR="009C6940" w:rsidRPr="00EF7969" w:rsidRDefault="009C6940" w:rsidP="009C6940">
                  <w:pPr>
                    <w:pStyle w:val="TableBodyText"/>
                    <w:jc w:val="left"/>
                  </w:pPr>
                  <w:r w:rsidRPr="00EF7969">
                    <w:t>Australian Private Hospitals Association (APHA)</w:t>
                  </w:r>
                </w:p>
              </w:tc>
              <w:tc>
                <w:tcPr>
                  <w:tcW w:w="2126" w:type="dxa"/>
                  <w:shd w:val="clear" w:color="auto" w:fill="auto"/>
                </w:tcPr>
                <w:p w14:paraId="3800023F" w14:textId="77777777" w:rsidR="009C6940" w:rsidRPr="00EF7969" w:rsidRDefault="009C6940" w:rsidP="009C6940">
                  <w:pPr>
                    <w:pStyle w:val="TableBodyText"/>
                  </w:pPr>
                  <w:r w:rsidRPr="00EF7969">
                    <w:t>320</w:t>
                  </w:r>
                </w:p>
              </w:tc>
            </w:tr>
            <w:tr w:rsidR="009C6940" w:rsidRPr="00EF7969" w14:paraId="1AA0CBC0" w14:textId="77777777" w:rsidTr="009C6940">
              <w:tc>
                <w:tcPr>
                  <w:tcW w:w="6378" w:type="dxa"/>
                  <w:shd w:val="clear" w:color="auto" w:fill="auto"/>
                </w:tcPr>
                <w:p w14:paraId="3931DFD0" w14:textId="77777777" w:rsidR="009C6940" w:rsidRPr="00EF7969" w:rsidRDefault="009C6940" w:rsidP="009C6940">
                  <w:pPr>
                    <w:pStyle w:val="TableBodyText"/>
                    <w:jc w:val="left"/>
                  </w:pPr>
                  <w:r w:rsidRPr="00EF7969">
                    <w:t xml:space="preserve">Australian Psychological Society (APS) </w:t>
                  </w:r>
                </w:p>
              </w:tc>
              <w:tc>
                <w:tcPr>
                  <w:tcW w:w="2126" w:type="dxa"/>
                  <w:shd w:val="clear" w:color="auto" w:fill="auto"/>
                </w:tcPr>
                <w:p w14:paraId="4963F452" w14:textId="77777777" w:rsidR="009C6940" w:rsidRPr="00EF7969" w:rsidRDefault="009C6940" w:rsidP="009C6940">
                  <w:pPr>
                    <w:pStyle w:val="TableBodyText"/>
                  </w:pPr>
                  <w:r w:rsidRPr="00EF7969">
                    <w:t>543, 853</w:t>
                  </w:r>
                </w:p>
              </w:tc>
            </w:tr>
            <w:tr w:rsidR="009C6940" w:rsidRPr="00EF7969" w14:paraId="425F24E6" w14:textId="77777777" w:rsidTr="009C6940">
              <w:tc>
                <w:tcPr>
                  <w:tcW w:w="6378" w:type="dxa"/>
                  <w:shd w:val="clear" w:color="auto" w:fill="auto"/>
                </w:tcPr>
                <w:p w14:paraId="25B5560D" w14:textId="77777777" w:rsidR="009C6940" w:rsidRPr="00EF7969" w:rsidRDefault="009C6940" w:rsidP="009C6940">
                  <w:pPr>
                    <w:pStyle w:val="TableBodyText"/>
                    <w:jc w:val="left"/>
                  </w:pPr>
                  <w:r w:rsidRPr="00EF7969">
                    <w:t>Australian Psychologists and Counsellors in Schools (APACS)</w:t>
                  </w:r>
                </w:p>
              </w:tc>
              <w:tc>
                <w:tcPr>
                  <w:tcW w:w="2126" w:type="dxa"/>
                  <w:shd w:val="clear" w:color="auto" w:fill="auto"/>
                </w:tcPr>
                <w:p w14:paraId="38B2E745" w14:textId="77777777" w:rsidR="009C6940" w:rsidRPr="00EF7969" w:rsidRDefault="009C6940" w:rsidP="009C6940">
                  <w:pPr>
                    <w:pStyle w:val="TableBodyText"/>
                  </w:pPr>
                  <w:r w:rsidRPr="00EF7969">
                    <w:t>419, 906</w:t>
                  </w:r>
                </w:p>
              </w:tc>
            </w:tr>
            <w:tr w:rsidR="009C6940" w:rsidRPr="00EF7969" w14:paraId="5BD39F76" w14:textId="77777777" w:rsidTr="009C6940">
              <w:tc>
                <w:tcPr>
                  <w:tcW w:w="6378" w:type="dxa"/>
                  <w:shd w:val="clear" w:color="auto" w:fill="auto"/>
                </w:tcPr>
                <w:p w14:paraId="5717556F" w14:textId="77777777" w:rsidR="009C6940" w:rsidRPr="00EF7969" w:rsidRDefault="009C6940" w:rsidP="009C6940">
                  <w:pPr>
                    <w:pStyle w:val="TableBodyText"/>
                    <w:jc w:val="left"/>
                  </w:pPr>
                  <w:r w:rsidRPr="00EF7969">
                    <w:t>Australian Red Cross Society</w:t>
                  </w:r>
                </w:p>
              </w:tc>
              <w:tc>
                <w:tcPr>
                  <w:tcW w:w="2126" w:type="dxa"/>
                  <w:shd w:val="clear" w:color="auto" w:fill="auto"/>
                </w:tcPr>
                <w:p w14:paraId="353560E9" w14:textId="77777777" w:rsidR="009C6940" w:rsidRPr="00EF7969" w:rsidRDefault="009C6940" w:rsidP="009C6940">
                  <w:pPr>
                    <w:pStyle w:val="TableBodyText"/>
                  </w:pPr>
                  <w:r w:rsidRPr="00EF7969">
                    <w:t>490</w:t>
                  </w:r>
                </w:p>
              </w:tc>
            </w:tr>
            <w:tr w:rsidR="009C6940" w:rsidRPr="00EF7969" w14:paraId="7F0B546F" w14:textId="77777777" w:rsidTr="009C6940">
              <w:tc>
                <w:tcPr>
                  <w:tcW w:w="6378" w:type="dxa"/>
                  <w:shd w:val="clear" w:color="auto" w:fill="auto"/>
                </w:tcPr>
                <w:p w14:paraId="60996362" w14:textId="77777777" w:rsidR="009C6940" w:rsidRPr="00EF7969" w:rsidRDefault="009C6940" w:rsidP="009C6940">
                  <w:pPr>
                    <w:pStyle w:val="TableBodyText"/>
                    <w:jc w:val="left"/>
                  </w:pPr>
                  <w:r w:rsidRPr="00EF7969">
                    <w:t>Australian Register of Counsellors and Psychotherapists (ARCAP)</w:t>
                  </w:r>
                </w:p>
              </w:tc>
              <w:tc>
                <w:tcPr>
                  <w:tcW w:w="2126" w:type="dxa"/>
                  <w:shd w:val="clear" w:color="auto" w:fill="auto"/>
                </w:tcPr>
                <w:p w14:paraId="7786878E" w14:textId="77777777" w:rsidR="009C6940" w:rsidRPr="00EF7969" w:rsidRDefault="009C6940" w:rsidP="009C6940">
                  <w:pPr>
                    <w:pStyle w:val="TableBodyText"/>
                  </w:pPr>
                  <w:r w:rsidRPr="00EF7969">
                    <w:t>337</w:t>
                  </w:r>
                </w:p>
              </w:tc>
            </w:tr>
            <w:tr w:rsidR="009C6940" w:rsidRPr="00EF7969" w14:paraId="1569D7D8" w14:textId="77777777" w:rsidTr="009C6940">
              <w:tc>
                <w:tcPr>
                  <w:tcW w:w="6378" w:type="dxa"/>
                  <w:shd w:val="clear" w:color="auto" w:fill="auto"/>
                </w:tcPr>
                <w:p w14:paraId="70B31E48" w14:textId="77777777" w:rsidR="009C6940" w:rsidRPr="00EF7969" w:rsidRDefault="009C6940" w:rsidP="009C6940">
                  <w:pPr>
                    <w:pStyle w:val="TableBodyText"/>
                    <w:jc w:val="left"/>
                  </w:pPr>
                  <w:r w:rsidRPr="00EF7969">
                    <w:t xml:space="preserve">Australian Rehabilitation Providers Association (ARPA) </w:t>
                  </w:r>
                </w:p>
              </w:tc>
              <w:tc>
                <w:tcPr>
                  <w:tcW w:w="2126" w:type="dxa"/>
                  <w:shd w:val="clear" w:color="auto" w:fill="auto"/>
                </w:tcPr>
                <w:p w14:paraId="229DA905" w14:textId="77777777" w:rsidR="009C6940" w:rsidRPr="00EF7969" w:rsidRDefault="009C6940" w:rsidP="009C6940">
                  <w:pPr>
                    <w:pStyle w:val="TableBodyText"/>
                  </w:pPr>
                  <w:r w:rsidRPr="00EF7969">
                    <w:t>527</w:t>
                  </w:r>
                </w:p>
              </w:tc>
            </w:tr>
            <w:tr w:rsidR="009C6940" w:rsidRPr="00EF7969" w14:paraId="28402BDA" w14:textId="77777777" w:rsidTr="009C6940">
              <w:tc>
                <w:tcPr>
                  <w:tcW w:w="6378" w:type="dxa"/>
                  <w:shd w:val="clear" w:color="auto" w:fill="auto"/>
                </w:tcPr>
                <w:p w14:paraId="188A47B2" w14:textId="77777777" w:rsidR="009C6940" w:rsidRPr="00EF7969" w:rsidRDefault="009C6940" w:rsidP="009C6940">
                  <w:pPr>
                    <w:pStyle w:val="TableBodyText"/>
                    <w:jc w:val="left"/>
                  </w:pPr>
                  <w:r w:rsidRPr="00EF7969">
                    <w:t>Australian Rural Health Education Network (ARHEN) Mental Health Academy Network</w:t>
                  </w:r>
                </w:p>
              </w:tc>
              <w:tc>
                <w:tcPr>
                  <w:tcW w:w="2126" w:type="dxa"/>
                  <w:shd w:val="clear" w:color="auto" w:fill="auto"/>
                </w:tcPr>
                <w:p w14:paraId="0BED436C" w14:textId="77777777" w:rsidR="009C6940" w:rsidRPr="00EF7969" w:rsidRDefault="009C6940" w:rsidP="009C6940">
                  <w:pPr>
                    <w:pStyle w:val="TableBodyText"/>
                  </w:pPr>
                  <w:r w:rsidRPr="00EF7969">
                    <w:t>444</w:t>
                  </w:r>
                </w:p>
              </w:tc>
            </w:tr>
            <w:tr w:rsidR="009C6940" w:rsidRPr="00EF7969" w14:paraId="036096A6" w14:textId="77777777" w:rsidTr="009C6940">
              <w:tc>
                <w:tcPr>
                  <w:tcW w:w="6378" w:type="dxa"/>
                  <w:shd w:val="clear" w:color="auto" w:fill="auto"/>
                </w:tcPr>
                <w:p w14:paraId="40DF04B7" w14:textId="77777777" w:rsidR="009C6940" w:rsidRPr="00EF7969" w:rsidRDefault="009C6940" w:rsidP="009C6940">
                  <w:pPr>
                    <w:pStyle w:val="TableBodyText"/>
                    <w:jc w:val="left"/>
                  </w:pPr>
                  <w:r w:rsidRPr="00EF7969">
                    <w:t>Australian Salaried Medical Officers’ Federation (ASMOF)</w:t>
                  </w:r>
                </w:p>
              </w:tc>
              <w:tc>
                <w:tcPr>
                  <w:tcW w:w="2126" w:type="dxa"/>
                  <w:shd w:val="clear" w:color="auto" w:fill="auto"/>
                </w:tcPr>
                <w:p w14:paraId="46C4B500" w14:textId="77777777" w:rsidR="009C6940" w:rsidRPr="00EF7969" w:rsidRDefault="009C6940" w:rsidP="009C6940">
                  <w:pPr>
                    <w:pStyle w:val="TableBodyText"/>
                  </w:pPr>
                  <w:r w:rsidRPr="00EF7969">
                    <w:t>233</w:t>
                  </w:r>
                </w:p>
              </w:tc>
            </w:tr>
            <w:tr w:rsidR="009C6940" w:rsidRPr="00EF7969" w14:paraId="5A8BAE71" w14:textId="77777777" w:rsidTr="009C6940">
              <w:tc>
                <w:tcPr>
                  <w:tcW w:w="6378" w:type="dxa"/>
                  <w:shd w:val="clear" w:color="auto" w:fill="auto"/>
                </w:tcPr>
                <w:p w14:paraId="2B800305" w14:textId="77777777" w:rsidR="009C6940" w:rsidRPr="00EF7969" w:rsidRDefault="009C6940" w:rsidP="009C6940">
                  <w:pPr>
                    <w:pStyle w:val="TableBodyText"/>
                    <w:jc w:val="left"/>
                  </w:pPr>
                  <w:r w:rsidRPr="00EF7969">
                    <w:t>Australian Services Union (ASU)</w:t>
                  </w:r>
                </w:p>
              </w:tc>
              <w:tc>
                <w:tcPr>
                  <w:tcW w:w="2126" w:type="dxa"/>
                  <w:shd w:val="clear" w:color="auto" w:fill="auto"/>
                </w:tcPr>
                <w:p w14:paraId="6900B0CE" w14:textId="77777777" w:rsidR="009C6940" w:rsidRPr="00EF7969" w:rsidRDefault="009C6940" w:rsidP="009C6940">
                  <w:pPr>
                    <w:pStyle w:val="TableBodyText"/>
                  </w:pPr>
                  <w:r w:rsidRPr="00EF7969">
                    <w:t>177</w:t>
                  </w:r>
                </w:p>
              </w:tc>
            </w:tr>
            <w:tr w:rsidR="009C6940" w:rsidRPr="00EF7969" w14:paraId="5739CE97" w14:textId="77777777" w:rsidTr="009C6940">
              <w:tc>
                <w:tcPr>
                  <w:tcW w:w="6378" w:type="dxa"/>
                  <w:shd w:val="clear" w:color="auto" w:fill="auto"/>
                </w:tcPr>
                <w:p w14:paraId="3BB01C90" w14:textId="77777777" w:rsidR="009C6940" w:rsidRPr="00EF7969" w:rsidRDefault="009C6940" w:rsidP="009C6940">
                  <w:pPr>
                    <w:pStyle w:val="TableBodyText"/>
                    <w:jc w:val="left"/>
                  </w:pPr>
                  <w:r w:rsidRPr="00EF7969">
                    <w:t>Australian Small Business and Family Enterprise Ombudsman</w:t>
                  </w:r>
                </w:p>
              </w:tc>
              <w:tc>
                <w:tcPr>
                  <w:tcW w:w="2126" w:type="dxa"/>
                  <w:shd w:val="clear" w:color="auto" w:fill="auto"/>
                </w:tcPr>
                <w:p w14:paraId="6E448F49" w14:textId="77777777" w:rsidR="009C6940" w:rsidRPr="00EF7969" w:rsidRDefault="009C6940" w:rsidP="009C6940">
                  <w:pPr>
                    <w:pStyle w:val="TableBodyText"/>
                  </w:pPr>
                  <w:r w:rsidRPr="00EF7969">
                    <w:t>375</w:t>
                  </w:r>
                </w:p>
              </w:tc>
            </w:tr>
            <w:tr w:rsidR="009C6940" w:rsidRPr="00EF7969" w14:paraId="6DE846EC" w14:textId="77777777" w:rsidTr="009C6940">
              <w:tc>
                <w:tcPr>
                  <w:tcW w:w="6378" w:type="dxa"/>
                  <w:shd w:val="clear" w:color="auto" w:fill="auto"/>
                </w:tcPr>
                <w:p w14:paraId="5FB7666C" w14:textId="77777777" w:rsidR="009C6940" w:rsidRPr="00EF7969" w:rsidRDefault="009C6940" w:rsidP="009C6940">
                  <w:pPr>
                    <w:pStyle w:val="TableBodyText"/>
                    <w:jc w:val="left"/>
                  </w:pPr>
                  <w:r w:rsidRPr="00EF7969">
                    <w:t>Australian Unity</w:t>
                  </w:r>
                </w:p>
              </w:tc>
              <w:tc>
                <w:tcPr>
                  <w:tcW w:w="2126" w:type="dxa"/>
                  <w:shd w:val="clear" w:color="auto" w:fill="auto"/>
                </w:tcPr>
                <w:p w14:paraId="19E128D6" w14:textId="77777777" w:rsidR="009C6940" w:rsidRPr="00EF7969" w:rsidRDefault="009C6940" w:rsidP="009C6940">
                  <w:pPr>
                    <w:pStyle w:val="TableBodyText"/>
                  </w:pPr>
                  <w:r w:rsidRPr="00EF7969">
                    <w:t>110</w:t>
                  </w:r>
                </w:p>
              </w:tc>
            </w:tr>
            <w:tr w:rsidR="009C6940" w:rsidRPr="00EF7969" w14:paraId="282DEC68" w14:textId="77777777" w:rsidTr="009C6940">
              <w:tc>
                <w:tcPr>
                  <w:tcW w:w="6378" w:type="dxa"/>
                  <w:shd w:val="clear" w:color="auto" w:fill="auto"/>
                </w:tcPr>
                <w:p w14:paraId="02F5B9E2" w14:textId="77777777" w:rsidR="009C6940" w:rsidRPr="00EF7969" w:rsidRDefault="009C6940" w:rsidP="009C6940">
                  <w:pPr>
                    <w:pStyle w:val="TableBodyText"/>
                    <w:jc w:val="left"/>
                  </w:pPr>
                  <w:r w:rsidRPr="00EF7969">
                    <w:t>Australian Universities Anti</w:t>
                  </w:r>
                  <w:r w:rsidRPr="00EF7969">
                    <w:noBreakHyphen/>
                    <w:t>Bullying Research Alliance (AUARA)</w:t>
                  </w:r>
                </w:p>
              </w:tc>
              <w:tc>
                <w:tcPr>
                  <w:tcW w:w="2126" w:type="dxa"/>
                  <w:shd w:val="clear" w:color="auto" w:fill="auto"/>
                </w:tcPr>
                <w:p w14:paraId="27E8C72E" w14:textId="77777777" w:rsidR="009C6940" w:rsidRPr="00EF7969" w:rsidRDefault="009C6940" w:rsidP="009C6940">
                  <w:pPr>
                    <w:pStyle w:val="TableBodyText"/>
                  </w:pPr>
                  <w:r w:rsidRPr="00EF7969">
                    <w:t>431</w:t>
                  </w:r>
                </w:p>
              </w:tc>
            </w:tr>
            <w:tr w:rsidR="009C6940" w:rsidRPr="00EF7969" w14:paraId="4D3BB0E9" w14:textId="77777777" w:rsidTr="009C6940">
              <w:tc>
                <w:tcPr>
                  <w:tcW w:w="6378" w:type="dxa"/>
                  <w:shd w:val="clear" w:color="auto" w:fill="auto"/>
                </w:tcPr>
                <w:p w14:paraId="04D32136" w14:textId="77777777" w:rsidR="009C6940" w:rsidRPr="00EF7969" w:rsidRDefault="009C6940" w:rsidP="009C6940">
                  <w:pPr>
                    <w:pStyle w:val="TableBodyText"/>
                    <w:jc w:val="left"/>
                  </w:pPr>
                  <w:r w:rsidRPr="00EF7969">
                    <w:t>Australians for Mental Health (AFMH)</w:t>
                  </w:r>
                </w:p>
              </w:tc>
              <w:tc>
                <w:tcPr>
                  <w:tcW w:w="2126" w:type="dxa"/>
                  <w:shd w:val="clear" w:color="auto" w:fill="auto"/>
                </w:tcPr>
                <w:p w14:paraId="32ADB669" w14:textId="77777777" w:rsidR="009C6940" w:rsidRPr="00EF7969" w:rsidRDefault="009C6940" w:rsidP="009C6940">
                  <w:pPr>
                    <w:pStyle w:val="TableBodyText"/>
                  </w:pPr>
                  <w:r w:rsidRPr="00EF7969">
                    <w:t>374, 1195</w:t>
                  </w:r>
                </w:p>
              </w:tc>
            </w:tr>
            <w:tr w:rsidR="009C6940" w:rsidRPr="00EF7969" w14:paraId="1E6FC736" w14:textId="77777777" w:rsidTr="009C6940">
              <w:tc>
                <w:tcPr>
                  <w:tcW w:w="6378" w:type="dxa"/>
                  <w:shd w:val="clear" w:color="auto" w:fill="auto"/>
                </w:tcPr>
                <w:p w14:paraId="05FEC186" w14:textId="77777777" w:rsidR="009C6940" w:rsidRPr="00EF7969" w:rsidRDefault="009C6940" w:rsidP="009C6940">
                  <w:pPr>
                    <w:pStyle w:val="TableBodyText"/>
                    <w:jc w:val="left"/>
                  </w:pPr>
                  <w:r w:rsidRPr="00EF7969">
                    <w:t>Australians for Safe Medicines</w:t>
                  </w:r>
                </w:p>
              </w:tc>
              <w:tc>
                <w:tcPr>
                  <w:tcW w:w="2126" w:type="dxa"/>
                  <w:shd w:val="clear" w:color="auto" w:fill="auto"/>
                </w:tcPr>
                <w:p w14:paraId="1952F438" w14:textId="77777777" w:rsidR="009C6940" w:rsidRPr="00EF7969" w:rsidRDefault="009C6940" w:rsidP="009C6940">
                  <w:pPr>
                    <w:pStyle w:val="TableBodyText"/>
                  </w:pPr>
                  <w:r w:rsidRPr="00EF7969">
                    <w:t>313</w:t>
                  </w:r>
                </w:p>
              </w:tc>
            </w:tr>
            <w:tr w:rsidR="009C6940" w:rsidRPr="00EF7969" w14:paraId="547D9585" w14:textId="77777777" w:rsidTr="009C6940">
              <w:tc>
                <w:tcPr>
                  <w:tcW w:w="6378" w:type="dxa"/>
                  <w:shd w:val="clear" w:color="auto" w:fill="auto"/>
                </w:tcPr>
                <w:p w14:paraId="413A254E" w14:textId="77777777" w:rsidR="009C6940" w:rsidRPr="00EF7969" w:rsidRDefault="009C6940" w:rsidP="009C6940">
                  <w:pPr>
                    <w:pStyle w:val="TableBodyText"/>
                    <w:jc w:val="left"/>
                  </w:pPr>
                  <w:r w:rsidRPr="00EF7969">
                    <w:t>Autism Aspergers Advocacy Australia</w:t>
                  </w:r>
                </w:p>
              </w:tc>
              <w:tc>
                <w:tcPr>
                  <w:tcW w:w="2126" w:type="dxa"/>
                  <w:shd w:val="clear" w:color="auto" w:fill="auto"/>
                </w:tcPr>
                <w:p w14:paraId="6EB5EE23" w14:textId="77777777" w:rsidR="009C6940" w:rsidRPr="00EF7969" w:rsidRDefault="009C6940" w:rsidP="009C6940">
                  <w:pPr>
                    <w:pStyle w:val="TableBodyText"/>
                  </w:pPr>
                  <w:r w:rsidRPr="00EF7969">
                    <w:t>561</w:t>
                  </w:r>
                </w:p>
              </w:tc>
            </w:tr>
            <w:tr w:rsidR="009C6940" w:rsidRPr="00EF7969" w14:paraId="6DC31761" w14:textId="77777777" w:rsidTr="009C6940">
              <w:tc>
                <w:tcPr>
                  <w:tcW w:w="6378" w:type="dxa"/>
                  <w:shd w:val="clear" w:color="auto" w:fill="auto"/>
                </w:tcPr>
                <w:p w14:paraId="70DE033A" w14:textId="77777777" w:rsidR="009C6940" w:rsidRPr="00EF7969" w:rsidRDefault="009C6940" w:rsidP="009C6940">
                  <w:pPr>
                    <w:pStyle w:val="TableBodyText"/>
                    <w:jc w:val="left"/>
                  </w:pPr>
                  <w:r w:rsidRPr="00EF7969">
                    <w:t>B Nettle</w:t>
                  </w:r>
                </w:p>
              </w:tc>
              <w:tc>
                <w:tcPr>
                  <w:tcW w:w="2126" w:type="dxa"/>
                  <w:shd w:val="clear" w:color="auto" w:fill="auto"/>
                </w:tcPr>
                <w:p w14:paraId="102EC833" w14:textId="77777777" w:rsidR="009C6940" w:rsidRPr="00EF7969" w:rsidRDefault="009C6940" w:rsidP="009C6940">
                  <w:pPr>
                    <w:pStyle w:val="TableBodyText"/>
                  </w:pPr>
                  <w:r w:rsidRPr="00EF7969">
                    <w:t>1144</w:t>
                  </w:r>
                </w:p>
              </w:tc>
            </w:tr>
            <w:tr w:rsidR="009C6940" w:rsidRPr="00EF7969" w14:paraId="64D782B2" w14:textId="77777777" w:rsidTr="009C6940">
              <w:tc>
                <w:tcPr>
                  <w:tcW w:w="6378" w:type="dxa"/>
                  <w:shd w:val="clear" w:color="auto" w:fill="auto"/>
                </w:tcPr>
                <w:p w14:paraId="7064CFAF" w14:textId="77777777" w:rsidR="009C6940" w:rsidRPr="00EF7969" w:rsidRDefault="009C6940" w:rsidP="009C6940">
                  <w:pPr>
                    <w:pStyle w:val="TableBodyText"/>
                    <w:jc w:val="left"/>
                  </w:pPr>
                  <w:r w:rsidRPr="00EF7969">
                    <w:t>Baiyu Chen</w:t>
                  </w:r>
                </w:p>
              </w:tc>
              <w:tc>
                <w:tcPr>
                  <w:tcW w:w="2126" w:type="dxa"/>
                  <w:shd w:val="clear" w:color="auto" w:fill="auto"/>
                </w:tcPr>
                <w:p w14:paraId="668058B2" w14:textId="77777777" w:rsidR="009C6940" w:rsidRPr="00EF7969" w:rsidRDefault="009C6940" w:rsidP="009C6940">
                  <w:pPr>
                    <w:pStyle w:val="TableBodyText"/>
                  </w:pPr>
                  <w:r w:rsidRPr="00EF7969">
                    <w:t>1161</w:t>
                  </w:r>
                </w:p>
              </w:tc>
            </w:tr>
            <w:tr w:rsidR="009C6940" w:rsidRPr="00EF7969" w14:paraId="323C077A" w14:textId="77777777" w:rsidTr="009C6940">
              <w:tc>
                <w:tcPr>
                  <w:tcW w:w="6378" w:type="dxa"/>
                  <w:shd w:val="clear" w:color="auto" w:fill="auto"/>
                </w:tcPr>
                <w:p w14:paraId="3ABDE54B" w14:textId="77777777" w:rsidR="009C6940" w:rsidRPr="00EF7969" w:rsidRDefault="009C6940" w:rsidP="009C6940">
                  <w:pPr>
                    <w:pStyle w:val="TableBodyText"/>
                    <w:jc w:val="left"/>
                  </w:pPr>
                  <w:r w:rsidRPr="00EF7969">
                    <w:t>Balancing of Life</w:t>
                  </w:r>
                </w:p>
              </w:tc>
              <w:tc>
                <w:tcPr>
                  <w:tcW w:w="2126" w:type="dxa"/>
                  <w:shd w:val="clear" w:color="auto" w:fill="auto"/>
                </w:tcPr>
                <w:p w14:paraId="2212470A" w14:textId="77777777" w:rsidR="009C6940" w:rsidRPr="00EF7969" w:rsidRDefault="009C6940" w:rsidP="009C6940">
                  <w:pPr>
                    <w:pStyle w:val="TableBodyText"/>
                  </w:pPr>
                  <w:r w:rsidRPr="00EF7969">
                    <w:t>582, 610</w:t>
                  </w:r>
                </w:p>
              </w:tc>
            </w:tr>
            <w:tr w:rsidR="009C6940" w:rsidRPr="00EF7969" w14:paraId="0D363B7F" w14:textId="77777777" w:rsidTr="009C6940">
              <w:tc>
                <w:tcPr>
                  <w:tcW w:w="6378" w:type="dxa"/>
                  <w:shd w:val="clear" w:color="auto" w:fill="auto"/>
                </w:tcPr>
                <w:p w14:paraId="43F799AE" w14:textId="77777777" w:rsidR="009C6940" w:rsidRPr="00EF7969" w:rsidRDefault="009C6940" w:rsidP="009C6940">
                  <w:pPr>
                    <w:pStyle w:val="TableBodyText"/>
                    <w:jc w:val="left"/>
                  </w:pPr>
                  <w:r w:rsidRPr="00EF7969">
                    <w:t>Barbara Harland</w:t>
                  </w:r>
                </w:p>
              </w:tc>
              <w:tc>
                <w:tcPr>
                  <w:tcW w:w="2126" w:type="dxa"/>
                  <w:shd w:val="clear" w:color="auto" w:fill="auto"/>
                </w:tcPr>
                <w:p w14:paraId="0CCF7132" w14:textId="77777777" w:rsidR="009C6940" w:rsidRPr="00EF7969" w:rsidRDefault="009C6940" w:rsidP="009C6940">
                  <w:pPr>
                    <w:pStyle w:val="TableBodyText"/>
                  </w:pPr>
                  <w:r w:rsidRPr="00EF7969">
                    <w:t>694</w:t>
                  </w:r>
                </w:p>
              </w:tc>
            </w:tr>
            <w:tr w:rsidR="009C6940" w:rsidRPr="00EF7969" w14:paraId="3FD36C5D" w14:textId="77777777" w:rsidTr="009C6940">
              <w:tc>
                <w:tcPr>
                  <w:tcW w:w="6378" w:type="dxa"/>
                  <w:tcBorders>
                    <w:bottom w:val="single" w:sz="4" w:space="0" w:color="BFBFBF" w:themeColor="background1" w:themeShade="BF"/>
                  </w:tcBorders>
                  <w:shd w:val="clear" w:color="auto" w:fill="auto"/>
                </w:tcPr>
                <w:p w14:paraId="749530AE" w14:textId="77777777" w:rsidR="009C6940" w:rsidRPr="00EF7969" w:rsidRDefault="009C6940" w:rsidP="009C6940">
                  <w:pPr>
                    <w:pStyle w:val="TableBodyText"/>
                    <w:jc w:val="left"/>
                  </w:pPr>
                  <w:r w:rsidRPr="003C0CE8">
                    <w:t>batyr</w:t>
                  </w:r>
                </w:p>
              </w:tc>
              <w:tc>
                <w:tcPr>
                  <w:tcW w:w="2126" w:type="dxa"/>
                  <w:tcBorders>
                    <w:bottom w:val="single" w:sz="4" w:space="0" w:color="BFBFBF" w:themeColor="background1" w:themeShade="BF"/>
                  </w:tcBorders>
                  <w:shd w:val="clear" w:color="auto" w:fill="auto"/>
                </w:tcPr>
                <w:p w14:paraId="1A79703C" w14:textId="77777777" w:rsidR="009C6940" w:rsidRPr="00EF7969" w:rsidRDefault="009C6940" w:rsidP="009C6940">
                  <w:pPr>
                    <w:pStyle w:val="TableBodyText"/>
                  </w:pPr>
                  <w:r w:rsidRPr="003C0CE8">
                    <w:t>334, 907</w:t>
                  </w:r>
                </w:p>
              </w:tc>
            </w:tr>
          </w:tbl>
          <w:p w14:paraId="2CF0F8F6" w14:textId="77777777" w:rsidR="009C6940" w:rsidRPr="00EF7969" w:rsidRDefault="009C6940" w:rsidP="009C6940">
            <w:pPr>
              <w:pStyle w:val="Box"/>
            </w:pPr>
          </w:p>
        </w:tc>
      </w:tr>
      <w:tr w:rsidR="009C6940" w:rsidRPr="00EF7969" w14:paraId="78C66574" w14:textId="77777777" w:rsidTr="009C6940">
        <w:tc>
          <w:tcPr>
            <w:tcW w:w="8789" w:type="dxa"/>
            <w:tcBorders>
              <w:top w:val="nil"/>
              <w:left w:val="nil"/>
              <w:bottom w:val="nil"/>
              <w:right w:val="nil"/>
            </w:tcBorders>
            <w:shd w:val="clear" w:color="auto" w:fill="auto"/>
          </w:tcPr>
          <w:p w14:paraId="161D2FFB" w14:textId="77777777" w:rsidR="009C6940" w:rsidRPr="00EF7969" w:rsidRDefault="009C6940" w:rsidP="009C6940">
            <w:pPr>
              <w:pStyle w:val="Continued"/>
            </w:pPr>
            <w:r w:rsidRPr="00EF7969">
              <w:t>(continued next page)</w:t>
            </w:r>
          </w:p>
        </w:tc>
      </w:tr>
      <w:tr w:rsidR="009C6940" w:rsidRPr="00EF7969" w14:paraId="1FDD7F18" w14:textId="77777777" w:rsidTr="009C6940">
        <w:tc>
          <w:tcPr>
            <w:tcW w:w="8789" w:type="dxa"/>
            <w:tcBorders>
              <w:top w:val="nil"/>
              <w:left w:val="nil"/>
              <w:bottom w:val="single" w:sz="6" w:space="0" w:color="78A22F"/>
              <w:right w:val="nil"/>
            </w:tcBorders>
            <w:shd w:val="clear" w:color="auto" w:fill="auto"/>
          </w:tcPr>
          <w:p w14:paraId="6E2F18F6" w14:textId="77777777" w:rsidR="009C6940" w:rsidRPr="00EF7969" w:rsidRDefault="009C6940" w:rsidP="009C6940">
            <w:pPr>
              <w:pStyle w:val="Box"/>
              <w:spacing w:before="0" w:line="120" w:lineRule="exact"/>
            </w:pPr>
          </w:p>
        </w:tc>
      </w:tr>
      <w:tr w:rsidR="009C6940" w:rsidRPr="00EF7969" w14:paraId="29A88F2E" w14:textId="77777777" w:rsidTr="009C6940">
        <w:tc>
          <w:tcPr>
            <w:tcW w:w="8789" w:type="dxa"/>
            <w:tcBorders>
              <w:top w:val="single" w:sz="6" w:space="0" w:color="78A22F"/>
              <w:left w:val="nil"/>
              <w:bottom w:val="nil"/>
              <w:right w:val="nil"/>
            </w:tcBorders>
          </w:tcPr>
          <w:p w14:paraId="0F617A96" w14:textId="77777777" w:rsidR="009C6940" w:rsidRPr="00EF7969" w:rsidRDefault="009C6940" w:rsidP="009C6940">
            <w:pPr>
              <w:pStyle w:val="BoxSpaceBelow"/>
            </w:pPr>
          </w:p>
        </w:tc>
      </w:tr>
    </w:tbl>
    <w:p w14:paraId="4289A483"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015D149C" w14:textId="77777777" w:rsidTr="009C6940">
        <w:trPr>
          <w:tblHeader/>
        </w:trPr>
        <w:tc>
          <w:tcPr>
            <w:tcW w:w="8789" w:type="dxa"/>
            <w:tcBorders>
              <w:top w:val="single" w:sz="6" w:space="0" w:color="78A22F"/>
              <w:left w:val="nil"/>
              <w:bottom w:val="nil"/>
              <w:right w:val="nil"/>
            </w:tcBorders>
            <w:shd w:val="clear" w:color="auto" w:fill="auto"/>
          </w:tcPr>
          <w:p w14:paraId="35791666"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5D7F97E2" w14:textId="77777777" w:rsidTr="009C6940">
        <w:tc>
          <w:tcPr>
            <w:tcW w:w="8789" w:type="dxa"/>
            <w:tcBorders>
              <w:top w:val="nil"/>
              <w:left w:val="nil"/>
              <w:bottom w:val="nil"/>
              <w:right w:val="nil"/>
            </w:tcBorders>
            <w:shd w:val="clear" w:color="auto" w:fill="auto"/>
          </w:tcPr>
          <w:tbl>
            <w:tblPr>
              <w:tblW w:w="0" w:type="auto"/>
              <w:tblBorders>
                <w:bottom w:val="single" w:sz="6" w:space="0" w:color="BFBFBF"/>
              </w:tblBorders>
              <w:tblLayout w:type="fixed"/>
              <w:tblCellMar>
                <w:top w:w="28" w:type="dxa"/>
                <w:left w:w="0" w:type="dxa"/>
                <w:right w:w="0" w:type="dxa"/>
              </w:tblCellMar>
              <w:tblLook w:val="0000" w:firstRow="0" w:lastRow="0" w:firstColumn="0" w:lastColumn="0" w:noHBand="0" w:noVBand="0"/>
            </w:tblPr>
            <w:tblGrid>
              <w:gridCol w:w="6378"/>
              <w:gridCol w:w="2124"/>
            </w:tblGrid>
            <w:tr w:rsidR="009C6940" w:rsidRPr="00EF7969" w14:paraId="5A8D726F" w14:textId="77777777" w:rsidTr="009C6940">
              <w:trPr>
                <w:tblHeader/>
              </w:trPr>
              <w:tc>
                <w:tcPr>
                  <w:tcW w:w="6378" w:type="dxa"/>
                  <w:tcBorders>
                    <w:top w:val="single" w:sz="4" w:space="0" w:color="BFBFBF" w:themeColor="background1" w:themeShade="BF"/>
                    <w:bottom w:val="single" w:sz="4" w:space="0" w:color="BFBFBF" w:themeColor="background1" w:themeShade="BF"/>
                  </w:tcBorders>
                  <w:shd w:val="clear" w:color="auto" w:fill="auto"/>
                  <w:tcMar>
                    <w:top w:w="28" w:type="dxa"/>
                  </w:tcMar>
                </w:tcPr>
                <w:p w14:paraId="6AEC5812" w14:textId="77777777" w:rsidR="009C6940" w:rsidRPr="00EF7969" w:rsidRDefault="009C6940" w:rsidP="009C6940">
                  <w:pPr>
                    <w:pStyle w:val="TableColumnHeading"/>
                    <w:jc w:val="left"/>
                  </w:pPr>
                  <w:r w:rsidRPr="00EF7969">
                    <w:t>Participant</w:t>
                  </w:r>
                </w:p>
              </w:tc>
              <w:tc>
                <w:tcPr>
                  <w:tcW w:w="2124" w:type="dxa"/>
                  <w:tcBorders>
                    <w:top w:val="single" w:sz="4" w:space="0" w:color="BFBFBF" w:themeColor="background1" w:themeShade="BF"/>
                    <w:bottom w:val="single" w:sz="4" w:space="0" w:color="BFBFBF" w:themeColor="background1" w:themeShade="BF"/>
                  </w:tcBorders>
                  <w:shd w:val="clear" w:color="auto" w:fill="auto"/>
                  <w:tcMar>
                    <w:top w:w="28" w:type="dxa"/>
                  </w:tcMar>
                </w:tcPr>
                <w:p w14:paraId="07FB9B9C" w14:textId="77777777" w:rsidR="009C6940" w:rsidRPr="00EF7969" w:rsidRDefault="009C6940" w:rsidP="009C6940">
                  <w:pPr>
                    <w:pStyle w:val="TableColumnHeading"/>
                    <w:ind w:right="28"/>
                  </w:pPr>
                  <w:r w:rsidRPr="00EF7969">
                    <w:t>Submission no.</w:t>
                  </w:r>
                </w:p>
              </w:tc>
            </w:tr>
            <w:tr w:rsidR="009C6940" w:rsidRPr="00EF7969" w14:paraId="3187C4C8" w14:textId="77777777" w:rsidTr="009C6940">
              <w:tc>
                <w:tcPr>
                  <w:tcW w:w="6378" w:type="dxa"/>
                  <w:shd w:val="clear" w:color="auto" w:fill="auto"/>
                </w:tcPr>
                <w:p w14:paraId="7F6BE017" w14:textId="77777777" w:rsidR="009C6940" w:rsidRPr="003C0CE8" w:rsidRDefault="009C6940" w:rsidP="009C6940">
                  <w:pPr>
                    <w:pStyle w:val="TableBodyText"/>
                    <w:spacing w:before="40"/>
                    <w:jc w:val="left"/>
                  </w:pPr>
                  <w:r w:rsidRPr="003C0CE8">
                    <w:t>Bec Mihaliz</w:t>
                  </w:r>
                </w:p>
              </w:tc>
              <w:tc>
                <w:tcPr>
                  <w:tcW w:w="2124" w:type="dxa"/>
                  <w:shd w:val="clear" w:color="auto" w:fill="auto"/>
                </w:tcPr>
                <w:p w14:paraId="6880D567" w14:textId="77777777" w:rsidR="009C6940" w:rsidRPr="003C0CE8" w:rsidRDefault="009C6940" w:rsidP="009C6940">
                  <w:pPr>
                    <w:pStyle w:val="TableBodyText"/>
                    <w:spacing w:before="40"/>
                  </w:pPr>
                  <w:r w:rsidRPr="003C0CE8">
                    <w:t>1162</w:t>
                  </w:r>
                </w:p>
              </w:tc>
            </w:tr>
            <w:tr w:rsidR="009C6940" w:rsidRPr="00EF7969" w14:paraId="46C406AB" w14:textId="77777777" w:rsidTr="009C6940">
              <w:tc>
                <w:tcPr>
                  <w:tcW w:w="6378" w:type="dxa"/>
                  <w:shd w:val="clear" w:color="auto" w:fill="auto"/>
                </w:tcPr>
                <w:p w14:paraId="409509DE" w14:textId="77777777" w:rsidR="009C6940" w:rsidRPr="003C0CE8" w:rsidRDefault="009C6940" w:rsidP="009C6940">
                  <w:pPr>
                    <w:pStyle w:val="TableBodyText"/>
                    <w:jc w:val="left"/>
                  </w:pPr>
                  <w:r w:rsidRPr="003C0CE8">
                    <w:t>Becoming Us</w:t>
                  </w:r>
                </w:p>
              </w:tc>
              <w:tc>
                <w:tcPr>
                  <w:tcW w:w="2124" w:type="dxa"/>
                  <w:shd w:val="clear" w:color="auto" w:fill="auto"/>
                </w:tcPr>
                <w:p w14:paraId="30A861FD" w14:textId="77777777" w:rsidR="009C6940" w:rsidRPr="003C0CE8" w:rsidRDefault="009C6940" w:rsidP="009C6940">
                  <w:pPr>
                    <w:pStyle w:val="TableBodyText"/>
                  </w:pPr>
                  <w:r w:rsidRPr="003C0CE8">
                    <w:t>132</w:t>
                  </w:r>
                </w:p>
              </w:tc>
            </w:tr>
            <w:tr w:rsidR="009C6940" w:rsidRPr="00EF7969" w14:paraId="7B63FF5E" w14:textId="77777777" w:rsidTr="009C6940">
              <w:tc>
                <w:tcPr>
                  <w:tcW w:w="6378" w:type="dxa"/>
                  <w:shd w:val="clear" w:color="auto" w:fill="auto"/>
                </w:tcPr>
                <w:p w14:paraId="6940AD34" w14:textId="77777777" w:rsidR="009C6940" w:rsidRPr="003C0CE8" w:rsidRDefault="009C6940" w:rsidP="009C6940">
                  <w:pPr>
                    <w:pStyle w:val="TableBodyText"/>
                    <w:jc w:val="left"/>
                  </w:pPr>
                  <w:r w:rsidRPr="003C0CE8">
                    <w:t>Being</w:t>
                  </w:r>
                </w:p>
              </w:tc>
              <w:tc>
                <w:tcPr>
                  <w:tcW w:w="2124" w:type="dxa"/>
                  <w:shd w:val="clear" w:color="auto" w:fill="auto"/>
                </w:tcPr>
                <w:p w14:paraId="714190FC" w14:textId="77777777" w:rsidR="009C6940" w:rsidRPr="003C0CE8" w:rsidRDefault="009C6940" w:rsidP="009C6940">
                  <w:pPr>
                    <w:pStyle w:val="TableBodyText"/>
                  </w:pPr>
                  <w:r w:rsidRPr="003C0CE8">
                    <w:t>918</w:t>
                  </w:r>
                </w:p>
              </w:tc>
            </w:tr>
            <w:tr w:rsidR="009C6940" w:rsidRPr="00EF7969" w14:paraId="2303B0F6" w14:textId="77777777" w:rsidTr="009C6940">
              <w:tc>
                <w:tcPr>
                  <w:tcW w:w="6378" w:type="dxa"/>
                  <w:shd w:val="clear" w:color="auto" w:fill="auto"/>
                </w:tcPr>
                <w:p w14:paraId="4648A1AC" w14:textId="77777777" w:rsidR="009C6940" w:rsidRPr="003C0CE8" w:rsidRDefault="009C6940" w:rsidP="009C6940">
                  <w:pPr>
                    <w:pStyle w:val="TableBodyText"/>
                    <w:jc w:val="left"/>
                  </w:pPr>
                  <w:r w:rsidRPr="003C0CE8">
                    <w:t>Belinda Willis</w:t>
                  </w:r>
                </w:p>
              </w:tc>
              <w:tc>
                <w:tcPr>
                  <w:tcW w:w="2124" w:type="dxa"/>
                  <w:shd w:val="clear" w:color="auto" w:fill="auto"/>
                </w:tcPr>
                <w:p w14:paraId="6B6F2C4F" w14:textId="77777777" w:rsidR="009C6940" w:rsidRPr="003C0CE8" w:rsidRDefault="009C6940" w:rsidP="009C6940">
                  <w:pPr>
                    <w:pStyle w:val="TableBodyText"/>
                  </w:pPr>
                  <w:r w:rsidRPr="003C0CE8">
                    <w:t>1070</w:t>
                  </w:r>
                </w:p>
              </w:tc>
            </w:tr>
            <w:tr w:rsidR="009C6940" w:rsidRPr="00EF7969" w14:paraId="30ECBA0B" w14:textId="77777777" w:rsidTr="009C6940">
              <w:tc>
                <w:tcPr>
                  <w:tcW w:w="6378" w:type="dxa"/>
                  <w:shd w:val="clear" w:color="auto" w:fill="auto"/>
                </w:tcPr>
                <w:p w14:paraId="5FA89453" w14:textId="77777777" w:rsidR="009C6940" w:rsidRPr="003C0CE8" w:rsidRDefault="009C6940" w:rsidP="009C6940">
                  <w:pPr>
                    <w:pStyle w:val="TableBodyText"/>
                    <w:jc w:val="left"/>
                  </w:pPr>
                  <w:r w:rsidRPr="003C0CE8">
                    <w:t>Benjamin Whitely</w:t>
                  </w:r>
                </w:p>
              </w:tc>
              <w:tc>
                <w:tcPr>
                  <w:tcW w:w="2124" w:type="dxa"/>
                  <w:shd w:val="clear" w:color="auto" w:fill="auto"/>
                </w:tcPr>
                <w:p w14:paraId="614F0E84" w14:textId="77777777" w:rsidR="009C6940" w:rsidRPr="003C0CE8" w:rsidRDefault="009C6940" w:rsidP="009C6940">
                  <w:pPr>
                    <w:pStyle w:val="TableBodyText"/>
                  </w:pPr>
                  <w:r w:rsidRPr="003C0CE8">
                    <w:t>1211</w:t>
                  </w:r>
                </w:p>
              </w:tc>
            </w:tr>
            <w:tr w:rsidR="009C6940" w:rsidRPr="00EF7969" w14:paraId="1DA5D0A7" w14:textId="77777777" w:rsidTr="009C6940">
              <w:tc>
                <w:tcPr>
                  <w:tcW w:w="6378" w:type="dxa"/>
                  <w:shd w:val="clear" w:color="auto" w:fill="auto"/>
                </w:tcPr>
                <w:p w14:paraId="04A9F48B" w14:textId="77777777" w:rsidR="009C6940" w:rsidRPr="003C0CE8" w:rsidRDefault="009C6940" w:rsidP="009C6940">
                  <w:pPr>
                    <w:pStyle w:val="TableBodyText"/>
                    <w:jc w:val="left"/>
                  </w:pPr>
                  <w:r w:rsidRPr="003C0CE8">
                    <w:t>Bernard Lowenstein</w:t>
                  </w:r>
                </w:p>
              </w:tc>
              <w:tc>
                <w:tcPr>
                  <w:tcW w:w="2124" w:type="dxa"/>
                  <w:shd w:val="clear" w:color="auto" w:fill="auto"/>
                </w:tcPr>
                <w:p w14:paraId="071722FC" w14:textId="77777777" w:rsidR="009C6940" w:rsidRPr="003C0CE8" w:rsidRDefault="009C6940" w:rsidP="009C6940">
                  <w:pPr>
                    <w:pStyle w:val="TableBodyText"/>
                  </w:pPr>
                  <w:r w:rsidRPr="003C0CE8">
                    <w:t>1041</w:t>
                  </w:r>
                </w:p>
              </w:tc>
            </w:tr>
            <w:tr w:rsidR="009C6940" w:rsidRPr="00EF7969" w14:paraId="752B6FB3" w14:textId="77777777" w:rsidTr="009C6940">
              <w:tc>
                <w:tcPr>
                  <w:tcW w:w="6378" w:type="dxa"/>
                  <w:shd w:val="clear" w:color="auto" w:fill="auto"/>
                </w:tcPr>
                <w:p w14:paraId="7D42457F" w14:textId="77777777" w:rsidR="009C6940" w:rsidRPr="003C0CE8" w:rsidRDefault="009C6940" w:rsidP="009C6940">
                  <w:pPr>
                    <w:pStyle w:val="TableBodyText"/>
                    <w:jc w:val="left"/>
                  </w:pPr>
                  <w:r w:rsidRPr="003C0CE8">
                    <w:t>Berry Street</w:t>
                  </w:r>
                </w:p>
              </w:tc>
              <w:tc>
                <w:tcPr>
                  <w:tcW w:w="2124" w:type="dxa"/>
                  <w:shd w:val="clear" w:color="auto" w:fill="auto"/>
                </w:tcPr>
                <w:p w14:paraId="72710721" w14:textId="77777777" w:rsidR="009C6940" w:rsidRPr="003C0CE8" w:rsidRDefault="009C6940" w:rsidP="009C6940">
                  <w:pPr>
                    <w:pStyle w:val="TableBodyText"/>
                  </w:pPr>
                  <w:r w:rsidRPr="003C0CE8">
                    <w:t>366</w:t>
                  </w:r>
                </w:p>
              </w:tc>
            </w:tr>
            <w:tr w:rsidR="009C6940" w:rsidRPr="00EF7969" w14:paraId="31D8DAD2" w14:textId="77777777" w:rsidTr="009C6940">
              <w:tc>
                <w:tcPr>
                  <w:tcW w:w="6378" w:type="dxa"/>
                  <w:shd w:val="clear" w:color="auto" w:fill="auto"/>
                </w:tcPr>
                <w:p w14:paraId="1E6929D4" w14:textId="77777777" w:rsidR="009C6940" w:rsidRPr="003C0CE8" w:rsidRDefault="009C6940" w:rsidP="009C6940">
                  <w:pPr>
                    <w:pStyle w:val="TableBodyText"/>
                    <w:jc w:val="left"/>
                  </w:pPr>
                  <w:r w:rsidRPr="003C0CE8">
                    <w:t>Better Place Australia</w:t>
                  </w:r>
                </w:p>
              </w:tc>
              <w:tc>
                <w:tcPr>
                  <w:tcW w:w="2124" w:type="dxa"/>
                  <w:shd w:val="clear" w:color="auto" w:fill="auto"/>
                </w:tcPr>
                <w:p w14:paraId="437670F9" w14:textId="77777777" w:rsidR="009C6940" w:rsidRPr="003C0CE8" w:rsidRDefault="009C6940" w:rsidP="009C6940">
                  <w:pPr>
                    <w:pStyle w:val="TableBodyText"/>
                  </w:pPr>
                  <w:r w:rsidRPr="003C0CE8">
                    <w:t>127</w:t>
                  </w:r>
                </w:p>
              </w:tc>
            </w:tr>
            <w:tr w:rsidR="009C6940" w:rsidRPr="00EF7969" w14:paraId="4DAF1081" w14:textId="77777777" w:rsidTr="009C6940">
              <w:tc>
                <w:tcPr>
                  <w:tcW w:w="6378" w:type="dxa"/>
                  <w:shd w:val="clear" w:color="auto" w:fill="auto"/>
                </w:tcPr>
                <w:p w14:paraId="674F8660" w14:textId="77777777" w:rsidR="009C6940" w:rsidRPr="003C0CE8" w:rsidRDefault="009C6940" w:rsidP="009C6940">
                  <w:pPr>
                    <w:pStyle w:val="TableBodyText"/>
                    <w:jc w:val="left"/>
                  </w:pPr>
                  <w:r w:rsidRPr="003C0CE8">
                    <w:t>Beyond a Joke Ltd</w:t>
                  </w:r>
                </w:p>
              </w:tc>
              <w:tc>
                <w:tcPr>
                  <w:tcW w:w="2124" w:type="dxa"/>
                  <w:shd w:val="clear" w:color="auto" w:fill="auto"/>
                </w:tcPr>
                <w:p w14:paraId="70E2F3C7" w14:textId="77777777" w:rsidR="009C6940" w:rsidRPr="003C0CE8" w:rsidRDefault="009C6940" w:rsidP="009C6940">
                  <w:pPr>
                    <w:pStyle w:val="TableBodyText"/>
                  </w:pPr>
                  <w:r w:rsidRPr="003C0CE8">
                    <w:t>335</w:t>
                  </w:r>
                </w:p>
              </w:tc>
            </w:tr>
            <w:tr w:rsidR="009C6940" w:rsidRPr="00EF7969" w14:paraId="00B1C4A5" w14:textId="77777777" w:rsidTr="009C6940">
              <w:tc>
                <w:tcPr>
                  <w:tcW w:w="6378" w:type="dxa"/>
                  <w:shd w:val="clear" w:color="auto" w:fill="auto"/>
                </w:tcPr>
                <w:p w14:paraId="5018FE67" w14:textId="77777777" w:rsidR="009C6940" w:rsidRPr="003C0CE8" w:rsidRDefault="009C6940" w:rsidP="009C6940">
                  <w:pPr>
                    <w:pStyle w:val="TableBodyText"/>
                    <w:jc w:val="left"/>
                  </w:pPr>
                  <w:r w:rsidRPr="003C0CE8">
                    <w:t>Beyond Blue</w:t>
                  </w:r>
                </w:p>
              </w:tc>
              <w:tc>
                <w:tcPr>
                  <w:tcW w:w="2124" w:type="dxa"/>
                  <w:shd w:val="clear" w:color="auto" w:fill="auto"/>
                </w:tcPr>
                <w:p w14:paraId="69E49194" w14:textId="77777777" w:rsidR="009C6940" w:rsidRPr="003C0CE8" w:rsidRDefault="009C6940" w:rsidP="009C6940">
                  <w:pPr>
                    <w:pStyle w:val="TableBodyText"/>
                  </w:pPr>
                  <w:r w:rsidRPr="003C0CE8">
                    <w:t>275, 877</w:t>
                  </w:r>
                </w:p>
              </w:tc>
            </w:tr>
            <w:tr w:rsidR="009C6940" w:rsidRPr="00EF7969" w14:paraId="104AF17D" w14:textId="77777777" w:rsidTr="009C6940">
              <w:tc>
                <w:tcPr>
                  <w:tcW w:w="6378" w:type="dxa"/>
                  <w:shd w:val="clear" w:color="auto" w:fill="auto"/>
                </w:tcPr>
                <w:p w14:paraId="3ED1944E" w14:textId="77777777" w:rsidR="009C6940" w:rsidRPr="003C0CE8" w:rsidRDefault="009C6940" w:rsidP="009C6940">
                  <w:pPr>
                    <w:pStyle w:val="TableBodyText"/>
                    <w:jc w:val="left"/>
                  </w:pPr>
                  <w:r w:rsidRPr="003C0CE8">
                    <w:t>Big League Pty Ltd</w:t>
                  </w:r>
                </w:p>
              </w:tc>
              <w:tc>
                <w:tcPr>
                  <w:tcW w:w="2124" w:type="dxa"/>
                  <w:shd w:val="clear" w:color="auto" w:fill="auto"/>
                </w:tcPr>
                <w:p w14:paraId="09334E2E" w14:textId="77777777" w:rsidR="009C6940" w:rsidRPr="003C0CE8" w:rsidRDefault="009C6940" w:rsidP="009C6940">
                  <w:pPr>
                    <w:pStyle w:val="TableBodyText"/>
                  </w:pPr>
                  <w:r w:rsidRPr="003C0CE8">
                    <w:t>971</w:t>
                  </w:r>
                </w:p>
              </w:tc>
            </w:tr>
            <w:tr w:rsidR="009C6940" w:rsidRPr="00EF7969" w14:paraId="54672B75" w14:textId="77777777" w:rsidTr="009C6940">
              <w:tc>
                <w:tcPr>
                  <w:tcW w:w="6378" w:type="dxa"/>
                  <w:shd w:val="clear" w:color="auto" w:fill="auto"/>
                </w:tcPr>
                <w:p w14:paraId="261EF36C" w14:textId="77777777" w:rsidR="009C6940" w:rsidRPr="003C0CE8" w:rsidRDefault="009C6940" w:rsidP="009C6940">
                  <w:pPr>
                    <w:pStyle w:val="TableBodyText"/>
                    <w:jc w:val="left"/>
                  </w:pPr>
                  <w:r w:rsidRPr="003C0CE8">
                    <w:t>Bipolar Australia</w:t>
                  </w:r>
                </w:p>
              </w:tc>
              <w:tc>
                <w:tcPr>
                  <w:tcW w:w="2124" w:type="dxa"/>
                  <w:shd w:val="clear" w:color="auto" w:fill="auto"/>
                </w:tcPr>
                <w:p w14:paraId="0C6D33C1" w14:textId="77777777" w:rsidR="009C6940" w:rsidRPr="003C0CE8" w:rsidRDefault="009C6940" w:rsidP="009C6940">
                  <w:pPr>
                    <w:pStyle w:val="TableBodyText"/>
                  </w:pPr>
                  <w:r w:rsidRPr="003C0CE8">
                    <w:t>781</w:t>
                  </w:r>
                </w:p>
              </w:tc>
            </w:tr>
            <w:tr w:rsidR="009C6940" w:rsidRPr="00EF7969" w14:paraId="4B2C51BB" w14:textId="77777777" w:rsidTr="009C6940">
              <w:tc>
                <w:tcPr>
                  <w:tcW w:w="6378" w:type="dxa"/>
                  <w:shd w:val="clear" w:color="auto" w:fill="auto"/>
                </w:tcPr>
                <w:p w14:paraId="14FB1820" w14:textId="77777777" w:rsidR="009C6940" w:rsidRPr="003C0CE8" w:rsidRDefault="009C6940" w:rsidP="009C6940">
                  <w:pPr>
                    <w:pStyle w:val="TableBodyText"/>
                    <w:jc w:val="left"/>
                  </w:pPr>
                  <w:r w:rsidRPr="003C0CE8">
                    <w:t>Black Dog Institute</w:t>
                  </w:r>
                </w:p>
              </w:tc>
              <w:tc>
                <w:tcPr>
                  <w:tcW w:w="2124" w:type="dxa"/>
                  <w:shd w:val="clear" w:color="auto" w:fill="auto"/>
                </w:tcPr>
                <w:p w14:paraId="7FD93752" w14:textId="77777777" w:rsidR="009C6940" w:rsidRPr="003C0CE8" w:rsidRDefault="009C6940" w:rsidP="009C6940">
                  <w:pPr>
                    <w:pStyle w:val="TableBodyText"/>
                  </w:pPr>
                  <w:r w:rsidRPr="003C0CE8">
                    <w:t>306, 1207</w:t>
                  </w:r>
                </w:p>
              </w:tc>
            </w:tr>
            <w:tr w:rsidR="009C6940" w:rsidRPr="00EF7969" w14:paraId="483EB0EC" w14:textId="77777777" w:rsidTr="009C6940">
              <w:tc>
                <w:tcPr>
                  <w:tcW w:w="6378" w:type="dxa"/>
                  <w:shd w:val="clear" w:color="auto" w:fill="auto"/>
                </w:tcPr>
                <w:p w14:paraId="7E484008" w14:textId="77777777" w:rsidR="009C6940" w:rsidRPr="003C0CE8" w:rsidRDefault="009C6940" w:rsidP="009C6940">
                  <w:pPr>
                    <w:pStyle w:val="TableBodyText"/>
                    <w:jc w:val="left"/>
                  </w:pPr>
                  <w:r w:rsidRPr="003C0CE8">
                    <w:t>Blue Knot Foundation</w:t>
                  </w:r>
                </w:p>
              </w:tc>
              <w:tc>
                <w:tcPr>
                  <w:tcW w:w="2124" w:type="dxa"/>
                  <w:shd w:val="clear" w:color="auto" w:fill="auto"/>
                </w:tcPr>
                <w:p w14:paraId="34CD6F97" w14:textId="77777777" w:rsidR="009C6940" w:rsidRPr="003C0CE8" w:rsidRDefault="009C6940" w:rsidP="009C6940">
                  <w:pPr>
                    <w:pStyle w:val="TableBodyText"/>
                  </w:pPr>
                  <w:r w:rsidRPr="003C0CE8">
                    <w:t>47, 613</w:t>
                  </w:r>
                </w:p>
              </w:tc>
            </w:tr>
            <w:tr w:rsidR="009C6940" w:rsidRPr="00EF7969" w14:paraId="3F580237" w14:textId="77777777" w:rsidTr="009C6940">
              <w:tc>
                <w:tcPr>
                  <w:tcW w:w="6378" w:type="dxa"/>
                  <w:shd w:val="clear" w:color="auto" w:fill="auto"/>
                </w:tcPr>
                <w:p w14:paraId="28162900" w14:textId="77777777" w:rsidR="009C6940" w:rsidRPr="003C0CE8" w:rsidRDefault="009C6940" w:rsidP="009C6940">
                  <w:pPr>
                    <w:pStyle w:val="TableBodyText"/>
                    <w:jc w:val="left"/>
                  </w:pPr>
                  <w:r w:rsidRPr="003C0CE8">
                    <w:t>Bob and Barnaby Eden</w:t>
                  </w:r>
                </w:p>
              </w:tc>
              <w:tc>
                <w:tcPr>
                  <w:tcW w:w="2124" w:type="dxa"/>
                  <w:shd w:val="clear" w:color="auto" w:fill="auto"/>
                </w:tcPr>
                <w:p w14:paraId="752FA19D" w14:textId="77777777" w:rsidR="009C6940" w:rsidRPr="003C0CE8" w:rsidRDefault="009C6940" w:rsidP="009C6940">
                  <w:pPr>
                    <w:pStyle w:val="TableBodyText"/>
                  </w:pPr>
                  <w:r w:rsidRPr="003C0CE8">
                    <w:t>3</w:t>
                  </w:r>
                </w:p>
              </w:tc>
            </w:tr>
            <w:tr w:rsidR="009C6940" w:rsidRPr="00EF7969" w14:paraId="576F8351" w14:textId="77777777" w:rsidTr="009C6940">
              <w:tc>
                <w:tcPr>
                  <w:tcW w:w="6378" w:type="dxa"/>
                  <w:shd w:val="clear" w:color="auto" w:fill="auto"/>
                </w:tcPr>
                <w:p w14:paraId="2E59CD53" w14:textId="77777777" w:rsidR="009C6940" w:rsidRPr="003C0CE8" w:rsidRDefault="009C6940" w:rsidP="009C6940">
                  <w:pPr>
                    <w:pStyle w:val="TableBodyText"/>
                    <w:jc w:val="left"/>
                  </w:pPr>
                  <w:r w:rsidRPr="003C0CE8">
                    <w:t>Bob Napier</w:t>
                  </w:r>
                </w:p>
              </w:tc>
              <w:tc>
                <w:tcPr>
                  <w:tcW w:w="2124" w:type="dxa"/>
                  <w:shd w:val="clear" w:color="auto" w:fill="auto"/>
                </w:tcPr>
                <w:p w14:paraId="4626BEB8" w14:textId="77777777" w:rsidR="009C6940" w:rsidRPr="003C0CE8" w:rsidRDefault="009C6940" w:rsidP="009C6940">
                  <w:pPr>
                    <w:pStyle w:val="TableBodyText"/>
                  </w:pPr>
                  <w:r w:rsidRPr="003C0CE8">
                    <w:t>583</w:t>
                  </w:r>
                </w:p>
              </w:tc>
            </w:tr>
            <w:tr w:rsidR="009C6940" w:rsidRPr="00EF7969" w14:paraId="335DBE1C" w14:textId="77777777" w:rsidTr="009C6940">
              <w:tc>
                <w:tcPr>
                  <w:tcW w:w="6378" w:type="dxa"/>
                  <w:shd w:val="clear" w:color="auto" w:fill="auto"/>
                </w:tcPr>
                <w:p w14:paraId="6C0D9889" w14:textId="77777777" w:rsidR="009C6940" w:rsidRPr="003C0CE8" w:rsidRDefault="009C6940" w:rsidP="009C6940">
                  <w:pPr>
                    <w:pStyle w:val="TableBodyText"/>
                    <w:jc w:val="left"/>
                  </w:pPr>
                  <w:r w:rsidRPr="003C0CE8">
                    <w:t>Bob Riessen</w:t>
                  </w:r>
                </w:p>
              </w:tc>
              <w:tc>
                <w:tcPr>
                  <w:tcW w:w="2124" w:type="dxa"/>
                  <w:shd w:val="clear" w:color="auto" w:fill="auto"/>
                </w:tcPr>
                <w:p w14:paraId="60A19F00" w14:textId="77777777" w:rsidR="009C6940" w:rsidRPr="003C0CE8" w:rsidRDefault="009C6940" w:rsidP="009C6940">
                  <w:pPr>
                    <w:pStyle w:val="TableBodyText"/>
                  </w:pPr>
                  <w:r w:rsidRPr="003C0CE8">
                    <w:t>373, 639, 1116, 1234</w:t>
                  </w:r>
                </w:p>
              </w:tc>
            </w:tr>
            <w:tr w:rsidR="009C6940" w:rsidRPr="00EF7969" w14:paraId="0B195DD5" w14:textId="77777777" w:rsidTr="009C6940">
              <w:tc>
                <w:tcPr>
                  <w:tcW w:w="6378" w:type="dxa"/>
                  <w:shd w:val="clear" w:color="auto" w:fill="auto"/>
                </w:tcPr>
                <w:p w14:paraId="2E52FC5C" w14:textId="77777777" w:rsidR="009C6940" w:rsidRPr="003C0CE8" w:rsidRDefault="009C6940" w:rsidP="009C6940">
                  <w:pPr>
                    <w:pStyle w:val="TableBodyText"/>
                    <w:jc w:val="left"/>
                  </w:pPr>
                  <w:r w:rsidRPr="003C0CE8">
                    <w:t>Bonnie Reid</w:t>
                  </w:r>
                </w:p>
              </w:tc>
              <w:tc>
                <w:tcPr>
                  <w:tcW w:w="2124" w:type="dxa"/>
                  <w:shd w:val="clear" w:color="auto" w:fill="auto"/>
                </w:tcPr>
                <w:p w14:paraId="40A81423" w14:textId="77777777" w:rsidR="009C6940" w:rsidRPr="003C0CE8" w:rsidRDefault="009C6940" w:rsidP="009C6940">
                  <w:pPr>
                    <w:pStyle w:val="TableBodyText"/>
                  </w:pPr>
                  <w:r w:rsidRPr="003C0CE8">
                    <w:t>980</w:t>
                  </w:r>
                </w:p>
              </w:tc>
            </w:tr>
            <w:tr w:rsidR="009C6940" w:rsidRPr="00EF7969" w14:paraId="07164DD3" w14:textId="77777777" w:rsidTr="009C6940">
              <w:tc>
                <w:tcPr>
                  <w:tcW w:w="6378" w:type="dxa"/>
                  <w:shd w:val="clear" w:color="auto" w:fill="auto"/>
                </w:tcPr>
                <w:p w14:paraId="6731630F" w14:textId="77777777" w:rsidR="009C6940" w:rsidRPr="003C0CE8" w:rsidRDefault="009C6940" w:rsidP="009C6940">
                  <w:pPr>
                    <w:pStyle w:val="TableBodyText"/>
                    <w:jc w:val="left"/>
                  </w:pPr>
                  <w:r w:rsidRPr="003C0CE8">
                    <w:t>Boroondara Health and Wellness Medical Centre</w:t>
                  </w:r>
                </w:p>
              </w:tc>
              <w:tc>
                <w:tcPr>
                  <w:tcW w:w="2124" w:type="dxa"/>
                  <w:shd w:val="clear" w:color="auto" w:fill="auto"/>
                </w:tcPr>
                <w:p w14:paraId="6CB21681" w14:textId="77777777" w:rsidR="009C6940" w:rsidRPr="003C0CE8" w:rsidRDefault="009C6940" w:rsidP="009C6940">
                  <w:pPr>
                    <w:pStyle w:val="TableBodyText"/>
                  </w:pPr>
                  <w:r w:rsidRPr="003C0CE8">
                    <w:t>787</w:t>
                  </w:r>
                </w:p>
              </w:tc>
            </w:tr>
            <w:tr w:rsidR="009C6940" w:rsidRPr="00EF7969" w14:paraId="34ED9EA1" w14:textId="77777777" w:rsidTr="009C6940">
              <w:tc>
                <w:tcPr>
                  <w:tcW w:w="6378" w:type="dxa"/>
                  <w:shd w:val="clear" w:color="auto" w:fill="auto"/>
                </w:tcPr>
                <w:p w14:paraId="7DB44DF9" w14:textId="77777777" w:rsidR="009C6940" w:rsidRPr="003C0CE8" w:rsidRDefault="009C6940" w:rsidP="009C6940">
                  <w:pPr>
                    <w:pStyle w:val="TableBodyText"/>
                    <w:jc w:val="left"/>
                  </w:pPr>
                  <w:r w:rsidRPr="003C0CE8">
                    <w:t xml:space="preserve">BPD Community </w:t>
                  </w:r>
                </w:p>
              </w:tc>
              <w:tc>
                <w:tcPr>
                  <w:tcW w:w="2124" w:type="dxa"/>
                  <w:shd w:val="clear" w:color="auto" w:fill="auto"/>
                </w:tcPr>
                <w:p w14:paraId="09203DC0" w14:textId="77777777" w:rsidR="009C6940" w:rsidRPr="003C0CE8" w:rsidRDefault="009C6940" w:rsidP="009C6940">
                  <w:pPr>
                    <w:pStyle w:val="TableBodyText"/>
                  </w:pPr>
                  <w:r w:rsidRPr="003C0CE8">
                    <w:t>74, 622</w:t>
                  </w:r>
                </w:p>
              </w:tc>
            </w:tr>
            <w:tr w:rsidR="009C6940" w:rsidRPr="00EF7969" w14:paraId="550DAD00" w14:textId="77777777" w:rsidTr="009C6940">
              <w:tc>
                <w:tcPr>
                  <w:tcW w:w="6378" w:type="dxa"/>
                  <w:shd w:val="clear" w:color="auto" w:fill="auto"/>
                </w:tcPr>
                <w:p w14:paraId="1AEB62F4" w14:textId="77777777" w:rsidR="009C6940" w:rsidRPr="003C0CE8" w:rsidRDefault="009C6940" w:rsidP="009C6940">
                  <w:pPr>
                    <w:pStyle w:val="TableBodyText"/>
                    <w:jc w:val="left"/>
                  </w:pPr>
                  <w:r w:rsidRPr="003C0CE8">
                    <w:t>BrainDx-Australia</w:t>
                  </w:r>
                </w:p>
              </w:tc>
              <w:tc>
                <w:tcPr>
                  <w:tcW w:w="2124" w:type="dxa"/>
                  <w:shd w:val="clear" w:color="auto" w:fill="auto"/>
                </w:tcPr>
                <w:p w14:paraId="533FE3A9" w14:textId="77777777" w:rsidR="009C6940" w:rsidRPr="003C0CE8" w:rsidRDefault="009C6940" w:rsidP="009C6940">
                  <w:pPr>
                    <w:pStyle w:val="TableBodyText"/>
                  </w:pPr>
                  <w:r w:rsidRPr="003C0CE8">
                    <w:t>805</w:t>
                  </w:r>
                </w:p>
              </w:tc>
            </w:tr>
            <w:tr w:rsidR="009C6940" w:rsidRPr="00EF7969" w14:paraId="5714F87F" w14:textId="77777777" w:rsidTr="009C6940">
              <w:tc>
                <w:tcPr>
                  <w:tcW w:w="6378" w:type="dxa"/>
                  <w:shd w:val="clear" w:color="auto" w:fill="auto"/>
                </w:tcPr>
                <w:p w14:paraId="08B2B457" w14:textId="77777777" w:rsidR="009C6940" w:rsidRPr="003C0CE8" w:rsidRDefault="009C6940" w:rsidP="009C6940">
                  <w:pPr>
                    <w:pStyle w:val="TableBodyText"/>
                    <w:jc w:val="left"/>
                  </w:pPr>
                  <w:r w:rsidRPr="003C0CE8">
                    <w:t>BrainStorm Mid North Coast</w:t>
                  </w:r>
                </w:p>
              </w:tc>
              <w:tc>
                <w:tcPr>
                  <w:tcW w:w="2124" w:type="dxa"/>
                  <w:shd w:val="clear" w:color="auto" w:fill="auto"/>
                </w:tcPr>
                <w:p w14:paraId="4ABD3131" w14:textId="77777777" w:rsidR="009C6940" w:rsidRPr="003C0CE8" w:rsidRDefault="009C6940" w:rsidP="009C6940">
                  <w:pPr>
                    <w:pStyle w:val="TableBodyText"/>
                  </w:pPr>
                  <w:r w:rsidRPr="003C0CE8">
                    <w:t>309, 803</w:t>
                  </w:r>
                </w:p>
              </w:tc>
            </w:tr>
            <w:tr w:rsidR="009C6940" w:rsidRPr="00EF7969" w14:paraId="7340A42C" w14:textId="77777777" w:rsidTr="009C6940">
              <w:tc>
                <w:tcPr>
                  <w:tcW w:w="6378" w:type="dxa"/>
                  <w:shd w:val="clear" w:color="auto" w:fill="auto"/>
                </w:tcPr>
                <w:p w14:paraId="5A8DF5DA" w14:textId="77777777" w:rsidR="009C6940" w:rsidRPr="003C0CE8" w:rsidRDefault="009C6940" w:rsidP="009C6940">
                  <w:pPr>
                    <w:pStyle w:val="TableBodyText"/>
                    <w:jc w:val="left"/>
                  </w:pPr>
                  <w:r w:rsidRPr="003C0CE8">
                    <w:t>Brave Therapy</w:t>
                  </w:r>
                </w:p>
              </w:tc>
              <w:tc>
                <w:tcPr>
                  <w:tcW w:w="2124" w:type="dxa"/>
                  <w:shd w:val="clear" w:color="auto" w:fill="auto"/>
                </w:tcPr>
                <w:p w14:paraId="131DA49C" w14:textId="77777777" w:rsidR="009C6940" w:rsidRPr="003C0CE8" w:rsidRDefault="009C6940" w:rsidP="009C6940">
                  <w:pPr>
                    <w:pStyle w:val="TableBodyText"/>
                  </w:pPr>
                  <w:r w:rsidRPr="003C0CE8">
                    <w:t>174</w:t>
                  </w:r>
                </w:p>
              </w:tc>
            </w:tr>
            <w:tr w:rsidR="009C6940" w:rsidRPr="00EF7969" w14:paraId="4A567977" w14:textId="77777777" w:rsidTr="009C6940">
              <w:tc>
                <w:tcPr>
                  <w:tcW w:w="6378" w:type="dxa"/>
                  <w:shd w:val="clear" w:color="auto" w:fill="auto"/>
                </w:tcPr>
                <w:p w14:paraId="11E73255" w14:textId="77777777" w:rsidR="009C6940" w:rsidRPr="003C0CE8" w:rsidRDefault="009C6940" w:rsidP="009C6940">
                  <w:pPr>
                    <w:pStyle w:val="TableBodyText"/>
                    <w:jc w:val="left"/>
                  </w:pPr>
                  <w:r w:rsidRPr="003C0CE8">
                    <w:t>Bravehearts Foundation</w:t>
                  </w:r>
                </w:p>
              </w:tc>
              <w:tc>
                <w:tcPr>
                  <w:tcW w:w="2124" w:type="dxa"/>
                  <w:shd w:val="clear" w:color="auto" w:fill="auto"/>
                </w:tcPr>
                <w:p w14:paraId="6D82B494" w14:textId="77777777" w:rsidR="009C6940" w:rsidRPr="003C0CE8" w:rsidRDefault="009C6940" w:rsidP="009C6940">
                  <w:pPr>
                    <w:pStyle w:val="TableBodyText"/>
                  </w:pPr>
                  <w:r w:rsidRPr="003C0CE8">
                    <w:t>823</w:t>
                  </w:r>
                </w:p>
              </w:tc>
            </w:tr>
            <w:tr w:rsidR="009C6940" w:rsidRPr="00EF7969" w14:paraId="24D5634B" w14:textId="77777777" w:rsidTr="009C6940">
              <w:tc>
                <w:tcPr>
                  <w:tcW w:w="6378" w:type="dxa"/>
                  <w:shd w:val="clear" w:color="auto" w:fill="auto"/>
                </w:tcPr>
                <w:p w14:paraId="727EB30D" w14:textId="77777777" w:rsidR="009C6940" w:rsidRPr="003C0CE8" w:rsidRDefault="009C6940" w:rsidP="009C6940">
                  <w:pPr>
                    <w:pStyle w:val="TableBodyText"/>
                    <w:jc w:val="left"/>
                  </w:pPr>
                  <w:r w:rsidRPr="003C0CE8">
                    <w:t>breakthru</w:t>
                  </w:r>
                </w:p>
              </w:tc>
              <w:tc>
                <w:tcPr>
                  <w:tcW w:w="2124" w:type="dxa"/>
                  <w:shd w:val="clear" w:color="auto" w:fill="auto"/>
                </w:tcPr>
                <w:p w14:paraId="01A7FE5A" w14:textId="77777777" w:rsidR="009C6940" w:rsidRPr="003C0CE8" w:rsidRDefault="009C6940" w:rsidP="009C6940">
                  <w:pPr>
                    <w:pStyle w:val="TableBodyText"/>
                  </w:pPr>
                  <w:r w:rsidRPr="003C0CE8">
                    <w:t>112</w:t>
                  </w:r>
                </w:p>
              </w:tc>
            </w:tr>
            <w:tr w:rsidR="009C6940" w:rsidRPr="00EF7969" w14:paraId="0B893384" w14:textId="77777777" w:rsidTr="009C6940">
              <w:tc>
                <w:tcPr>
                  <w:tcW w:w="6378" w:type="dxa"/>
                  <w:shd w:val="clear" w:color="auto" w:fill="auto"/>
                </w:tcPr>
                <w:p w14:paraId="294EE840" w14:textId="77777777" w:rsidR="009C6940" w:rsidRPr="003C0CE8" w:rsidRDefault="009C6940" w:rsidP="009C6940">
                  <w:pPr>
                    <w:pStyle w:val="TableBodyText"/>
                    <w:jc w:val="left"/>
                  </w:pPr>
                  <w:r w:rsidRPr="003C0CE8">
                    <w:t>Bree Wyeth</w:t>
                  </w:r>
                </w:p>
              </w:tc>
              <w:tc>
                <w:tcPr>
                  <w:tcW w:w="2124" w:type="dxa"/>
                  <w:shd w:val="clear" w:color="auto" w:fill="auto"/>
                </w:tcPr>
                <w:p w14:paraId="5330A079" w14:textId="77777777" w:rsidR="009C6940" w:rsidRPr="003C0CE8" w:rsidRDefault="009C6940" w:rsidP="009C6940">
                  <w:pPr>
                    <w:pStyle w:val="TableBodyText"/>
                  </w:pPr>
                  <w:r w:rsidRPr="003C0CE8">
                    <w:t>579</w:t>
                  </w:r>
                </w:p>
              </w:tc>
            </w:tr>
            <w:tr w:rsidR="009C6940" w:rsidRPr="00EF7969" w14:paraId="436C19D1" w14:textId="77777777" w:rsidTr="009C6940">
              <w:tc>
                <w:tcPr>
                  <w:tcW w:w="6378" w:type="dxa"/>
                  <w:shd w:val="clear" w:color="auto" w:fill="auto"/>
                </w:tcPr>
                <w:p w14:paraId="2989F9D0" w14:textId="77777777" w:rsidR="009C6940" w:rsidRPr="003C0CE8" w:rsidRDefault="009C6940" w:rsidP="009C6940">
                  <w:pPr>
                    <w:pStyle w:val="TableBodyText"/>
                    <w:jc w:val="left"/>
                  </w:pPr>
                  <w:r w:rsidRPr="003C0CE8">
                    <w:t>Brenda Shinn</w:t>
                  </w:r>
                </w:p>
              </w:tc>
              <w:tc>
                <w:tcPr>
                  <w:tcW w:w="2124" w:type="dxa"/>
                  <w:shd w:val="clear" w:color="auto" w:fill="auto"/>
                </w:tcPr>
                <w:p w14:paraId="2D417682" w14:textId="77777777" w:rsidR="009C6940" w:rsidRPr="003C0CE8" w:rsidRDefault="009C6940" w:rsidP="009C6940">
                  <w:pPr>
                    <w:pStyle w:val="TableBodyText"/>
                  </w:pPr>
                  <w:r w:rsidRPr="003C0CE8">
                    <w:t>1099</w:t>
                  </w:r>
                </w:p>
              </w:tc>
            </w:tr>
            <w:tr w:rsidR="009C6940" w:rsidRPr="00EF7969" w14:paraId="3ABCEE9A" w14:textId="77777777" w:rsidTr="009C6940">
              <w:tc>
                <w:tcPr>
                  <w:tcW w:w="6378" w:type="dxa"/>
                  <w:shd w:val="clear" w:color="auto" w:fill="auto"/>
                </w:tcPr>
                <w:p w14:paraId="2527306F" w14:textId="77777777" w:rsidR="009C6940" w:rsidRPr="003C0CE8" w:rsidRDefault="009C6940" w:rsidP="009C6940">
                  <w:pPr>
                    <w:pStyle w:val="TableBodyText"/>
                    <w:jc w:val="left"/>
                  </w:pPr>
                  <w:r w:rsidRPr="003C0CE8">
                    <w:t>Brian Haisman</w:t>
                  </w:r>
                </w:p>
              </w:tc>
              <w:tc>
                <w:tcPr>
                  <w:tcW w:w="2124" w:type="dxa"/>
                  <w:shd w:val="clear" w:color="auto" w:fill="auto"/>
                </w:tcPr>
                <w:p w14:paraId="6B79CD11" w14:textId="77777777" w:rsidR="009C6940" w:rsidRPr="003C0CE8" w:rsidRDefault="009C6940" w:rsidP="009C6940">
                  <w:pPr>
                    <w:pStyle w:val="TableBodyText"/>
                  </w:pPr>
                  <w:r w:rsidRPr="003C0CE8">
                    <w:t>92</w:t>
                  </w:r>
                </w:p>
              </w:tc>
            </w:tr>
            <w:tr w:rsidR="009C6940" w:rsidRPr="00EF7969" w14:paraId="26AC4AE5" w14:textId="77777777" w:rsidTr="009C6940">
              <w:tc>
                <w:tcPr>
                  <w:tcW w:w="6378" w:type="dxa"/>
                  <w:shd w:val="clear" w:color="auto" w:fill="auto"/>
                </w:tcPr>
                <w:p w14:paraId="7D1A534C" w14:textId="77777777" w:rsidR="009C6940" w:rsidRPr="003C0CE8" w:rsidRDefault="009C6940" w:rsidP="009C6940">
                  <w:pPr>
                    <w:pStyle w:val="TableBodyText"/>
                    <w:jc w:val="left"/>
                  </w:pPr>
                  <w:r w:rsidRPr="003C0CE8">
                    <w:t>Brian Johnston</w:t>
                  </w:r>
                </w:p>
              </w:tc>
              <w:tc>
                <w:tcPr>
                  <w:tcW w:w="2124" w:type="dxa"/>
                  <w:shd w:val="clear" w:color="auto" w:fill="auto"/>
                </w:tcPr>
                <w:p w14:paraId="75FA8424" w14:textId="77777777" w:rsidR="009C6940" w:rsidRPr="003C0CE8" w:rsidRDefault="009C6940" w:rsidP="009C6940">
                  <w:pPr>
                    <w:pStyle w:val="TableBodyText"/>
                  </w:pPr>
                  <w:r w:rsidRPr="003C0CE8">
                    <w:t>1032</w:t>
                  </w:r>
                </w:p>
              </w:tc>
            </w:tr>
            <w:tr w:rsidR="009C6940" w:rsidRPr="00EF7969" w14:paraId="28AD7CF8" w14:textId="77777777" w:rsidTr="009C6940">
              <w:tc>
                <w:tcPr>
                  <w:tcW w:w="6378" w:type="dxa"/>
                  <w:shd w:val="clear" w:color="auto" w:fill="auto"/>
                </w:tcPr>
                <w:p w14:paraId="3AC209BC" w14:textId="77777777" w:rsidR="009C6940" w:rsidRPr="003C0CE8" w:rsidRDefault="009C6940" w:rsidP="009C6940">
                  <w:pPr>
                    <w:pStyle w:val="TableBodyText"/>
                    <w:jc w:val="left"/>
                  </w:pPr>
                  <w:r w:rsidRPr="003C0CE8">
                    <w:t>Brian Shevlane</w:t>
                  </w:r>
                </w:p>
              </w:tc>
              <w:tc>
                <w:tcPr>
                  <w:tcW w:w="2124" w:type="dxa"/>
                  <w:shd w:val="clear" w:color="auto" w:fill="auto"/>
                </w:tcPr>
                <w:p w14:paraId="40FC4345" w14:textId="77777777" w:rsidR="009C6940" w:rsidRPr="003C0CE8" w:rsidRDefault="009C6940" w:rsidP="009C6940">
                  <w:pPr>
                    <w:pStyle w:val="TableBodyText"/>
                  </w:pPr>
                  <w:r w:rsidRPr="003C0CE8">
                    <w:t>147</w:t>
                  </w:r>
                </w:p>
              </w:tc>
            </w:tr>
            <w:tr w:rsidR="009C6940" w:rsidRPr="00EF7969" w14:paraId="36706587" w14:textId="77777777" w:rsidTr="009C6940">
              <w:tc>
                <w:tcPr>
                  <w:tcW w:w="6378" w:type="dxa"/>
                  <w:shd w:val="clear" w:color="auto" w:fill="auto"/>
                </w:tcPr>
                <w:p w14:paraId="229FF3D6" w14:textId="77777777" w:rsidR="009C6940" w:rsidRPr="003C0CE8" w:rsidRDefault="009C6940" w:rsidP="009C6940">
                  <w:pPr>
                    <w:pStyle w:val="TableBodyText"/>
                    <w:jc w:val="left"/>
                  </w:pPr>
                  <w:r w:rsidRPr="003C0CE8">
                    <w:t>Brigid Jordan</w:t>
                  </w:r>
                </w:p>
              </w:tc>
              <w:tc>
                <w:tcPr>
                  <w:tcW w:w="2124" w:type="dxa"/>
                  <w:shd w:val="clear" w:color="auto" w:fill="auto"/>
                </w:tcPr>
                <w:p w14:paraId="6D5A25FE" w14:textId="77777777" w:rsidR="009C6940" w:rsidRPr="003C0CE8" w:rsidRDefault="009C6940" w:rsidP="009C6940">
                  <w:pPr>
                    <w:pStyle w:val="TableBodyText"/>
                  </w:pPr>
                  <w:r w:rsidRPr="003C0CE8">
                    <w:t>830</w:t>
                  </w:r>
                </w:p>
              </w:tc>
            </w:tr>
            <w:tr w:rsidR="009C6940" w:rsidRPr="00EF7969" w14:paraId="49710B22" w14:textId="77777777" w:rsidTr="009C6940">
              <w:tc>
                <w:tcPr>
                  <w:tcW w:w="6378" w:type="dxa"/>
                  <w:shd w:val="clear" w:color="auto" w:fill="auto"/>
                </w:tcPr>
                <w:p w14:paraId="10F3C762" w14:textId="77777777" w:rsidR="009C6940" w:rsidRPr="003C0CE8" w:rsidRDefault="009C6940" w:rsidP="009C6940">
                  <w:pPr>
                    <w:pStyle w:val="TableBodyText"/>
                    <w:jc w:val="left"/>
                  </w:pPr>
                  <w:r w:rsidRPr="003C0CE8">
                    <w:t>Brin Grenyer and Ely Marceau</w:t>
                  </w:r>
                </w:p>
              </w:tc>
              <w:tc>
                <w:tcPr>
                  <w:tcW w:w="2124" w:type="dxa"/>
                  <w:shd w:val="clear" w:color="auto" w:fill="auto"/>
                </w:tcPr>
                <w:p w14:paraId="7334BE2F" w14:textId="77777777" w:rsidR="009C6940" w:rsidRPr="003C0CE8" w:rsidRDefault="009C6940" w:rsidP="009C6940">
                  <w:pPr>
                    <w:pStyle w:val="TableBodyText"/>
                  </w:pPr>
                  <w:r w:rsidRPr="003C0CE8">
                    <w:t>26</w:t>
                  </w:r>
                </w:p>
              </w:tc>
            </w:tr>
            <w:tr w:rsidR="009C6940" w:rsidRPr="00EF7969" w14:paraId="0C3BC341" w14:textId="77777777" w:rsidTr="009C6940">
              <w:tc>
                <w:tcPr>
                  <w:tcW w:w="6378" w:type="dxa"/>
                  <w:shd w:val="clear" w:color="auto" w:fill="auto"/>
                </w:tcPr>
                <w:p w14:paraId="10C4ED26" w14:textId="77777777" w:rsidR="009C6940" w:rsidRPr="003C0CE8" w:rsidRDefault="009C6940" w:rsidP="009C6940">
                  <w:pPr>
                    <w:pStyle w:val="TableBodyText"/>
                    <w:jc w:val="left"/>
                  </w:pPr>
                  <w:r w:rsidRPr="003C0CE8">
                    <w:t xml:space="preserve">Metro North Hospital and Health Service (MNHHS); Brisbane North Primary Health Network (PHN); Metro South Hospital and Health Services (MSHHS); Brisbane South PHN </w:t>
                  </w:r>
                </w:p>
              </w:tc>
              <w:tc>
                <w:tcPr>
                  <w:tcW w:w="2124" w:type="dxa"/>
                  <w:shd w:val="clear" w:color="auto" w:fill="auto"/>
                </w:tcPr>
                <w:p w14:paraId="6DCA7D74" w14:textId="77777777" w:rsidR="009C6940" w:rsidRPr="003C0CE8" w:rsidRDefault="009C6940" w:rsidP="009C6940">
                  <w:pPr>
                    <w:pStyle w:val="TableBodyText"/>
                  </w:pPr>
                  <w:r w:rsidRPr="003C0CE8">
                    <w:t>874</w:t>
                  </w:r>
                </w:p>
              </w:tc>
            </w:tr>
            <w:tr w:rsidR="009C6940" w:rsidRPr="00EF7969" w14:paraId="0DD18877" w14:textId="77777777" w:rsidTr="009C6940">
              <w:tc>
                <w:tcPr>
                  <w:tcW w:w="6378" w:type="dxa"/>
                  <w:shd w:val="clear" w:color="auto" w:fill="auto"/>
                </w:tcPr>
                <w:p w14:paraId="6BBE4EAE" w14:textId="77777777" w:rsidR="009C6940" w:rsidRPr="003C0CE8" w:rsidRDefault="009C6940" w:rsidP="009C6940">
                  <w:pPr>
                    <w:pStyle w:val="TableBodyText"/>
                    <w:jc w:val="left"/>
                  </w:pPr>
                  <w:r w:rsidRPr="003C0CE8">
                    <w:t>Bronwyn Hartnett</w:t>
                  </w:r>
                </w:p>
              </w:tc>
              <w:tc>
                <w:tcPr>
                  <w:tcW w:w="2124" w:type="dxa"/>
                  <w:shd w:val="clear" w:color="auto" w:fill="auto"/>
                </w:tcPr>
                <w:p w14:paraId="7EDD60A5" w14:textId="77777777" w:rsidR="009C6940" w:rsidRPr="003C0CE8" w:rsidRDefault="009C6940" w:rsidP="009C6940">
                  <w:pPr>
                    <w:pStyle w:val="TableBodyText"/>
                  </w:pPr>
                  <w:r w:rsidRPr="003C0CE8">
                    <w:t>367</w:t>
                  </w:r>
                </w:p>
              </w:tc>
            </w:tr>
            <w:tr w:rsidR="009C6940" w:rsidRPr="00EF7969" w14:paraId="081DA05D" w14:textId="77777777" w:rsidTr="009C6940">
              <w:tc>
                <w:tcPr>
                  <w:tcW w:w="6378" w:type="dxa"/>
                  <w:shd w:val="clear" w:color="auto" w:fill="auto"/>
                </w:tcPr>
                <w:p w14:paraId="3A6CEDB6" w14:textId="77777777" w:rsidR="009C6940" w:rsidRPr="003C0CE8" w:rsidRDefault="009C6940" w:rsidP="009C6940">
                  <w:pPr>
                    <w:pStyle w:val="TableBodyText"/>
                    <w:jc w:val="left"/>
                  </w:pPr>
                  <w:r w:rsidRPr="003C0CE8">
                    <w:t>Brotherhood of St Laurence (BSL)</w:t>
                  </w:r>
                </w:p>
              </w:tc>
              <w:tc>
                <w:tcPr>
                  <w:tcW w:w="2124" w:type="dxa"/>
                  <w:shd w:val="clear" w:color="auto" w:fill="auto"/>
                </w:tcPr>
                <w:p w14:paraId="7FE82698" w14:textId="77777777" w:rsidR="009C6940" w:rsidRPr="003C0CE8" w:rsidRDefault="009C6940" w:rsidP="009C6940">
                  <w:pPr>
                    <w:pStyle w:val="TableBodyText"/>
                  </w:pPr>
                  <w:r w:rsidRPr="003C0CE8">
                    <w:t>394</w:t>
                  </w:r>
                </w:p>
              </w:tc>
            </w:tr>
            <w:tr w:rsidR="009C6940" w:rsidRPr="00EF7969" w14:paraId="234DAE35" w14:textId="77777777" w:rsidTr="009C6940">
              <w:tc>
                <w:tcPr>
                  <w:tcW w:w="6378" w:type="dxa"/>
                  <w:shd w:val="clear" w:color="auto" w:fill="auto"/>
                </w:tcPr>
                <w:p w14:paraId="739DCF19" w14:textId="77777777" w:rsidR="009C6940" w:rsidRPr="003C0CE8" w:rsidRDefault="009C6940" w:rsidP="009C6940">
                  <w:pPr>
                    <w:pStyle w:val="TableBodyText"/>
                    <w:jc w:val="left"/>
                  </w:pPr>
                  <w:r w:rsidRPr="003C0CE8">
                    <w:t>Bruce Levers</w:t>
                  </w:r>
                </w:p>
              </w:tc>
              <w:tc>
                <w:tcPr>
                  <w:tcW w:w="2124" w:type="dxa"/>
                  <w:shd w:val="clear" w:color="auto" w:fill="auto"/>
                </w:tcPr>
                <w:p w14:paraId="081EDE95" w14:textId="77777777" w:rsidR="009C6940" w:rsidRPr="003C0CE8" w:rsidRDefault="009C6940" w:rsidP="009C6940">
                  <w:pPr>
                    <w:pStyle w:val="TableBodyText"/>
                  </w:pPr>
                  <w:r w:rsidRPr="003C0CE8">
                    <w:t>1147</w:t>
                  </w:r>
                </w:p>
              </w:tc>
            </w:tr>
            <w:tr w:rsidR="009C6940" w:rsidRPr="00EF7969" w14:paraId="2B763953" w14:textId="77777777" w:rsidTr="009C6940">
              <w:tc>
                <w:tcPr>
                  <w:tcW w:w="6378" w:type="dxa"/>
                  <w:shd w:val="clear" w:color="auto" w:fill="auto"/>
                </w:tcPr>
                <w:p w14:paraId="7620E3F1" w14:textId="77777777" w:rsidR="009C6940" w:rsidRPr="003C0CE8" w:rsidRDefault="009C6940" w:rsidP="009C6940">
                  <w:pPr>
                    <w:pStyle w:val="TableBodyText"/>
                    <w:jc w:val="left"/>
                  </w:pPr>
                  <w:r w:rsidRPr="003C0CE8">
                    <w:t>Bullied Teachers Support Network</w:t>
                  </w:r>
                </w:p>
              </w:tc>
              <w:tc>
                <w:tcPr>
                  <w:tcW w:w="2124" w:type="dxa"/>
                  <w:shd w:val="clear" w:color="auto" w:fill="auto"/>
                </w:tcPr>
                <w:p w14:paraId="66D599B2" w14:textId="77777777" w:rsidR="009C6940" w:rsidRPr="003C0CE8" w:rsidRDefault="009C6940" w:rsidP="009C6940">
                  <w:pPr>
                    <w:pStyle w:val="TableBodyText"/>
                  </w:pPr>
                  <w:r w:rsidRPr="003C0CE8">
                    <w:t>55</w:t>
                  </w:r>
                </w:p>
              </w:tc>
            </w:tr>
            <w:tr w:rsidR="009C6940" w:rsidRPr="00EF7969" w14:paraId="4CF03DE5" w14:textId="77777777" w:rsidTr="009C6940">
              <w:tc>
                <w:tcPr>
                  <w:tcW w:w="6378" w:type="dxa"/>
                  <w:shd w:val="clear" w:color="auto" w:fill="auto"/>
                </w:tcPr>
                <w:p w14:paraId="71820210" w14:textId="77777777" w:rsidR="009C6940" w:rsidRPr="003C0CE8" w:rsidRDefault="009C6940" w:rsidP="009C6940">
                  <w:pPr>
                    <w:pStyle w:val="TableBodyText"/>
                    <w:jc w:val="left"/>
                  </w:pPr>
                  <w:r w:rsidRPr="003C0CE8">
                    <w:t>Bupa</w:t>
                  </w:r>
                </w:p>
              </w:tc>
              <w:tc>
                <w:tcPr>
                  <w:tcW w:w="2124" w:type="dxa"/>
                  <w:shd w:val="clear" w:color="auto" w:fill="auto"/>
                </w:tcPr>
                <w:p w14:paraId="239602A5" w14:textId="77777777" w:rsidR="009C6940" w:rsidRPr="003C0CE8" w:rsidRDefault="009C6940" w:rsidP="009C6940">
                  <w:pPr>
                    <w:pStyle w:val="TableBodyText"/>
                  </w:pPr>
                  <w:r w:rsidRPr="003C0CE8">
                    <w:t>485, 1191</w:t>
                  </w:r>
                </w:p>
              </w:tc>
            </w:tr>
            <w:tr w:rsidR="009C6940" w:rsidRPr="00EF7969" w14:paraId="54489585" w14:textId="77777777" w:rsidTr="009C6940">
              <w:tc>
                <w:tcPr>
                  <w:tcW w:w="6378" w:type="dxa"/>
                  <w:tcBorders>
                    <w:bottom w:val="nil"/>
                  </w:tcBorders>
                  <w:shd w:val="clear" w:color="auto" w:fill="auto"/>
                </w:tcPr>
                <w:p w14:paraId="37835EBF" w14:textId="77777777" w:rsidR="009C6940" w:rsidRPr="003C0CE8" w:rsidRDefault="009C6940" w:rsidP="009C6940">
                  <w:pPr>
                    <w:pStyle w:val="TableBodyText"/>
                    <w:jc w:val="left"/>
                  </w:pPr>
                  <w:r w:rsidRPr="003C0CE8">
                    <w:t>Business SA</w:t>
                  </w:r>
                </w:p>
              </w:tc>
              <w:tc>
                <w:tcPr>
                  <w:tcW w:w="2124" w:type="dxa"/>
                  <w:tcBorders>
                    <w:bottom w:val="nil"/>
                  </w:tcBorders>
                  <w:shd w:val="clear" w:color="auto" w:fill="auto"/>
                </w:tcPr>
                <w:p w14:paraId="45D69616" w14:textId="77777777" w:rsidR="009C6940" w:rsidRPr="003C0CE8" w:rsidRDefault="009C6940" w:rsidP="009C6940">
                  <w:pPr>
                    <w:pStyle w:val="TableBodyText"/>
                  </w:pPr>
                  <w:r w:rsidRPr="003C0CE8">
                    <w:t>459</w:t>
                  </w:r>
                </w:p>
              </w:tc>
            </w:tr>
            <w:tr w:rsidR="009C6940" w:rsidRPr="00EF7969" w14:paraId="4A36002E" w14:textId="77777777" w:rsidTr="009C6940">
              <w:tc>
                <w:tcPr>
                  <w:tcW w:w="6378" w:type="dxa"/>
                  <w:tcBorders>
                    <w:bottom w:val="nil"/>
                  </w:tcBorders>
                  <w:shd w:val="clear" w:color="auto" w:fill="auto"/>
                </w:tcPr>
                <w:p w14:paraId="7F9CECC0" w14:textId="77777777" w:rsidR="009C6940" w:rsidRPr="003C0CE8" w:rsidRDefault="009C6940" w:rsidP="009C6940">
                  <w:pPr>
                    <w:pStyle w:val="TableBodyText"/>
                    <w:jc w:val="left"/>
                  </w:pPr>
                  <w:r w:rsidRPr="003C0CE8">
                    <w:t>Butterfly Foundation</w:t>
                  </w:r>
                </w:p>
              </w:tc>
              <w:tc>
                <w:tcPr>
                  <w:tcW w:w="2124" w:type="dxa"/>
                  <w:tcBorders>
                    <w:bottom w:val="nil"/>
                  </w:tcBorders>
                  <w:shd w:val="clear" w:color="auto" w:fill="auto"/>
                </w:tcPr>
                <w:p w14:paraId="42336EFF" w14:textId="77777777" w:rsidR="009C6940" w:rsidRPr="003C0CE8" w:rsidRDefault="009C6940" w:rsidP="009C6940">
                  <w:pPr>
                    <w:pStyle w:val="TableBodyText"/>
                  </w:pPr>
                  <w:r w:rsidRPr="003C0CE8">
                    <w:t>424</w:t>
                  </w:r>
                </w:p>
              </w:tc>
            </w:tr>
            <w:tr w:rsidR="009C6940" w:rsidRPr="00EF7969" w14:paraId="77CE5AF3" w14:textId="77777777" w:rsidTr="009C6940">
              <w:tc>
                <w:tcPr>
                  <w:tcW w:w="6378" w:type="dxa"/>
                  <w:tcBorders>
                    <w:top w:val="nil"/>
                    <w:bottom w:val="single" w:sz="6" w:space="0" w:color="BFBFBF" w:themeColor="background1" w:themeShade="BF"/>
                  </w:tcBorders>
                  <w:shd w:val="clear" w:color="auto" w:fill="auto"/>
                </w:tcPr>
                <w:p w14:paraId="14B1D2DC" w14:textId="77777777" w:rsidR="009C6940" w:rsidRPr="003C0CE8" w:rsidRDefault="009C6940" w:rsidP="009C6940">
                  <w:pPr>
                    <w:pStyle w:val="TableBodyText"/>
                    <w:jc w:val="left"/>
                  </w:pPr>
                  <w:r w:rsidRPr="003C0CE8">
                    <w:t>Cabrini Outreach</w:t>
                  </w:r>
                </w:p>
              </w:tc>
              <w:tc>
                <w:tcPr>
                  <w:tcW w:w="2124" w:type="dxa"/>
                  <w:tcBorders>
                    <w:top w:val="nil"/>
                    <w:bottom w:val="single" w:sz="6" w:space="0" w:color="BFBFBF" w:themeColor="background1" w:themeShade="BF"/>
                  </w:tcBorders>
                  <w:shd w:val="clear" w:color="auto" w:fill="auto"/>
                </w:tcPr>
                <w:p w14:paraId="04F2F5DA" w14:textId="77777777" w:rsidR="009C6940" w:rsidRPr="003C0CE8" w:rsidRDefault="009C6940" w:rsidP="009C6940">
                  <w:pPr>
                    <w:pStyle w:val="TableBodyText"/>
                  </w:pPr>
                  <w:r w:rsidRPr="003C0CE8">
                    <w:t>464</w:t>
                  </w:r>
                </w:p>
              </w:tc>
            </w:tr>
          </w:tbl>
          <w:p w14:paraId="4284034E" w14:textId="77777777" w:rsidR="009C6940" w:rsidRPr="00EF7969" w:rsidRDefault="009C6940" w:rsidP="009C6940">
            <w:pPr>
              <w:pStyle w:val="Box"/>
            </w:pPr>
          </w:p>
        </w:tc>
      </w:tr>
      <w:tr w:rsidR="009C6940" w:rsidRPr="00EF7969" w14:paraId="308007C4" w14:textId="77777777" w:rsidTr="009C6940">
        <w:tc>
          <w:tcPr>
            <w:tcW w:w="8789" w:type="dxa"/>
            <w:tcBorders>
              <w:top w:val="nil"/>
              <w:left w:val="nil"/>
              <w:bottom w:val="nil"/>
              <w:right w:val="nil"/>
            </w:tcBorders>
            <w:shd w:val="clear" w:color="auto" w:fill="auto"/>
          </w:tcPr>
          <w:p w14:paraId="02F29D0F" w14:textId="77777777" w:rsidR="009C6940" w:rsidRPr="00EF7969" w:rsidRDefault="009C6940" w:rsidP="009C6940">
            <w:pPr>
              <w:pStyle w:val="Continued"/>
            </w:pPr>
            <w:r w:rsidRPr="00EF7969">
              <w:t>(continued next page)</w:t>
            </w:r>
          </w:p>
        </w:tc>
      </w:tr>
      <w:tr w:rsidR="009C6940" w:rsidRPr="00EF7969" w14:paraId="0D97C4B0" w14:textId="77777777" w:rsidTr="009C6940">
        <w:tc>
          <w:tcPr>
            <w:tcW w:w="8789" w:type="dxa"/>
            <w:tcBorders>
              <w:top w:val="nil"/>
              <w:left w:val="nil"/>
              <w:bottom w:val="single" w:sz="6" w:space="0" w:color="78A22F"/>
              <w:right w:val="nil"/>
            </w:tcBorders>
            <w:shd w:val="clear" w:color="auto" w:fill="auto"/>
          </w:tcPr>
          <w:p w14:paraId="3AB6B057" w14:textId="77777777" w:rsidR="009C6940" w:rsidRPr="00EF7969" w:rsidRDefault="009C6940" w:rsidP="009C6940">
            <w:pPr>
              <w:pStyle w:val="Box"/>
              <w:spacing w:before="0" w:line="120" w:lineRule="exact"/>
            </w:pPr>
          </w:p>
        </w:tc>
      </w:tr>
      <w:tr w:rsidR="009C6940" w:rsidRPr="00EF7969" w14:paraId="39033EEC" w14:textId="77777777" w:rsidTr="009C6940">
        <w:tc>
          <w:tcPr>
            <w:tcW w:w="8789" w:type="dxa"/>
            <w:tcBorders>
              <w:top w:val="single" w:sz="6" w:space="0" w:color="78A22F"/>
              <w:left w:val="nil"/>
              <w:bottom w:val="nil"/>
              <w:right w:val="nil"/>
            </w:tcBorders>
          </w:tcPr>
          <w:p w14:paraId="12614791" w14:textId="77777777" w:rsidR="009C6940" w:rsidRPr="00EF7969" w:rsidRDefault="009C6940" w:rsidP="009C6940">
            <w:pPr>
              <w:pStyle w:val="BoxSpaceBelow"/>
            </w:pPr>
          </w:p>
        </w:tc>
      </w:tr>
    </w:tbl>
    <w:p w14:paraId="4C91B4E2"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64FCF0F9" w14:textId="77777777" w:rsidTr="009C6940">
        <w:trPr>
          <w:tblHeader/>
        </w:trPr>
        <w:tc>
          <w:tcPr>
            <w:tcW w:w="8789" w:type="dxa"/>
            <w:tcBorders>
              <w:top w:val="single" w:sz="6" w:space="0" w:color="78A22F"/>
              <w:left w:val="nil"/>
              <w:bottom w:val="nil"/>
              <w:right w:val="nil"/>
            </w:tcBorders>
            <w:shd w:val="clear" w:color="auto" w:fill="auto"/>
          </w:tcPr>
          <w:p w14:paraId="0CD51114"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3586EA67"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261418F3"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56B56FF3"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0994A1E9" w14:textId="77777777" w:rsidR="009C6940" w:rsidRPr="00EF7969" w:rsidRDefault="009C6940" w:rsidP="009C6940">
                  <w:pPr>
                    <w:pStyle w:val="TableColumnHeading"/>
                    <w:ind w:right="28"/>
                  </w:pPr>
                  <w:r w:rsidRPr="00EF7969">
                    <w:t>Submission no.</w:t>
                  </w:r>
                </w:p>
              </w:tc>
            </w:tr>
            <w:tr w:rsidR="009C6940" w:rsidRPr="00EF7969" w14:paraId="38A9E553" w14:textId="77777777" w:rsidTr="009C6940">
              <w:tc>
                <w:tcPr>
                  <w:tcW w:w="6377" w:type="dxa"/>
                  <w:shd w:val="clear" w:color="auto" w:fill="auto"/>
                </w:tcPr>
                <w:p w14:paraId="6C0DE9AF" w14:textId="77777777" w:rsidR="009C6940" w:rsidRPr="003C0CE8" w:rsidRDefault="009C6940" w:rsidP="009C6940">
                  <w:pPr>
                    <w:pStyle w:val="TableBodyText"/>
                    <w:spacing w:before="40"/>
                    <w:jc w:val="left"/>
                  </w:pPr>
                  <w:r w:rsidRPr="003C0CE8">
                    <w:t>Call to Mind</w:t>
                  </w:r>
                </w:p>
              </w:tc>
              <w:tc>
                <w:tcPr>
                  <w:tcW w:w="2126" w:type="dxa"/>
                  <w:shd w:val="clear" w:color="auto" w:fill="auto"/>
                </w:tcPr>
                <w:p w14:paraId="6CCABC62" w14:textId="77777777" w:rsidR="009C6940" w:rsidRPr="003C0CE8" w:rsidRDefault="009C6940" w:rsidP="009C6940">
                  <w:pPr>
                    <w:pStyle w:val="TableBodyText"/>
                    <w:spacing w:before="40"/>
                  </w:pPr>
                  <w:r w:rsidRPr="003C0CE8">
                    <w:t>499</w:t>
                  </w:r>
                </w:p>
              </w:tc>
            </w:tr>
            <w:tr w:rsidR="009C6940" w:rsidRPr="00EF7969" w14:paraId="01DA83B0" w14:textId="77777777" w:rsidTr="009C6940">
              <w:tc>
                <w:tcPr>
                  <w:tcW w:w="6377" w:type="dxa"/>
                  <w:shd w:val="clear" w:color="auto" w:fill="auto"/>
                </w:tcPr>
                <w:p w14:paraId="68CF8661" w14:textId="77777777" w:rsidR="009C6940" w:rsidRPr="003C0CE8" w:rsidRDefault="009C6940" w:rsidP="009C6940">
                  <w:pPr>
                    <w:pStyle w:val="TableBodyText"/>
                    <w:jc w:val="left"/>
                  </w:pPr>
                  <w:r w:rsidRPr="003C0CE8">
                    <w:t>Canberra Mental Health Forum</w:t>
                  </w:r>
                </w:p>
              </w:tc>
              <w:tc>
                <w:tcPr>
                  <w:tcW w:w="2126" w:type="dxa"/>
                  <w:shd w:val="clear" w:color="auto" w:fill="auto"/>
                </w:tcPr>
                <w:p w14:paraId="7C632049" w14:textId="77777777" w:rsidR="009C6940" w:rsidRPr="003C0CE8" w:rsidRDefault="009C6940" w:rsidP="009C6940">
                  <w:pPr>
                    <w:pStyle w:val="TableBodyText"/>
                  </w:pPr>
                  <w:r w:rsidRPr="003C0CE8">
                    <w:t>62, 687</w:t>
                  </w:r>
                </w:p>
              </w:tc>
            </w:tr>
            <w:tr w:rsidR="009C6940" w:rsidRPr="00EF7969" w14:paraId="456594D3" w14:textId="77777777" w:rsidTr="009C6940">
              <w:tc>
                <w:tcPr>
                  <w:tcW w:w="6377" w:type="dxa"/>
                  <w:shd w:val="clear" w:color="auto" w:fill="auto"/>
                </w:tcPr>
                <w:p w14:paraId="36FAB175" w14:textId="77777777" w:rsidR="009C6940" w:rsidRPr="003C0CE8" w:rsidRDefault="009C6940" w:rsidP="009C6940">
                  <w:pPr>
                    <w:pStyle w:val="TableBodyText"/>
                    <w:jc w:val="left"/>
                  </w:pPr>
                  <w:r w:rsidRPr="003C0CE8">
                    <w:t>Cancer Council Australia and the National Heart Foundation of Australia</w:t>
                  </w:r>
                </w:p>
              </w:tc>
              <w:tc>
                <w:tcPr>
                  <w:tcW w:w="2126" w:type="dxa"/>
                  <w:shd w:val="clear" w:color="auto" w:fill="auto"/>
                </w:tcPr>
                <w:p w14:paraId="4A76AA06" w14:textId="77777777" w:rsidR="009C6940" w:rsidRPr="003C0CE8" w:rsidRDefault="009C6940" w:rsidP="009C6940">
                  <w:pPr>
                    <w:pStyle w:val="TableBodyText"/>
                  </w:pPr>
                  <w:r w:rsidRPr="003C0CE8">
                    <w:t>702</w:t>
                  </w:r>
                </w:p>
              </w:tc>
            </w:tr>
            <w:tr w:rsidR="009C6940" w:rsidRPr="00EF7969" w14:paraId="20AE5098" w14:textId="77777777" w:rsidTr="009C6940">
              <w:tc>
                <w:tcPr>
                  <w:tcW w:w="6377" w:type="dxa"/>
                  <w:shd w:val="clear" w:color="auto" w:fill="auto"/>
                </w:tcPr>
                <w:p w14:paraId="650B4B07" w14:textId="77777777" w:rsidR="009C6940" w:rsidRPr="003C0CE8" w:rsidRDefault="009C6940" w:rsidP="009C6940">
                  <w:pPr>
                    <w:pStyle w:val="TableBodyText"/>
                    <w:jc w:val="left"/>
                  </w:pPr>
                  <w:r w:rsidRPr="003C0CE8">
                    <w:t>Carers Australia</w:t>
                  </w:r>
                </w:p>
              </w:tc>
              <w:tc>
                <w:tcPr>
                  <w:tcW w:w="2126" w:type="dxa"/>
                  <w:shd w:val="clear" w:color="auto" w:fill="auto"/>
                </w:tcPr>
                <w:p w14:paraId="7D4A265A" w14:textId="77777777" w:rsidR="009C6940" w:rsidRPr="003C0CE8" w:rsidRDefault="009C6940" w:rsidP="009C6940">
                  <w:pPr>
                    <w:pStyle w:val="TableBodyText"/>
                  </w:pPr>
                  <w:r w:rsidRPr="003C0CE8">
                    <w:t>372, 911</w:t>
                  </w:r>
                </w:p>
              </w:tc>
            </w:tr>
            <w:tr w:rsidR="009C6940" w:rsidRPr="00EF7969" w14:paraId="10989B65" w14:textId="77777777" w:rsidTr="009C6940">
              <w:tc>
                <w:tcPr>
                  <w:tcW w:w="6377" w:type="dxa"/>
                  <w:shd w:val="clear" w:color="auto" w:fill="auto"/>
                </w:tcPr>
                <w:p w14:paraId="5A56A179" w14:textId="77777777" w:rsidR="009C6940" w:rsidRPr="003C0CE8" w:rsidRDefault="009C6940" w:rsidP="009C6940">
                  <w:pPr>
                    <w:pStyle w:val="TableBodyText"/>
                    <w:jc w:val="left"/>
                  </w:pPr>
                  <w:r w:rsidRPr="003C0CE8">
                    <w:t>Carers NSW</w:t>
                  </w:r>
                </w:p>
              </w:tc>
              <w:tc>
                <w:tcPr>
                  <w:tcW w:w="2126" w:type="dxa"/>
                  <w:shd w:val="clear" w:color="auto" w:fill="auto"/>
                </w:tcPr>
                <w:p w14:paraId="487D7905" w14:textId="77777777" w:rsidR="009C6940" w:rsidRPr="003C0CE8" w:rsidRDefault="009C6940" w:rsidP="009C6940">
                  <w:pPr>
                    <w:pStyle w:val="TableBodyText"/>
                  </w:pPr>
                  <w:r w:rsidRPr="003C0CE8">
                    <w:t>183, 808</w:t>
                  </w:r>
                </w:p>
              </w:tc>
            </w:tr>
            <w:tr w:rsidR="009C6940" w:rsidRPr="00EF7969" w14:paraId="7DC08759" w14:textId="77777777" w:rsidTr="009C6940">
              <w:tc>
                <w:tcPr>
                  <w:tcW w:w="6377" w:type="dxa"/>
                  <w:shd w:val="clear" w:color="auto" w:fill="auto"/>
                </w:tcPr>
                <w:p w14:paraId="498E3EB8" w14:textId="77777777" w:rsidR="009C6940" w:rsidRPr="003C0CE8" w:rsidRDefault="009C6940" w:rsidP="009C6940">
                  <w:pPr>
                    <w:pStyle w:val="TableBodyText"/>
                    <w:jc w:val="left"/>
                  </w:pPr>
                  <w:r w:rsidRPr="003C0CE8">
                    <w:t xml:space="preserve">Carers Tasmania </w:t>
                  </w:r>
                </w:p>
              </w:tc>
              <w:tc>
                <w:tcPr>
                  <w:tcW w:w="2126" w:type="dxa"/>
                  <w:shd w:val="clear" w:color="auto" w:fill="auto"/>
                </w:tcPr>
                <w:p w14:paraId="7108E831" w14:textId="77777777" w:rsidR="009C6940" w:rsidRPr="003C0CE8" w:rsidRDefault="009C6940" w:rsidP="009C6940">
                  <w:pPr>
                    <w:pStyle w:val="TableBodyText"/>
                  </w:pPr>
                  <w:r w:rsidRPr="003C0CE8">
                    <w:t>660</w:t>
                  </w:r>
                </w:p>
              </w:tc>
            </w:tr>
            <w:tr w:rsidR="009C6940" w:rsidRPr="00EF7969" w14:paraId="5440C490" w14:textId="77777777" w:rsidTr="009C6940">
              <w:tc>
                <w:tcPr>
                  <w:tcW w:w="6377" w:type="dxa"/>
                  <w:shd w:val="clear" w:color="auto" w:fill="auto"/>
                </w:tcPr>
                <w:p w14:paraId="5E1562BB" w14:textId="77777777" w:rsidR="009C6940" w:rsidRPr="003C0CE8" w:rsidRDefault="009C6940" w:rsidP="009C6940">
                  <w:pPr>
                    <w:pStyle w:val="TableBodyText"/>
                    <w:jc w:val="left"/>
                  </w:pPr>
                  <w:r w:rsidRPr="003C0CE8">
                    <w:t>Carers Victoria</w:t>
                  </w:r>
                </w:p>
              </w:tc>
              <w:tc>
                <w:tcPr>
                  <w:tcW w:w="2126" w:type="dxa"/>
                  <w:shd w:val="clear" w:color="auto" w:fill="auto"/>
                </w:tcPr>
                <w:p w14:paraId="75799472" w14:textId="77777777" w:rsidR="009C6940" w:rsidRPr="003C0CE8" w:rsidRDefault="009C6940" w:rsidP="009C6940">
                  <w:pPr>
                    <w:pStyle w:val="TableBodyText"/>
                  </w:pPr>
                  <w:r w:rsidRPr="003C0CE8">
                    <w:t>461, 664</w:t>
                  </w:r>
                </w:p>
              </w:tc>
            </w:tr>
            <w:tr w:rsidR="009C6940" w:rsidRPr="00EF7969" w14:paraId="2877B67E" w14:textId="77777777" w:rsidTr="009C6940">
              <w:tc>
                <w:tcPr>
                  <w:tcW w:w="6377" w:type="dxa"/>
                  <w:shd w:val="clear" w:color="auto" w:fill="auto"/>
                </w:tcPr>
                <w:p w14:paraId="53C1988F" w14:textId="77777777" w:rsidR="009C6940" w:rsidRPr="003C0CE8" w:rsidRDefault="009C6940" w:rsidP="009C6940">
                  <w:pPr>
                    <w:pStyle w:val="TableBodyText"/>
                    <w:jc w:val="left"/>
                  </w:pPr>
                  <w:r w:rsidRPr="003C0CE8">
                    <w:t>Caring Fairly</w:t>
                  </w:r>
                </w:p>
              </w:tc>
              <w:tc>
                <w:tcPr>
                  <w:tcW w:w="2126" w:type="dxa"/>
                  <w:shd w:val="clear" w:color="auto" w:fill="auto"/>
                </w:tcPr>
                <w:p w14:paraId="45069465" w14:textId="77777777" w:rsidR="009C6940" w:rsidRPr="003C0CE8" w:rsidRDefault="009C6940" w:rsidP="009C6940">
                  <w:pPr>
                    <w:pStyle w:val="TableBodyText"/>
                  </w:pPr>
                  <w:r w:rsidRPr="003C0CE8">
                    <w:t>427, 765</w:t>
                  </w:r>
                </w:p>
              </w:tc>
            </w:tr>
            <w:tr w:rsidR="009C6940" w:rsidRPr="00EF7969" w14:paraId="05144317" w14:textId="77777777" w:rsidTr="009C6940">
              <w:tc>
                <w:tcPr>
                  <w:tcW w:w="6377" w:type="dxa"/>
                  <w:shd w:val="clear" w:color="auto" w:fill="auto"/>
                </w:tcPr>
                <w:p w14:paraId="13A0C469" w14:textId="77777777" w:rsidR="009C6940" w:rsidRPr="003C0CE8" w:rsidRDefault="009C6940" w:rsidP="009C6940">
                  <w:pPr>
                    <w:pStyle w:val="TableBodyText"/>
                    <w:jc w:val="left"/>
                  </w:pPr>
                  <w:r w:rsidRPr="003C0CE8">
                    <w:t>Caroline Dowling</w:t>
                  </w:r>
                </w:p>
              </w:tc>
              <w:tc>
                <w:tcPr>
                  <w:tcW w:w="2126" w:type="dxa"/>
                  <w:shd w:val="clear" w:color="auto" w:fill="auto"/>
                </w:tcPr>
                <w:p w14:paraId="199BB24F" w14:textId="77777777" w:rsidR="009C6940" w:rsidRPr="003C0CE8" w:rsidRDefault="009C6940" w:rsidP="009C6940">
                  <w:pPr>
                    <w:pStyle w:val="TableBodyText"/>
                  </w:pPr>
                  <w:r w:rsidRPr="003C0CE8">
                    <w:t>437</w:t>
                  </w:r>
                </w:p>
              </w:tc>
            </w:tr>
            <w:tr w:rsidR="009C6940" w:rsidRPr="00EF7969" w14:paraId="65BEC0D4" w14:textId="77777777" w:rsidTr="009C6940">
              <w:tc>
                <w:tcPr>
                  <w:tcW w:w="6377" w:type="dxa"/>
                  <w:shd w:val="clear" w:color="auto" w:fill="auto"/>
                </w:tcPr>
                <w:p w14:paraId="755E7A48" w14:textId="77777777" w:rsidR="009C6940" w:rsidRPr="003C0CE8" w:rsidRDefault="009C6940" w:rsidP="009C6940">
                  <w:pPr>
                    <w:pStyle w:val="TableBodyText"/>
                    <w:jc w:val="left"/>
                  </w:pPr>
                  <w:r w:rsidRPr="003C0CE8">
                    <w:t>Carolyn Davis</w:t>
                  </w:r>
                </w:p>
              </w:tc>
              <w:tc>
                <w:tcPr>
                  <w:tcW w:w="2126" w:type="dxa"/>
                  <w:shd w:val="clear" w:color="auto" w:fill="auto"/>
                </w:tcPr>
                <w:p w14:paraId="44860D73" w14:textId="77777777" w:rsidR="009C6940" w:rsidRPr="003C0CE8" w:rsidRDefault="009C6940" w:rsidP="009C6940">
                  <w:pPr>
                    <w:pStyle w:val="TableBodyText"/>
                  </w:pPr>
                  <w:r w:rsidRPr="003C0CE8">
                    <w:t>192</w:t>
                  </w:r>
                </w:p>
              </w:tc>
            </w:tr>
            <w:tr w:rsidR="009C6940" w:rsidRPr="00EF7969" w14:paraId="39B30F61" w14:textId="77777777" w:rsidTr="009C6940">
              <w:tc>
                <w:tcPr>
                  <w:tcW w:w="6377" w:type="dxa"/>
                  <w:shd w:val="clear" w:color="auto" w:fill="auto"/>
                </w:tcPr>
                <w:p w14:paraId="61F86CDD" w14:textId="77777777" w:rsidR="009C6940" w:rsidRPr="003C0CE8" w:rsidRDefault="009C6940" w:rsidP="009C6940">
                  <w:pPr>
                    <w:pStyle w:val="TableBodyText"/>
                    <w:jc w:val="left"/>
                  </w:pPr>
                  <w:r w:rsidRPr="003C0CE8">
                    <w:t>Carolyn Milner</w:t>
                  </w:r>
                </w:p>
              </w:tc>
              <w:tc>
                <w:tcPr>
                  <w:tcW w:w="2126" w:type="dxa"/>
                  <w:shd w:val="clear" w:color="auto" w:fill="auto"/>
                </w:tcPr>
                <w:p w14:paraId="1275510D" w14:textId="77777777" w:rsidR="009C6940" w:rsidRPr="003C0CE8" w:rsidRDefault="009C6940" w:rsidP="009C6940">
                  <w:pPr>
                    <w:pStyle w:val="TableBodyText"/>
                  </w:pPr>
                  <w:r w:rsidRPr="003C0CE8">
                    <w:t>369</w:t>
                  </w:r>
                </w:p>
              </w:tc>
            </w:tr>
            <w:tr w:rsidR="009C6940" w:rsidRPr="00EF7969" w14:paraId="6C817941" w14:textId="77777777" w:rsidTr="009C6940">
              <w:tc>
                <w:tcPr>
                  <w:tcW w:w="6377" w:type="dxa"/>
                  <w:shd w:val="clear" w:color="auto" w:fill="auto"/>
                </w:tcPr>
                <w:p w14:paraId="2561C3CC" w14:textId="77777777" w:rsidR="009C6940" w:rsidRPr="003C0CE8" w:rsidRDefault="009C6940" w:rsidP="009C6940">
                  <w:pPr>
                    <w:pStyle w:val="TableBodyText"/>
                    <w:jc w:val="left"/>
                  </w:pPr>
                  <w:r w:rsidRPr="003C0CE8">
                    <w:t>Catholic Health Australia (CHA)</w:t>
                  </w:r>
                </w:p>
              </w:tc>
              <w:tc>
                <w:tcPr>
                  <w:tcW w:w="2126" w:type="dxa"/>
                  <w:shd w:val="clear" w:color="auto" w:fill="auto"/>
                </w:tcPr>
                <w:p w14:paraId="32A12E7E" w14:textId="77777777" w:rsidR="009C6940" w:rsidRPr="003C0CE8" w:rsidRDefault="009C6940" w:rsidP="009C6940">
                  <w:pPr>
                    <w:pStyle w:val="TableBodyText"/>
                  </w:pPr>
                  <w:r w:rsidRPr="003C0CE8">
                    <w:t>463</w:t>
                  </w:r>
                </w:p>
              </w:tc>
            </w:tr>
            <w:tr w:rsidR="009C6940" w:rsidRPr="00EF7969" w14:paraId="66461059" w14:textId="77777777" w:rsidTr="009C6940">
              <w:tc>
                <w:tcPr>
                  <w:tcW w:w="6377" w:type="dxa"/>
                  <w:shd w:val="clear" w:color="auto" w:fill="auto"/>
                </w:tcPr>
                <w:p w14:paraId="3E159884" w14:textId="77777777" w:rsidR="009C6940" w:rsidRPr="003C0CE8" w:rsidRDefault="009C6940" w:rsidP="009C6940">
                  <w:pPr>
                    <w:pStyle w:val="TableBodyText"/>
                    <w:jc w:val="left"/>
                  </w:pPr>
                  <w:r w:rsidRPr="003C0CE8">
                    <w:t>Catholic Social Services Australia (CSSA)</w:t>
                  </w:r>
                </w:p>
              </w:tc>
              <w:tc>
                <w:tcPr>
                  <w:tcW w:w="2126" w:type="dxa"/>
                  <w:shd w:val="clear" w:color="auto" w:fill="auto"/>
                </w:tcPr>
                <w:p w14:paraId="5D88DAFD" w14:textId="77777777" w:rsidR="009C6940" w:rsidRPr="003C0CE8" w:rsidRDefault="009C6940" w:rsidP="009C6940">
                  <w:pPr>
                    <w:pStyle w:val="TableBodyText"/>
                  </w:pPr>
                  <w:r w:rsidRPr="003C0CE8">
                    <w:t>202</w:t>
                  </w:r>
                </w:p>
              </w:tc>
            </w:tr>
            <w:tr w:rsidR="009C6940" w:rsidRPr="00EF7969" w14:paraId="1D9C4056" w14:textId="77777777" w:rsidTr="009C6940">
              <w:tc>
                <w:tcPr>
                  <w:tcW w:w="6377" w:type="dxa"/>
                  <w:shd w:val="clear" w:color="auto" w:fill="auto"/>
                </w:tcPr>
                <w:p w14:paraId="28EE0A83" w14:textId="77777777" w:rsidR="009C6940" w:rsidRPr="003C0CE8" w:rsidRDefault="009C6940" w:rsidP="009C6940">
                  <w:pPr>
                    <w:pStyle w:val="TableBodyText"/>
                    <w:jc w:val="left"/>
                  </w:pPr>
                  <w:r w:rsidRPr="003C0CE8">
                    <w:t>Cathy Fox</w:t>
                  </w:r>
                </w:p>
              </w:tc>
              <w:tc>
                <w:tcPr>
                  <w:tcW w:w="2126" w:type="dxa"/>
                  <w:shd w:val="clear" w:color="auto" w:fill="auto"/>
                </w:tcPr>
                <w:p w14:paraId="4F1617CF" w14:textId="77777777" w:rsidR="009C6940" w:rsidRPr="003C0CE8" w:rsidRDefault="009C6940" w:rsidP="009C6940">
                  <w:pPr>
                    <w:pStyle w:val="TableBodyText"/>
                  </w:pPr>
                  <w:r w:rsidRPr="003C0CE8">
                    <w:t>598</w:t>
                  </w:r>
                </w:p>
              </w:tc>
            </w:tr>
            <w:tr w:rsidR="009C6940" w:rsidRPr="00EF7969" w14:paraId="5ADA7ED4" w14:textId="77777777" w:rsidTr="009C6940">
              <w:tc>
                <w:tcPr>
                  <w:tcW w:w="6377" w:type="dxa"/>
                  <w:shd w:val="clear" w:color="auto" w:fill="auto"/>
                </w:tcPr>
                <w:p w14:paraId="0E5CD872" w14:textId="77777777" w:rsidR="009C6940" w:rsidRPr="003C0CE8" w:rsidRDefault="009C6940" w:rsidP="009C6940">
                  <w:pPr>
                    <w:pStyle w:val="TableBodyText"/>
                    <w:jc w:val="left"/>
                  </w:pPr>
                  <w:r w:rsidRPr="003C0CE8">
                    <w:t>Cathy Grist</w:t>
                  </w:r>
                </w:p>
              </w:tc>
              <w:tc>
                <w:tcPr>
                  <w:tcW w:w="2126" w:type="dxa"/>
                  <w:shd w:val="clear" w:color="auto" w:fill="auto"/>
                </w:tcPr>
                <w:p w14:paraId="1AE83F8B" w14:textId="77777777" w:rsidR="009C6940" w:rsidRPr="003C0CE8" w:rsidRDefault="009C6940" w:rsidP="009C6940">
                  <w:pPr>
                    <w:pStyle w:val="TableBodyText"/>
                  </w:pPr>
                  <w:r w:rsidRPr="003C0CE8">
                    <w:t>1063</w:t>
                  </w:r>
                </w:p>
              </w:tc>
            </w:tr>
            <w:tr w:rsidR="009C6940" w:rsidRPr="00EF7969" w14:paraId="013DE033" w14:textId="77777777" w:rsidTr="009C6940">
              <w:tc>
                <w:tcPr>
                  <w:tcW w:w="6377" w:type="dxa"/>
                  <w:shd w:val="clear" w:color="auto" w:fill="auto"/>
                </w:tcPr>
                <w:p w14:paraId="0B4061DC" w14:textId="77777777" w:rsidR="009C6940" w:rsidRPr="003C0CE8" w:rsidRDefault="009C6940" w:rsidP="009C6940">
                  <w:pPr>
                    <w:pStyle w:val="TableBodyText"/>
                    <w:jc w:val="left"/>
                  </w:pPr>
                  <w:r w:rsidRPr="003C0CE8">
                    <w:t>Catriona Ross</w:t>
                  </w:r>
                </w:p>
              </w:tc>
              <w:tc>
                <w:tcPr>
                  <w:tcW w:w="2126" w:type="dxa"/>
                  <w:shd w:val="clear" w:color="auto" w:fill="auto"/>
                </w:tcPr>
                <w:p w14:paraId="3FF6FC67" w14:textId="77777777" w:rsidR="009C6940" w:rsidRPr="003C0CE8" w:rsidRDefault="009C6940" w:rsidP="009C6940">
                  <w:pPr>
                    <w:pStyle w:val="TableBodyText"/>
                  </w:pPr>
                  <w:r w:rsidRPr="003C0CE8">
                    <w:t>1166</w:t>
                  </w:r>
                </w:p>
              </w:tc>
            </w:tr>
            <w:tr w:rsidR="009C6940" w:rsidRPr="00EF7969" w14:paraId="69E9BEF4" w14:textId="77777777" w:rsidTr="009C6940">
              <w:tc>
                <w:tcPr>
                  <w:tcW w:w="6377" w:type="dxa"/>
                  <w:shd w:val="clear" w:color="auto" w:fill="auto"/>
                </w:tcPr>
                <w:p w14:paraId="3DCEC3C4" w14:textId="77777777" w:rsidR="009C6940" w:rsidRPr="003C0CE8" w:rsidRDefault="009C6940" w:rsidP="009C6940">
                  <w:pPr>
                    <w:pStyle w:val="TableBodyText"/>
                    <w:jc w:val="left"/>
                  </w:pPr>
                  <w:r w:rsidRPr="003C0CE8">
                    <w:t>Celine Taylor</w:t>
                  </w:r>
                </w:p>
              </w:tc>
              <w:tc>
                <w:tcPr>
                  <w:tcW w:w="2126" w:type="dxa"/>
                  <w:shd w:val="clear" w:color="auto" w:fill="auto"/>
                </w:tcPr>
                <w:p w14:paraId="40391BBC" w14:textId="77777777" w:rsidR="009C6940" w:rsidRPr="003C0CE8" w:rsidRDefault="009C6940" w:rsidP="009C6940">
                  <w:pPr>
                    <w:pStyle w:val="TableBodyText"/>
                  </w:pPr>
                  <w:r w:rsidRPr="003C0CE8">
                    <w:t>1055</w:t>
                  </w:r>
                </w:p>
              </w:tc>
            </w:tr>
            <w:tr w:rsidR="009C6940" w:rsidRPr="00EF7969" w14:paraId="15DE0145" w14:textId="77777777" w:rsidTr="009C6940">
              <w:tc>
                <w:tcPr>
                  <w:tcW w:w="6377" w:type="dxa"/>
                  <w:shd w:val="clear" w:color="auto" w:fill="auto"/>
                </w:tcPr>
                <w:p w14:paraId="474F97AB" w14:textId="77777777" w:rsidR="009C6940" w:rsidRPr="003C0CE8" w:rsidRDefault="009C6940" w:rsidP="009C6940">
                  <w:pPr>
                    <w:pStyle w:val="TableBodyText"/>
                    <w:jc w:val="left"/>
                  </w:pPr>
                  <w:r w:rsidRPr="003C0CE8">
                    <w:t>Central Australian Aboriginal Congress</w:t>
                  </w:r>
                </w:p>
              </w:tc>
              <w:tc>
                <w:tcPr>
                  <w:tcW w:w="2126" w:type="dxa"/>
                  <w:shd w:val="clear" w:color="auto" w:fill="auto"/>
                </w:tcPr>
                <w:p w14:paraId="537A4CB8" w14:textId="77777777" w:rsidR="009C6940" w:rsidRPr="003C0CE8" w:rsidRDefault="009C6940" w:rsidP="009C6940">
                  <w:pPr>
                    <w:pStyle w:val="TableBodyText"/>
                  </w:pPr>
                  <w:r w:rsidRPr="003C0CE8">
                    <w:t>336</w:t>
                  </w:r>
                </w:p>
              </w:tc>
            </w:tr>
            <w:tr w:rsidR="009C6940" w:rsidRPr="00EF7969" w14:paraId="50061AF2" w14:textId="77777777" w:rsidTr="009C6940">
              <w:tc>
                <w:tcPr>
                  <w:tcW w:w="6377" w:type="dxa"/>
                  <w:shd w:val="clear" w:color="auto" w:fill="auto"/>
                </w:tcPr>
                <w:p w14:paraId="00E3600E" w14:textId="77777777" w:rsidR="009C6940" w:rsidRPr="003C0CE8" w:rsidRDefault="009C6940" w:rsidP="009C6940">
                  <w:pPr>
                    <w:pStyle w:val="TableBodyText"/>
                    <w:jc w:val="left"/>
                  </w:pPr>
                  <w:r w:rsidRPr="003C0CE8">
                    <w:t>Centre for Disability Research and Policy</w:t>
                  </w:r>
                </w:p>
              </w:tc>
              <w:tc>
                <w:tcPr>
                  <w:tcW w:w="2126" w:type="dxa"/>
                  <w:shd w:val="clear" w:color="auto" w:fill="auto"/>
                </w:tcPr>
                <w:p w14:paraId="2DE89E1A" w14:textId="77777777" w:rsidR="009C6940" w:rsidRPr="003C0CE8" w:rsidRDefault="009C6940" w:rsidP="009C6940">
                  <w:pPr>
                    <w:pStyle w:val="TableBodyText"/>
                  </w:pPr>
                  <w:r w:rsidRPr="003C0CE8">
                    <w:t>308</w:t>
                  </w:r>
                </w:p>
              </w:tc>
            </w:tr>
            <w:tr w:rsidR="009C6940" w:rsidRPr="00EF7969" w14:paraId="32ABD054" w14:textId="77777777" w:rsidTr="009C6940">
              <w:tc>
                <w:tcPr>
                  <w:tcW w:w="6377" w:type="dxa"/>
                  <w:shd w:val="clear" w:color="auto" w:fill="auto"/>
                </w:tcPr>
                <w:p w14:paraId="1544908B" w14:textId="77777777" w:rsidR="009C6940" w:rsidRPr="003C0CE8" w:rsidRDefault="009C6940" w:rsidP="009C6940">
                  <w:pPr>
                    <w:pStyle w:val="TableBodyText"/>
                    <w:jc w:val="left"/>
                  </w:pPr>
                  <w:r w:rsidRPr="003C0CE8">
                    <w:t>Centre for Emotional Health</w:t>
                  </w:r>
                </w:p>
              </w:tc>
              <w:tc>
                <w:tcPr>
                  <w:tcW w:w="2126" w:type="dxa"/>
                  <w:shd w:val="clear" w:color="auto" w:fill="auto"/>
                </w:tcPr>
                <w:p w14:paraId="0269DF65" w14:textId="77777777" w:rsidR="009C6940" w:rsidRPr="003C0CE8" w:rsidRDefault="009C6940" w:rsidP="009C6940">
                  <w:pPr>
                    <w:pStyle w:val="TableBodyText"/>
                  </w:pPr>
                  <w:r w:rsidRPr="003C0CE8">
                    <w:t>384</w:t>
                  </w:r>
                </w:p>
              </w:tc>
            </w:tr>
            <w:tr w:rsidR="009C6940" w:rsidRPr="00EF7969" w14:paraId="15E891D0" w14:textId="77777777" w:rsidTr="009C6940">
              <w:tc>
                <w:tcPr>
                  <w:tcW w:w="6377" w:type="dxa"/>
                  <w:shd w:val="clear" w:color="auto" w:fill="auto"/>
                </w:tcPr>
                <w:p w14:paraId="0463E78F" w14:textId="77777777" w:rsidR="009C6940" w:rsidRPr="003C0CE8" w:rsidRDefault="009C6940" w:rsidP="009C6940">
                  <w:pPr>
                    <w:pStyle w:val="TableBodyText"/>
                    <w:jc w:val="left"/>
                  </w:pPr>
                  <w:r w:rsidRPr="003C0CE8">
                    <w:t xml:space="preserve">Centre for Excellence in Child </w:t>
                  </w:r>
                  <w:r>
                    <w:t xml:space="preserve">and </w:t>
                  </w:r>
                  <w:r w:rsidRPr="003C0CE8">
                    <w:t>Family Welfare</w:t>
                  </w:r>
                </w:p>
              </w:tc>
              <w:tc>
                <w:tcPr>
                  <w:tcW w:w="2126" w:type="dxa"/>
                  <w:shd w:val="clear" w:color="auto" w:fill="auto"/>
                </w:tcPr>
                <w:p w14:paraId="07B7168B" w14:textId="77777777" w:rsidR="009C6940" w:rsidRPr="003C0CE8" w:rsidRDefault="009C6940" w:rsidP="009C6940">
                  <w:pPr>
                    <w:pStyle w:val="TableBodyText"/>
                  </w:pPr>
                  <w:r w:rsidRPr="003C0CE8">
                    <w:t>211, 862</w:t>
                  </w:r>
                </w:p>
              </w:tc>
            </w:tr>
            <w:tr w:rsidR="009C6940" w:rsidRPr="00EF7969" w14:paraId="0DB6E181" w14:textId="77777777" w:rsidTr="009C6940">
              <w:tc>
                <w:tcPr>
                  <w:tcW w:w="6377" w:type="dxa"/>
                  <w:shd w:val="clear" w:color="auto" w:fill="auto"/>
                </w:tcPr>
                <w:p w14:paraId="162E9EB3" w14:textId="77777777" w:rsidR="009C6940" w:rsidRPr="003C0CE8" w:rsidRDefault="009C6940" w:rsidP="009C6940">
                  <w:pPr>
                    <w:pStyle w:val="TableBodyText"/>
                    <w:jc w:val="left"/>
                  </w:pPr>
                  <w:r w:rsidRPr="003C0CE8">
                    <w:t>Centre for Mental Health Research (CMHR)</w:t>
                  </w:r>
                </w:p>
              </w:tc>
              <w:tc>
                <w:tcPr>
                  <w:tcW w:w="2126" w:type="dxa"/>
                  <w:shd w:val="clear" w:color="auto" w:fill="auto"/>
                </w:tcPr>
                <w:p w14:paraId="158AED1B" w14:textId="77777777" w:rsidR="009C6940" w:rsidRPr="003C0CE8" w:rsidRDefault="009C6940" w:rsidP="009C6940">
                  <w:pPr>
                    <w:pStyle w:val="TableBodyText"/>
                  </w:pPr>
                  <w:r w:rsidRPr="003C0CE8">
                    <w:t>148</w:t>
                  </w:r>
                </w:p>
              </w:tc>
            </w:tr>
            <w:tr w:rsidR="009C6940" w:rsidRPr="00EF7969" w14:paraId="398E05F8" w14:textId="77777777" w:rsidTr="009C6940">
              <w:tc>
                <w:tcPr>
                  <w:tcW w:w="6377" w:type="dxa"/>
                  <w:shd w:val="clear" w:color="auto" w:fill="auto"/>
                </w:tcPr>
                <w:p w14:paraId="3BF5CA49" w14:textId="77777777" w:rsidR="009C6940" w:rsidRPr="003C0CE8" w:rsidRDefault="009C6940" w:rsidP="009C6940">
                  <w:pPr>
                    <w:pStyle w:val="TableBodyText"/>
                    <w:jc w:val="left"/>
                  </w:pPr>
                  <w:r w:rsidRPr="003C0CE8">
                    <w:t>Centre for Multicultural Youth (CMY) and Multicultural Youth Advocacy Network (MYAN)</w:t>
                  </w:r>
                </w:p>
              </w:tc>
              <w:tc>
                <w:tcPr>
                  <w:tcW w:w="2126" w:type="dxa"/>
                  <w:shd w:val="clear" w:color="auto" w:fill="auto"/>
                </w:tcPr>
                <w:p w14:paraId="5F5E23BD" w14:textId="77777777" w:rsidR="009C6940" w:rsidRPr="003C0CE8" w:rsidRDefault="009C6940" w:rsidP="009C6940">
                  <w:pPr>
                    <w:pStyle w:val="TableBodyText"/>
                  </w:pPr>
                  <w:r w:rsidRPr="003C0CE8">
                    <w:t>446</w:t>
                  </w:r>
                </w:p>
              </w:tc>
            </w:tr>
            <w:tr w:rsidR="009C6940" w:rsidRPr="00EF7969" w14:paraId="3F4ECA60" w14:textId="77777777" w:rsidTr="009C6940">
              <w:tc>
                <w:tcPr>
                  <w:tcW w:w="6377" w:type="dxa"/>
                  <w:shd w:val="clear" w:color="auto" w:fill="auto"/>
                </w:tcPr>
                <w:p w14:paraId="1887BBAF" w14:textId="77777777" w:rsidR="009C6940" w:rsidRPr="003C0CE8" w:rsidRDefault="009C6940" w:rsidP="009C6940">
                  <w:pPr>
                    <w:pStyle w:val="TableBodyText"/>
                    <w:jc w:val="left"/>
                  </w:pPr>
                  <w:r w:rsidRPr="003C0CE8">
                    <w:t>Centre for Rural and Remote Mental Health (CRRMH)</w:t>
                  </w:r>
                </w:p>
              </w:tc>
              <w:tc>
                <w:tcPr>
                  <w:tcW w:w="2126" w:type="dxa"/>
                  <w:shd w:val="clear" w:color="auto" w:fill="auto"/>
                </w:tcPr>
                <w:p w14:paraId="2A37F215" w14:textId="77777777" w:rsidR="009C6940" w:rsidRPr="003C0CE8" w:rsidRDefault="009C6940" w:rsidP="009C6940">
                  <w:pPr>
                    <w:pStyle w:val="TableBodyText"/>
                  </w:pPr>
                  <w:r w:rsidRPr="003C0CE8">
                    <w:t>465</w:t>
                  </w:r>
                </w:p>
              </w:tc>
            </w:tr>
            <w:tr w:rsidR="009C6940" w:rsidRPr="00EF7969" w14:paraId="6E4F86CB" w14:textId="77777777" w:rsidTr="009C6940">
              <w:tc>
                <w:tcPr>
                  <w:tcW w:w="6377" w:type="dxa"/>
                  <w:shd w:val="clear" w:color="auto" w:fill="auto"/>
                </w:tcPr>
                <w:p w14:paraId="4CB687EF" w14:textId="77777777" w:rsidR="009C6940" w:rsidRPr="003C0CE8" w:rsidRDefault="009C6940" w:rsidP="009C6940">
                  <w:pPr>
                    <w:pStyle w:val="TableBodyText"/>
                    <w:jc w:val="left"/>
                  </w:pPr>
                  <w:r w:rsidRPr="003C0CE8">
                    <w:t>Centre f</w:t>
                  </w:r>
                  <w:r>
                    <w:t>or Social Impact Swinburne (CSI</w:t>
                  </w:r>
                  <w:r w:rsidRPr="003C0CE8">
                    <w:t>S)</w:t>
                  </w:r>
                </w:p>
              </w:tc>
              <w:tc>
                <w:tcPr>
                  <w:tcW w:w="2126" w:type="dxa"/>
                  <w:shd w:val="clear" w:color="auto" w:fill="auto"/>
                </w:tcPr>
                <w:p w14:paraId="1189CB78" w14:textId="77777777" w:rsidR="009C6940" w:rsidRPr="003C0CE8" w:rsidRDefault="009C6940" w:rsidP="009C6940">
                  <w:pPr>
                    <w:pStyle w:val="TableBodyText"/>
                  </w:pPr>
                  <w:r w:rsidRPr="003C0CE8">
                    <w:t>509, 716</w:t>
                  </w:r>
                </w:p>
              </w:tc>
            </w:tr>
            <w:tr w:rsidR="009C6940" w:rsidRPr="00EF7969" w14:paraId="5CEDD4F0" w14:textId="77777777" w:rsidTr="009C6940">
              <w:tc>
                <w:tcPr>
                  <w:tcW w:w="6377" w:type="dxa"/>
                  <w:shd w:val="clear" w:color="auto" w:fill="auto"/>
                </w:tcPr>
                <w:p w14:paraId="7BF30F88" w14:textId="77777777" w:rsidR="009C6940" w:rsidRPr="003C0CE8" w:rsidRDefault="009C6940" w:rsidP="009C6940">
                  <w:pPr>
                    <w:pStyle w:val="TableBodyText"/>
                    <w:jc w:val="left"/>
                  </w:pPr>
                  <w:r w:rsidRPr="003C0CE8">
                    <w:t>Centre of Best Practice in Aboriginal and Torres Strait Islander Suicide Prevention (CBPATSISP) and National Aboriginal and Torres Strait Islander Leadership in Mental Health (NATSILMH)</w:t>
                  </w:r>
                </w:p>
              </w:tc>
              <w:tc>
                <w:tcPr>
                  <w:tcW w:w="2126" w:type="dxa"/>
                  <w:shd w:val="clear" w:color="auto" w:fill="auto"/>
                </w:tcPr>
                <w:p w14:paraId="36A7C2ED" w14:textId="77777777" w:rsidR="009C6940" w:rsidRPr="003C0CE8" w:rsidRDefault="009C6940" w:rsidP="009C6940">
                  <w:pPr>
                    <w:pStyle w:val="TableBodyText"/>
                  </w:pPr>
                  <w:r w:rsidRPr="003C0CE8">
                    <w:t>1217</w:t>
                  </w:r>
                </w:p>
              </w:tc>
            </w:tr>
            <w:tr w:rsidR="009C6940" w:rsidRPr="00EF7969" w14:paraId="2E696B2E" w14:textId="77777777" w:rsidTr="009C6940">
              <w:tc>
                <w:tcPr>
                  <w:tcW w:w="6377" w:type="dxa"/>
                  <w:shd w:val="clear" w:color="auto" w:fill="auto"/>
                </w:tcPr>
                <w:p w14:paraId="2B0EE909" w14:textId="77777777" w:rsidR="009C6940" w:rsidRPr="003C0CE8" w:rsidRDefault="009C6940" w:rsidP="009C6940">
                  <w:pPr>
                    <w:pStyle w:val="TableBodyText"/>
                    <w:jc w:val="left"/>
                  </w:pPr>
                  <w:r w:rsidRPr="003C0CE8">
                    <w:t>Chamber of Minerals and Energy of WA (CME)</w:t>
                  </w:r>
                </w:p>
              </w:tc>
              <w:tc>
                <w:tcPr>
                  <w:tcW w:w="2126" w:type="dxa"/>
                  <w:shd w:val="clear" w:color="auto" w:fill="auto"/>
                </w:tcPr>
                <w:p w14:paraId="760EBCAF" w14:textId="77777777" w:rsidR="009C6940" w:rsidRPr="003C0CE8" w:rsidRDefault="009C6940" w:rsidP="009C6940">
                  <w:pPr>
                    <w:pStyle w:val="TableBodyText"/>
                  </w:pPr>
                  <w:r w:rsidRPr="003C0CE8">
                    <w:t>415, 1210</w:t>
                  </w:r>
                </w:p>
              </w:tc>
            </w:tr>
            <w:tr w:rsidR="009C6940" w:rsidRPr="00EF7969" w14:paraId="32F21882" w14:textId="77777777" w:rsidTr="009C6940">
              <w:tc>
                <w:tcPr>
                  <w:tcW w:w="6377" w:type="dxa"/>
                  <w:shd w:val="clear" w:color="auto" w:fill="auto"/>
                </w:tcPr>
                <w:p w14:paraId="1D4182E1" w14:textId="77777777" w:rsidR="009C6940" w:rsidRPr="003C0CE8" w:rsidRDefault="009C6940" w:rsidP="009C6940">
                  <w:pPr>
                    <w:pStyle w:val="TableBodyText"/>
                    <w:jc w:val="left"/>
                  </w:pPr>
                  <w:r w:rsidRPr="003C0CE8">
                    <w:t>Council of Australian Postgraduate Associations (CAPA)</w:t>
                  </w:r>
                </w:p>
              </w:tc>
              <w:tc>
                <w:tcPr>
                  <w:tcW w:w="2126" w:type="dxa"/>
                  <w:shd w:val="clear" w:color="auto" w:fill="auto"/>
                </w:tcPr>
                <w:p w14:paraId="7546A9EE" w14:textId="77777777" w:rsidR="009C6940" w:rsidRPr="003C0CE8" w:rsidRDefault="009C6940" w:rsidP="009C6940">
                  <w:pPr>
                    <w:pStyle w:val="TableBodyText"/>
                  </w:pPr>
                  <w:r w:rsidRPr="003C0CE8">
                    <w:t>241</w:t>
                  </w:r>
                </w:p>
              </w:tc>
            </w:tr>
            <w:tr w:rsidR="009C6940" w:rsidRPr="00EF7969" w14:paraId="45B5BBBD" w14:textId="77777777" w:rsidTr="009C6940">
              <w:tc>
                <w:tcPr>
                  <w:tcW w:w="6377" w:type="dxa"/>
                  <w:shd w:val="clear" w:color="auto" w:fill="auto"/>
                </w:tcPr>
                <w:p w14:paraId="0CA2EF3F" w14:textId="77777777" w:rsidR="009C6940" w:rsidRPr="003C0CE8" w:rsidRDefault="009C6940" w:rsidP="009C6940">
                  <w:pPr>
                    <w:pStyle w:val="TableBodyText"/>
                    <w:jc w:val="left"/>
                  </w:pPr>
                  <w:r w:rsidRPr="003C0CE8">
                    <w:t>Charlotte Thorpe</w:t>
                  </w:r>
                </w:p>
              </w:tc>
              <w:tc>
                <w:tcPr>
                  <w:tcW w:w="2126" w:type="dxa"/>
                  <w:shd w:val="clear" w:color="auto" w:fill="auto"/>
                </w:tcPr>
                <w:p w14:paraId="61C10A51" w14:textId="77777777" w:rsidR="009C6940" w:rsidRPr="003C0CE8" w:rsidRDefault="009C6940" w:rsidP="009C6940">
                  <w:pPr>
                    <w:pStyle w:val="TableBodyText"/>
                  </w:pPr>
                  <w:r w:rsidRPr="003C0CE8">
                    <w:t>969</w:t>
                  </w:r>
                </w:p>
              </w:tc>
            </w:tr>
            <w:tr w:rsidR="009C6940" w:rsidRPr="00EF7969" w14:paraId="717984FA" w14:textId="77777777" w:rsidTr="009C6940">
              <w:tc>
                <w:tcPr>
                  <w:tcW w:w="6377" w:type="dxa"/>
                  <w:shd w:val="clear" w:color="auto" w:fill="auto"/>
                </w:tcPr>
                <w:p w14:paraId="67F0143B" w14:textId="77777777" w:rsidR="009C6940" w:rsidRPr="003C0CE8" w:rsidRDefault="009C6940" w:rsidP="009C6940">
                  <w:pPr>
                    <w:pStyle w:val="TableBodyText"/>
                    <w:jc w:val="left"/>
                  </w:pPr>
                  <w:r w:rsidRPr="003C0CE8">
                    <w:t>Chaynee Wills</w:t>
                  </w:r>
                </w:p>
              </w:tc>
              <w:tc>
                <w:tcPr>
                  <w:tcW w:w="2126" w:type="dxa"/>
                  <w:shd w:val="clear" w:color="auto" w:fill="auto"/>
                </w:tcPr>
                <w:p w14:paraId="0044FBB8" w14:textId="77777777" w:rsidR="009C6940" w:rsidRPr="003C0CE8" w:rsidRDefault="009C6940" w:rsidP="009C6940">
                  <w:pPr>
                    <w:pStyle w:val="TableBodyText"/>
                  </w:pPr>
                  <w:r w:rsidRPr="003C0CE8">
                    <w:t>1088</w:t>
                  </w:r>
                </w:p>
              </w:tc>
            </w:tr>
            <w:tr w:rsidR="009C6940" w:rsidRPr="00EF7969" w14:paraId="2F42D79F" w14:textId="77777777" w:rsidTr="009C6940">
              <w:tc>
                <w:tcPr>
                  <w:tcW w:w="6377" w:type="dxa"/>
                  <w:shd w:val="clear" w:color="auto" w:fill="auto"/>
                </w:tcPr>
                <w:p w14:paraId="5DEF616F" w14:textId="77777777" w:rsidR="009C6940" w:rsidRPr="003C0CE8" w:rsidRDefault="009C6940" w:rsidP="009C6940">
                  <w:pPr>
                    <w:pStyle w:val="TableBodyText"/>
                    <w:jc w:val="left"/>
                  </w:pPr>
                  <w:r w:rsidRPr="003C0CE8">
                    <w:t>Cherie Ceberano</w:t>
                  </w:r>
                </w:p>
              </w:tc>
              <w:tc>
                <w:tcPr>
                  <w:tcW w:w="2126" w:type="dxa"/>
                  <w:shd w:val="clear" w:color="auto" w:fill="auto"/>
                </w:tcPr>
                <w:p w14:paraId="4379B5DE" w14:textId="77777777" w:rsidR="009C6940" w:rsidRPr="003C0CE8" w:rsidRDefault="009C6940" w:rsidP="009C6940">
                  <w:pPr>
                    <w:pStyle w:val="TableBodyText"/>
                  </w:pPr>
                  <w:r w:rsidRPr="003C0CE8">
                    <w:t>1042</w:t>
                  </w:r>
                </w:p>
              </w:tc>
            </w:tr>
            <w:tr w:rsidR="009C6940" w:rsidRPr="00EF7969" w14:paraId="36CF5BC1" w14:textId="77777777" w:rsidTr="009C6940">
              <w:tc>
                <w:tcPr>
                  <w:tcW w:w="6377" w:type="dxa"/>
                  <w:shd w:val="clear" w:color="auto" w:fill="auto"/>
                </w:tcPr>
                <w:p w14:paraId="3256BDAA" w14:textId="77777777" w:rsidR="009C6940" w:rsidRPr="003C0CE8" w:rsidRDefault="009C6940" w:rsidP="009C6940">
                  <w:pPr>
                    <w:pStyle w:val="TableBodyText"/>
                    <w:jc w:val="left"/>
                  </w:pPr>
                  <w:r w:rsidRPr="003C0CE8">
                    <w:t>Child and Adolescent Health Service (CAHS)</w:t>
                  </w:r>
                </w:p>
              </w:tc>
              <w:tc>
                <w:tcPr>
                  <w:tcW w:w="2126" w:type="dxa"/>
                  <w:shd w:val="clear" w:color="auto" w:fill="auto"/>
                </w:tcPr>
                <w:p w14:paraId="44B6E080" w14:textId="77777777" w:rsidR="009C6940" w:rsidRPr="003C0CE8" w:rsidRDefault="009C6940" w:rsidP="009C6940">
                  <w:pPr>
                    <w:pStyle w:val="TableBodyText"/>
                  </w:pPr>
                  <w:r w:rsidRPr="003C0CE8">
                    <w:t>255</w:t>
                  </w:r>
                </w:p>
              </w:tc>
            </w:tr>
            <w:tr w:rsidR="009C6940" w:rsidRPr="00EF7969" w14:paraId="5B5E9B3C" w14:textId="77777777" w:rsidTr="009C6940">
              <w:tc>
                <w:tcPr>
                  <w:tcW w:w="6377" w:type="dxa"/>
                  <w:shd w:val="clear" w:color="auto" w:fill="auto"/>
                </w:tcPr>
                <w:p w14:paraId="4BFFB901" w14:textId="77777777" w:rsidR="009C6940" w:rsidRPr="003C0CE8" w:rsidRDefault="009C6940" w:rsidP="009C6940">
                  <w:pPr>
                    <w:pStyle w:val="TableBodyText"/>
                    <w:jc w:val="left"/>
                  </w:pPr>
                  <w:r w:rsidRPr="003C0CE8">
                    <w:t>Children and Young People with Disability Australia (CYDA)</w:t>
                  </w:r>
                </w:p>
              </w:tc>
              <w:tc>
                <w:tcPr>
                  <w:tcW w:w="2126" w:type="dxa"/>
                  <w:shd w:val="clear" w:color="auto" w:fill="auto"/>
                </w:tcPr>
                <w:p w14:paraId="2C69368D" w14:textId="77777777" w:rsidR="009C6940" w:rsidRPr="003C0CE8" w:rsidRDefault="009C6940" w:rsidP="009C6940">
                  <w:pPr>
                    <w:pStyle w:val="TableBodyText"/>
                  </w:pPr>
                  <w:r w:rsidRPr="003C0CE8">
                    <w:t>779</w:t>
                  </w:r>
                </w:p>
              </w:tc>
            </w:tr>
            <w:tr w:rsidR="009C6940" w:rsidRPr="00EF7969" w14:paraId="4E6FCECB" w14:textId="77777777" w:rsidTr="009C6940">
              <w:tc>
                <w:tcPr>
                  <w:tcW w:w="6377" w:type="dxa"/>
                  <w:shd w:val="clear" w:color="auto" w:fill="auto"/>
                </w:tcPr>
                <w:p w14:paraId="577628BC" w14:textId="77777777" w:rsidR="009C6940" w:rsidRPr="003C0CE8" w:rsidRDefault="009C6940" w:rsidP="009C6940">
                  <w:pPr>
                    <w:pStyle w:val="TableBodyText"/>
                    <w:jc w:val="left"/>
                  </w:pPr>
                  <w:r w:rsidRPr="003C0CE8">
                    <w:t>Chris Beeny</w:t>
                  </w:r>
                </w:p>
              </w:tc>
              <w:tc>
                <w:tcPr>
                  <w:tcW w:w="2126" w:type="dxa"/>
                  <w:shd w:val="clear" w:color="auto" w:fill="auto"/>
                </w:tcPr>
                <w:p w14:paraId="6B058943" w14:textId="77777777" w:rsidR="009C6940" w:rsidRPr="003C0CE8" w:rsidRDefault="009C6940" w:rsidP="009C6940">
                  <w:pPr>
                    <w:pStyle w:val="TableBodyText"/>
                  </w:pPr>
                  <w:r w:rsidRPr="003C0CE8">
                    <w:t>1124</w:t>
                  </w:r>
                </w:p>
              </w:tc>
            </w:tr>
            <w:tr w:rsidR="009C6940" w:rsidRPr="00EF7969" w14:paraId="195D292E" w14:textId="77777777" w:rsidTr="009C6940">
              <w:tc>
                <w:tcPr>
                  <w:tcW w:w="6377" w:type="dxa"/>
                  <w:shd w:val="clear" w:color="auto" w:fill="auto"/>
                </w:tcPr>
                <w:p w14:paraId="325D1A8A" w14:textId="77777777" w:rsidR="009C6940" w:rsidRPr="003C0CE8" w:rsidRDefault="009C6940" w:rsidP="009C6940">
                  <w:pPr>
                    <w:pStyle w:val="TableBodyText"/>
                    <w:jc w:val="left"/>
                  </w:pPr>
                  <w:r w:rsidRPr="003C0CE8">
                    <w:t>Christel Duffy</w:t>
                  </w:r>
                </w:p>
              </w:tc>
              <w:tc>
                <w:tcPr>
                  <w:tcW w:w="2126" w:type="dxa"/>
                  <w:shd w:val="clear" w:color="auto" w:fill="auto"/>
                </w:tcPr>
                <w:p w14:paraId="38CFDCFA" w14:textId="77777777" w:rsidR="009C6940" w:rsidRPr="003C0CE8" w:rsidRDefault="009C6940" w:rsidP="009C6940">
                  <w:pPr>
                    <w:pStyle w:val="TableBodyText"/>
                  </w:pPr>
                  <w:r w:rsidRPr="003C0CE8">
                    <w:t>1073</w:t>
                  </w:r>
                </w:p>
              </w:tc>
            </w:tr>
            <w:tr w:rsidR="009C6940" w:rsidRPr="00EF7969" w14:paraId="3E2CFE2F" w14:textId="77777777" w:rsidTr="009C6940">
              <w:tc>
                <w:tcPr>
                  <w:tcW w:w="6377" w:type="dxa"/>
                  <w:shd w:val="clear" w:color="auto" w:fill="auto"/>
                </w:tcPr>
                <w:p w14:paraId="260192B1" w14:textId="77777777" w:rsidR="009C6940" w:rsidRPr="003C0CE8" w:rsidRDefault="009C6940" w:rsidP="009C6940">
                  <w:pPr>
                    <w:pStyle w:val="TableBodyText"/>
                    <w:jc w:val="left"/>
                  </w:pPr>
                  <w:r w:rsidRPr="003C0CE8">
                    <w:t>Christian Dawson</w:t>
                  </w:r>
                </w:p>
              </w:tc>
              <w:tc>
                <w:tcPr>
                  <w:tcW w:w="2126" w:type="dxa"/>
                  <w:shd w:val="clear" w:color="auto" w:fill="auto"/>
                </w:tcPr>
                <w:p w14:paraId="256566FF" w14:textId="77777777" w:rsidR="009C6940" w:rsidRPr="003C0CE8" w:rsidRDefault="009C6940" w:rsidP="009C6940">
                  <w:pPr>
                    <w:pStyle w:val="TableBodyText"/>
                  </w:pPr>
                  <w:r w:rsidRPr="003C0CE8">
                    <w:t>1074</w:t>
                  </w:r>
                </w:p>
              </w:tc>
            </w:tr>
            <w:tr w:rsidR="009C6940" w:rsidRPr="00EF7969" w14:paraId="15F11C98" w14:textId="77777777" w:rsidTr="009C6940">
              <w:tc>
                <w:tcPr>
                  <w:tcW w:w="6377" w:type="dxa"/>
                  <w:shd w:val="clear" w:color="auto" w:fill="auto"/>
                </w:tcPr>
                <w:p w14:paraId="5F2017BB" w14:textId="77777777" w:rsidR="009C6940" w:rsidRPr="003C0CE8" w:rsidRDefault="009C6940" w:rsidP="009C6940">
                  <w:pPr>
                    <w:pStyle w:val="TableBodyText"/>
                    <w:jc w:val="left"/>
                  </w:pPr>
                  <w:r w:rsidRPr="003C0CE8">
                    <w:t>Christine Newton</w:t>
                  </w:r>
                </w:p>
              </w:tc>
              <w:tc>
                <w:tcPr>
                  <w:tcW w:w="2126" w:type="dxa"/>
                  <w:shd w:val="clear" w:color="auto" w:fill="auto"/>
                </w:tcPr>
                <w:p w14:paraId="6D3B45C9" w14:textId="77777777" w:rsidR="009C6940" w:rsidRPr="003C0CE8" w:rsidRDefault="009C6940" w:rsidP="009C6940">
                  <w:pPr>
                    <w:pStyle w:val="TableBodyText"/>
                  </w:pPr>
                  <w:r w:rsidRPr="003C0CE8">
                    <w:t>454, 1183</w:t>
                  </w:r>
                </w:p>
              </w:tc>
            </w:tr>
            <w:tr w:rsidR="009C6940" w:rsidRPr="00EF7969" w14:paraId="2AB7097B" w14:textId="77777777" w:rsidTr="009C6940">
              <w:tc>
                <w:tcPr>
                  <w:tcW w:w="6377" w:type="dxa"/>
                  <w:shd w:val="clear" w:color="auto" w:fill="auto"/>
                </w:tcPr>
                <w:p w14:paraId="5DE2AE56" w14:textId="77777777" w:rsidR="009C6940" w:rsidRPr="003C0CE8" w:rsidRDefault="009C6940" w:rsidP="009C6940">
                  <w:pPr>
                    <w:pStyle w:val="TableBodyText"/>
                    <w:jc w:val="left"/>
                  </w:pPr>
                  <w:r w:rsidRPr="003C0CE8">
                    <w:t>Christine Wade</w:t>
                  </w:r>
                </w:p>
              </w:tc>
              <w:tc>
                <w:tcPr>
                  <w:tcW w:w="2126" w:type="dxa"/>
                  <w:shd w:val="clear" w:color="auto" w:fill="auto"/>
                </w:tcPr>
                <w:p w14:paraId="5C46FF25" w14:textId="77777777" w:rsidR="009C6940" w:rsidRPr="003C0CE8" w:rsidRDefault="009C6940" w:rsidP="009C6940">
                  <w:pPr>
                    <w:pStyle w:val="TableBodyText"/>
                  </w:pPr>
                  <w:r w:rsidRPr="003C0CE8">
                    <w:t>435</w:t>
                  </w:r>
                </w:p>
              </w:tc>
            </w:tr>
            <w:tr w:rsidR="009C6940" w:rsidRPr="00EF7969" w14:paraId="1255A841" w14:textId="77777777" w:rsidTr="009C6940">
              <w:tc>
                <w:tcPr>
                  <w:tcW w:w="6377" w:type="dxa"/>
                  <w:shd w:val="clear" w:color="auto" w:fill="auto"/>
                </w:tcPr>
                <w:p w14:paraId="4AF381C2" w14:textId="77777777" w:rsidR="009C6940" w:rsidRPr="003C0CE8" w:rsidRDefault="009C6940" w:rsidP="009C6940">
                  <w:pPr>
                    <w:pStyle w:val="TableBodyText"/>
                    <w:jc w:val="left"/>
                  </w:pPr>
                  <w:r w:rsidRPr="003C0CE8">
                    <w:t>Churlya Wuerfel</w:t>
                  </w:r>
                </w:p>
              </w:tc>
              <w:tc>
                <w:tcPr>
                  <w:tcW w:w="2126" w:type="dxa"/>
                  <w:shd w:val="clear" w:color="auto" w:fill="auto"/>
                </w:tcPr>
                <w:p w14:paraId="7AC5D3A7" w14:textId="77777777" w:rsidR="009C6940" w:rsidRPr="003C0CE8" w:rsidRDefault="009C6940" w:rsidP="009C6940">
                  <w:pPr>
                    <w:pStyle w:val="TableBodyText"/>
                  </w:pPr>
                  <w:r w:rsidRPr="003C0CE8">
                    <w:t>1064</w:t>
                  </w:r>
                </w:p>
              </w:tc>
            </w:tr>
            <w:tr w:rsidR="009C6940" w:rsidRPr="00EF7969" w14:paraId="6D2159E5" w14:textId="77777777" w:rsidTr="009C6940">
              <w:tc>
                <w:tcPr>
                  <w:tcW w:w="6377" w:type="dxa"/>
                  <w:tcBorders>
                    <w:bottom w:val="single" w:sz="6" w:space="0" w:color="BFBFBF" w:themeColor="background1" w:themeShade="BF"/>
                  </w:tcBorders>
                  <w:shd w:val="clear" w:color="auto" w:fill="auto"/>
                </w:tcPr>
                <w:p w14:paraId="7B247F61" w14:textId="77777777" w:rsidR="009C6940" w:rsidRPr="003C0CE8" w:rsidRDefault="009C6940" w:rsidP="009C6940">
                  <w:pPr>
                    <w:pStyle w:val="TableBodyText"/>
                    <w:jc w:val="left"/>
                  </w:pPr>
                  <w:r w:rsidRPr="00EF7969">
                    <w:t xml:space="preserve">City of Port Phillip </w:t>
                  </w:r>
                </w:p>
              </w:tc>
              <w:tc>
                <w:tcPr>
                  <w:tcW w:w="2126" w:type="dxa"/>
                  <w:tcBorders>
                    <w:bottom w:val="single" w:sz="6" w:space="0" w:color="BFBFBF" w:themeColor="background1" w:themeShade="BF"/>
                  </w:tcBorders>
                  <w:shd w:val="clear" w:color="auto" w:fill="auto"/>
                </w:tcPr>
                <w:p w14:paraId="4237AE2A" w14:textId="77777777" w:rsidR="009C6940" w:rsidRPr="003C0CE8" w:rsidRDefault="009C6940" w:rsidP="009C6940">
                  <w:pPr>
                    <w:pStyle w:val="TableBodyText"/>
                  </w:pPr>
                  <w:r w:rsidRPr="00EF7969">
                    <w:t>540</w:t>
                  </w:r>
                </w:p>
              </w:tc>
            </w:tr>
          </w:tbl>
          <w:p w14:paraId="3382A1D3" w14:textId="77777777" w:rsidR="009C6940" w:rsidRPr="00EF7969" w:rsidRDefault="009C6940" w:rsidP="009C6940">
            <w:pPr>
              <w:pStyle w:val="Box"/>
            </w:pPr>
          </w:p>
        </w:tc>
      </w:tr>
      <w:tr w:rsidR="009C6940" w:rsidRPr="00EF7969" w14:paraId="5E561AFC" w14:textId="77777777" w:rsidTr="009C6940">
        <w:tc>
          <w:tcPr>
            <w:tcW w:w="8789" w:type="dxa"/>
            <w:tcBorders>
              <w:top w:val="nil"/>
              <w:left w:val="nil"/>
              <w:bottom w:val="nil"/>
              <w:right w:val="nil"/>
            </w:tcBorders>
            <w:shd w:val="clear" w:color="auto" w:fill="auto"/>
          </w:tcPr>
          <w:p w14:paraId="13DB4797" w14:textId="77777777" w:rsidR="009C6940" w:rsidRPr="00EF7969" w:rsidRDefault="009C6940" w:rsidP="009C6940">
            <w:pPr>
              <w:pStyle w:val="Continued"/>
            </w:pPr>
            <w:r w:rsidRPr="00EF7969">
              <w:t>(continued next page)</w:t>
            </w:r>
          </w:p>
        </w:tc>
      </w:tr>
      <w:tr w:rsidR="009C6940" w:rsidRPr="00EF7969" w14:paraId="0A0BE9F5" w14:textId="77777777" w:rsidTr="009C6940">
        <w:tc>
          <w:tcPr>
            <w:tcW w:w="8789" w:type="dxa"/>
            <w:tcBorders>
              <w:top w:val="nil"/>
              <w:left w:val="nil"/>
              <w:bottom w:val="single" w:sz="6" w:space="0" w:color="78A22F"/>
              <w:right w:val="nil"/>
            </w:tcBorders>
            <w:shd w:val="clear" w:color="auto" w:fill="auto"/>
          </w:tcPr>
          <w:p w14:paraId="2856190E" w14:textId="77777777" w:rsidR="009C6940" w:rsidRPr="00EF7969" w:rsidRDefault="009C6940" w:rsidP="009C6940">
            <w:pPr>
              <w:pStyle w:val="Box"/>
              <w:spacing w:before="0" w:line="120" w:lineRule="exact"/>
            </w:pPr>
          </w:p>
        </w:tc>
      </w:tr>
      <w:tr w:rsidR="009C6940" w:rsidRPr="00EF7969" w14:paraId="57EE4AB1" w14:textId="77777777" w:rsidTr="009C6940">
        <w:tc>
          <w:tcPr>
            <w:tcW w:w="8789" w:type="dxa"/>
            <w:tcBorders>
              <w:top w:val="single" w:sz="6" w:space="0" w:color="78A22F"/>
              <w:left w:val="nil"/>
              <w:bottom w:val="nil"/>
              <w:right w:val="nil"/>
            </w:tcBorders>
          </w:tcPr>
          <w:p w14:paraId="061B1481" w14:textId="77777777" w:rsidR="009C6940" w:rsidRPr="00EF7969" w:rsidRDefault="009C6940" w:rsidP="009C6940">
            <w:pPr>
              <w:pStyle w:val="BoxSpaceBelow"/>
            </w:pPr>
          </w:p>
        </w:tc>
      </w:tr>
    </w:tbl>
    <w:p w14:paraId="6BB43A1F"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709ECCE9" w14:textId="77777777" w:rsidTr="009C6940">
        <w:trPr>
          <w:tblHeader/>
        </w:trPr>
        <w:tc>
          <w:tcPr>
            <w:tcW w:w="8789" w:type="dxa"/>
            <w:tcBorders>
              <w:top w:val="single" w:sz="6" w:space="0" w:color="78A22F"/>
              <w:left w:val="nil"/>
              <w:bottom w:val="nil"/>
              <w:right w:val="nil"/>
            </w:tcBorders>
            <w:shd w:val="clear" w:color="auto" w:fill="auto"/>
          </w:tcPr>
          <w:p w14:paraId="7C269E96" w14:textId="77777777" w:rsidR="009C6940" w:rsidRPr="00EF7969" w:rsidRDefault="009C6940" w:rsidP="009C6940">
            <w:pPr>
              <w:pStyle w:val="TableTitle"/>
              <w:spacing w:before="80"/>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15B9063C"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3B1F434F"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1728008E"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74AA0F70" w14:textId="77777777" w:rsidR="009C6940" w:rsidRPr="00EF7969" w:rsidRDefault="009C6940" w:rsidP="009C6940">
                  <w:pPr>
                    <w:pStyle w:val="TableColumnHeading"/>
                    <w:ind w:right="28"/>
                  </w:pPr>
                  <w:r w:rsidRPr="00EF7969">
                    <w:t>Submission no.</w:t>
                  </w:r>
                </w:p>
              </w:tc>
            </w:tr>
            <w:tr w:rsidR="009C6940" w:rsidRPr="00EF7969" w14:paraId="148F5EE9" w14:textId="77777777" w:rsidTr="009C6940">
              <w:tc>
                <w:tcPr>
                  <w:tcW w:w="6377" w:type="dxa"/>
                  <w:shd w:val="clear" w:color="auto" w:fill="auto"/>
                </w:tcPr>
                <w:p w14:paraId="3965FED9" w14:textId="77777777" w:rsidR="009C6940" w:rsidRPr="00EF7969" w:rsidRDefault="009C6940" w:rsidP="009C6940">
                  <w:pPr>
                    <w:pStyle w:val="TableBodyText"/>
                    <w:spacing w:before="40"/>
                    <w:jc w:val="left"/>
                  </w:pPr>
                  <w:r w:rsidRPr="00EF7969">
                    <w:t>Clare</w:t>
                  </w:r>
                </w:p>
              </w:tc>
              <w:tc>
                <w:tcPr>
                  <w:tcW w:w="2126" w:type="dxa"/>
                  <w:shd w:val="clear" w:color="auto" w:fill="auto"/>
                </w:tcPr>
                <w:p w14:paraId="18EE99CF" w14:textId="77777777" w:rsidR="009C6940" w:rsidRPr="00EF7969" w:rsidRDefault="009C6940" w:rsidP="009C6940">
                  <w:pPr>
                    <w:pStyle w:val="TableBodyText"/>
                    <w:spacing w:before="40"/>
                  </w:pPr>
                  <w:r w:rsidRPr="00EF7969">
                    <w:t>1138</w:t>
                  </w:r>
                </w:p>
              </w:tc>
            </w:tr>
            <w:tr w:rsidR="009C6940" w:rsidRPr="00EF7969" w14:paraId="49CFF69D" w14:textId="77777777" w:rsidTr="009C6940">
              <w:tc>
                <w:tcPr>
                  <w:tcW w:w="6377" w:type="dxa"/>
                  <w:shd w:val="clear" w:color="auto" w:fill="auto"/>
                </w:tcPr>
                <w:p w14:paraId="5B38D9C6" w14:textId="77777777" w:rsidR="009C6940" w:rsidRPr="00EF7969" w:rsidRDefault="009C6940" w:rsidP="009C6940">
                  <w:pPr>
                    <w:pStyle w:val="TableBodyText"/>
                    <w:jc w:val="left"/>
                  </w:pPr>
                  <w:r w:rsidRPr="00EF7969">
                    <w:t>Clare Trafford</w:t>
                  </w:r>
                </w:p>
              </w:tc>
              <w:tc>
                <w:tcPr>
                  <w:tcW w:w="2126" w:type="dxa"/>
                  <w:shd w:val="clear" w:color="auto" w:fill="auto"/>
                </w:tcPr>
                <w:p w14:paraId="2F07658F" w14:textId="77777777" w:rsidR="009C6940" w:rsidRPr="00EF7969" w:rsidRDefault="009C6940" w:rsidP="009C6940">
                  <w:pPr>
                    <w:pStyle w:val="TableBodyText"/>
                  </w:pPr>
                  <w:r w:rsidRPr="00EF7969">
                    <w:t>1165</w:t>
                  </w:r>
                </w:p>
              </w:tc>
            </w:tr>
            <w:tr w:rsidR="009C6940" w:rsidRPr="00EF7969" w14:paraId="6873D1AA" w14:textId="77777777" w:rsidTr="009C6940">
              <w:tc>
                <w:tcPr>
                  <w:tcW w:w="6377" w:type="dxa"/>
                  <w:shd w:val="clear" w:color="auto" w:fill="auto"/>
                </w:tcPr>
                <w:p w14:paraId="4A34D2CE" w14:textId="77777777" w:rsidR="009C6940" w:rsidRPr="00EF7969" w:rsidRDefault="009C6940" w:rsidP="009C6940">
                  <w:pPr>
                    <w:pStyle w:val="TableBodyText"/>
                    <w:jc w:val="left"/>
                  </w:pPr>
                  <w:r w:rsidRPr="00EF7969">
                    <w:t>Clive Kempson</w:t>
                  </w:r>
                </w:p>
              </w:tc>
              <w:tc>
                <w:tcPr>
                  <w:tcW w:w="2126" w:type="dxa"/>
                  <w:shd w:val="clear" w:color="auto" w:fill="auto"/>
                </w:tcPr>
                <w:p w14:paraId="678806A5" w14:textId="77777777" w:rsidR="009C6940" w:rsidRPr="00EF7969" w:rsidRDefault="009C6940" w:rsidP="009C6940">
                  <w:pPr>
                    <w:pStyle w:val="TableBodyText"/>
                  </w:pPr>
                  <w:r w:rsidRPr="00EF7969">
                    <w:t>84</w:t>
                  </w:r>
                </w:p>
              </w:tc>
            </w:tr>
            <w:tr w:rsidR="009C6940" w:rsidRPr="00EF7969" w14:paraId="22DEAF7F" w14:textId="77777777" w:rsidTr="009C6940">
              <w:tc>
                <w:tcPr>
                  <w:tcW w:w="6377" w:type="dxa"/>
                  <w:shd w:val="clear" w:color="auto" w:fill="auto"/>
                </w:tcPr>
                <w:p w14:paraId="3E3F4BE9" w14:textId="77777777" w:rsidR="009C6940" w:rsidRPr="00EF7969" w:rsidRDefault="009C6940" w:rsidP="009C6940">
                  <w:pPr>
                    <w:pStyle w:val="TableBodyText"/>
                    <w:jc w:val="left"/>
                  </w:pPr>
                  <w:r w:rsidRPr="00EF7969">
                    <w:t>cohealth</w:t>
                  </w:r>
                </w:p>
              </w:tc>
              <w:tc>
                <w:tcPr>
                  <w:tcW w:w="2126" w:type="dxa"/>
                  <w:shd w:val="clear" w:color="auto" w:fill="auto"/>
                </w:tcPr>
                <w:p w14:paraId="1D500BBA" w14:textId="77777777" w:rsidR="009C6940" w:rsidRPr="00EF7969" w:rsidRDefault="009C6940" w:rsidP="009C6940">
                  <w:pPr>
                    <w:pStyle w:val="TableBodyText"/>
                  </w:pPr>
                  <w:r w:rsidRPr="00EF7969">
                    <w:t>231, 846</w:t>
                  </w:r>
                </w:p>
              </w:tc>
            </w:tr>
            <w:tr w:rsidR="009C6940" w:rsidRPr="00EF7969" w14:paraId="66AA9585" w14:textId="77777777" w:rsidTr="009C6940">
              <w:tc>
                <w:tcPr>
                  <w:tcW w:w="6377" w:type="dxa"/>
                  <w:shd w:val="clear" w:color="auto" w:fill="auto"/>
                </w:tcPr>
                <w:p w14:paraId="53FF5535" w14:textId="77777777" w:rsidR="009C6940" w:rsidRPr="00EF7969" w:rsidRDefault="009C6940" w:rsidP="009C6940">
                  <w:pPr>
                    <w:pStyle w:val="TableBodyText"/>
                    <w:jc w:val="left"/>
                  </w:pPr>
                  <w:r w:rsidRPr="00EF7969">
                    <w:t xml:space="preserve">Colin Jevons </w:t>
                  </w:r>
                </w:p>
              </w:tc>
              <w:tc>
                <w:tcPr>
                  <w:tcW w:w="2126" w:type="dxa"/>
                  <w:shd w:val="clear" w:color="auto" w:fill="auto"/>
                </w:tcPr>
                <w:p w14:paraId="0574A355" w14:textId="77777777" w:rsidR="009C6940" w:rsidRPr="00EF7969" w:rsidRDefault="009C6940" w:rsidP="009C6940">
                  <w:pPr>
                    <w:pStyle w:val="TableBodyText"/>
                  </w:pPr>
                  <w:r w:rsidRPr="00EF7969">
                    <w:t>520</w:t>
                  </w:r>
                </w:p>
              </w:tc>
            </w:tr>
            <w:tr w:rsidR="009C6940" w:rsidRPr="00EF7969" w14:paraId="4D50081E" w14:textId="77777777" w:rsidTr="009C6940">
              <w:tc>
                <w:tcPr>
                  <w:tcW w:w="6377" w:type="dxa"/>
                  <w:shd w:val="clear" w:color="auto" w:fill="auto"/>
                </w:tcPr>
                <w:p w14:paraId="3936FE83" w14:textId="77777777" w:rsidR="009C6940" w:rsidRPr="00EF7969" w:rsidRDefault="009C6940" w:rsidP="009C6940">
                  <w:pPr>
                    <w:pStyle w:val="TableBodyText"/>
                    <w:jc w:val="left"/>
                  </w:pPr>
                  <w:r w:rsidRPr="00EF7969">
                    <w:t xml:space="preserve">Collective Conscious </w:t>
                  </w:r>
                </w:p>
              </w:tc>
              <w:tc>
                <w:tcPr>
                  <w:tcW w:w="2126" w:type="dxa"/>
                  <w:shd w:val="clear" w:color="auto" w:fill="auto"/>
                </w:tcPr>
                <w:p w14:paraId="0DCEB059" w14:textId="77777777" w:rsidR="009C6940" w:rsidRPr="00EF7969" w:rsidRDefault="009C6940" w:rsidP="009C6940">
                  <w:pPr>
                    <w:pStyle w:val="TableBodyText"/>
                  </w:pPr>
                  <w:r w:rsidRPr="00EF7969">
                    <w:t>533</w:t>
                  </w:r>
                </w:p>
              </w:tc>
            </w:tr>
            <w:tr w:rsidR="009C6940" w:rsidRPr="00EF7969" w14:paraId="6373AB5F" w14:textId="77777777" w:rsidTr="009C6940">
              <w:tc>
                <w:tcPr>
                  <w:tcW w:w="6377" w:type="dxa"/>
                  <w:shd w:val="clear" w:color="auto" w:fill="auto"/>
                </w:tcPr>
                <w:p w14:paraId="1254532C" w14:textId="77777777" w:rsidR="009C6940" w:rsidRPr="00EF7969" w:rsidRDefault="009C6940" w:rsidP="009C6940">
                  <w:pPr>
                    <w:pStyle w:val="TableBodyText"/>
                    <w:jc w:val="left"/>
                  </w:pPr>
                  <w:r w:rsidRPr="00EF7969">
                    <w:t>Colleen Hunt</w:t>
                  </w:r>
                </w:p>
              </w:tc>
              <w:tc>
                <w:tcPr>
                  <w:tcW w:w="2126" w:type="dxa"/>
                  <w:shd w:val="clear" w:color="auto" w:fill="auto"/>
                </w:tcPr>
                <w:p w14:paraId="48078485" w14:textId="77777777" w:rsidR="009C6940" w:rsidRPr="00EF7969" w:rsidRDefault="009C6940" w:rsidP="009C6940">
                  <w:pPr>
                    <w:pStyle w:val="TableBodyText"/>
                  </w:pPr>
                  <w:r w:rsidRPr="00EF7969">
                    <w:t>426</w:t>
                  </w:r>
                </w:p>
              </w:tc>
            </w:tr>
            <w:tr w:rsidR="009C6940" w:rsidRPr="00EF7969" w14:paraId="44A0FAF6" w14:textId="77777777" w:rsidTr="009C6940">
              <w:tc>
                <w:tcPr>
                  <w:tcW w:w="6377" w:type="dxa"/>
                  <w:shd w:val="clear" w:color="auto" w:fill="auto"/>
                </w:tcPr>
                <w:p w14:paraId="6782392C" w14:textId="77777777" w:rsidR="009C6940" w:rsidRPr="00EF7969" w:rsidRDefault="009C6940" w:rsidP="009C6940">
                  <w:pPr>
                    <w:pStyle w:val="TableBodyText"/>
                    <w:jc w:val="left"/>
                  </w:pPr>
                  <w:r w:rsidRPr="00EF7969">
                    <w:t>College of Sport and Exercise Psychologists</w:t>
                  </w:r>
                </w:p>
              </w:tc>
              <w:tc>
                <w:tcPr>
                  <w:tcW w:w="2126" w:type="dxa"/>
                  <w:shd w:val="clear" w:color="auto" w:fill="auto"/>
                </w:tcPr>
                <w:p w14:paraId="09D828C6" w14:textId="77777777" w:rsidR="009C6940" w:rsidRPr="00EF7969" w:rsidRDefault="009C6940" w:rsidP="009C6940">
                  <w:pPr>
                    <w:pStyle w:val="TableBodyText"/>
                  </w:pPr>
                  <w:r w:rsidRPr="00EF7969">
                    <w:t>273</w:t>
                  </w:r>
                </w:p>
              </w:tc>
            </w:tr>
            <w:tr w:rsidR="009C6940" w:rsidRPr="00EF7969" w14:paraId="59A0C5B4" w14:textId="77777777" w:rsidTr="009C6940">
              <w:tc>
                <w:tcPr>
                  <w:tcW w:w="6377" w:type="dxa"/>
                  <w:shd w:val="clear" w:color="auto" w:fill="auto"/>
                </w:tcPr>
                <w:p w14:paraId="6EC890B2" w14:textId="77777777" w:rsidR="009C6940" w:rsidRPr="00EF7969" w:rsidRDefault="009C6940" w:rsidP="009C6940">
                  <w:pPr>
                    <w:pStyle w:val="TableBodyText"/>
                    <w:jc w:val="left"/>
                  </w:pPr>
                  <w:r w:rsidRPr="00EF7969">
                    <w:t>Commission for Children and Young People (Victoria)</w:t>
                  </w:r>
                </w:p>
              </w:tc>
              <w:tc>
                <w:tcPr>
                  <w:tcW w:w="2126" w:type="dxa"/>
                  <w:shd w:val="clear" w:color="auto" w:fill="auto"/>
                </w:tcPr>
                <w:p w14:paraId="1F63FAFF" w14:textId="77777777" w:rsidR="009C6940" w:rsidRPr="00EF7969" w:rsidRDefault="009C6940" w:rsidP="009C6940">
                  <w:pPr>
                    <w:pStyle w:val="TableBodyText"/>
                  </w:pPr>
                  <w:r w:rsidRPr="00EF7969">
                    <w:t>278</w:t>
                  </w:r>
                </w:p>
              </w:tc>
            </w:tr>
            <w:tr w:rsidR="009C6940" w:rsidRPr="00EF7969" w14:paraId="3756AA1F" w14:textId="77777777" w:rsidTr="009C6940">
              <w:tc>
                <w:tcPr>
                  <w:tcW w:w="6377" w:type="dxa"/>
                  <w:shd w:val="clear" w:color="auto" w:fill="auto"/>
                </w:tcPr>
                <w:p w14:paraId="07CD65A8" w14:textId="77777777" w:rsidR="009C6940" w:rsidRPr="00EF7969" w:rsidRDefault="009C6940" w:rsidP="009C6940">
                  <w:pPr>
                    <w:pStyle w:val="TableBodyText"/>
                    <w:jc w:val="left"/>
                  </w:pPr>
                  <w:r w:rsidRPr="00EF7969">
                    <w:t>Commissioner for Children and Young People (SA)</w:t>
                  </w:r>
                </w:p>
              </w:tc>
              <w:tc>
                <w:tcPr>
                  <w:tcW w:w="2126" w:type="dxa"/>
                  <w:shd w:val="clear" w:color="auto" w:fill="auto"/>
                </w:tcPr>
                <w:p w14:paraId="6DC19AA5" w14:textId="77777777" w:rsidR="009C6940" w:rsidRPr="00EF7969" w:rsidRDefault="009C6940" w:rsidP="009C6940">
                  <w:pPr>
                    <w:pStyle w:val="TableBodyText"/>
                  </w:pPr>
                  <w:r w:rsidRPr="00EF7969">
                    <w:t>736</w:t>
                  </w:r>
                </w:p>
              </w:tc>
            </w:tr>
            <w:tr w:rsidR="009C6940" w:rsidRPr="00EF7969" w14:paraId="66CE0AD9" w14:textId="77777777" w:rsidTr="009C6940">
              <w:tc>
                <w:tcPr>
                  <w:tcW w:w="6377" w:type="dxa"/>
                  <w:shd w:val="clear" w:color="auto" w:fill="auto"/>
                </w:tcPr>
                <w:p w14:paraId="12C93C9C" w14:textId="77777777" w:rsidR="009C6940" w:rsidRPr="00EF7969" w:rsidRDefault="009C6940" w:rsidP="009C6940">
                  <w:pPr>
                    <w:pStyle w:val="TableBodyText"/>
                    <w:jc w:val="left"/>
                  </w:pPr>
                  <w:r w:rsidRPr="00EF7969">
                    <w:t>Commissioner for Children and Young People (WA)</w:t>
                  </w:r>
                </w:p>
              </w:tc>
              <w:tc>
                <w:tcPr>
                  <w:tcW w:w="2126" w:type="dxa"/>
                  <w:shd w:val="clear" w:color="auto" w:fill="auto"/>
                </w:tcPr>
                <w:p w14:paraId="4D26DBE0" w14:textId="77777777" w:rsidR="009C6940" w:rsidRPr="00EF7969" w:rsidRDefault="009C6940" w:rsidP="009C6940">
                  <w:pPr>
                    <w:pStyle w:val="TableBodyText"/>
                  </w:pPr>
                  <w:r w:rsidRPr="00EF7969">
                    <w:t>311, 640</w:t>
                  </w:r>
                </w:p>
              </w:tc>
            </w:tr>
            <w:tr w:rsidR="009C6940" w:rsidRPr="00EF7969" w14:paraId="6F30A3B0" w14:textId="77777777" w:rsidTr="009C6940">
              <w:tc>
                <w:tcPr>
                  <w:tcW w:w="6377" w:type="dxa"/>
                  <w:shd w:val="clear" w:color="auto" w:fill="auto"/>
                </w:tcPr>
                <w:p w14:paraId="098304F2" w14:textId="77777777" w:rsidR="009C6940" w:rsidRPr="00EF7969" w:rsidRDefault="009C6940" w:rsidP="009C6940">
                  <w:pPr>
                    <w:pStyle w:val="TableBodyText"/>
                    <w:jc w:val="left"/>
                  </w:pPr>
                  <w:r w:rsidRPr="00EF7969">
                    <w:t>Community Life Batemans Bay Inc (CLBB)</w:t>
                  </w:r>
                </w:p>
              </w:tc>
              <w:tc>
                <w:tcPr>
                  <w:tcW w:w="2126" w:type="dxa"/>
                  <w:shd w:val="clear" w:color="auto" w:fill="auto"/>
                </w:tcPr>
                <w:p w14:paraId="026170CA" w14:textId="77777777" w:rsidR="009C6940" w:rsidRPr="00EF7969" w:rsidRDefault="009C6940" w:rsidP="009C6940">
                  <w:pPr>
                    <w:pStyle w:val="TableBodyText"/>
                  </w:pPr>
                  <w:r w:rsidRPr="00EF7969">
                    <w:t>146</w:t>
                  </w:r>
                </w:p>
              </w:tc>
            </w:tr>
            <w:tr w:rsidR="009C6940" w:rsidRPr="00EF7969" w14:paraId="23414235" w14:textId="77777777" w:rsidTr="009C6940">
              <w:tc>
                <w:tcPr>
                  <w:tcW w:w="6377" w:type="dxa"/>
                  <w:shd w:val="clear" w:color="auto" w:fill="auto"/>
                </w:tcPr>
                <w:p w14:paraId="38047A85" w14:textId="77777777" w:rsidR="009C6940" w:rsidRPr="00EF7969" w:rsidRDefault="009C6940" w:rsidP="009C6940">
                  <w:pPr>
                    <w:pStyle w:val="TableBodyText"/>
                    <w:jc w:val="left"/>
                  </w:pPr>
                  <w:r w:rsidRPr="00EF7969">
                    <w:t>Community Mental Health Australia (CMHA)</w:t>
                  </w:r>
                </w:p>
              </w:tc>
              <w:tc>
                <w:tcPr>
                  <w:tcW w:w="2126" w:type="dxa"/>
                  <w:shd w:val="clear" w:color="auto" w:fill="auto"/>
                </w:tcPr>
                <w:p w14:paraId="1EDD1A28" w14:textId="77777777" w:rsidR="009C6940" w:rsidRPr="00EF7969" w:rsidRDefault="009C6940" w:rsidP="009C6940">
                  <w:pPr>
                    <w:pStyle w:val="TableBodyText"/>
                  </w:pPr>
                  <w:r w:rsidRPr="00EF7969">
                    <w:t>449, 851</w:t>
                  </w:r>
                </w:p>
              </w:tc>
            </w:tr>
            <w:tr w:rsidR="009C6940" w:rsidRPr="00EF7969" w14:paraId="615CC15A" w14:textId="77777777" w:rsidTr="009C6940">
              <w:tc>
                <w:tcPr>
                  <w:tcW w:w="6377" w:type="dxa"/>
                  <w:shd w:val="clear" w:color="auto" w:fill="auto"/>
                </w:tcPr>
                <w:p w14:paraId="19959E48" w14:textId="77777777" w:rsidR="009C6940" w:rsidRPr="00EF7969" w:rsidRDefault="009C6940" w:rsidP="009C6940">
                  <w:pPr>
                    <w:pStyle w:val="TableBodyText"/>
                    <w:jc w:val="left"/>
                  </w:pPr>
                  <w:r w:rsidRPr="00EF7969">
                    <w:t>Community Services Industry Alliance (CSIA)</w:t>
                  </w:r>
                </w:p>
              </w:tc>
              <w:tc>
                <w:tcPr>
                  <w:tcW w:w="2126" w:type="dxa"/>
                  <w:shd w:val="clear" w:color="auto" w:fill="auto"/>
                </w:tcPr>
                <w:p w14:paraId="1BE5FE62" w14:textId="77777777" w:rsidR="009C6940" w:rsidRPr="00EF7969" w:rsidRDefault="009C6940" w:rsidP="009C6940">
                  <w:pPr>
                    <w:pStyle w:val="TableBodyText"/>
                  </w:pPr>
                  <w:r w:rsidRPr="00EF7969">
                    <w:t>199, 915</w:t>
                  </w:r>
                </w:p>
              </w:tc>
            </w:tr>
            <w:tr w:rsidR="009C6940" w:rsidRPr="00EF7969" w14:paraId="1925AAB1" w14:textId="77777777" w:rsidTr="009C6940">
              <w:tc>
                <w:tcPr>
                  <w:tcW w:w="6377" w:type="dxa"/>
                  <w:shd w:val="clear" w:color="auto" w:fill="auto"/>
                </w:tcPr>
                <w:p w14:paraId="3E728C09" w14:textId="77777777" w:rsidR="009C6940" w:rsidRPr="00EF7969" w:rsidRDefault="009C6940" w:rsidP="009C6940">
                  <w:pPr>
                    <w:pStyle w:val="TableBodyText"/>
                    <w:jc w:val="left"/>
                  </w:pPr>
                  <w:r w:rsidRPr="00EF7969">
                    <w:t>Congress of Aboriginal and Torres Strait Islander Nurses and Midwives (CATSINaM)</w:t>
                  </w:r>
                </w:p>
              </w:tc>
              <w:tc>
                <w:tcPr>
                  <w:tcW w:w="2126" w:type="dxa"/>
                  <w:shd w:val="clear" w:color="auto" w:fill="auto"/>
                </w:tcPr>
                <w:p w14:paraId="4B731627" w14:textId="77777777" w:rsidR="009C6940" w:rsidRPr="00EF7969" w:rsidRDefault="009C6940" w:rsidP="009C6940">
                  <w:pPr>
                    <w:pStyle w:val="TableBodyText"/>
                  </w:pPr>
                  <w:r w:rsidRPr="00EF7969">
                    <w:t>75</w:t>
                  </w:r>
                </w:p>
              </w:tc>
            </w:tr>
            <w:tr w:rsidR="009C6940" w:rsidRPr="00EF7969" w14:paraId="04E6FD3F" w14:textId="77777777" w:rsidTr="009C6940">
              <w:tc>
                <w:tcPr>
                  <w:tcW w:w="6377" w:type="dxa"/>
                  <w:shd w:val="clear" w:color="auto" w:fill="auto"/>
                </w:tcPr>
                <w:p w14:paraId="5511F794" w14:textId="77777777" w:rsidR="009C6940" w:rsidRPr="00EF7969" w:rsidRDefault="009C6940" w:rsidP="009C6940">
                  <w:pPr>
                    <w:pStyle w:val="TableBodyText"/>
                    <w:jc w:val="left"/>
                  </w:pPr>
                  <w:r w:rsidRPr="00EF7969">
                    <w:t xml:space="preserve">Connect Health </w:t>
                  </w:r>
                  <w:r>
                    <w:t>and</w:t>
                  </w:r>
                  <w:r w:rsidRPr="00EF7969">
                    <w:t xml:space="preserve"> Community</w:t>
                  </w:r>
                </w:p>
              </w:tc>
              <w:tc>
                <w:tcPr>
                  <w:tcW w:w="2126" w:type="dxa"/>
                  <w:shd w:val="clear" w:color="auto" w:fill="auto"/>
                </w:tcPr>
                <w:p w14:paraId="2D53DA35" w14:textId="77777777" w:rsidR="009C6940" w:rsidRPr="00EF7969" w:rsidRDefault="009C6940" w:rsidP="009C6940">
                  <w:pPr>
                    <w:pStyle w:val="TableBodyText"/>
                  </w:pPr>
                  <w:r w:rsidRPr="00EF7969">
                    <w:t>94</w:t>
                  </w:r>
                </w:p>
              </w:tc>
            </w:tr>
            <w:tr w:rsidR="009C6940" w:rsidRPr="00EF7969" w14:paraId="25CB8D7A" w14:textId="77777777" w:rsidTr="009C6940">
              <w:tc>
                <w:tcPr>
                  <w:tcW w:w="6377" w:type="dxa"/>
                  <w:shd w:val="clear" w:color="auto" w:fill="auto"/>
                </w:tcPr>
                <w:p w14:paraId="2C8E1322" w14:textId="77777777" w:rsidR="009C6940" w:rsidRPr="00EF7969" w:rsidRDefault="009C6940" w:rsidP="009C6940">
                  <w:pPr>
                    <w:pStyle w:val="TableBodyText"/>
                    <w:jc w:val="left"/>
                  </w:pPr>
                  <w:r w:rsidRPr="00EF7969">
                    <w:t xml:space="preserve">ConNetica Consulting </w:t>
                  </w:r>
                </w:p>
              </w:tc>
              <w:tc>
                <w:tcPr>
                  <w:tcW w:w="2126" w:type="dxa"/>
                  <w:shd w:val="clear" w:color="auto" w:fill="auto"/>
                </w:tcPr>
                <w:p w14:paraId="6180D07F" w14:textId="77777777" w:rsidR="009C6940" w:rsidRPr="00EF7969" w:rsidRDefault="009C6940" w:rsidP="009C6940">
                  <w:pPr>
                    <w:pStyle w:val="TableBodyText"/>
                  </w:pPr>
                  <w:r w:rsidRPr="00EF7969">
                    <w:t>450</w:t>
                  </w:r>
                </w:p>
              </w:tc>
            </w:tr>
            <w:tr w:rsidR="009C6940" w:rsidRPr="00EF7969" w14:paraId="67A6BFE5" w14:textId="77777777" w:rsidTr="009C6940">
              <w:tc>
                <w:tcPr>
                  <w:tcW w:w="6377" w:type="dxa"/>
                  <w:shd w:val="clear" w:color="auto" w:fill="auto"/>
                </w:tcPr>
                <w:p w14:paraId="0CFF4608" w14:textId="77777777" w:rsidR="009C6940" w:rsidRPr="00EF7969" w:rsidRDefault="009C6940" w:rsidP="009C6940">
                  <w:pPr>
                    <w:pStyle w:val="TableBodyText"/>
                    <w:jc w:val="left"/>
                  </w:pPr>
                  <w:r w:rsidRPr="00EF7969">
                    <w:t>Consortium of Australian Psychiatrists and Psychologist</w:t>
                  </w:r>
                  <w:r>
                    <w:t>s</w:t>
                  </w:r>
                </w:p>
              </w:tc>
              <w:tc>
                <w:tcPr>
                  <w:tcW w:w="2126" w:type="dxa"/>
                  <w:shd w:val="clear" w:color="auto" w:fill="auto"/>
                </w:tcPr>
                <w:p w14:paraId="382E6A09" w14:textId="77777777" w:rsidR="009C6940" w:rsidRPr="00EF7969" w:rsidRDefault="009C6940" w:rsidP="009C6940">
                  <w:pPr>
                    <w:pStyle w:val="TableBodyText"/>
                  </w:pPr>
                  <w:r w:rsidRPr="00EF7969">
                    <w:t>260, 882</w:t>
                  </w:r>
                </w:p>
              </w:tc>
            </w:tr>
            <w:tr w:rsidR="009C6940" w:rsidRPr="00EF7969" w14:paraId="0AEDC25A" w14:textId="77777777" w:rsidTr="009C6940">
              <w:tc>
                <w:tcPr>
                  <w:tcW w:w="6377" w:type="dxa"/>
                  <w:shd w:val="clear" w:color="auto" w:fill="auto"/>
                </w:tcPr>
                <w:p w14:paraId="031CB23A" w14:textId="77777777" w:rsidR="009C6940" w:rsidRPr="00EF7969" w:rsidRDefault="009C6940" w:rsidP="009C6940">
                  <w:pPr>
                    <w:pStyle w:val="TableBodyText"/>
                    <w:jc w:val="left"/>
                  </w:pPr>
                  <w:r w:rsidRPr="00EF7969">
                    <w:t>Consult Australia</w:t>
                  </w:r>
                </w:p>
              </w:tc>
              <w:tc>
                <w:tcPr>
                  <w:tcW w:w="2126" w:type="dxa"/>
                  <w:shd w:val="clear" w:color="auto" w:fill="auto"/>
                </w:tcPr>
                <w:p w14:paraId="7EEDFC1C" w14:textId="77777777" w:rsidR="009C6940" w:rsidRPr="00EF7969" w:rsidRDefault="009C6940" w:rsidP="009C6940">
                  <w:pPr>
                    <w:pStyle w:val="TableBodyText"/>
                  </w:pPr>
                  <w:r w:rsidRPr="00EF7969">
                    <w:t>238, 688</w:t>
                  </w:r>
                </w:p>
              </w:tc>
            </w:tr>
            <w:tr w:rsidR="009C6940" w:rsidRPr="00EF7969" w14:paraId="0E30F48D" w14:textId="77777777" w:rsidTr="009C6940">
              <w:tc>
                <w:tcPr>
                  <w:tcW w:w="6377" w:type="dxa"/>
                  <w:shd w:val="clear" w:color="auto" w:fill="auto"/>
                </w:tcPr>
                <w:p w14:paraId="5E45AAC5" w14:textId="77777777" w:rsidR="009C6940" w:rsidRPr="00EF7969" w:rsidRDefault="009C6940" w:rsidP="009C6940">
                  <w:pPr>
                    <w:pStyle w:val="TableBodyText"/>
                    <w:jc w:val="left"/>
                  </w:pPr>
                  <w:r w:rsidRPr="00EF7969">
                    <w:t>Consumer Participation Group (CPG)</w:t>
                  </w:r>
                </w:p>
              </w:tc>
              <w:tc>
                <w:tcPr>
                  <w:tcW w:w="2126" w:type="dxa"/>
                  <w:shd w:val="clear" w:color="auto" w:fill="auto"/>
                </w:tcPr>
                <w:p w14:paraId="31B52A9F" w14:textId="77777777" w:rsidR="009C6940" w:rsidRPr="00EF7969" w:rsidRDefault="009C6940" w:rsidP="009C6940">
                  <w:pPr>
                    <w:pStyle w:val="TableBodyText"/>
                  </w:pPr>
                  <w:r w:rsidRPr="00EF7969">
                    <w:t>865</w:t>
                  </w:r>
                </w:p>
              </w:tc>
            </w:tr>
            <w:tr w:rsidR="009C6940" w:rsidRPr="00EF7969" w14:paraId="65ECE6FD" w14:textId="77777777" w:rsidTr="009C6940">
              <w:tc>
                <w:tcPr>
                  <w:tcW w:w="6377" w:type="dxa"/>
                  <w:shd w:val="clear" w:color="auto" w:fill="auto"/>
                </w:tcPr>
                <w:p w14:paraId="07227016" w14:textId="77777777" w:rsidR="009C6940" w:rsidRPr="00EF7969" w:rsidRDefault="009C6940" w:rsidP="009C6940">
                  <w:pPr>
                    <w:pStyle w:val="TableBodyText"/>
                    <w:jc w:val="left"/>
                  </w:pPr>
                  <w:r w:rsidRPr="00EF7969">
                    <w:t>Consumers Health Forum of Australia (CHF)</w:t>
                  </w:r>
                </w:p>
              </w:tc>
              <w:tc>
                <w:tcPr>
                  <w:tcW w:w="2126" w:type="dxa"/>
                  <w:shd w:val="clear" w:color="auto" w:fill="auto"/>
                </w:tcPr>
                <w:p w14:paraId="4F32AB92" w14:textId="77777777" w:rsidR="009C6940" w:rsidRPr="00EF7969" w:rsidRDefault="009C6940" w:rsidP="009C6940">
                  <w:pPr>
                    <w:pStyle w:val="TableBodyText"/>
                  </w:pPr>
                  <w:r w:rsidRPr="00EF7969">
                    <w:t>496, 646</w:t>
                  </w:r>
                </w:p>
              </w:tc>
            </w:tr>
            <w:tr w:rsidR="009C6940" w:rsidRPr="00EF7969" w14:paraId="3FA3187B" w14:textId="77777777" w:rsidTr="009C6940">
              <w:tc>
                <w:tcPr>
                  <w:tcW w:w="6377" w:type="dxa"/>
                  <w:shd w:val="clear" w:color="auto" w:fill="auto"/>
                </w:tcPr>
                <w:p w14:paraId="4C6667C7" w14:textId="77777777" w:rsidR="009C6940" w:rsidRPr="00EF7969" w:rsidRDefault="009C6940" w:rsidP="009C6940">
                  <w:pPr>
                    <w:pStyle w:val="TableBodyText"/>
                    <w:jc w:val="left"/>
                  </w:pPr>
                  <w:r w:rsidRPr="00EF7969">
                    <w:t>Being and Consumers of Mental Health WA</w:t>
                  </w:r>
                </w:p>
              </w:tc>
              <w:tc>
                <w:tcPr>
                  <w:tcW w:w="2126" w:type="dxa"/>
                  <w:shd w:val="clear" w:color="auto" w:fill="auto"/>
                </w:tcPr>
                <w:p w14:paraId="0FA81E67" w14:textId="77777777" w:rsidR="009C6940" w:rsidRPr="00EF7969" w:rsidRDefault="009C6940" w:rsidP="009C6940">
                  <w:pPr>
                    <w:pStyle w:val="TableBodyText"/>
                  </w:pPr>
                  <w:r w:rsidRPr="00EF7969">
                    <w:t>928</w:t>
                  </w:r>
                </w:p>
              </w:tc>
            </w:tr>
            <w:tr w:rsidR="009C6940" w:rsidRPr="00EF7969" w14:paraId="320F7A53" w14:textId="77777777" w:rsidTr="009C6940">
              <w:tc>
                <w:tcPr>
                  <w:tcW w:w="6377" w:type="dxa"/>
                  <w:shd w:val="clear" w:color="auto" w:fill="auto"/>
                </w:tcPr>
                <w:p w14:paraId="6EEEEFF6" w14:textId="77777777" w:rsidR="009C6940" w:rsidRPr="00EF7969" w:rsidRDefault="009C6940" w:rsidP="009C6940">
                  <w:pPr>
                    <w:pStyle w:val="TableBodyText"/>
                    <w:jc w:val="left"/>
                  </w:pPr>
                  <w:r w:rsidRPr="00EF7969">
                    <w:t>COORDINARE</w:t>
                  </w:r>
                </w:p>
              </w:tc>
              <w:tc>
                <w:tcPr>
                  <w:tcW w:w="2126" w:type="dxa"/>
                  <w:shd w:val="clear" w:color="auto" w:fill="auto"/>
                </w:tcPr>
                <w:p w14:paraId="5F78A2EE" w14:textId="77777777" w:rsidR="009C6940" w:rsidRPr="00EF7969" w:rsidRDefault="009C6940" w:rsidP="009C6940">
                  <w:pPr>
                    <w:pStyle w:val="TableBodyText"/>
                  </w:pPr>
                  <w:r w:rsidRPr="00EF7969">
                    <w:t>1194</w:t>
                  </w:r>
                </w:p>
              </w:tc>
            </w:tr>
            <w:tr w:rsidR="009C6940" w:rsidRPr="00EF7969" w14:paraId="791A66EF" w14:textId="77777777" w:rsidTr="009C6940">
              <w:tc>
                <w:tcPr>
                  <w:tcW w:w="6377" w:type="dxa"/>
                  <w:shd w:val="clear" w:color="auto" w:fill="auto"/>
                </w:tcPr>
                <w:p w14:paraId="16D49148" w14:textId="77777777" w:rsidR="009C6940" w:rsidRPr="00EF7969" w:rsidRDefault="009C6940" w:rsidP="009C6940">
                  <w:pPr>
                    <w:pStyle w:val="TableBodyText"/>
                    <w:jc w:val="left"/>
                  </w:pPr>
                  <w:r w:rsidRPr="00EF7969">
                    <w:t>Coronial Reform Group (CRG)</w:t>
                  </w:r>
                </w:p>
              </w:tc>
              <w:tc>
                <w:tcPr>
                  <w:tcW w:w="2126" w:type="dxa"/>
                  <w:shd w:val="clear" w:color="auto" w:fill="auto"/>
                </w:tcPr>
                <w:p w14:paraId="73D62370" w14:textId="77777777" w:rsidR="009C6940" w:rsidRPr="00EF7969" w:rsidRDefault="009C6940" w:rsidP="009C6940">
                  <w:pPr>
                    <w:pStyle w:val="TableBodyText"/>
                  </w:pPr>
                  <w:r w:rsidRPr="00EF7969">
                    <w:t>39</w:t>
                  </w:r>
                </w:p>
              </w:tc>
            </w:tr>
            <w:tr w:rsidR="009C6940" w:rsidRPr="00EF7969" w14:paraId="12D33B30" w14:textId="77777777" w:rsidTr="009C6940">
              <w:tc>
                <w:tcPr>
                  <w:tcW w:w="6377" w:type="dxa"/>
                  <w:shd w:val="clear" w:color="auto" w:fill="auto"/>
                </w:tcPr>
                <w:p w14:paraId="04EBEAB8" w14:textId="77777777" w:rsidR="009C6940" w:rsidRPr="00EF7969" w:rsidRDefault="009C6940" w:rsidP="009C6940">
                  <w:pPr>
                    <w:pStyle w:val="TableBodyText"/>
                    <w:jc w:val="left"/>
                  </w:pPr>
                  <w:r w:rsidRPr="00EF7969">
                    <w:t>Council of Deans of Nursing and Midwifery (CDNM)</w:t>
                  </w:r>
                </w:p>
              </w:tc>
              <w:tc>
                <w:tcPr>
                  <w:tcW w:w="2126" w:type="dxa"/>
                  <w:shd w:val="clear" w:color="auto" w:fill="auto"/>
                </w:tcPr>
                <w:p w14:paraId="69984D1D" w14:textId="77777777" w:rsidR="009C6940" w:rsidRPr="00EF7969" w:rsidRDefault="009C6940" w:rsidP="009C6940">
                  <w:pPr>
                    <w:pStyle w:val="TableBodyText"/>
                  </w:pPr>
                  <w:r w:rsidRPr="00EF7969">
                    <w:t>663</w:t>
                  </w:r>
                </w:p>
              </w:tc>
            </w:tr>
            <w:tr w:rsidR="009C6940" w:rsidRPr="00EF7969" w14:paraId="26362F43" w14:textId="77777777" w:rsidTr="009C6940">
              <w:tc>
                <w:tcPr>
                  <w:tcW w:w="6377" w:type="dxa"/>
                  <w:shd w:val="clear" w:color="auto" w:fill="auto"/>
                </w:tcPr>
                <w:p w14:paraId="4C925842" w14:textId="77777777" w:rsidR="009C6940" w:rsidRPr="00EF7969" w:rsidRDefault="009C6940" w:rsidP="009C6940">
                  <w:pPr>
                    <w:pStyle w:val="TableBodyText"/>
                    <w:jc w:val="left"/>
                  </w:pPr>
                  <w:r w:rsidRPr="00EF7969">
                    <w:t>Council of International Students Australia (CISA)</w:t>
                  </w:r>
                </w:p>
              </w:tc>
              <w:tc>
                <w:tcPr>
                  <w:tcW w:w="2126" w:type="dxa"/>
                  <w:shd w:val="clear" w:color="auto" w:fill="auto"/>
                </w:tcPr>
                <w:p w14:paraId="2550C22E" w14:textId="77777777" w:rsidR="009C6940" w:rsidRPr="00EF7969" w:rsidRDefault="009C6940" w:rsidP="009C6940">
                  <w:pPr>
                    <w:pStyle w:val="TableBodyText"/>
                  </w:pPr>
                  <w:r w:rsidRPr="00EF7969">
                    <w:t>893</w:t>
                  </w:r>
                </w:p>
              </w:tc>
            </w:tr>
            <w:tr w:rsidR="009C6940" w:rsidRPr="00EF7969" w14:paraId="10AAA537" w14:textId="77777777" w:rsidTr="009C6940">
              <w:tc>
                <w:tcPr>
                  <w:tcW w:w="6377" w:type="dxa"/>
                  <w:shd w:val="clear" w:color="auto" w:fill="auto"/>
                </w:tcPr>
                <w:p w14:paraId="07BFDAEF" w14:textId="77777777" w:rsidR="009C6940" w:rsidRPr="00EF7969" w:rsidRDefault="009C6940" w:rsidP="009C6940">
                  <w:pPr>
                    <w:pStyle w:val="TableBodyText"/>
                    <w:jc w:val="left"/>
                  </w:pPr>
                  <w:r w:rsidRPr="00EF7969">
                    <w:t xml:space="preserve">Council of Small Business Organisations Australia (COSBOA) </w:t>
                  </w:r>
                </w:p>
              </w:tc>
              <w:tc>
                <w:tcPr>
                  <w:tcW w:w="2126" w:type="dxa"/>
                  <w:shd w:val="clear" w:color="auto" w:fill="auto"/>
                </w:tcPr>
                <w:p w14:paraId="663EC223" w14:textId="77777777" w:rsidR="009C6940" w:rsidRPr="00EF7969" w:rsidRDefault="009C6940" w:rsidP="009C6940">
                  <w:pPr>
                    <w:pStyle w:val="TableBodyText"/>
                  </w:pPr>
                  <w:r w:rsidRPr="00EF7969">
                    <w:t>537</w:t>
                  </w:r>
                </w:p>
              </w:tc>
            </w:tr>
            <w:tr w:rsidR="009C6940" w:rsidRPr="00EF7969" w14:paraId="14450B04" w14:textId="77777777" w:rsidTr="009C6940">
              <w:tc>
                <w:tcPr>
                  <w:tcW w:w="6377" w:type="dxa"/>
                  <w:shd w:val="clear" w:color="auto" w:fill="auto"/>
                </w:tcPr>
                <w:p w14:paraId="7D90E30D" w14:textId="77777777" w:rsidR="009C6940" w:rsidRPr="00EF7969" w:rsidRDefault="009C6940" w:rsidP="009C6940">
                  <w:pPr>
                    <w:pStyle w:val="TableBodyText"/>
                    <w:jc w:val="left"/>
                  </w:pPr>
                  <w:r w:rsidRPr="00EF7969">
                    <w:t>Council to Homeless Persons (CHP)</w:t>
                  </w:r>
                </w:p>
              </w:tc>
              <w:tc>
                <w:tcPr>
                  <w:tcW w:w="2126" w:type="dxa"/>
                  <w:shd w:val="clear" w:color="auto" w:fill="auto"/>
                </w:tcPr>
                <w:p w14:paraId="3A637324" w14:textId="77777777" w:rsidR="009C6940" w:rsidRPr="00EF7969" w:rsidRDefault="009C6940" w:rsidP="009C6940">
                  <w:pPr>
                    <w:pStyle w:val="TableBodyText"/>
                  </w:pPr>
                  <w:r w:rsidRPr="00EF7969">
                    <w:t>145</w:t>
                  </w:r>
                </w:p>
              </w:tc>
            </w:tr>
            <w:tr w:rsidR="009C6940" w:rsidRPr="00EF7969" w14:paraId="6D1C3EFA" w14:textId="77777777" w:rsidTr="009C6940">
              <w:tc>
                <w:tcPr>
                  <w:tcW w:w="6377" w:type="dxa"/>
                  <w:shd w:val="clear" w:color="auto" w:fill="auto"/>
                </w:tcPr>
                <w:p w14:paraId="37C45140" w14:textId="77777777" w:rsidR="009C6940" w:rsidRPr="00EF7969" w:rsidRDefault="009C6940" w:rsidP="009C6940">
                  <w:pPr>
                    <w:pStyle w:val="TableBodyText"/>
                    <w:jc w:val="left"/>
                  </w:pPr>
                  <w:r w:rsidRPr="00EF7969">
                    <w:t>Criminal Bar Association of Victoria</w:t>
                  </w:r>
                </w:p>
              </w:tc>
              <w:tc>
                <w:tcPr>
                  <w:tcW w:w="2126" w:type="dxa"/>
                  <w:shd w:val="clear" w:color="auto" w:fill="auto"/>
                </w:tcPr>
                <w:p w14:paraId="016DD1F4" w14:textId="77777777" w:rsidR="009C6940" w:rsidRPr="00EF7969" w:rsidRDefault="009C6940" w:rsidP="009C6940">
                  <w:pPr>
                    <w:pStyle w:val="TableBodyText"/>
                  </w:pPr>
                  <w:r w:rsidRPr="00EF7969">
                    <w:t>322</w:t>
                  </w:r>
                </w:p>
              </w:tc>
            </w:tr>
            <w:tr w:rsidR="009C6940" w:rsidRPr="00EF7969" w14:paraId="45B722BA" w14:textId="77777777" w:rsidTr="009C6940">
              <w:tc>
                <w:tcPr>
                  <w:tcW w:w="6377" w:type="dxa"/>
                  <w:shd w:val="clear" w:color="auto" w:fill="auto"/>
                </w:tcPr>
                <w:p w14:paraId="6FA8E5A5" w14:textId="77777777" w:rsidR="009C6940" w:rsidRPr="00EF7969" w:rsidRDefault="009C6940" w:rsidP="009C6940">
                  <w:pPr>
                    <w:pStyle w:val="TableBodyText"/>
                    <w:jc w:val="left"/>
                  </w:pPr>
                  <w:r w:rsidRPr="00EF7969">
                    <w:t>Curtin Student Guild</w:t>
                  </w:r>
                </w:p>
              </w:tc>
              <w:tc>
                <w:tcPr>
                  <w:tcW w:w="2126" w:type="dxa"/>
                  <w:shd w:val="clear" w:color="auto" w:fill="auto"/>
                </w:tcPr>
                <w:p w14:paraId="3D7ED4D1" w14:textId="77777777" w:rsidR="009C6940" w:rsidRPr="00EF7969" w:rsidRDefault="009C6940" w:rsidP="009C6940">
                  <w:pPr>
                    <w:pStyle w:val="TableBodyText"/>
                  </w:pPr>
                  <w:r w:rsidRPr="00EF7969">
                    <w:t>234</w:t>
                  </w:r>
                </w:p>
              </w:tc>
            </w:tr>
            <w:tr w:rsidR="009C6940" w:rsidRPr="00EF7969" w14:paraId="20BFC726" w14:textId="77777777" w:rsidTr="009C6940">
              <w:tc>
                <w:tcPr>
                  <w:tcW w:w="6377" w:type="dxa"/>
                  <w:shd w:val="clear" w:color="auto" w:fill="auto"/>
                </w:tcPr>
                <w:p w14:paraId="1DBC1A61" w14:textId="77777777" w:rsidR="009C6940" w:rsidRPr="00EF7969" w:rsidRDefault="009C6940" w:rsidP="009C6940">
                  <w:pPr>
                    <w:pStyle w:val="TableBodyText"/>
                    <w:jc w:val="left"/>
                  </w:pPr>
                  <w:r w:rsidRPr="00EF7969">
                    <w:t>Cyber Values.org</w:t>
                  </w:r>
                </w:p>
              </w:tc>
              <w:tc>
                <w:tcPr>
                  <w:tcW w:w="2126" w:type="dxa"/>
                  <w:shd w:val="clear" w:color="auto" w:fill="auto"/>
                </w:tcPr>
                <w:p w14:paraId="544CC8CA" w14:textId="77777777" w:rsidR="009C6940" w:rsidRPr="00EF7969" w:rsidRDefault="009C6940" w:rsidP="009C6940">
                  <w:pPr>
                    <w:pStyle w:val="TableBodyText"/>
                  </w:pPr>
                  <w:r w:rsidRPr="00EF7969">
                    <w:t>572, 604</w:t>
                  </w:r>
                </w:p>
              </w:tc>
            </w:tr>
            <w:tr w:rsidR="009C6940" w:rsidRPr="00EF7969" w14:paraId="2A3F5783" w14:textId="77777777" w:rsidTr="009C6940">
              <w:tc>
                <w:tcPr>
                  <w:tcW w:w="6377" w:type="dxa"/>
                  <w:shd w:val="clear" w:color="auto" w:fill="auto"/>
                </w:tcPr>
                <w:p w14:paraId="7847C781" w14:textId="77777777" w:rsidR="009C6940" w:rsidRPr="00EF7969" w:rsidRDefault="009C6940" w:rsidP="009C6940">
                  <w:pPr>
                    <w:pStyle w:val="TableBodyText"/>
                    <w:jc w:val="left"/>
                  </w:pPr>
                  <w:r w:rsidRPr="00EF7969">
                    <w:t>Dal Karra Galga</w:t>
                  </w:r>
                </w:p>
              </w:tc>
              <w:tc>
                <w:tcPr>
                  <w:tcW w:w="2126" w:type="dxa"/>
                  <w:shd w:val="clear" w:color="auto" w:fill="auto"/>
                </w:tcPr>
                <w:p w14:paraId="74BDA3BC" w14:textId="77777777" w:rsidR="009C6940" w:rsidRPr="00EF7969" w:rsidRDefault="009C6940" w:rsidP="009C6940">
                  <w:pPr>
                    <w:pStyle w:val="TableBodyText"/>
                  </w:pPr>
                  <w:r w:rsidRPr="00EF7969">
                    <w:t>566</w:t>
                  </w:r>
                </w:p>
              </w:tc>
            </w:tr>
            <w:tr w:rsidR="009C6940" w:rsidRPr="00EF7969" w14:paraId="103A768D" w14:textId="77777777" w:rsidTr="009C6940">
              <w:tc>
                <w:tcPr>
                  <w:tcW w:w="6377" w:type="dxa"/>
                  <w:shd w:val="clear" w:color="auto" w:fill="auto"/>
                </w:tcPr>
                <w:p w14:paraId="5B0D0BF0" w14:textId="77777777" w:rsidR="009C6940" w:rsidRPr="00EF7969" w:rsidRDefault="009C6940" w:rsidP="009C6940">
                  <w:pPr>
                    <w:pStyle w:val="TableBodyText"/>
                    <w:jc w:val="left"/>
                  </w:pPr>
                  <w:r w:rsidRPr="00EF7969">
                    <w:t>Dan Kearns</w:t>
                  </w:r>
                </w:p>
              </w:tc>
              <w:tc>
                <w:tcPr>
                  <w:tcW w:w="2126" w:type="dxa"/>
                  <w:shd w:val="clear" w:color="auto" w:fill="auto"/>
                </w:tcPr>
                <w:p w14:paraId="1E8FDDBE" w14:textId="77777777" w:rsidR="009C6940" w:rsidRPr="00EF7969" w:rsidRDefault="009C6940" w:rsidP="009C6940">
                  <w:pPr>
                    <w:pStyle w:val="TableBodyText"/>
                  </w:pPr>
                  <w:r w:rsidRPr="00EF7969">
                    <w:t>594</w:t>
                  </w:r>
                </w:p>
              </w:tc>
            </w:tr>
            <w:tr w:rsidR="009C6940" w:rsidRPr="00EF7969" w14:paraId="59C9E9F0" w14:textId="77777777" w:rsidTr="009C6940">
              <w:tc>
                <w:tcPr>
                  <w:tcW w:w="6377" w:type="dxa"/>
                  <w:shd w:val="clear" w:color="auto" w:fill="auto"/>
                </w:tcPr>
                <w:p w14:paraId="2DE2BF5D" w14:textId="77777777" w:rsidR="009C6940" w:rsidRPr="00EF7969" w:rsidRDefault="009C6940" w:rsidP="009C6940">
                  <w:pPr>
                    <w:pStyle w:val="TableBodyText"/>
                    <w:jc w:val="left"/>
                  </w:pPr>
                  <w:r w:rsidRPr="00EF7969">
                    <w:t>Danielle B</w:t>
                  </w:r>
                </w:p>
              </w:tc>
              <w:tc>
                <w:tcPr>
                  <w:tcW w:w="2126" w:type="dxa"/>
                  <w:shd w:val="clear" w:color="auto" w:fill="auto"/>
                </w:tcPr>
                <w:p w14:paraId="6ED418D7" w14:textId="77777777" w:rsidR="009C6940" w:rsidRPr="00EF7969" w:rsidRDefault="009C6940" w:rsidP="009C6940">
                  <w:pPr>
                    <w:pStyle w:val="TableBodyText"/>
                  </w:pPr>
                  <w:r w:rsidRPr="00EF7969">
                    <w:t>249</w:t>
                  </w:r>
                </w:p>
              </w:tc>
            </w:tr>
            <w:tr w:rsidR="009C6940" w:rsidRPr="00EF7969" w14:paraId="642FD7B0" w14:textId="77777777" w:rsidTr="009C6940">
              <w:tc>
                <w:tcPr>
                  <w:tcW w:w="6377" w:type="dxa"/>
                  <w:shd w:val="clear" w:color="auto" w:fill="auto"/>
                </w:tcPr>
                <w:p w14:paraId="32208384" w14:textId="77777777" w:rsidR="009C6940" w:rsidRPr="00EF7969" w:rsidRDefault="009C6940" w:rsidP="009C6940">
                  <w:pPr>
                    <w:pStyle w:val="TableBodyText"/>
                    <w:jc w:val="left"/>
                  </w:pPr>
                  <w:r w:rsidRPr="00EF7969">
                    <w:t>Danielle Gamble</w:t>
                  </w:r>
                </w:p>
              </w:tc>
              <w:tc>
                <w:tcPr>
                  <w:tcW w:w="2126" w:type="dxa"/>
                  <w:shd w:val="clear" w:color="auto" w:fill="auto"/>
                </w:tcPr>
                <w:p w14:paraId="246224F0" w14:textId="77777777" w:rsidR="009C6940" w:rsidRPr="00EF7969" w:rsidRDefault="009C6940" w:rsidP="009C6940">
                  <w:pPr>
                    <w:pStyle w:val="TableBodyText"/>
                  </w:pPr>
                  <w:r w:rsidRPr="00EF7969">
                    <w:t>797</w:t>
                  </w:r>
                </w:p>
              </w:tc>
            </w:tr>
            <w:tr w:rsidR="009C6940" w:rsidRPr="00EF7969" w14:paraId="03BF68A6" w14:textId="77777777" w:rsidTr="009C6940">
              <w:tc>
                <w:tcPr>
                  <w:tcW w:w="6377" w:type="dxa"/>
                  <w:shd w:val="clear" w:color="auto" w:fill="auto"/>
                </w:tcPr>
                <w:p w14:paraId="1A72663D" w14:textId="77777777" w:rsidR="009C6940" w:rsidRPr="00EF7969" w:rsidRDefault="009C6940" w:rsidP="009C6940">
                  <w:pPr>
                    <w:pStyle w:val="TableBodyText"/>
                    <w:jc w:val="left"/>
                  </w:pPr>
                  <w:r w:rsidRPr="00EF7969">
                    <w:t>Danielle Malone</w:t>
                  </w:r>
                </w:p>
              </w:tc>
              <w:tc>
                <w:tcPr>
                  <w:tcW w:w="2126" w:type="dxa"/>
                  <w:shd w:val="clear" w:color="auto" w:fill="auto"/>
                </w:tcPr>
                <w:p w14:paraId="31C8E9D5" w14:textId="77777777" w:rsidR="009C6940" w:rsidRPr="00EF7969" w:rsidRDefault="009C6940" w:rsidP="009C6940">
                  <w:pPr>
                    <w:pStyle w:val="TableBodyText"/>
                  </w:pPr>
                  <w:r w:rsidRPr="00EF7969">
                    <w:t>1121</w:t>
                  </w:r>
                </w:p>
              </w:tc>
            </w:tr>
            <w:tr w:rsidR="009C6940" w:rsidRPr="00EF7969" w14:paraId="5ACB7A6F" w14:textId="77777777" w:rsidTr="009C6940">
              <w:tc>
                <w:tcPr>
                  <w:tcW w:w="6377" w:type="dxa"/>
                  <w:shd w:val="clear" w:color="auto" w:fill="auto"/>
                </w:tcPr>
                <w:p w14:paraId="611E5ABB" w14:textId="77777777" w:rsidR="009C6940" w:rsidRPr="00EF7969" w:rsidRDefault="009C6940" w:rsidP="009C6940">
                  <w:pPr>
                    <w:pStyle w:val="TableBodyText"/>
                    <w:jc w:val="left"/>
                  </w:pPr>
                  <w:r w:rsidRPr="00EF7969">
                    <w:t>Darren Jiggins</w:t>
                  </w:r>
                </w:p>
              </w:tc>
              <w:tc>
                <w:tcPr>
                  <w:tcW w:w="2126" w:type="dxa"/>
                  <w:shd w:val="clear" w:color="auto" w:fill="auto"/>
                </w:tcPr>
                <w:p w14:paraId="648B9B23" w14:textId="77777777" w:rsidR="009C6940" w:rsidRPr="00EF7969" w:rsidRDefault="009C6940" w:rsidP="009C6940">
                  <w:pPr>
                    <w:pStyle w:val="TableBodyText"/>
                  </w:pPr>
                  <w:r w:rsidRPr="00EF7969">
                    <w:t>61</w:t>
                  </w:r>
                </w:p>
              </w:tc>
            </w:tr>
            <w:tr w:rsidR="009C6940" w:rsidRPr="00EF7969" w14:paraId="46362478" w14:textId="77777777" w:rsidTr="009C6940">
              <w:tc>
                <w:tcPr>
                  <w:tcW w:w="6377" w:type="dxa"/>
                  <w:shd w:val="clear" w:color="auto" w:fill="auto"/>
                </w:tcPr>
                <w:p w14:paraId="4B24E3AB" w14:textId="77777777" w:rsidR="009C6940" w:rsidRPr="00EF7969" w:rsidRDefault="009C6940" w:rsidP="009C6940">
                  <w:pPr>
                    <w:pStyle w:val="TableBodyText"/>
                    <w:jc w:val="left"/>
                  </w:pPr>
                  <w:r w:rsidRPr="00EF7969">
                    <w:t>David and Karolyn Bromwell</w:t>
                  </w:r>
                </w:p>
              </w:tc>
              <w:tc>
                <w:tcPr>
                  <w:tcW w:w="2126" w:type="dxa"/>
                  <w:shd w:val="clear" w:color="auto" w:fill="auto"/>
                </w:tcPr>
                <w:p w14:paraId="613EEDD0" w14:textId="77777777" w:rsidR="009C6940" w:rsidRPr="00EF7969" w:rsidRDefault="009C6940" w:rsidP="009C6940">
                  <w:pPr>
                    <w:pStyle w:val="TableBodyText"/>
                  </w:pPr>
                  <w:r w:rsidRPr="00EF7969">
                    <w:t>620, 1006</w:t>
                  </w:r>
                </w:p>
              </w:tc>
            </w:tr>
            <w:tr w:rsidR="009C6940" w:rsidRPr="00EF7969" w14:paraId="6B06AC09" w14:textId="77777777" w:rsidTr="009C6940">
              <w:tc>
                <w:tcPr>
                  <w:tcW w:w="6377" w:type="dxa"/>
                  <w:shd w:val="clear" w:color="auto" w:fill="auto"/>
                </w:tcPr>
                <w:p w14:paraId="2621FC9E" w14:textId="77777777" w:rsidR="009C6940" w:rsidRPr="00EF7969" w:rsidRDefault="009C6940" w:rsidP="009C6940">
                  <w:pPr>
                    <w:pStyle w:val="TableBodyText"/>
                    <w:jc w:val="left"/>
                  </w:pPr>
                  <w:r w:rsidRPr="00EF7969">
                    <w:t xml:space="preserve">David Bell </w:t>
                  </w:r>
                </w:p>
              </w:tc>
              <w:tc>
                <w:tcPr>
                  <w:tcW w:w="2126" w:type="dxa"/>
                  <w:shd w:val="clear" w:color="auto" w:fill="auto"/>
                </w:tcPr>
                <w:p w14:paraId="00E4F7E5" w14:textId="77777777" w:rsidR="009C6940" w:rsidRPr="00EF7969" w:rsidRDefault="009C6940" w:rsidP="009C6940">
                  <w:pPr>
                    <w:pStyle w:val="TableBodyText"/>
                  </w:pPr>
                  <w:r w:rsidRPr="00EF7969">
                    <w:t>526</w:t>
                  </w:r>
                </w:p>
              </w:tc>
            </w:tr>
            <w:tr w:rsidR="009C6940" w:rsidRPr="00EF7969" w14:paraId="529E28F9" w14:textId="77777777" w:rsidTr="009C6940">
              <w:tc>
                <w:tcPr>
                  <w:tcW w:w="6377" w:type="dxa"/>
                  <w:shd w:val="clear" w:color="auto" w:fill="auto"/>
                </w:tcPr>
                <w:p w14:paraId="7A02B6AD" w14:textId="77777777" w:rsidR="009C6940" w:rsidRPr="00EF7969" w:rsidRDefault="009C6940" w:rsidP="009C6940">
                  <w:pPr>
                    <w:pStyle w:val="TableBodyText"/>
                    <w:jc w:val="left"/>
                  </w:pPr>
                  <w:r w:rsidRPr="00EF7969">
                    <w:t>David Clark</w:t>
                  </w:r>
                </w:p>
              </w:tc>
              <w:tc>
                <w:tcPr>
                  <w:tcW w:w="2126" w:type="dxa"/>
                  <w:shd w:val="clear" w:color="auto" w:fill="auto"/>
                </w:tcPr>
                <w:p w14:paraId="5526F552" w14:textId="77777777" w:rsidR="009C6940" w:rsidRPr="00EF7969" w:rsidRDefault="009C6940" w:rsidP="009C6940">
                  <w:pPr>
                    <w:pStyle w:val="TableBodyText"/>
                  </w:pPr>
                  <w:r w:rsidRPr="00EF7969">
                    <w:t>205, 809</w:t>
                  </w:r>
                </w:p>
              </w:tc>
            </w:tr>
            <w:tr w:rsidR="009C6940" w:rsidRPr="00EF7969" w14:paraId="7BDEE680" w14:textId="77777777" w:rsidTr="009C6940">
              <w:tc>
                <w:tcPr>
                  <w:tcW w:w="6377" w:type="dxa"/>
                  <w:shd w:val="clear" w:color="auto" w:fill="auto"/>
                </w:tcPr>
                <w:p w14:paraId="1896BEA9" w14:textId="77777777" w:rsidR="009C6940" w:rsidRPr="00EF7969" w:rsidRDefault="009C6940" w:rsidP="009C6940">
                  <w:pPr>
                    <w:pStyle w:val="TableBodyText"/>
                    <w:jc w:val="left"/>
                  </w:pPr>
                  <w:r w:rsidRPr="00EF7969">
                    <w:t>David Coghill, Jemimah Ride and Kim Dalziel</w:t>
                  </w:r>
                </w:p>
              </w:tc>
              <w:tc>
                <w:tcPr>
                  <w:tcW w:w="2126" w:type="dxa"/>
                  <w:shd w:val="clear" w:color="auto" w:fill="auto"/>
                </w:tcPr>
                <w:p w14:paraId="6A1D29F1" w14:textId="77777777" w:rsidR="009C6940" w:rsidRPr="00EF7969" w:rsidRDefault="009C6940" w:rsidP="009C6940">
                  <w:pPr>
                    <w:pStyle w:val="TableBodyText"/>
                  </w:pPr>
                  <w:r w:rsidRPr="00EF7969">
                    <w:t>236</w:t>
                  </w:r>
                </w:p>
              </w:tc>
            </w:tr>
            <w:tr w:rsidR="009C6940" w:rsidRPr="00EF7969" w14:paraId="7162D4CB" w14:textId="77777777" w:rsidTr="009C6940">
              <w:tc>
                <w:tcPr>
                  <w:tcW w:w="6377" w:type="dxa"/>
                  <w:tcBorders>
                    <w:bottom w:val="single" w:sz="6" w:space="0" w:color="BFBFBF"/>
                  </w:tcBorders>
                  <w:shd w:val="clear" w:color="auto" w:fill="auto"/>
                </w:tcPr>
                <w:p w14:paraId="313DC88B" w14:textId="77777777" w:rsidR="009C6940" w:rsidRPr="00EF7969" w:rsidRDefault="009C6940" w:rsidP="009C6940">
                  <w:pPr>
                    <w:pStyle w:val="TableBodyText"/>
                    <w:jc w:val="left"/>
                  </w:pPr>
                  <w:r w:rsidRPr="00EF7969">
                    <w:t>David Guthrey</w:t>
                  </w:r>
                </w:p>
              </w:tc>
              <w:tc>
                <w:tcPr>
                  <w:tcW w:w="2126" w:type="dxa"/>
                  <w:tcBorders>
                    <w:bottom w:val="single" w:sz="6" w:space="0" w:color="BFBFBF"/>
                  </w:tcBorders>
                  <w:shd w:val="clear" w:color="auto" w:fill="auto"/>
                </w:tcPr>
                <w:p w14:paraId="2A4342B5" w14:textId="77777777" w:rsidR="009C6940" w:rsidRPr="00EF7969" w:rsidRDefault="009C6940" w:rsidP="009C6940">
                  <w:pPr>
                    <w:pStyle w:val="TableBodyText"/>
                  </w:pPr>
                  <w:r w:rsidRPr="00EF7969">
                    <w:t>902</w:t>
                  </w:r>
                </w:p>
              </w:tc>
            </w:tr>
          </w:tbl>
          <w:p w14:paraId="778A750A" w14:textId="77777777" w:rsidR="009C6940" w:rsidRPr="00EF7969" w:rsidRDefault="009C6940" w:rsidP="009C6940">
            <w:pPr>
              <w:pStyle w:val="Box"/>
            </w:pPr>
          </w:p>
        </w:tc>
      </w:tr>
      <w:tr w:rsidR="009C6940" w:rsidRPr="00EF7969" w14:paraId="4B2EDAE5" w14:textId="77777777" w:rsidTr="009C6940">
        <w:tc>
          <w:tcPr>
            <w:tcW w:w="8789" w:type="dxa"/>
            <w:tcBorders>
              <w:top w:val="nil"/>
              <w:left w:val="nil"/>
              <w:bottom w:val="nil"/>
              <w:right w:val="nil"/>
            </w:tcBorders>
            <w:shd w:val="clear" w:color="auto" w:fill="auto"/>
          </w:tcPr>
          <w:p w14:paraId="7630DA2D" w14:textId="77777777" w:rsidR="009C6940" w:rsidRPr="00EF7969" w:rsidRDefault="009C6940" w:rsidP="009C6940">
            <w:pPr>
              <w:pStyle w:val="Continued"/>
            </w:pPr>
            <w:r w:rsidRPr="00EF7969">
              <w:t>(continued next page)</w:t>
            </w:r>
          </w:p>
        </w:tc>
      </w:tr>
      <w:tr w:rsidR="009C6940" w:rsidRPr="00EF7969" w14:paraId="4202B9EC" w14:textId="77777777" w:rsidTr="009C6940">
        <w:tc>
          <w:tcPr>
            <w:tcW w:w="8789" w:type="dxa"/>
            <w:tcBorders>
              <w:top w:val="nil"/>
              <w:left w:val="nil"/>
              <w:bottom w:val="single" w:sz="6" w:space="0" w:color="78A22F"/>
              <w:right w:val="nil"/>
            </w:tcBorders>
            <w:shd w:val="clear" w:color="auto" w:fill="auto"/>
          </w:tcPr>
          <w:p w14:paraId="5F90686B" w14:textId="77777777" w:rsidR="009C6940" w:rsidRPr="00EF7969" w:rsidRDefault="009C6940" w:rsidP="009C6940">
            <w:pPr>
              <w:pStyle w:val="Box"/>
              <w:spacing w:before="0" w:line="120" w:lineRule="exact"/>
            </w:pPr>
          </w:p>
        </w:tc>
      </w:tr>
      <w:tr w:rsidR="009C6940" w:rsidRPr="00EF7969" w14:paraId="7F94EB93" w14:textId="77777777" w:rsidTr="009C6940">
        <w:tc>
          <w:tcPr>
            <w:tcW w:w="8789" w:type="dxa"/>
            <w:tcBorders>
              <w:top w:val="single" w:sz="6" w:space="0" w:color="78A22F"/>
              <w:left w:val="nil"/>
              <w:bottom w:val="nil"/>
              <w:right w:val="nil"/>
            </w:tcBorders>
          </w:tcPr>
          <w:p w14:paraId="7DA35F88" w14:textId="77777777" w:rsidR="009C6940" w:rsidRPr="00EF7969" w:rsidRDefault="009C6940" w:rsidP="009C6940">
            <w:pPr>
              <w:pStyle w:val="BoxSpaceBelow"/>
            </w:pPr>
          </w:p>
        </w:tc>
      </w:tr>
    </w:tbl>
    <w:p w14:paraId="0F1E5A52"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15FF9561" w14:textId="77777777" w:rsidTr="009C6940">
        <w:trPr>
          <w:tblHeader/>
        </w:trPr>
        <w:tc>
          <w:tcPr>
            <w:tcW w:w="8789" w:type="dxa"/>
            <w:tcBorders>
              <w:top w:val="single" w:sz="6" w:space="0" w:color="78A22F"/>
              <w:left w:val="nil"/>
              <w:bottom w:val="nil"/>
              <w:right w:val="nil"/>
            </w:tcBorders>
            <w:shd w:val="clear" w:color="auto" w:fill="auto"/>
          </w:tcPr>
          <w:p w14:paraId="1A7BAF44" w14:textId="77777777" w:rsidR="009C6940" w:rsidRPr="00EF7969" w:rsidRDefault="009C6940" w:rsidP="009C6940">
            <w:pPr>
              <w:pStyle w:val="TableTitle"/>
              <w:spacing w:before="80"/>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7F82A310" w14:textId="77777777" w:rsidTr="009C6940">
        <w:tc>
          <w:tcPr>
            <w:tcW w:w="8789" w:type="dxa"/>
            <w:tcBorders>
              <w:top w:val="nil"/>
              <w:left w:val="nil"/>
              <w:bottom w:val="nil"/>
              <w:right w:val="nil"/>
            </w:tcBorders>
            <w:shd w:val="clear" w:color="auto" w:fill="auto"/>
          </w:tcPr>
          <w:tbl>
            <w:tblPr>
              <w:tblW w:w="8504" w:type="dxa"/>
              <w:tblLayout w:type="fixed"/>
              <w:tblCellMar>
                <w:top w:w="28" w:type="dxa"/>
                <w:left w:w="0" w:type="dxa"/>
                <w:right w:w="0" w:type="dxa"/>
              </w:tblCellMar>
              <w:tblLook w:val="0000" w:firstRow="0" w:lastRow="0" w:firstColumn="0" w:lastColumn="0" w:noHBand="0" w:noVBand="0"/>
            </w:tblPr>
            <w:tblGrid>
              <w:gridCol w:w="6378"/>
              <w:gridCol w:w="2126"/>
            </w:tblGrid>
            <w:tr w:rsidR="009C6940" w:rsidRPr="00EF7969" w14:paraId="6D52C136" w14:textId="77777777" w:rsidTr="009C6940">
              <w:trPr>
                <w:tblHeader/>
              </w:trPr>
              <w:tc>
                <w:tcPr>
                  <w:tcW w:w="6378" w:type="dxa"/>
                  <w:tcBorders>
                    <w:top w:val="single" w:sz="6" w:space="0" w:color="BFBFBF"/>
                    <w:bottom w:val="single" w:sz="6" w:space="0" w:color="BFBFBF"/>
                  </w:tcBorders>
                  <w:shd w:val="clear" w:color="auto" w:fill="auto"/>
                  <w:tcMar>
                    <w:top w:w="28" w:type="dxa"/>
                  </w:tcMar>
                </w:tcPr>
                <w:p w14:paraId="09125D45"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2090C7EE" w14:textId="77777777" w:rsidR="009C6940" w:rsidRPr="00EF7969" w:rsidRDefault="009C6940" w:rsidP="009C6940">
                  <w:pPr>
                    <w:pStyle w:val="TableColumnHeading"/>
                    <w:ind w:right="28"/>
                  </w:pPr>
                  <w:r w:rsidRPr="00EF7969">
                    <w:t>Submission no.</w:t>
                  </w:r>
                </w:p>
              </w:tc>
            </w:tr>
            <w:tr w:rsidR="009C6940" w:rsidRPr="00EF7969" w14:paraId="373149BA" w14:textId="77777777" w:rsidTr="009C6940">
              <w:tc>
                <w:tcPr>
                  <w:tcW w:w="6378" w:type="dxa"/>
                  <w:shd w:val="clear" w:color="auto" w:fill="auto"/>
                </w:tcPr>
                <w:p w14:paraId="1ACB26F6" w14:textId="77777777" w:rsidR="009C6940" w:rsidRPr="00EF7969" w:rsidRDefault="009C6940" w:rsidP="009C6940">
                  <w:pPr>
                    <w:pStyle w:val="TableBodyText"/>
                    <w:spacing w:before="40"/>
                    <w:jc w:val="left"/>
                  </w:pPr>
                  <w:r w:rsidRPr="00EF7969">
                    <w:t>David Hillman</w:t>
                  </w:r>
                </w:p>
              </w:tc>
              <w:tc>
                <w:tcPr>
                  <w:tcW w:w="2126" w:type="dxa"/>
                  <w:shd w:val="clear" w:color="auto" w:fill="auto"/>
                </w:tcPr>
                <w:p w14:paraId="7EA26608" w14:textId="77777777" w:rsidR="009C6940" w:rsidRPr="00EF7969" w:rsidRDefault="009C6940" w:rsidP="009C6940">
                  <w:pPr>
                    <w:pStyle w:val="TableBodyText"/>
                    <w:spacing w:before="40"/>
                  </w:pPr>
                  <w:r w:rsidRPr="00EF7969">
                    <w:t>586</w:t>
                  </w:r>
                </w:p>
              </w:tc>
            </w:tr>
            <w:tr w:rsidR="009C6940" w:rsidRPr="00EF7969" w14:paraId="36EA3C66" w14:textId="77777777" w:rsidTr="009C6940">
              <w:tc>
                <w:tcPr>
                  <w:tcW w:w="6378" w:type="dxa"/>
                  <w:shd w:val="clear" w:color="auto" w:fill="auto"/>
                </w:tcPr>
                <w:p w14:paraId="78E6321E" w14:textId="77777777" w:rsidR="009C6940" w:rsidRPr="00EF7969" w:rsidRDefault="009C6940" w:rsidP="009C6940">
                  <w:pPr>
                    <w:pStyle w:val="TableBodyText"/>
                    <w:jc w:val="left"/>
                  </w:pPr>
                  <w:r w:rsidRPr="00EF7969">
                    <w:t>David Miller</w:t>
                  </w:r>
                </w:p>
              </w:tc>
              <w:tc>
                <w:tcPr>
                  <w:tcW w:w="2126" w:type="dxa"/>
                  <w:shd w:val="clear" w:color="auto" w:fill="auto"/>
                </w:tcPr>
                <w:p w14:paraId="321DA907" w14:textId="77777777" w:rsidR="009C6940" w:rsidRPr="00EF7969" w:rsidRDefault="009C6940" w:rsidP="009C6940">
                  <w:pPr>
                    <w:pStyle w:val="TableBodyText"/>
                  </w:pPr>
                  <w:r w:rsidRPr="00EF7969">
                    <w:t>998</w:t>
                  </w:r>
                </w:p>
              </w:tc>
            </w:tr>
            <w:tr w:rsidR="009C6940" w:rsidRPr="00EF7969" w14:paraId="19CC9BF7" w14:textId="77777777" w:rsidTr="009C6940">
              <w:tc>
                <w:tcPr>
                  <w:tcW w:w="6378" w:type="dxa"/>
                  <w:shd w:val="clear" w:color="auto" w:fill="auto"/>
                </w:tcPr>
                <w:p w14:paraId="531BDA23" w14:textId="77777777" w:rsidR="009C6940" w:rsidRPr="00EF7969" w:rsidRDefault="009C6940" w:rsidP="009C6940">
                  <w:pPr>
                    <w:pStyle w:val="TableBodyText"/>
                    <w:jc w:val="left"/>
                  </w:pPr>
                  <w:r w:rsidRPr="00EF7969">
                    <w:t xml:space="preserve">Deakin Health Economics, Institute for Health Transformation </w:t>
                  </w:r>
                </w:p>
              </w:tc>
              <w:tc>
                <w:tcPr>
                  <w:tcW w:w="2126" w:type="dxa"/>
                  <w:shd w:val="clear" w:color="auto" w:fill="auto"/>
                </w:tcPr>
                <w:p w14:paraId="6E8C5CAF" w14:textId="77777777" w:rsidR="009C6940" w:rsidRPr="00EF7969" w:rsidRDefault="009C6940" w:rsidP="009C6940">
                  <w:pPr>
                    <w:pStyle w:val="TableBodyText"/>
                  </w:pPr>
                  <w:r w:rsidRPr="00EF7969">
                    <w:t>156</w:t>
                  </w:r>
                </w:p>
              </w:tc>
            </w:tr>
            <w:tr w:rsidR="009C6940" w:rsidRPr="00EF7969" w14:paraId="7FA7E5EC" w14:textId="77777777" w:rsidTr="009C6940">
              <w:tc>
                <w:tcPr>
                  <w:tcW w:w="6378" w:type="dxa"/>
                  <w:shd w:val="clear" w:color="auto" w:fill="auto"/>
                </w:tcPr>
                <w:p w14:paraId="598805E8" w14:textId="77777777" w:rsidR="009C6940" w:rsidRPr="00EF7969" w:rsidRDefault="009C6940" w:rsidP="009C6940">
                  <w:pPr>
                    <w:pStyle w:val="TableBodyText"/>
                    <w:jc w:val="left"/>
                  </w:pPr>
                  <w:r w:rsidRPr="00EF7969">
                    <w:t>Dean Harvey</w:t>
                  </w:r>
                </w:p>
              </w:tc>
              <w:tc>
                <w:tcPr>
                  <w:tcW w:w="2126" w:type="dxa"/>
                  <w:shd w:val="clear" w:color="auto" w:fill="auto"/>
                </w:tcPr>
                <w:p w14:paraId="52577171" w14:textId="77777777" w:rsidR="009C6940" w:rsidRPr="00EF7969" w:rsidRDefault="009C6940" w:rsidP="009C6940">
                  <w:pPr>
                    <w:pStyle w:val="TableBodyText"/>
                  </w:pPr>
                  <w:r w:rsidRPr="00EF7969">
                    <w:t>137</w:t>
                  </w:r>
                </w:p>
              </w:tc>
            </w:tr>
            <w:tr w:rsidR="009C6940" w:rsidRPr="00EF7969" w14:paraId="30459472" w14:textId="77777777" w:rsidTr="009C6940">
              <w:tc>
                <w:tcPr>
                  <w:tcW w:w="6378" w:type="dxa"/>
                  <w:shd w:val="clear" w:color="auto" w:fill="auto"/>
                </w:tcPr>
                <w:p w14:paraId="672C81D2" w14:textId="77777777" w:rsidR="009C6940" w:rsidRPr="00EF7969" w:rsidRDefault="009C6940" w:rsidP="009C6940">
                  <w:pPr>
                    <w:pStyle w:val="TableBodyText"/>
                    <w:jc w:val="left"/>
                  </w:pPr>
                  <w:r w:rsidRPr="00EF7969">
                    <w:t>Deana Durisic</w:t>
                  </w:r>
                </w:p>
              </w:tc>
              <w:tc>
                <w:tcPr>
                  <w:tcW w:w="2126" w:type="dxa"/>
                  <w:shd w:val="clear" w:color="auto" w:fill="auto"/>
                </w:tcPr>
                <w:p w14:paraId="317D557E" w14:textId="77777777" w:rsidR="009C6940" w:rsidRPr="00EF7969" w:rsidRDefault="009C6940" w:rsidP="009C6940">
                  <w:pPr>
                    <w:pStyle w:val="TableBodyText"/>
                  </w:pPr>
                  <w:r w:rsidRPr="00EF7969">
                    <w:t>1040</w:t>
                  </w:r>
                </w:p>
              </w:tc>
            </w:tr>
            <w:tr w:rsidR="009C6940" w:rsidRPr="00EF7969" w14:paraId="33CCCC91" w14:textId="77777777" w:rsidTr="009C6940">
              <w:tc>
                <w:tcPr>
                  <w:tcW w:w="6378" w:type="dxa"/>
                  <w:shd w:val="clear" w:color="auto" w:fill="auto"/>
                </w:tcPr>
                <w:p w14:paraId="785CB2CD" w14:textId="77777777" w:rsidR="009C6940" w:rsidRPr="00EF7969" w:rsidRDefault="009C6940" w:rsidP="009C6940">
                  <w:pPr>
                    <w:pStyle w:val="TableBodyText"/>
                    <w:jc w:val="left"/>
                  </w:pPr>
                  <w:r w:rsidRPr="00EF7969">
                    <w:t>Deborah Barit</w:t>
                  </w:r>
                </w:p>
              </w:tc>
              <w:tc>
                <w:tcPr>
                  <w:tcW w:w="2126" w:type="dxa"/>
                  <w:shd w:val="clear" w:color="auto" w:fill="auto"/>
                </w:tcPr>
                <w:p w14:paraId="17445710" w14:textId="77777777" w:rsidR="009C6940" w:rsidRPr="00EF7969" w:rsidRDefault="009C6940" w:rsidP="009C6940">
                  <w:pPr>
                    <w:pStyle w:val="TableBodyText"/>
                  </w:pPr>
                  <w:r w:rsidRPr="00EF7969">
                    <w:t>686</w:t>
                  </w:r>
                </w:p>
              </w:tc>
            </w:tr>
            <w:tr w:rsidR="009C6940" w:rsidRPr="00EF7969" w14:paraId="039A12BF" w14:textId="77777777" w:rsidTr="009C6940">
              <w:tc>
                <w:tcPr>
                  <w:tcW w:w="6378" w:type="dxa"/>
                  <w:shd w:val="clear" w:color="auto" w:fill="auto"/>
                </w:tcPr>
                <w:p w14:paraId="52D0A2A7" w14:textId="77777777" w:rsidR="009C6940" w:rsidRPr="00EF7969" w:rsidRDefault="009C6940" w:rsidP="009C6940">
                  <w:pPr>
                    <w:pStyle w:val="TableBodyText"/>
                    <w:jc w:val="left"/>
                  </w:pPr>
                  <w:r w:rsidRPr="00EF7969">
                    <w:t>Deborah Cobb</w:t>
                  </w:r>
                  <w:r w:rsidRPr="00EF7969">
                    <w:noBreakHyphen/>
                    <w:t>Clark, Sarah Dahmann, Nicolas Salamanca and Anna Zhu</w:t>
                  </w:r>
                </w:p>
              </w:tc>
              <w:tc>
                <w:tcPr>
                  <w:tcW w:w="2126" w:type="dxa"/>
                  <w:shd w:val="clear" w:color="auto" w:fill="auto"/>
                </w:tcPr>
                <w:p w14:paraId="28FCC18D" w14:textId="77777777" w:rsidR="009C6940" w:rsidRPr="00EF7969" w:rsidRDefault="009C6940" w:rsidP="009C6940">
                  <w:pPr>
                    <w:pStyle w:val="TableBodyText"/>
                  </w:pPr>
                  <w:r w:rsidRPr="00EF7969">
                    <w:t>57</w:t>
                  </w:r>
                </w:p>
              </w:tc>
            </w:tr>
            <w:tr w:rsidR="009C6940" w:rsidRPr="00EF7969" w14:paraId="7601F583" w14:textId="77777777" w:rsidTr="009C6940">
              <w:tc>
                <w:tcPr>
                  <w:tcW w:w="6378" w:type="dxa"/>
                  <w:shd w:val="clear" w:color="auto" w:fill="auto"/>
                </w:tcPr>
                <w:p w14:paraId="48CDD8AB" w14:textId="77777777" w:rsidR="009C6940" w:rsidRPr="00EF7969" w:rsidRDefault="009C6940" w:rsidP="009C6940">
                  <w:pPr>
                    <w:pStyle w:val="TableBodyText"/>
                    <w:jc w:val="left"/>
                  </w:pPr>
                  <w:r w:rsidRPr="00EF7969">
                    <w:t>Deborah Garden</w:t>
                  </w:r>
                </w:p>
              </w:tc>
              <w:tc>
                <w:tcPr>
                  <w:tcW w:w="2126" w:type="dxa"/>
                  <w:shd w:val="clear" w:color="auto" w:fill="auto"/>
                </w:tcPr>
                <w:p w14:paraId="1BFDE334" w14:textId="77777777" w:rsidR="009C6940" w:rsidRPr="00EF7969" w:rsidRDefault="009C6940" w:rsidP="009C6940">
                  <w:pPr>
                    <w:pStyle w:val="TableBodyText"/>
                  </w:pPr>
                  <w:r w:rsidRPr="00EF7969">
                    <w:t>349</w:t>
                  </w:r>
                </w:p>
              </w:tc>
            </w:tr>
            <w:tr w:rsidR="009C6940" w:rsidRPr="00EF7969" w14:paraId="56FB16D7" w14:textId="77777777" w:rsidTr="009C6940">
              <w:tc>
                <w:tcPr>
                  <w:tcW w:w="6378" w:type="dxa"/>
                  <w:shd w:val="clear" w:color="auto" w:fill="auto"/>
                </w:tcPr>
                <w:p w14:paraId="4434A890" w14:textId="77777777" w:rsidR="009C6940" w:rsidRPr="00EF7969" w:rsidRDefault="009C6940" w:rsidP="009C6940">
                  <w:pPr>
                    <w:pStyle w:val="TableBodyText"/>
                    <w:jc w:val="left"/>
                  </w:pPr>
                  <w:r w:rsidRPr="00EF7969">
                    <w:t>Deepti Alurkar</w:t>
                  </w:r>
                </w:p>
              </w:tc>
              <w:tc>
                <w:tcPr>
                  <w:tcW w:w="2126" w:type="dxa"/>
                  <w:shd w:val="clear" w:color="auto" w:fill="auto"/>
                </w:tcPr>
                <w:p w14:paraId="33336D76" w14:textId="77777777" w:rsidR="009C6940" w:rsidRPr="00EF7969" w:rsidRDefault="009C6940" w:rsidP="009C6940">
                  <w:pPr>
                    <w:pStyle w:val="TableBodyText"/>
                  </w:pPr>
                  <w:r w:rsidRPr="00EF7969">
                    <w:t>1066</w:t>
                  </w:r>
                </w:p>
              </w:tc>
            </w:tr>
            <w:tr w:rsidR="009C6940" w:rsidRPr="00EF7969" w14:paraId="215FDEBD" w14:textId="77777777" w:rsidTr="009C6940">
              <w:tc>
                <w:tcPr>
                  <w:tcW w:w="6378" w:type="dxa"/>
                  <w:shd w:val="clear" w:color="auto" w:fill="auto"/>
                </w:tcPr>
                <w:p w14:paraId="79A8212D" w14:textId="77777777" w:rsidR="009C6940" w:rsidRPr="00EF7969" w:rsidRDefault="009C6940" w:rsidP="009C6940">
                  <w:pPr>
                    <w:pStyle w:val="TableBodyText"/>
                    <w:jc w:val="left"/>
                  </w:pPr>
                  <w:r w:rsidRPr="00EF7969">
                    <w:t xml:space="preserve">Department of Developmental Disability Neuropsychiatry </w:t>
                  </w:r>
                </w:p>
              </w:tc>
              <w:tc>
                <w:tcPr>
                  <w:tcW w:w="2126" w:type="dxa"/>
                  <w:shd w:val="clear" w:color="auto" w:fill="auto"/>
                </w:tcPr>
                <w:p w14:paraId="420DAAD7" w14:textId="77777777" w:rsidR="009C6940" w:rsidRPr="00EF7969" w:rsidRDefault="009C6940" w:rsidP="009C6940">
                  <w:pPr>
                    <w:pStyle w:val="TableBodyText"/>
                  </w:pPr>
                  <w:r w:rsidRPr="00EF7969">
                    <w:t>105</w:t>
                  </w:r>
                </w:p>
              </w:tc>
            </w:tr>
            <w:tr w:rsidR="009C6940" w:rsidRPr="00EF7969" w14:paraId="3E048C9A" w14:textId="77777777" w:rsidTr="009C6940">
              <w:tc>
                <w:tcPr>
                  <w:tcW w:w="6378" w:type="dxa"/>
                  <w:shd w:val="clear" w:color="auto" w:fill="auto"/>
                </w:tcPr>
                <w:p w14:paraId="75F0A9F6" w14:textId="77777777" w:rsidR="009C6940" w:rsidRPr="00EF7969" w:rsidRDefault="009C6940" w:rsidP="009C6940">
                  <w:pPr>
                    <w:pStyle w:val="TableBodyText"/>
                    <w:jc w:val="left"/>
                  </w:pPr>
                  <w:r w:rsidRPr="00EF7969">
                    <w:t>Diana Anderson</w:t>
                  </w:r>
                </w:p>
              </w:tc>
              <w:tc>
                <w:tcPr>
                  <w:tcW w:w="2126" w:type="dxa"/>
                  <w:shd w:val="clear" w:color="auto" w:fill="auto"/>
                </w:tcPr>
                <w:p w14:paraId="2CB53023" w14:textId="77777777" w:rsidR="009C6940" w:rsidRPr="00EF7969" w:rsidRDefault="009C6940" w:rsidP="009C6940">
                  <w:pPr>
                    <w:pStyle w:val="TableBodyText"/>
                  </w:pPr>
                  <w:r w:rsidRPr="00EF7969">
                    <w:t>1179</w:t>
                  </w:r>
                </w:p>
              </w:tc>
            </w:tr>
            <w:tr w:rsidR="009C6940" w:rsidRPr="00EF7969" w14:paraId="7E15C152" w14:textId="77777777" w:rsidTr="009C6940">
              <w:tc>
                <w:tcPr>
                  <w:tcW w:w="6378" w:type="dxa"/>
                  <w:shd w:val="clear" w:color="auto" w:fill="auto"/>
                </w:tcPr>
                <w:p w14:paraId="4F92BA46" w14:textId="77777777" w:rsidR="009C6940" w:rsidRPr="00EF7969" w:rsidRDefault="009C6940" w:rsidP="009C6940">
                  <w:pPr>
                    <w:pStyle w:val="TableBodyText"/>
                    <w:jc w:val="left"/>
                  </w:pPr>
                  <w:r w:rsidRPr="00EF7969">
                    <w:t>Diane Atcheson</w:t>
                  </w:r>
                </w:p>
              </w:tc>
              <w:tc>
                <w:tcPr>
                  <w:tcW w:w="2126" w:type="dxa"/>
                  <w:shd w:val="clear" w:color="auto" w:fill="auto"/>
                </w:tcPr>
                <w:p w14:paraId="4B00F076" w14:textId="77777777" w:rsidR="009C6940" w:rsidRPr="00EF7969" w:rsidRDefault="009C6940" w:rsidP="009C6940">
                  <w:pPr>
                    <w:pStyle w:val="TableBodyText"/>
                  </w:pPr>
                  <w:r w:rsidRPr="00EF7969">
                    <w:t>1009</w:t>
                  </w:r>
                </w:p>
              </w:tc>
            </w:tr>
            <w:tr w:rsidR="009C6940" w:rsidRPr="00EF7969" w14:paraId="79612652" w14:textId="77777777" w:rsidTr="009C6940">
              <w:tc>
                <w:tcPr>
                  <w:tcW w:w="6378" w:type="dxa"/>
                  <w:shd w:val="clear" w:color="auto" w:fill="auto"/>
                </w:tcPr>
                <w:p w14:paraId="23A65A8E" w14:textId="77777777" w:rsidR="009C6940" w:rsidRPr="00EF7969" w:rsidRDefault="009C6940" w:rsidP="009C6940">
                  <w:pPr>
                    <w:pStyle w:val="TableBodyText"/>
                    <w:jc w:val="left"/>
                  </w:pPr>
                  <w:r w:rsidRPr="00EF7969">
                    <w:t>Dianne Wynaden and Karen Heslop</w:t>
                  </w:r>
                </w:p>
              </w:tc>
              <w:tc>
                <w:tcPr>
                  <w:tcW w:w="2126" w:type="dxa"/>
                  <w:shd w:val="clear" w:color="auto" w:fill="auto"/>
                </w:tcPr>
                <w:p w14:paraId="3FECC57D" w14:textId="77777777" w:rsidR="009C6940" w:rsidRPr="00EF7969" w:rsidRDefault="009C6940" w:rsidP="009C6940">
                  <w:pPr>
                    <w:pStyle w:val="TableBodyText"/>
                  </w:pPr>
                  <w:r w:rsidRPr="00EF7969">
                    <w:t>1</w:t>
                  </w:r>
                </w:p>
              </w:tc>
            </w:tr>
            <w:tr w:rsidR="009C6940" w:rsidRPr="00EF7969" w14:paraId="25042AED" w14:textId="77777777" w:rsidTr="009C6940">
              <w:tc>
                <w:tcPr>
                  <w:tcW w:w="6378" w:type="dxa"/>
                  <w:shd w:val="clear" w:color="auto" w:fill="auto"/>
                </w:tcPr>
                <w:p w14:paraId="1F0816CB" w14:textId="77777777" w:rsidR="009C6940" w:rsidRPr="00EF7969" w:rsidRDefault="009C6940" w:rsidP="009C6940">
                  <w:pPr>
                    <w:pStyle w:val="TableBodyText"/>
                    <w:jc w:val="left"/>
                  </w:pPr>
                  <w:r w:rsidRPr="00EF7969">
                    <w:t>Dietitians Association of Australia (DAA)</w:t>
                  </w:r>
                </w:p>
              </w:tc>
              <w:tc>
                <w:tcPr>
                  <w:tcW w:w="2126" w:type="dxa"/>
                  <w:shd w:val="clear" w:color="auto" w:fill="auto"/>
                </w:tcPr>
                <w:p w14:paraId="145F3F18" w14:textId="77777777" w:rsidR="009C6940" w:rsidRPr="00EF7969" w:rsidRDefault="009C6940" w:rsidP="009C6940">
                  <w:pPr>
                    <w:pStyle w:val="TableBodyText"/>
                  </w:pPr>
                  <w:r w:rsidRPr="00EF7969">
                    <w:t>232, 766</w:t>
                  </w:r>
                </w:p>
              </w:tc>
            </w:tr>
            <w:tr w:rsidR="009C6940" w:rsidRPr="00EF7969" w14:paraId="56595C05" w14:textId="77777777" w:rsidTr="009C6940">
              <w:tc>
                <w:tcPr>
                  <w:tcW w:w="6378" w:type="dxa"/>
                  <w:shd w:val="clear" w:color="auto" w:fill="auto"/>
                </w:tcPr>
                <w:p w14:paraId="2BEF8A36" w14:textId="77777777" w:rsidR="009C6940" w:rsidRPr="00EF7969" w:rsidRDefault="009C6940" w:rsidP="009C6940">
                  <w:pPr>
                    <w:pStyle w:val="TableBodyText"/>
                    <w:jc w:val="left"/>
                  </w:pPr>
                  <w:r w:rsidRPr="00EF7969">
                    <w:t>Diversity Council Australia (DCA)</w:t>
                  </w:r>
                </w:p>
              </w:tc>
              <w:tc>
                <w:tcPr>
                  <w:tcW w:w="2126" w:type="dxa"/>
                  <w:shd w:val="clear" w:color="auto" w:fill="auto"/>
                </w:tcPr>
                <w:p w14:paraId="1F95F15E" w14:textId="77777777" w:rsidR="009C6940" w:rsidRPr="00EF7969" w:rsidRDefault="009C6940" w:rsidP="009C6940">
                  <w:pPr>
                    <w:pStyle w:val="TableBodyText"/>
                  </w:pPr>
                  <w:r w:rsidRPr="00EF7969">
                    <w:t>70</w:t>
                  </w:r>
                </w:p>
              </w:tc>
            </w:tr>
            <w:tr w:rsidR="009C6940" w:rsidRPr="00EF7969" w14:paraId="24EF7B54" w14:textId="77777777" w:rsidTr="009C6940">
              <w:tc>
                <w:tcPr>
                  <w:tcW w:w="6378" w:type="dxa"/>
                  <w:shd w:val="clear" w:color="auto" w:fill="auto"/>
                </w:tcPr>
                <w:p w14:paraId="3D2C007C" w14:textId="77777777" w:rsidR="009C6940" w:rsidRPr="00EF7969" w:rsidRDefault="009C6940" w:rsidP="009C6940">
                  <w:pPr>
                    <w:pStyle w:val="TableBodyText"/>
                    <w:jc w:val="left"/>
                  </w:pPr>
                  <w:r w:rsidRPr="00EF7969">
                    <w:t>Dobsen Wuerfel</w:t>
                  </w:r>
                </w:p>
              </w:tc>
              <w:tc>
                <w:tcPr>
                  <w:tcW w:w="2126" w:type="dxa"/>
                  <w:shd w:val="clear" w:color="auto" w:fill="auto"/>
                </w:tcPr>
                <w:p w14:paraId="5C1B78A0" w14:textId="77777777" w:rsidR="009C6940" w:rsidRPr="00EF7969" w:rsidRDefault="009C6940" w:rsidP="009C6940">
                  <w:pPr>
                    <w:pStyle w:val="TableBodyText"/>
                  </w:pPr>
                  <w:r w:rsidRPr="00EF7969">
                    <w:t>987</w:t>
                  </w:r>
                </w:p>
              </w:tc>
            </w:tr>
            <w:tr w:rsidR="009C6940" w:rsidRPr="00EF7969" w14:paraId="4FE488FE" w14:textId="77777777" w:rsidTr="009C6940">
              <w:tc>
                <w:tcPr>
                  <w:tcW w:w="6378" w:type="dxa"/>
                  <w:shd w:val="clear" w:color="auto" w:fill="auto"/>
                </w:tcPr>
                <w:p w14:paraId="125AF9E5" w14:textId="77777777" w:rsidR="009C6940" w:rsidRPr="00EF7969" w:rsidRDefault="009C6940" w:rsidP="009C6940">
                  <w:pPr>
                    <w:pStyle w:val="TableBodyText"/>
                    <w:jc w:val="left"/>
                  </w:pPr>
                  <w:r w:rsidRPr="00EF7969">
                    <w:t>Doctors Against Violence Towards Women</w:t>
                  </w:r>
                </w:p>
              </w:tc>
              <w:tc>
                <w:tcPr>
                  <w:tcW w:w="2126" w:type="dxa"/>
                  <w:shd w:val="clear" w:color="auto" w:fill="auto"/>
                </w:tcPr>
                <w:p w14:paraId="47317865" w14:textId="77777777" w:rsidR="009C6940" w:rsidRPr="00EF7969" w:rsidRDefault="009C6940" w:rsidP="009C6940">
                  <w:pPr>
                    <w:pStyle w:val="TableBodyText"/>
                  </w:pPr>
                  <w:r w:rsidRPr="00EF7969">
                    <w:t>514</w:t>
                  </w:r>
                </w:p>
              </w:tc>
            </w:tr>
            <w:tr w:rsidR="009C6940" w:rsidRPr="00EF7969" w14:paraId="49DE2308" w14:textId="77777777" w:rsidTr="009C6940">
              <w:tc>
                <w:tcPr>
                  <w:tcW w:w="6378" w:type="dxa"/>
                  <w:shd w:val="clear" w:color="auto" w:fill="auto"/>
                </w:tcPr>
                <w:p w14:paraId="0D684AFF" w14:textId="77777777" w:rsidR="009C6940" w:rsidRPr="00EF7969" w:rsidRDefault="009C6940" w:rsidP="009C6940">
                  <w:pPr>
                    <w:pStyle w:val="TableBodyText"/>
                    <w:jc w:val="left"/>
                  </w:pPr>
                  <w:r w:rsidRPr="00EF7969">
                    <w:t>Doctors Reform Society</w:t>
                  </w:r>
                </w:p>
              </w:tc>
              <w:tc>
                <w:tcPr>
                  <w:tcW w:w="2126" w:type="dxa"/>
                  <w:shd w:val="clear" w:color="auto" w:fill="auto"/>
                </w:tcPr>
                <w:p w14:paraId="7511E07D" w14:textId="77777777" w:rsidR="009C6940" w:rsidRPr="00EF7969" w:rsidRDefault="009C6940" w:rsidP="009C6940">
                  <w:pPr>
                    <w:pStyle w:val="TableBodyText"/>
                  </w:pPr>
                  <w:r w:rsidRPr="00EF7969">
                    <w:t>746</w:t>
                  </w:r>
                </w:p>
              </w:tc>
            </w:tr>
            <w:tr w:rsidR="009C6940" w:rsidRPr="00EF7969" w14:paraId="0E8D4586" w14:textId="77777777" w:rsidTr="009C6940">
              <w:tc>
                <w:tcPr>
                  <w:tcW w:w="6378" w:type="dxa"/>
                  <w:shd w:val="clear" w:color="auto" w:fill="auto"/>
                </w:tcPr>
                <w:p w14:paraId="69F2BB0D" w14:textId="77777777" w:rsidR="009C6940" w:rsidRPr="00EF7969" w:rsidRDefault="009C6940" w:rsidP="009C6940">
                  <w:pPr>
                    <w:pStyle w:val="TableBodyText"/>
                    <w:jc w:val="left"/>
                  </w:pPr>
                  <w:r w:rsidRPr="00EF7969">
                    <w:t>Doron Samuell</w:t>
                  </w:r>
                </w:p>
              </w:tc>
              <w:tc>
                <w:tcPr>
                  <w:tcW w:w="2126" w:type="dxa"/>
                  <w:shd w:val="clear" w:color="auto" w:fill="auto"/>
                </w:tcPr>
                <w:p w14:paraId="1FFED710" w14:textId="77777777" w:rsidR="009C6940" w:rsidRPr="00EF7969" w:rsidRDefault="009C6940" w:rsidP="009C6940">
                  <w:pPr>
                    <w:pStyle w:val="TableBodyText"/>
                  </w:pPr>
                  <w:r w:rsidRPr="00EF7969">
                    <w:t>720</w:t>
                  </w:r>
                </w:p>
              </w:tc>
            </w:tr>
            <w:tr w:rsidR="009C6940" w:rsidRPr="00EF7969" w14:paraId="77571FAE" w14:textId="77777777" w:rsidTr="009C6940">
              <w:tc>
                <w:tcPr>
                  <w:tcW w:w="6378" w:type="dxa"/>
                  <w:shd w:val="clear" w:color="auto" w:fill="auto"/>
                </w:tcPr>
                <w:p w14:paraId="5CB0EECF" w14:textId="77777777" w:rsidR="009C6940" w:rsidRPr="00EF7969" w:rsidRDefault="009C6940" w:rsidP="009C6940">
                  <w:pPr>
                    <w:pStyle w:val="TableBodyText"/>
                    <w:jc w:val="left"/>
                  </w:pPr>
                  <w:r w:rsidRPr="00EF7969">
                    <w:t>Douglas McIver</w:t>
                  </w:r>
                </w:p>
              </w:tc>
              <w:tc>
                <w:tcPr>
                  <w:tcW w:w="2126" w:type="dxa"/>
                  <w:shd w:val="clear" w:color="auto" w:fill="auto"/>
                </w:tcPr>
                <w:p w14:paraId="0AC65FD5" w14:textId="77777777" w:rsidR="009C6940" w:rsidRPr="00EF7969" w:rsidRDefault="009C6940" w:rsidP="009C6940">
                  <w:pPr>
                    <w:pStyle w:val="TableBodyText"/>
                  </w:pPr>
                  <w:r w:rsidRPr="00EF7969">
                    <w:t>181</w:t>
                  </w:r>
                </w:p>
              </w:tc>
            </w:tr>
            <w:tr w:rsidR="009C6940" w:rsidRPr="00EF7969" w14:paraId="0932C6DF" w14:textId="77777777" w:rsidTr="009C6940">
              <w:tc>
                <w:tcPr>
                  <w:tcW w:w="6378" w:type="dxa"/>
                  <w:shd w:val="clear" w:color="auto" w:fill="auto"/>
                </w:tcPr>
                <w:p w14:paraId="646743FB" w14:textId="77777777" w:rsidR="009C6940" w:rsidRPr="00EF7969" w:rsidRDefault="009C6940" w:rsidP="009C6940">
                  <w:pPr>
                    <w:pStyle w:val="TableBodyText"/>
                    <w:jc w:val="left"/>
                  </w:pPr>
                  <w:r w:rsidRPr="00EF7969">
                    <w:t xml:space="preserve">drummond street services </w:t>
                  </w:r>
                </w:p>
              </w:tc>
              <w:tc>
                <w:tcPr>
                  <w:tcW w:w="2126" w:type="dxa"/>
                  <w:shd w:val="clear" w:color="auto" w:fill="auto"/>
                </w:tcPr>
                <w:p w14:paraId="68A7D211" w14:textId="77777777" w:rsidR="009C6940" w:rsidRPr="00EF7969" w:rsidRDefault="009C6940" w:rsidP="009C6940">
                  <w:pPr>
                    <w:pStyle w:val="TableBodyText"/>
                  </w:pPr>
                  <w:r w:rsidRPr="00EF7969">
                    <w:t>532, 718</w:t>
                  </w:r>
                </w:p>
              </w:tc>
            </w:tr>
            <w:tr w:rsidR="009C6940" w:rsidRPr="00EF7969" w14:paraId="4EE559AC" w14:textId="77777777" w:rsidTr="009C6940">
              <w:tc>
                <w:tcPr>
                  <w:tcW w:w="6378" w:type="dxa"/>
                  <w:shd w:val="clear" w:color="auto" w:fill="auto"/>
                </w:tcPr>
                <w:p w14:paraId="7C0413AD" w14:textId="77777777" w:rsidR="009C6940" w:rsidRPr="00EF7969" w:rsidRDefault="009C6940" w:rsidP="009C6940">
                  <w:pPr>
                    <w:pStyle w:val="TableBodyText"/>
                    <w:jc w:val="left"/>
                  </w:pPr>
                  <w:r w:rsidRPr="00EF7969">
                    <w:t>EACH</w:t>
                  </w:r>
                </w:p>
              </w:tc>
              <w:tc>
                <w:tcPr>
                  <w:tcW w:w="2126" w:type="dxa"/>
                  <w:shd w:val="clear" w:color="auto" w:fill="auto"/>
                </w:tcPr>
                <w:p w14:paraId="4373DCAB" w14:textId="77777777" w:rsidR="009C6940" w:rsidRPr="00EF7969" w:rsidRDefault="009C6940" w:rsidP="009C6940">
                  <w:pPr>
                    <w:pStyle w:val="TableBodyText"/>
                  </w:pPr>
                  <w:r w:rsidRPr="00EF7969">
                    <w:t>227, 875</w:t>
                  </w:r>
                </w:p>
              </w:tc>
            </w:tr>
            <w:tr w:rsidR="009C6940" w:rsidRPr="00EF7969" w14:paraId="0D2F0828" w14:textId="77777777" w:rsidTr="009C6940">
              <w:tc>
                <w:tcPr>
                  <w:tcW w:w="6378" w:type="dxa"/>
                  <w:shd w:val="clear" w:color="auto" w:fill="auto"/>
                </w:tcPr>
                <w:p w14:paraId="4FADF53F" w14:textId="77777777" w:rsidR="009C6940" w:rsidRPr="00EF7969" w:rsidRDefault="009C6940" w:rsidP="009C6940">
                  <w:pPr>
                    <w:pStyle w:val="TableBodyText"/>
                    <w:jc w:val="left"/>
                  </w:pPr>
                  <w:r w:rsidRPr="00EF7969">
                    <w:t>Early</w:t>
                  </w:r>
                  <w:r w:rsidRPr="00EF7969">
                    <w:noBreakHyphen/>
                    <w:t xml:space="preserve"> and Mid</w:t>
                  </w:r>
                  <w:r w:rsidRPr="00EF7969">
                    <w:noBreakHyphen/>
                    <w:t>Career Researcher (EMCR) Forum and Australian Brain Alliance EMCR Network</w:t>
                  </w:r>
                </w:p>
              </w:tc>
              <w:tc>
                <w:tcPr>
                  <w:tcW w:w="2126" w:type="dxa"/>
                  <w:shd w:val="clear" w:color="auto" w:fill="auto"/>
                </w:tcPr>
                <w:p w14:paraId="5FA662F4" w14:textId="77777777" w:rsidR="009C6940" w:rsidRPr="00EF7969" w:rsidRDefault="009C6940" w:rsidP="009C6940">
                  <w:pPr>
                    <w:pStyle w:val="TableBodyText"/>
                  </w:pPr>
                  <w:r w:rsidRPr="00EF7969">
                    <w:t>451</w:t>
                  </w:r>
                </w:p>
              </w:tc>
            </w:tr>
            <w:tr w:rsidR="009C6940" w:rsidRPr="00EF7969" w14:paraId="6A94C3F0" w14:textId="77777777" w:rsidTr="009C6940">
              <w:tc>
                <w:tcPr>
                  <w:tcW w:w="6378" w:type="dxa"/>
                  <w:shd w:val="clear" w:color="auto" w:fill="auto"/>
                </w:tcPr>
                <w:p w14:paraId="60588E04" w14:textId="77777777" w:rsidR="009C6940" w:rsidRPr="00EF7969" w:rsidRDefault="009C6940" w:rsidP="009C6940">
                  <w:pPr>
                    <w:pStyle w:val="TableBodyText"/>
                    <w:jc w:val="left"/>
                  </w:pPr>
                  <w:r w:rsidRPr="00EF7969">
                    <w:t>Early Childhood Australia (ECA)</w:t>
                  </w:r>
                </w:p>
              </w:tc>
              <w:tc>
                <w:tcPr>
                  <w:tcW w:w="2126" w:type="dxa"/>
                  <w:shd w:val="clear" w:color="auto" w:fill="auto"/>
                </w:tcPr>
                <w:p w14:paraId="404D2517" w14:textId="77777777" w:rsidR="009C6940" w:rsidRPr="00EF7969" w:rsidRDefault="009C6940" w:rsidP="009C6940">
                  <w:pPr>
                    <w:pStyle w:val="TableBodyText"/>
                  </w:pPr>
                  <w:r w:rsidRPr="00EF7969">
                    <w:t>221, 616</w:t>
                  </w:r>
                </w:p>
              </w:tc>
            </w:tr>
            <w:tr w:rsidR="009C6940" w:rsidRPr="00EF7969" w14:paraId="0FEE2FD4" w14:textId="77777777" w:rsidTr="009C6940">
              <w:tc>
                <w:tcPr>
                  <w:tcW w:w="6378" w:type="dxa"/>
                  <w:shd w:val="clear" w:color="auto" w:fill="auto"/>
                </w:tcPr>
                <w:p w14:paraId="682DAD32" w14:textId="77777777" w:rsidR="009C6940" w:rsidRPr="00EF7969" w:rsidRDefault="009C6940" w:rsidP="009C6940">
                  <w:pPr>
                    <w:pStyle w:val="TableBodyText"/>
                    <w:jc w:val="left"/>
                  </w:pPr>
                  <w:r w:rsidRPr="00EF7969">
                    <w:t>East Metropolitan Health Service (EMHS)</w:t>
                  </w:r>
                </w:p>
              </w:tc>
              <w:tc>
                <w:tcPr>
                  <w:tcW w:w="2126" w:type="dxa"/>
                  <w:shd w:val="clear" w:color="auto" w:fill="auto"/>
                </w:tcPr>
                <w:p w14:paraId="3B5A3D4B" w14:textId="77777777" w:rsidR="009C6940" w:rsidRPr="00EF7969" w:rsidRDefault="009C6940" w:rsidP="009C6940">
                  <w:pPr>
                    <w:pStyle w:val="TableBodyText"/>
                  </w:pPr>
                  <w:r w:rsidRPr="00EF7969">
                    <w:t>152</w:t>
                  </w:r>
                </w:p>
              </w:tc>
            </w:tr>
            <w:tr w:rsidR="009C6940" w:rsidRPr="00EF7969" w14:paraId="5657B007" w14:textId="77777777" w:rsidTr="009C6940">
              <w:tc>
                <w:tcPr>
                  <w:tcW w:w="6378" w:type="dxa"/>
                  <w:shd w:val="clear" w:color="auto" w:fill="auto"/>
                </w:tcPr>
                <w:p w14:paraId="3FAD99BA" w14:textId="77777777" w:rsidR="009C6940" w:rsidRPr="00EF7969" w:rsidRDefault="009C6940" w:rsidP="009C6940">
                  <w:pPr>
                    <w:pStyle w:val="TableBodyText"/>
                    <w:jc w:val="left"/>
                  </w:pPr>
                  <w:r w:rsidRPr="00EF7969">
                    <w:t>Eastern Health – Murnong Adult Mental Health</w:t>
                  </w:r>
                </w:p>
              </w:tc>
              <w:tc>
                <w:tcPr>
                  <w:tcW w:w="2126" w:type="dxa"/>
                  <w:shd w:val="clear" w:color="auto" w:fill="auto"/>
                </w:tcPr>
                <w:p w14:paraId="01EF59E1" w14:textId="77777777" w:rsidR="009C6940" w:rsidRPr="00EF7969" w:rsidRDefault="009C6940" w:rsidP="009C6940">
                  <w:pPr>
                    <w:pStyle w:val="TableBodyText"/>
                  </w:pPr>
                  <w:r w:rsidRPr="00EF7969">
                    <w:t>187</w:t>
                  </w:r>
                </w:p>
              </w:tc>
            </w:tr>
            <w:tr w:rsidR="009C6940" w:rsidRPr="00EF7969" w14:paraId="5072C12C" w14:textId="77777777" w:rsidTr="009C6940">
              <w:tc>
                <w:tcPr>
                  <w:tcW w:w="6378" w:type="dxa"/>
                  <w:shd w:val="clear" w:color="auto" w:fill="auto"/>
                </w:tcPr>
                <w:p w14:paraId="7D08EB96" w14:textId="77777777" w:rsidR="009C6940" w:rsidRPr="00EF7969" w:rsidRDefault="009C6940" w:rsidP="009C6940">
                  <w:pPr>
                    <w:pStyle w:val="TableBodyText"/>
                    <w:jc w:val="left"/>
                  </w:pPr>
                  <w:r w:rsidRPr="00EF7969">
                    <w:t>Eastern Mental Health Service Coordination Alliance (EMHSCA)</w:t>
                  </w:r>
                </w:p>
              </w:tc>
              <w:tc>
                <w:tcPr>
                  <w:tcW w:w="2126" w:type="dxa"/>
                  <w:shd w:val="clear" w:color="auto" w:fill="auto"/>
                </w:tcPr>
                <w:p w14:paraId="5A42D1AD" w14:textId="77777777" w:rsidR="009C6940" w:rsidRPr="00EF7969" w:rsidRDefault="009C6940" w:rsidP="009C6940">
                  <w:pPr>
                    <w:pStyle w:val="TableBodyText"/>
                  </w:pPr>
                  <w:r w:rsidRPr="00EF7969">
                    <w:t>578</w:t>
                  </w:r>
                </w:p>
              </w:tc>
            </w:tr>
            <w:tr w:rsidR="009C6940" w:rsidRPr="00EF7969" w14:paraId="3084A289" w14:textId="77777777" w:rsidTr="009C6940">
              <w:tc>
                <w:tcPr>
                  <w:tcW w:w="6378" w:type="dxa"/>
                  <w:shd w:val="clear" w:color="auto" w:fill="auto"/>
                </w:tcPr>
                <w:p w14:paraId="5D69A154" w14:textId="77777777" w:rsidR="009C6940" w:rsidRPr="00EF7969" w:rsidRDefault="009C6940" w:rsidP="009C6940">
                  <w:pPr>
                    <w:pStyle w:val="TableBodyText"/>
                    <w:jc w:val="left"/>
                  </w:pPr>
                  <w:r w:rsidRPr="00EF7969">
                    <w:t>Eating Disorders Victoria (EDV)</w:t>
                  </w:r>
                </w:p>
              </w:tc>
              <w:tc>
                <w:tcPr>
                  <w:tcW w:w="2126" w:type="dxa"/>
                  <w:shd w:val="clear" w:color="auto" w:fill="auto"/>
                </w:tcPr>
                <w:p w14:paraId="385F0662" w14:textId="77777777" w:rsidR="009C6940" w:rsidRPr="00EF7969" w:rsidRDefault="009C6940" w:rsidP="009C6940">
                  <w:pPr>
                    <w:pStyle w:val="TableBodyText"/>
                  </w:pPr>
                  <w:r w:rsidRPr="00EF7969">
                    <w:t>54, 329, 892</w:t>
                  </w:r>
                </w:p>
              </w:tc>
            </w:tr>
            <w:tr w:rsidR="009C6940" w:rsidRPr="00EF7969" w14:paraId="5E0CB062" w14:textId="77777777" w:rsidTr="009C6940">
              <w:tc>
                <w:tcPr>
                  <w:tcW w:w="6378" w:type="dxa"/>
                  <w:shd w:val="clear" w:color="auto" w:fill="auto"/>
                </w:tcPr>
                <w:p w14:paraId="6B5C3FCD" w14:textId="77777777" w:rsidR="009C6940" w:rsidRPr="00EF7969" w:rsidRDefault="009C6940" w:rsidP="009C6940">
                  <w:pPr>
                    <w:pStyle w:val="TableBodyText"/>
                    <w:jc w:val="left"/>
                  </w:pPr>
                  <w:r w:rsidRPr="00EF7969">
                    <w:t>Eclectic Consumers Collective</w:t>
                  </w:r>
                </w:p>
              </w:tc>
              <w:tc>
                <w:tcPr>
                  <w:tcW w:w="2126" w:type="dxa"/>
                  <w:shd w:val="clear" w:color="auto" w:fill="auto"/>
                </w:tcPr>
                <w:p w14:paraId="4D089A1A" w14:textId="77777777" w:rsidR="009C6940" w:rsidRPr="00EF7969" w:rsidRDefault="009C6940" w:rsidP="009C6940">
                  <w:pPr>
                    <w:pStyle w:val="TableBodyText"/>
                  </w:pPr>
                  <w:r w:rsidRPr="00EF7969">
                    <w:t>625</w:t>
                  </w:r>
                </w:p>
              </w:tc>
            </w:tr>
            <w:tr w:rsidR="009C6940" w:rsidRPr="00EF7969" w14:paraId="7A84F797" w14:textId="77777777" w:rsidTr="009C6940">
              <w:tc>
                <w:tcPr>
                  <w:tcW w:w="6378" w:type="dxa"/>
                  <w:shd w:val="clear" w:color="auto" w:fill="auto"/>
                </w:tcPr>
                <w:p w14:paraId="27D790BF" w14:textId="77777777" w:rsidR="009C6940" w:rsidRPr="00EF7969" w:rsidRDefault="009C6940" w:rsidP="009C6940">
                  <w:pPr>
                    <w:pStyle w:val="TableBodyText"/>
                    <w:jc w:val="left"/>
                  </w:pPr>
                  <w:r w:rsidRPr="00EF7969">
                    <w:t>Effie Zafirakis</w:t>
                  </w:r>
                </w:p>
              </w:tc>
              <w:tc>
                <w:tcPr>
                  <w:tcW w:w="2126" w:type="dxa"/>
                  <w:shd w:val="clear" w:color="auto" w:fill="auto"/>
                </w:tcPr>
                <w:p w14:paraId="13D8AD81" w14:textId="77777777" w:rsidR="009C6940" w:rsidRPr="00EF7969" w:rsidRDefault="009C6940" w:rsidP="009C6940">
                  <w:pPr>
                    <w:pStyle w:val="TableBodyText"/>
                  </w:pPr>
                  <w:r w:rsidRPr="00EF7969">
                    <w:t>368</w:t>
                  </w:r>
                </w:p>
              </w:tc>
            </w:tr>
            <w:tr w:rsidR="009C6940" w:rsidRPr="00EF7969" w14:paraId="2D128665" w14:textId="77777777" w:rsidTr="009C6940">
              <w:tc>
                <w:tcPr>
                  <w:tcW w:w="6378" w:type="dxa"/>
                  <w:shd w:val="clear" w:color="auto" w:fill="auto"/>
                </w:tcPr>
                <w:p w14:paraId="5A1B51DE" w14:textId="77777777" w:rsidR="009C6940" w:rsidRPr="00EF7969" w:rsidRDefault="009C6940" w:rsidP="009C6940">
                  <w:pPr>
                    <w:pStyle w:val="TableBodyText"/>
                    <w:jc w:val="left"/>
                  </w:pPr>
                  <w:r w:rsidRPr="00EF7969">
                    <w:t>EFT Australia Pty Ltd</w:t>
                  </w:r>
                </w:p>
              </w:tc>
              <w:tc>
                <w:tcPr>
                  <w:tcW w:w="2126" w:type="dxa"/>
                  <w:shd w:val="clear" w:color="auto" w:fill="auto"/>
                </w:tcPr>
                <w:p w14:paraId="65208EC8" w14:textId="77777777" w:rsidR="009C6940" w:rsidRPr="00EF7969" w:rsidRDefault="009C6940" w:rsidP="009C6940">
                  <w:pPr>
                    <w:pStyle w:val="TableBodyText"/>
                  </w:pPr>
                  <w:r w:rsidRPr="00EF7969">
                    <w:t>89</w:t>
                  </w:r>
                </w:p>
              </w:tc>
            </w:tr>
            <w:tr w:rsidR="009C6940" w:rsidRPr="00EF7969" w14:paraId="51CA7EFC" w14:textId="77777777" w:rsidTr="009C6940">
              <w:tc>
                <w:tcPr>
                  <w:tcW w:w="6378" w:type="dxa"/>
                  <w:shd w:val="clear" w:color="auto" w:fill="auto"/>
                </w:tcPr>
                <w:p w14:paraId="3ABA8E35" w14:textId="77777777" w:rsidR="009C6940" w:rsidRPr="00EF7969" w:rsidRDefault="009C6940" w:rsidP="009C6940">
                  <w:pPr>
                    <w:pStyle w:val="TableBodyText"/>
                    <w:jc w:val="left"/>
                  </w:pPr>
                  <w:r w:rsidRPr="00EF7969">
                    <w:t>Elana Saks</w:t>
                  </w:r>
                </w:p>
              </w:tc>
              <w:tc>
                <w:tcPr>
                  <w:tcW w:w="2126" w:type="dxa"/>
                  <w:shd w:val="clear" w:color="auto" w:fill="auto"/>
                </w:tcPr>
                <w:p w14:paraId="21EE65F7" w14:textId="77777777" w:rsidR="009C6940" w:rsidRPr="00EF7969" w:rsidRDefault="009C6940" w:rsidP="009C6940">
                  <w:pPr>
                    <w:pStyle w:val="TableBodyText"/>
                  </w:pPr>
                  <w:r w:rsidRPr="00EF7969">
                    <w:t>1052</w:t>
                  </w:r>
                </w:p>
              </w:tc>
            </w:tr>
            <w:tr w:rsidR="009C6940" w:rsidRPr="00EF7969" w14:paraId="5AD8EA46" w14:textId="77777777" w:rsidTr="009C6940">
              <w:tc>
                <w:tcPr>
                  <w:tcW w:w="6378" w:type="dxa"/>
                  <w:shd w:val="clear" w:color="auto" w:fill="auto"/>
                </w:tcPr>
                <w:p w14:paraId="6076639C" w14:textId="77777777" w:rsidR="009C6940" w:rsidRPr="00EF7969" w:rsidRDefault="009C6940" w:rsidP="009C6940">
                  <w:pPr>
                    <w:pStyle w:val="TableBodyText"/>
                    <w:jc w:val="left"/>
                  </w:pPr>
                  <w:r w:rsidRPr="00EF7969">
                    <w:t>Eleanor Simpson</w:t>
                  </w:r>
                </w:p>
              </w:tc>
              <w:tc>
                <w:tcPr>
                  <w:tcW w:w="2126" w:type="dxa"/>
                  <w:shd w:val="clear" w:color="auto" w:fill="auto"/>
                </w:tcPr>
                <w:p w14:paraId="38D83E40" w14:textId="77777777" w:rsidR="009C6940" w:rsidRPr="00EF7969" w:rsidRDefault="009C6940" w:rsidP="009C6940">
                  <w:pPr>
                    <w:pStyle w:val="TableBodyText"/>
                  </w:pPr>
                  <w:r w:rsidRPr="00EF7969">
                    <w:t>1023</w:t>
                  </w:r>
                </w:p>
              </w:tc>
            </w:tr>
            <w:tr w:rsidR="009C6940" w:rsidRPr="00EF7969" w14:paraId="256F7461" w14:textId="77777777" w:rsidTr="009C6940">
              <w:tc>
                <w:tcPr>
                  <w:tcW w:w="6378" w:type="dxa"/>
                  <w:shd w:val="clear" w:color="auto" w:fill="auto"/>
                </w:tcPr>
                <w:p w14:paraId="4EA07524" w14:textId="77777777" w:rsidR="009C6940" w:rsidRPr="00EF7969" w:rsidRDefault="009C6940" w:rsidP="009C6940">
                  <w:pPr>
                    <w:pStyle w:val="TableBodyText"/>
                    <w:jc w:val="left"/>
                  </w:pPr>
                  <w:r w:rsidRPr="00EF7969">
                    <w:t>Elizabeth Ducasse</w:t>
                  </w:r>
                </w:p>
              </w:tc>
              <w:tc>
                <w:tcPr>
                  <w:tcW w:w="2126" w:type="dxa"/>
                  <w:shd w:val="clear" w:color="auto" w:fill="auto"/>
                </w:tcPr>
                <w:p w14:paraId="7CBACDA0" w14:textId="77777777" w:rsidR="009C6940" w:rsidRPr="00EF7969" w:rsidRDefault="009C6940" w:rsidP="009C6940">
                  <w:pPr>
                    <w:pStyle w:val="TableBodyText"/>
                  </w:pPr>
                  <w:r w:rsidRPr="00EF7969">
                    <w:t>1029</w:t>
                  </w:r>
                </w:p>
              </w:tc>
            </w:tr>
            <w:tr w:rsidR="009C6940" w:rsidRPr="00EF7969" w14:paraId="3E22E8F8" w14:textId="77777777" w:rsidTr="009C6940">
              <w:tc>
                <w:tcPr>
                  <w:tcW w:w="6378" w:type="dxa"/>
                  <w:shd w:val="clear" w:color="auto" w:fill="auto"/>
                </w:tcPr>
                <w:p w14:paraId="3FD06D74" w14:textId="77777777" w:rsidR="009C6940" w:rsidRPr="00EF7969" w:rsidRDefault="009C6940" w:rsidP="009C6940">
                  <w:pPr>
                    <w:pStyle w:val="TableBodyText"/>
                    <w:jc w:val="left"/>
                  </w:pPr>
                  <w:r w:rsidRPr="00EF7969">
                    <w:t>Ellena Bromwell</w:t>
                  </w:r>
                </w:p>
              </w:tc>
              <w:tc>
                <w:tcPr>
                  <w:tcW w:w="2126" w:type="dxa"/>
                  <w:shd w:val="clear" w:color="auto" w:fill="auto"/>
                </w:tcPr>
                <w:p w14:paraId="3A03C82B" w14:textId="77777777" w:rsidR="009C6940" w:rsidRPr="00EF7969" w:rsidRDefault="009C6940" w:rsidP="009C6940">
                  <w:pPr>
                    <w:pStyle w:val="TableBodyText"/>
                  </w:pPr>
                  <w:r w:rsidRPr="00EF7969">
                    <w:t>1024</w:t>
                  </w:r>
                </w:p>
              </w:tc>
            </w:tr>
            <w:tr w:rsidR="009C6940" w:rsidRPr="00EF7969" w14:paraId="3F965085" w14:textId="77777777" w:rsidTr="009C6940">
              <w:tc>
                <w:tcPr>
                  <w:tcW w:w="6378" w:type="dxa"/>
                  <w:shd w:val="clear" w:color="auto" w:fill="auto"/>
                </w:tcPr>
                <w:p w14:paraId="5C5059A5" w14:textId="77777777" w:rsidR="009C6940" w:rsidRPr="00EF7969" w:rsidRDefault="009C6940" w:rsidP="009C6940">
                  <w:pPr>
                    <w:pStyle w:val="TableBodyText"/>
                    <w:jc w:val="left"/>
                  </w:pPr>
                  <w:r w:rsidRPr="00EF7969">
                    <w:t>Elucidate</w:t>
                  </w:r>
                </w:p>
              </w:tc>
              <w:tc>
                <w:tcPr>
                  <w:tcW w:w="2126" w:type="dxa"/>
                  <w:shd w:val="clear" w:color="auto" w:fill="auto"/>
                </w:tcPr>
                <w:p w14:paraId="118BE9D5" w14:textId="77777777" w:rsidR="009C6940" w:rsidRPr="00EF7969" w:rsidRDefault="009C6940" w:rsidP="009C6940">
                  <w:pPr>
                    <w:pStyle w:val="TableBodyText"/>
                  </w:pPr>
                  <w:r w:rsidRPr="00EF7969">
                    <w:t>755</w:t>
                  </w:r>
                </w:p>
              </w:tc>
            </w:tr>
            <w:tr w:rsidR="009C6940" w:rsidRPr="00EF7969" w14:paraId="58019925" w14:textId="77777777" w:rsidTr="009C6940">
              <w:tc>
                <w:tcPr>
                  <w:tcW w:w="6378" w:type="dxa"/>
                  <w:shd w:val="clear" w:color="auto" w:fill="auto"/>
                </w:tcPr>
                <w:p w14:paraId="049BC461" w14:textId="77777777" w:rsidR="009C6940" w:rsidRPr="00EF7969" w:rsidRDefault="009C6940" w:rsidP="009C6940">
                  <w:pPr>
                    <w:pStyle w:val="TableBodyText"/>
                    <w:jc w:val="left"/>
                  </w:pPr>
                  <w:r w:rsidRPr="00EF7969">
                    <w:t>e-Mental Health In Practice (eMHPrac)</w:t>
                  </w:r>
                </w:p>
              </w:tc>
              <w:tc>
                <w:tcPr>
                  <w:tcW w:w="2126" w:type="dxa"/>
                  <w:shd w:val="clear" w:color="auto" w:fill="auto"/>
                </w:tcPr>
                <w:p w14:paraId="66C96A58" w14:textId="77777777" w:rsidR="009C6940" w:rsidRPr="00EF7969" w:rsidRDefault="009C6940" w:rsidP="009C6940">
                  <w:pPr>
                    <w:pStyle w:val="TableBodyText"/>
                  </w:pPr>
                  <w:r w:rsidRPr="00EF7969">
                    <w:t>602</w:t>
                  </w:r>
                </w:p>
              </w:tc>
            </w:tr>
            <w:tr w:rsidR="009C6940" w:rsidRPr="00EF7969" w14:paraId="7E1B72BB" w14:textId="77777777" w:rsidTr="009C6940">
              <w:tc>
                <w:tcPr>
                  <w:tcW w:w="6378" w:type="dxa"/>
                  <w:shd w:val="clear" w:color="auto" w:fill="auto"/>
                </w:tcPr>
                <w:p w14:paraId="505CFEDA" w14:textId="77777777" w:rsidR="009C6940" w:rsidRPr="00EF7969" w:rsidRDefault="009C6940" w:rsidP="009C6940">
                  <w:pPr>
                    <w:pStyle w:val="TableBodyText"/>
                    <w:jc w:val="left"/>
                  </w:pPr>
                  <w:r w:rsidRPr="00EF7969">
                    <w:t>Emerging Minds</w:t>
                  </w:r>
                </w:p>
              </w:tc>
              <w:tc>
                <w:tcPr>
                  <w:tcW w:w="2126" w:type="dxa"/>
                  <w:shd w:val="clear" w:color="auto" w:fill="auto"/>
                </w:tcPr>
                <w:p w14:paraId="1AA9C5F1" w14:textId="77777777" w:rsidR="009C6940" w:rsidRPr="00EF7969" w:rsidRDefault="009C6940" w:rsidP="009C6940">
                  <w:pPr>
                    <w:pStyle w:val="TableBodyText"/>
                  </w:pPr>
                  <w:r w:rsidRPr="00EF7969">
                    <w:t>455, 944</w:t>
                  </w:r>
                </w:p>
              </w:tc>
            </w:tr>
            <w:tr w:rsidR="009C6940" w:rsidRPr="00EF7969" w14:paraId="308D5AE7" w14:textId="77777777" w:rsidTr="009C6940">
              <w:tc>
                <w:tcPr>
                  <w:tcW w:w="6378" w:type="dxa"/>
                  <w:shd w:val="clear" w:color="auto" w:fill="auto"/>
                </w:tcPr>
                <w:p w14:paraId="7E0D7B5F" w14:textId="77777777" w:rsidR="009C6940" w:rsidRPr="00EF7969" w:rsidRDefault="009C6940" w:rsidP="009C6940">
                  <w:pPr>
                    <w:pStyle w:val="TableBodyText"/>
                    <w:jc w:val="left"/>
                  </w:pPr>
                  <w:r w:rsidRPr="00EF7969">
                    <w:t>Emily Liu</w:t>
                  </w:r>
                </w:p>
              </w:tc>
              <w:tc>
                <w:tcPr>
                  <w:tcW w:w="2126" w:type="dxa"/>
                  <w:shd w:val="clear" w:color="auto" w:fill="auto"/>
                </w:tcPr>
                <w:p w14:paraId="6642ED10" w14:textId="77777777" w:rsidR="009C6940" w:rsidRPr="00EF7969" w:rsidRDefault="009C6940" w:rsidP="009C6940">
                  <w:pPr>
                    <w:pStyle w:val="TableBodyText"/>
                  </w:pPr>
                  <w:r w:rsidRPr="00EF7969">
                    <w:t>1125</w:t>
                  </w:r>
                </w:p>
              </w:tc>
            </w:tr>
            <w:tr w:rsidR="009C6940" w:rsidRPr="00EF7969" w14:paraId="7EC8D4F1" w14:textId="77777777" w:rsidTr="009C6940">
              <w:tc>
                <w:tcPr>
                  <w:tcW w:w="6378" w:type="dxa"/>
                  <w:shd w:val="clear" w:color="auto" w:fill="auto"/>
                </w:tcPr>
                <w:p w14:paraId="39E50C76" w14:textId="77777777" w:rsidR="009C6940" w:rsidRPr="00EF7969" w:rsidRDefault="009C6940" w:rsidP="009C6940">
                  <w:pPr>
                    <w:pStyle w:val="TableBodyText"/>
                    <w:jc w:val="left"/>
                  </w:pPr>
                  <w:r w:rsidRPr="00EF7969">
                    <w:t>EML</w:t>
                  </w:r>
                </w:p>
              </w:tc>
              <w:tc>
                <w:tcPr>
                  <w:tcW w:w="2126" w:type="dxa"/>
                  <w:shd w:val="clear" w:color="auto" w:fill="auto"/>
                </w:tcPr>
                <w:p w14:paraId="231BDBB8" w14:textId="77777777" w:rsidR="009C6940" w:rsidRPr="00EF7969" w:rsidRDefault="009C6940" w:rsidP="009C6940">
                  <w:pPr>
                    <w:pStyle w:val="TableBodyText"/>
                  </w:pPr>
                  <w:r w:rsidRPr="00EF7969">
                    <w:t>117</w:t>
                  </w:r>
                </w:p>
              </w:tc>
            </w:tr>
            <w:tr w:rsidR="009C6940" w:rsidRPr="00EF7969" w14:paraId="50DCC522" w14:textId="77777777" w:rsidTr="009C6940">
              <w:tc>
                <w:tcPr>
                  <w:tcW w:w="6378" w:type="dxa"/>
                  <w:shd w:val="clear" w:color="auto" w:fill="auto"/>
                </w:tcPr>
                <w:p w14:paraId="799E1D1B" w14:textId="77777777" w:rsidR="009C6940" w:rsidRPr="00EF7969" w:rsidRDefault="009C6940" w:rsidP="009C6940">
                  <w:pPr>
                    <w:pStyle w:val="TableBodyText"/>
                    <w:jc w:val="left"/>
                  </w:pPr>
                  <w:r w:rsidRPr="00EF7969">
                    <w:t>Emma Downey</w:t>
                  </w:r>
                </w:p>
              </w:tc>
              <w:tc>
                <w:tcPr>
                  <w:tcW w:w="2126" w:type="dxa"/>
                  <w:shd w:val="clear" w:color="auto" w:fill="auto"/>
                </w:tcPr>
                <w:p w14:paraId="41CF82E1" w14:textId="77777777" w:rsidR="009C6940" w:rsidRPr="00EF7969" w:rsidRDefault="009C6940" w:rsidP="009C6940">
                  <w:pPr>
                    <w:pStyle w:val="TableBodyText"/>
                  </w:pPr>
                  <w:r w:rsidRPr="00EF7969">
                    <w:t>1105</w:t>
                  </w:r>
                </w:p>
              </w:tc>
            </w:tr>
            <w:tr w:rsidR="009C6940" w:rsidRPr="00EF7969" w14:paraId="08E1E40E" w14:textId="77777777" w:rsidTr="009C6940">
              <w:tc>
                <w:tcPr>
                  <w:tcW w:w="6378" w:type="dxa"/>
                  <w:tcBorders>
                    <w:bottom w:val="single" w:sz="4" w:space="0" w:color="BFBFBF" w:themeColor="background1" w:themeShade="BF"/>
                  </w:tcBorders>
                  <w:shd w:val="clear" w:color="auto" w:fill="auto"/>
                </w:tcPr>
                <w:p w14:paraId="4083898F" w14:textId="77777777" w:rsidR="009C6940" w:rsidRPr="00EF7969" w:rsidRDefault="009C6940" w:rsidP="009C6940">
                  <w:pPr>
                    <w:pStyle w:val="TableBodyText"/>
                    <w:jc w:val="left"/>
                  </w:pPr>
                  <w:r w:rsidRPr="00EF7969">
                    <w:t>Emma Spinks</w:t>
                  </w:r>
                </w:p>
              </w:tc>
              <w:tc>
                <w:tcPr>
                  <w:tcW w:w="2126" w:type="dxa"/>
                  <w:tcBorders>
                    <w:bottom w:val="single" w:sz="4" w:space="0" w:color="BFBFBF" w:themeColor="background1" w:themeShade="BF"/>
                  </w:tcBorders>
                  <w:shd w:val="clear" w:color="auto" w:fill="auto"/>
                </w:tcPr>
                <w:p w14:paraId="1141157C" w14:textId="77777777" w:rsidR="009C6940" w:rsidRPr="00EF7969" w:rsidRDefault="009C6940" w:rsidP="009C6940">
                  <w:pPr>
                    <w:pStyle w:val="TableBodyText"/>
                  </w:pPr>
                  <w:r w:rsidRPr="00EF7969">
                    <w:t>573</w:t>
                  </w:r>
                </w:p>
              </w:tc>
            </w:tr>
          </w:tbl>
          <w:p w14:paraId="5CF6B4CA" w14:textId="77777777" w:rsidR="009C6940" w:rsidRPr="00EF7969" w:rsidRDefault="009C6940" w:rsidP="009C6940">
            <w:pPr>
              <w:pStyle w:val="Box"/>
            </w:pPr>
          </w:p>
        </w:tc>
      </w:tr>
      <w:tr w:rsidR="009C6940" w:rsidRPr="00EF7969" w14:paraId="659B753C" w14:textId="77777777" w:rsidTr="009C6940">
        <w:tc>
          <w:tcPr>
            <w:tcW w:w="8789" w:type="dxa"/>
            <w:tcBorders>
              <w:top w:val="nil"/>
              <w:left w:val="nil"/>
              <w:bottom w:val="nil"/>
              <w:right w:val="nil"/>
            </w:tcBorders>
            <w:shd w:val="clear" w:color="auto" w:fill="auto"/>
          </w:tcPr>
          <w:p w14:paraId="51B69C6A" w14:textId="77777777" w:rsidR="009C6940" w:rsidRPr="00EF7969" w:rsidRDefault="009C6940" w:rsidP="009C6940">
            <w:pPr>
              <w:pStyle w:val="Continued"/>
            </w:pPr>
            <w:r w:rsidRPr="00EF7969">
              <w:t>(continued next page)</w:t>
            </w:r>
          </w:p>
        </w:tc>
      </w:tr>
      <w:tr w:rsidR="009C6940" w:rsidRPr="00EF7969" w14:paraId="079954F3" w14:textId="77777777" w:rsidTr="009C6940">
        <w:tc>
          <w:tcPr>
            <w:tcW w:w="8789" w:type="dxa"/>
            <w:tcBorders>
              <w:top w:val="nil"/>
              <w:left w:val="nil"/>
              <w:bottom w:val="single" w:sz="6" w:space="0" w:color="78A22F"/>
              <w:right w:val="nil"/>
            </w:tcBorders>
            <w:shd w:val="clear" w:color="auto" w:fill="auto"/>
          </w:tcPr>
          <w:p w14:paraId="17ED59C3" w14:textId="77777777" w:rsidR="009C6940" w:rsidRPr="00EF7969" w:rsidRDefault="009C6940" w:rsidP="009C6940">
            <w:pPr>
              <w:pStyle w:val="Box"/>
              <w:spacing w:before="0" w:line="120" w:lineRule="exact"/>
            </w:pPr>
          </w:p>
        </w:tc>
      </w:tr>
      <w:tr w:rsidR="009C6940" w:rsidRPr="00EF7969" w14:paraId="1EE101D4" w14:textId="77777777" w:rsidTr="009C6940">
        <w:tc>
          <w:tcPr>
            <w:tcW w:w="8789" w:type="dxa"/>
            <w:tcBorders>
              <w:top w:val="single" w:sz="6" w:space="0" w:color="78A22F"/>
              <w:left w:val="nil"/>
              <w:bottom w:val="nil"/>
              <w:right w:val="nil"/>
            </w:tcBorders>
          </w:tcPr>
          <w:p w14:paraId="205CB037" w14:textId="77777777" w:rsidR="009C6940" w:rsidRPr="00EF7969" w:rsidRDefault="009C6940" w:rsidP="009C6940">
            <w:pPr>
              <w:pStyle w:val="BoxSpaceBelow"/>
            </w:pPr>
          </w:p>
        </w:tc>
      </w:tr>
    </w:tbl>
    <w:p w14:paraId="390FDF4F"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00EB627C" w14:textId="77777777" w:rsidTr="009C6940">
        <w:trPr>
          <w:tblHeader/>
        </w:trPr>
        <w:tc>
          <w:tcPr>
            <w:tcW w:w="8789" w:type="dxa"/>
            <w:tcBorders>
              <w:top w:val="single" w:sz="6" w:space="0" w:color="78A22F"/>
              <w:left w:val="nil"/>
              <w:bottom w:val="nil"/>
              <w:right w:val="nil"/>
            </w:tcBorders>
            <w:shd w:val="clear" w:color="auto" w:fill="auto"/>
          </w:tcPr>
          <w:p w14:paraId="30F6A381"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6872801F"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77C56ADC"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612DE19F"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383581E8" w14:textId="77777777" w:rsidR="009C6940" w:rsidRPr="00EF7969" w:rsidRDefault="009C6940" w:rsidP="009C6940">
                  <w:pPr>
                    <w:pStyle w:val="TableColumnHeading"/>
                    <w:ind w:right="28"/>
                  </w:pPr>
                  <w:r w:rsidRPr="00EF7969">
                    <w:t>Submission no.</w:t>
                  </w:r>
                </w:p>
              </w:tc>
            </w:tr>
            <w:tr w:rsidR="009C6940" w:rsidRPr="00EF7969" w14:paraId="1818BF27" w14:textId="77777777" w:rsidTr="009C6940">
              <w:tc>
                <w:tcPr>
                  <w:tcW w:w="6377" w:type="dxa"/>
                  <w:shd w:val="clear" w:color="auto" w:fill="auto"/>
                </w:tcPr>
                <w:p w14:paraId="6BA161FF" w14:textId="77777777" w:rsidR="009C6940" w:rsidRPr="00EF7969" w:rsidRDefault="009C6940" w:rsidP="009C6940">
                  <w:pPr>
                    <w:pStyle w:val="TableBodyText"/>
                    <w:spacing w:before="40"/>
                    <w:jc w:val="left"/>
                  </w:pPr>
                  <w:r w:rsidRPr="00EF7969">
                    <w:t>Emma</w:t>
                  </w:r>
                  <w:r w:rsidRPr="00EF7969">
                    <w:noBreakHyphen/>
                    <w:t>Kate Muir</w:t>
                  </w:r>
                </w:p>
              </w:tc>
              <w:tc>
                <w:tcPr>
                  <w:tcW w:w="2126" w:type="dxa"/>
                  <w:shd w:val="clear" w:color="auto" w:fill="auto"/>
                </w:tcPr>
                <w:p w14:paraId="29395904" w14:textId="77777777" w:rsidR="009C6940" w:rsidRPr="00EF7969" w:rsidRDefault="009C6940" w:rsidP="009C6940">
                  <w:pPr>
                    <w:pStyle w:val="TableBodyText"/>
                    <w:spacing w:before="40"/>
                  </w:pPr>
                  <w:r w:rsidRPr="00EF7969">
                    <w:t>338</w:t>
                  </w:r>
                </w:p>
              </w:tc>
            </w:tr>
            <w:tr w:rsidR="009C6940" w:rsidRPr="00EF7969" w14:paraId="32968454" w14:textId="77777777" w:rsidTr="009C6940">
              <w:tc>
                <w:tcPr>
                  <w:tcW w:w="6377" w:type="dxa"/>
                  <w:shd w:val="clear" w:color="auto" w:fill="auto"/>
                </w:tcPr>
                <w:p w14:paraId="086A06B3" w14:textId="77777777" w:rsidR="009C6940" w:rsidRPr="00EF7969" w:rsidRDefault="009C6940" w:rsidP="009C6940">
                  <w:pPr>
                    <w:pStyle w:val="TableBodyText"/>
                    <w:jc w:val="left"/>
                  </w:pPr>
                  <w:r w:rsidRPr="00EF7969">
                    <w:t>Employee Assistance Professionals Association of Australasia (EAPAA)</w:t>
                  </w:r>
                </w:p>
              </w:tc>
              <w:tc>
                <w:tcPr>
                  <w:tcW w:w="2126" w:type="dxa"/>
                  <w:shd w:val="clear" w:color="auto" w:fill="auto"/>
                </w:tcPr>
                <w:p w14:paraId="668FB819" w14:textId="77777777" w:rsidR="009C6940" w:rsidRPr="00EF7969" w:rsidRDefault="009C6940" w:rsidP="009C6940">
                  <w:pPr>
                    <w:pStyle w:val="TableBodyText"/>
                  </w:pPr>
                  <w:r w:rsidRPr="00EF7969">
                    <w:t>411, 668</w:t>
                  </w:r>
                </w:p>
              </w:tc>
            </w:tr>
            <w:tr w:rsidR="009C6940" w:rsidRPr="00EF7969" w14:paraId="540EF4BA" w14:textId="77777777" w:rsidTr="009C6940">
              <w:tc>
                <w:tcPr>
                  <w:tcW w:w="6377" w:type="dxa"/>
                  <w:shd w:val="clear" w:color="auto" w:fill="auto"/>
                </w:tcPr>
                <w:p w14:paraId="535F5DE9" w14:textId="77777777" w:rsidR="009C6940" w:rsidRPr="00EF7969" w:rsidRDefault="009C6940" w:rsidP="009C6940">
                  <w:pPr>
                    <w:pStyle w:val="TableBodyText"/>
                    <w:jc w:val="left"/>
                  </w:pPr>
                  <w:r w:rsidRPr="00EF7969">
                    <w:t>English Australia</w:t>
                  </w:r>
                </w:p>
              </w:tc>
              <w:tc>
                <w:tcPr>
                  <w:tcW w:w="2126" w:type="dxa"/>
                  <w:shd w:val="clear" w:color="auto" w:fill="auto"/>
                </w:tcPr>
                <w:p w14:paraId="0CA293DB" w14:textId="77777777" w:rsidR="009C6940" w:rsidRPr="00EF7969" w:rsidRDefault="009C6940" w:rsidP="009C6940">
                  <w:pPr>
                    <w:pStyle w:val="TableBodyText"/>
                  </w:pPr>
                  <w:r w:rsidRPr="00EF7969">
                    <w:t>905</w:t>
                  </w:r>
                </w:p>
              </w:tc>
            </w:tr>
            <w:tr w:rsidR="009C6940" w:rsidRPr="00EF7969" w14:paraId="18DE374D" w14:textId="77777777" w:rsidTr="009C6940">
              <w:tc>
                <w:tcPr>
                  <w:tcW w:w="6377" w:type="dxa"/>
                  <w:shd w:val="clear" w:color="auto" w:fill="auto"/>
                </w:tcPr>
                <w:p w14:paraId="5CCF57F0" w14:textId="77777777" w:rsidR="009C6940" w:rsidRPr="00EF7969" w:rsidRDefault="009C6940" w:rsidP="009C6940">
                  <w:pPr>
                    <w:pStyle w:val="TableBodyText"/>
                    <w:jc w:val="left"/>
                  </w:pPr>
                  <w:r w:rsidRPr="00EF7969">
                    <w:t>Equally Well Australia</w:t>
                  </w:r>
                </w:p>
              </w:tc>
              <w:tc>
                <w:tcPr>
                  <w:tcW w:w="2126" w:type="dxa"/>
                  <w:shd w:val="clear" w:color="auto" w:fill="auto"/>
                </w:tcPr>
                <w:p w14:paraId="196D8043" w14:textId="77777777" w:rsidR="009C6940" w:rsidRPr="00EF7969" w:rsidRDefault="009C6940" w:rsidP="009C6940">
                  <w:pPr>
                    <w:pStyle w:val="TableBodyText"/>
                  </w:pPr>
                  <w:r w:rsidRPr="00EF7969">
                    <w:t>833</w:t>
                  </w:r>
                </w:p>
              </w:tc>
            </w:tr>
            <w:tr w:rsidR="009C6940" w:rsidRPr="00EF7969" w14:paraId="1323770B" w14:textId="77777777" w:rsidTr="009C6940">
              <w:tc>
                <w:tcPr>
                  <w:tcW w:w="6377" w:type="dxa"/>
                  <w:shd w:val="clear" w:color="auto" w:fill="auto"/>
                </w:tcPr>
                <w:p w14:paraId="1FFC37DA" w14:textId="77777777" w:rsidR="009C6940" w:rsidRPr="00EF7969" w:rsidRDefault="009C6940" w:rsidP="009C6940">
                  <w:pPr>
                    <w:pStyle w:val="TableBodyText"/>
                    <w:jc w:val="left"/>
                  </w:pPr>
                  <w:r w:rsidRPr="00EF7969">
                    <w:t>Ernest and Young (EY)</w:t>
                  </w:r>
                </w:p>
              </w:tc>
              <w:tc>
                <w:tcPr>
                  <w:tcW w:w="2126" w:type="dxa"/>
                  <w:shd w:val="clear" w:color="auto" w:fill="auto"/>
                </w:tcPr>
                <w:p w14:paraId="29F7667C" w14:textId="77777777" w:rsidR="009C6940" w:rsidRPr="00EF7969" w:rsidRDefault="009C6940" w:rsidP="009C6940">
                  <w:pPr>
                    <w:pStyle w:val="TableBodyText"/>
                  </w:pPr>
                  <w:r w:rsidRPr="00EF7969">
                    <w:t>1232</w:t>
                  </w:r>
                </w:p>
              </w:tc>
            </w:tr>
            <w:tr w:rsidR="009C6940" w:rsidRPr="00EF7969" w14:paraId="01489439" w14:textId="77777777" w:rsidTr="009C6940">
              <w:tc>
                <w:tcPr>
                  <w:tcW w:w="6377" w:type="dxa"/>
                  <w:shd w:val="clear" w:color="auto" w:fill="auto"/>
                </w:tcPr>
                <w:p w14:paraId="529AAC39" w14:textId="77777777" w:rsidR="009C6940" w:rsidRPr="00EF7969" w:rsidRDefault="009C6940" w:rsidP="009C6940">
                  <w:pPr>
                    <w:pStyle w:val="TableBodyText"/>
                    <w:jc w:val="left"/>
                  </w:pPr>
                  <w:r w:rsidRPr="00EF7969">
                    <w:t>Eva Lenz</w:t>
                  </w:r>
                </w:p>
              </w:tc>
              <w:tc>
                <w:tcPr>
                  <w:tcW w:w="2126" w:type="dxa"/>
                  <w:shd w:val="clear" w:color="auto" w:fill="auto"/>
                </w:tcPr>
                <w:p w14:paraId="12CDEEA3" w14:textId="77777777" w:rsidR="009C6940" w:rsidRPr="00EF7969" w:rsidRDefault="009C6940" w:rsidP="009C6940">
                  <w:pPr>
                    <w:pStyle w:val="TableBodyText"/>
                  </w:pPr>
                  <w:r w:rsidRPr="00EF7969">
                    <w:t>599</w:t>
                  </w:r>
                </w:p>
              </w:tc>
            </w:tr>
            <w:tr w:rsidR="009C6940" w:rsidRPr="00EF7969" w14:paraId="255F29D5" w14:textId="77777777" w:rsidTr="009C6940">
              <w:tc>
                <w:tcPr>
                  <w:tcW w:w="6377" w:type="dxa"/>
                  <w:shd w:val="clear" w:color="auto" w:fill="auto"/>
                </w:tcPr>
                <w:p w14:paraId="586AFA3D" w14:textId="77777777" w:rsidR="009C6940" w:rsidRPr="00EF7969" w:rsidRDefault="009C6940" w:rsidP="009C6940">
                  <w:pPr>
                    <w:pStyle w:val="TableBodyText"/>
                    <w:jc w:val="left"/>
                  </w:pPr>
                  <w:r w:rsidRPr="00EF7969">
                    <w:t>Eva Vaszolyi Psychology Service</w:t>
                  </w:r>
                </w:p>
              </w:tc>
              <w:tc>
                <w:tcPr>
                  <w:tcW w:w="2126" w:type="dxa"/>
                  <w:shd w:val="clear" w:color="auto" w:fill="auto"/>
                </w:tcPr>
                <w:p w14:paraId="1B0EE475" w14:textId="77777777" w:rsidR="009C6940" w:rsidRPr="00EF7969" w:rsidRDefault="009C6940" w:rsidP="009C6940">
                  <w:pPr>
                    <w:pStyle w:val="TableBodyText"/>
                  </w:pPr>
                  <w:r w:rsidRPr="00EF7969">
                    <w:t>693</w:t>
                  </w:r>
                </w:p>
              </w:tc>
            </w:tr>
            <w:tr w:rsidR="009C6940" w:rsidRPr="00EF7969" w14:paraId="373DB975" w14:textId="77777777" w:rsidTr="009C6940">
              <w:tc>
                <w:tcPr>
                  <w:tcW w:w="6377" w:type="dxa"/>
                  <w:shd w:val="clear" w:color="auto" w:fill="auto"/>
                </w:tcPr>
                <w:p w14:paraId="4ED4953D" w14:textId="77777777" w:rsidR="009C6940" w:rsidRPr="00EF7969" w:rsidRDefault="009C6940" w:rsidP="009C6940">
                  <w:pPr>
                    <w:pStyle w:val="TableBodyText"/>
                    <w:jc w:val="left"/>
                  </w:pPr>
                  <w:r w:rsidRPr="00EF7969">
                    <w:t>Evan Duffy</w:t>
                  </w:r>
                </w:p>
              </w:tc>
              <w:tc>
                <w:tcPr>
                  <w:tcW w:w="2126" w:type="dxa"/>
                  <w:shd w:val="clear" w:color="auto" w:fill="auto"/>
                </w:tcPr>
                <w:p w14:paraId="4C6E1C3A" w14:textId="77777777" w:rsidR="009C6940" w:rsidRPr="00EF7969" w:rsidRDefault="009C6940" w:rsidP="009C6940">
                  <w:pPr>
                    <w:pStyle w:val="TableBodyText"/>
                  </w:pPr>
                  <w:r w:rsidRPr="00EF7969">
                    <w:t>1153</w:t>
                  </w:r>
                </w:p>
              </w:tc>
            </w:tr>
            <w:tr w:rsidR="009C6940" w:rsidRPr="00EF7969" w14:paraId="3F757D0C" w14:textId="77777777" w:rsidTr="009C6940">
              <w:tc>
                <w:tcPr>
                  <w:tcW w:w="6377" w:type="dxa"/>
                  <w:shd w:val="clear" w:color="auto" w:fill="auto"/>
                </w:tcPr>
                <w:p w14:paraId="560095EB" w14:textId="77777777" w:rsidR="009C6940" w:rsidRPr="00EF7969" w:rsidRDefault="009C6940" w:rsidP="009C6940">
                  <w:pPr>
                    <w:pStyle w:val="TableBodyText"/>
                    <w:jc w:val="left"/>
                  </w:pPr>
                  <w:r w:rsidRPr="00EF7969">
                    <w:t>Ewen Kloas</w:t>
                  </w:r>
                </w:p>
              </w:tc>
              <w:tc>
                <w:tcPr>
                  <w:tcW w:w="2126" w:type="dxa"/>
                  <w:shd w:val="clear" w:color="auto" w:fill="auto"/>
                </w:tcPr>
                <w:p w14:paraId="6F843F18" w14:textId="77777777" w:rsidR="009C6940" w:rsidRPr="00EF7969" w:rsidRDefault="009C6940" w:rsidP="009C6940">
                  <w:pPr>
                    <w:pStyle w:val="TableBodyText"/>
                  </w:pPr>
                  <w:r w:rsidRPr="00EF7969">
                    <w:t>567</w:t>
                  </w:r>
                </w:p>
              </w:tc>
            </w:tr>
            <w:tr w:rsidR="009C6940" w:rsidRPr="00EF7969" w14:paraId="1DD28E09" w14:textId="77777777" w:rsidTr="009C6940">
              <w:tc>
                <w:tcPr>
                  <w:tcW w:w="6377" w:type="dxa"/>
                  <w:shd w:val="clear" w:color="auto" w:fill="auto"/>
                </w:tcPr>
                <w:p w14:paraId="194AFC9E" w14:textId="77777777" w:rsidR="009C6940" w:rsidRPr="00EF7969" w:rsidRDefault="009C6940" w:rsidP="009C6940">
                  <w:pPr>
                    <w:pStyle w:val="TableBodyText"/>
                    <w:jc w:val="left"/>
                  </w:pPr>
                  <w:r w:rsidRPr="00EF7969">
                    <w:t>Exercise and Sports Science Australia (ESSA)</w:t>
                  </w:r>
                </w:p>
              </w:tc>
              <w:tc>
                <w:tcPr>
                  <w:tcW w:w="2126" w:type="dxa"/>
                  <w:shd w:val="clear" w:color="auto" w:fill="auto"/>
                </w:tcPr>
                <w:p w14:paraId="6CCA0945" w14:textId="77777777" w:rsidR="009C6940" w:rsidRPr="00EF7969" w:rsidRDefault="009C6940" w:rsidP="009C6940">
                  <w:pPr>
                    <w:pStyle w:val="TableBodyText"/>
                  </w:pPr>
                  <w:r w:rsidRPr="00EF7969">
                    <w:t>91, 881</w:t>
                  </w:r>
                </w:p>
              </w:tc>
            </w:tr>
            <w:tr w:rsidR="009C6940" w:rsidRPr="00EF7969" w14:paraId="79E2144F" w14:textId="77777777" w:rsidTr="009C6940">
              <w:tc>
                <w:tcPr>
                  <w:tcW w:w="6377" w:type="dxa"/>
                  <w:shd w:val="clear" w:color="auto" w:fill="auto"/>
                </w:tcPr>
                <w:p w14:paraId="319FAD63" w14:textId="77777777" w:rsidR="009C6940" w:rsidRPr="00EF7969" w:rsidRDefault="009C6940" w:rsidP="009C6940">
                  <w:pPr>
                    <w:pStyle w:val="TableBodyText"/>
                    <w:jc w:val="left"/>
                  </w:pPr>
                  <w:r w:rsidRPr="00EF7969">
                    <w:t>Families and Friends for Drug Law Reform (ACT)</w:t>
                  </w:r>
                </w:p>
              </w:tc>
              <w:tc>
                <w:tcPr>
                  <w:tcW w:w="2126" w:type="dxa"/>
                  <w:shd w:val="clear" w:color="auto" w:fill="auto"/>
                </w:tcPr>
                <w:p w14:paraId="55CB78B1" w14:textId="77777777" w:rsidR="009C6940" w:rsidRPr="00EF7969" w:rsidRDefault="009C6940" w:rsidP="009C6940">
                  <w:pPr>
                    <w:pStyle w:val="TableBodyText"/>
                  </w:pPr>
                  <w:r w:rsidRPr="00EF7969">
                    <w:t>413, 701</w:t>
                  </w:r>
                </w:p>
              </w:tc>
            </w:tr>
            <w:tr w:rsidR="009C6940" w:rsidRPr="00EF7969" w14:paraId="4F3AC05C" w14:textId="77777777" w:rsidTr="009C6940">
              <w:tc>
                <w:tcPr>
                  <w:tcW w:w="6377" w:type="dxa"/>
                  <w:shd w:val="clear" w:color="auto" w:fill="auto"/>
                </w:tcPr>
                <w:p w14:paraId="71321E1F" w14:textId="77777777" w:rsidR="009C6940" w:rsidRPr="00EF7969" w:rsidRDefault="009C6940" w:rsidP="009C6940">
                  <w:pPr>
                    <w:pStyle w:val="TableBodyText"/>
                    <w:jc w:val="left"/>
                  </w:pPr>
                  <w:r w:rsidRPr="00EF7969">
                    <w:t>Family Life</w:t>
                  </w:r>
                </w:p>
              </w:tc>
              <w:tc>
                <w:tcPr>
                  <w:tcW w:w="2126" w:type="dxa"/>
                  <w:shd w:val="clear" w:color="auto" w:fill="auto"/>
                </w:tcPr>
                <w:p w14:paraId="2ABA7C2E" w14:textId="77777777" w:rsidR="009C6940" w:rsidRPr="00EF7969" w:rsidRDefault="009C6940" w:rsidP="009C6940">
                  <w:pPr>
                    <w:pStyle w:val="TableBodyText"/>
                  </w:pPr>
                  <w:r w:rsidRPr="00EF7969">
                    <w:t>316</w:t>
                  </w:r>
                </w:p>
              </w:tc>
            </w:tr>
            <w:tr w:rsidR="009C6940" w:rsidRPr="00EF7969" w14:paraId="1E3DBCC8" w14:textId="77777777" w:rsidTr="009C6940">
              <w:tc>
                <w:tcPr>
                  <w:tcW w:w="6377" w:type="dxa"/>
                  <w:shd w:val="clear" w:color="auto" w:fill="auto"/>
                </w:tcPr>
                <w:p w14:paraId="1BF2667C" w14:textId="77777777" w:rsidR="009C6940" w:rsidRPr="00EF7969" w:rsidRDefault="009C6940" w:rsidP="009C6940">
                  <w:pPr>
                    <w:pStyle w:val="TableBodyText"/>
                    <w:jc w:val="left"/>
                  </w:pPr>
                  <w:r w:rsidRPr="00EF7969">
                    <w:t>Fay Pollard</w:t>
                  </w:r>
                </w:p>
              </w:tc>
              <w:tc>
                <w:tcPr>
                  <w:tcW w:w="2126" w:type="dxa"/>
                  <w:shd w:val="clear" w:color="auto" w:fill="auto"/>
                </w:tcPr>
                <w:p w14:paraId="3D526D73" w14:textId="77777777" w:rsidR="009C6940" w:rsidRPr="00EF7969" w:rsidRDefault="009C6940" w:rsidP="009C6940">
                  <w:pPr>
                    <w:pStyle w:val="TableBodyText"/>
                  </w:pPr>
                  <w:r w:rsidRPr="00EF7969">
                    <w:t>1132</w:t>
                  </w:r>
                </w:p>
              </w:tc>
            </w:tr>
            <w:tr w:rsidR="009C6940" w:rsidRPr="00EF7969" w14:paraId="615E4B02" w14:textId="77777777" w:rsidTr="009C6940">
              <w:tc>
                <w:tcPr>
                  <w:tcW w:w="6377" w:type="dxa"/>
                  <w:shd w:val="clear" w:color="auto" w:fill="auto"/>
                </w:tcPr>
                <w:p w14:paraId="417FFCA1" w14:textId="77777777" w:rsidR="009C6940" w:rsidRPr="00EF7969" w:rsidRDefault="009C6940" w:rsidP="009C6940">
                  <w:pPr>
                    <w:pStyle w:val="TableBodyText"/>
                    <w:jc w:val="left"/>
                  </w:pPr>
                  <w:r w:rsidRPr="00EF7969">
                    <w:t>Fei</w:t>
                  </w:r>
                </w:p>
              </w:tc>
              <w:tc>
                <w:tcPr>
                  <w:tcW w:w="2126" w:type="dxa"/>
                  <w:shd w:val="clear" w:color="auto" w:fill="auto"/>
                </w:tcPr>
                <w:p w14:paraId="660B7A43" w14:textId="77777777" w:rsidR="009C6940" w:rsidRPr="00EF7969" w:rsidRDefault="009C6940" w:rsidP="009C6940">
                  <w:pPr>
                    <w:pStyle w:val="TableBodyText"/>
                  </w:pPr>
                  <w:r w:rsidRPr="00EF7969">
                    <w:t>1137</w:t>
                  </w:r>
                </w:p>
              </w:tc>
            </w:tr>
            <w:tr w:rsidR="009C6940" w:rsidRPr="00EF7969" w14:paraId="3C2152F1" w14:textId="77777777" w:rsidTr="009C6940">
              <w:tc>
                <w:tcPr>
                  <w:tcW w:w="6377" w:type="dxa"/>
                  <w:shd w:val="clear" w:color="auto" w:fill="auto"/>
                </w:tcPr>
                <w:p w14:paraId="7970706D" w14:textId="77777777" w:rsidR="009C6940" w:rsidRPr="00EF7969" w:rsidRDefault="009C6940" w:rsidP="009C6940">
                  <w:pPr>
                    <w:pStyle w:val="TableBodyText"/>
                    <w:jc w:val="left"/>
                  </w:pPr>
                  <w:r w:rsidRPr="00EF7969">
                    <w:t>Fergus Gartlan</w:t>
                  </w:r>
                </w:p>
              </w:tc>
              <w:tc>
                <w:tcPr>
                  <w:tcW w:w="2126" w:type="dxa"/>
                  <w:shd w:val="clear" w:color="auto" w:fill="auto"/>
                </w:tcPr>
                <w:p w14:paraId="69960A98" w14:textId="77777777" w:rsidR="009C6940" w:rsidRPr="00EF7969" w:rsidRDefault="009C6940" w:rsidP="009C6940">
                  <w:pPr>
                    <w:pStyle w:val="TableBodyText"/>
                  </w:pPr>
                  <w:r w:rsidRPr="00EF7969">
                    <w:t>1034</w:t>
                  </w:r>
                </w:p>
              </w:tc>
            </w:tr>
            <w:tr w:rsidR="009C6940" w:rsidRPr="00EF7969" w14:paraId="33C6ADE1" w14:textId="77777777" w:rsidTr="009C6940">
              <w:tc>
                <w:tcPr>
                  <w:tcW w:w="6377" w:type="dxa"/>
                  <w:shd w:val="clear" w:color="auto" w:fill="auto"/>
                </w:tcPr>
                <w:p w14:paraId="6577CCB4" w14:textId="77777777" w:rsidR="009C6940" w:rsidRPr="00EF7969" w:rsidRDefault="009C6940" w:rsidP="009C6940">
                  <w:pPr>
                    <w:pStyle w:val="TableBodyText"/>
                    <w:jc w:val="left"/>
                  </w:pPr>
                  <w:r w:rsidRPr="00EF7969">
                    <w:t>Fighters Against Child Abuse Australia (FACAA)</w:t>
                  </w:r>
                </w:p>
              </w:tc>
              <w:tc>
                <w:tcPr>
                  <w:tcW w:w="2126" w:type="dxa"/>
                  <w:shd w:val="clear" w:color="auto" w:fill="auto"/>
                </w:tcPr>
                <w:p w14:paraId="3FF4F779" w14:textId="77777777" w:rsidR="009C6940" w:rsidRPr="00EF7969" w:rsidRDefault="009C6940" w:rsidP="009C6940">
                  <w:pPr>
                    <w:pStyle w:val="TableBodyText"/>
                  </w:pPr>
                  <w:r w:rsidRPr="00EF7969">
                    <w:t>244</w:t>
                  </w:r>
                </w:p>
              </w:tc>
            </w:tr>
            <w:tr w:rsidR="009C6940" w:rsidRPr="00EF7969" w14:paraId="4988E574" w14:textId="77777777" w:rsidTr="009C6940">
              <w:tc>
                <w:tcPr>
                  <w:tcW w:w="6377" w:type="dxa"/>
                  <w:shd w:val="clear" w:color="auto" w:fill="auto"/>
                </w:tcPr>
                <w:p w14:paraId="6809712B" w14:textId="77777777" w:rsidR="009C6940" w:rsidRPr="00EF7969" w:rsidRDefault="009C6940" w:rsidP="009C6940">
                  <w:pPr>
                    <w:pStyle w:val="TableBodyText"/>
                    <w:jc w:val="left"/>
                  </w:pPr>
                  <w:r w:rsidRPr="00EF7969">
                    <w:t xml:space="preserve">Financial Services Council (FSC) </w:t>
                  </w:r>
                </w:p>
              </w:tc>
              <w:tc>
                <w:tcPr>
                  <w:tcW w:w="2126" w:type="dxa"/>
                  <w:shd w:val="clear" w:color="auto" w:fill="auto"/>
                </w:tcPr>
                <w:p w14:paraId="4D47760E" w14:textId="77777777" w:rsidR="009C6940" w:rsidRPr="00EF7969" w:rsidRDefault="009C6940" w:rsidP="009C6940">
                  <w:pPr>
                    <w:pStyle w:val="TableBodyText"/>
                  </w:pPr>
                  <w:r w:rsidRPr="00EF7969">
                    <w:t>535, 863</w:t>
                  </w:r>
                </w:p>
              </w:tc>
            </w:tr>
            <w:tr w:rsidR="009C6940" w:rsidRPr="00EF7969" w14:paraId="00174FCB" w14:textId="77777777" w:rsidTr="009C6940">
              <w:tc>
                <w:tcPr>
                  <w:tcW w:w="6377" w:type="dxa"/>
                  <w:shd w:val="clear" w:color="auto" w:fill="auto"/>
                </w:tcPr>
                <w:p w14:paraId="23D78256" w14:textId="77777777" w:rsidR="009C6940" w:rsidRPr="00EF7969" w:rsidRDefault="009C6940" w:rsidP="009C6940">
                  <w:pPr>
                    <w:pStyle w:val="TableBodyText"/>
                    <w:jc w:val="left"/>
                  </w:pPr>
                  <w:r w:rsidRPr="00EF7969">
                    <w:t>First Step</w:t>
                  </w:r>
                </w:p>
              </w:tc>
              <w:tc>
                <w:tcPr>
                  <w:tcW w:w="2126" w:type="dxa"/>
                  <w:shd w:val="clear" w:color="auto" w:fill="auto"/>
                </w:tcPr>
                <w:p w14:paraId="1DAFE600" w14:textId="77777777" w:rsidR="009C6940" w:rsidRPr="00EF7969" w:rsidRDefault="009C6940" w:rsidP="009C6940">
                  <w:pPr>
                    <w:pStyle w:val="TableBodyText"/>
                  </w:pPr>
                  <w:r w:rsidRPr="00EF7969">
                    <w:t>557</w:t>
                  </w:r>
                </w:p>
              </w:tc>
            </w:tr>
            <w:tr w:rsidR="009C6940" w:rsidRPr="00EF7969" w14:paraId="2746B75E" w14:textId="77777777" w:rsidTr="009C6940">
              <w:tc>
                <w:tcPr>
                  <w:tcW w:w="6377" w:type="dxa"/>
                  <w:shd w:val="clear" w:color="auto" w:fill="auto"/>
                </w:tcPr>
                <w:p w14:paraId="195CBE4B" w14:textId="77777777" w:rsidR="009C6940" w:rsidRPr="00EF7969" w:rsidRDefault="009C6940" w:rsidP="009C6940">
                  <w:pPr>
                    <w:pStyle w:val="TableBodyText"/>
                    <w:jc w:val="left"/>
                  </w:pPr>
                  <w:r w:rsidRPr="00EF7969">
                    <w:t>Flourish Australia</w:t>
                  </w:r>
                </w:p>
              </w:tc>
              <w:tc>
                <w:tcPr>
                  <w:tcW w:w="2126" w:type="dxa"/>
                  <w:shd w:val="clear" w:color="auto" w:fill="auto"/>
                </w:tcPr>
                <w:p w14:paraId="15FD08C9" w14:textId="77777777" w:rsidR="009C6940" w:rsidRPr="00EF7969" w:rsidRDefault="009C6940" w:rsidP="009C6940">
                  <w:pPr>
                    <w:pStyle w:val="TableBodyText"/>
                  </w:pPr>
                  <w:r w:rsidRPr="00EF7969">
                    <w:t>330, 729</w:t>
                  </w:r>
                </w:p>
              </w:tc>
            </w:tr>
            <w:tr w:rsidR="009C6940" w:rsidRPr="00EF7969" w14:paraId="1D3C4BA6" w14:textId="77777777" w:rsidTr="009C6940">
              <w:tc>
                <w:tcPr>
                  <w:tcW w:w="6377" w:type="dxa"/>
                  <w:shd w:val="clear" w:color="auto" w:fill="auto"/>
                </w:tcPr>
                <w:p w14:paraId="5EF56935" w14:textId="77777777" w:rsidR="009C6940" w:rsidRPr="00EF7969" w:rsidRDefault="009C6940" w:rsidP="009C6940">
                  <w:pPr>
                    <w:pStyle w:val="TableBodyText"/>
                    <w:jc w:val="left"/>
                  </w:pPr>
                  <w:r w:rsidRPr="00EF7969">
                    <w:t>FND Australia Support Services Inc</w:t>
                  </w:r>
                </w:p>
              </w:tc>
              <w:tc>
                <w:tcPr>
                  <w:tcW w:w="2126" w:type="dxa"/>
                  <w:shd w:val="clear" w:color="auto" w:fill="auto"/>
                </w:tcPr>
                <w:p w14:paraId="07D1F8A3" w14:textId="77777777" w:rsidR="009C6940" w:rsidRPr="00EF7969" w:rsidRDefault="009C6940" w:rsidP="009C6940">
                  <w:pPr>
                    <w:pStyle w:val="TableBodyText"/>
                  </w:pPr>
                  <w:r w:rsidRPr="00EF7969">
                    <w:t>253</w:t>
                  </w:r>
                </w:p>
              </w:tc>
            </w:tr>
            <w:tr w:rsidR="009C6940" w:rsidRPr="00EF7969" w14:paraId="3CF2E25C" w14:textId="77777777" w:rsidTr="009C6940">
              <w:tc>
                <w:tcPr>
                  <w:tcW w:w="6377" w:type="dxa"/>
                  <w:shd w:val="clear" w:color="auto" w:fill="auto"/>
                </w:tcPr>
                <w:p w14:paraId="2D2EEF41" w14:textId="77777777" w:rsidR="009C6940" w:rsidRPr="00EF7969" w:rsidRDefault="009C6940" w:rsidP="009C6940">
                  <w:pPr>
                    <w:pStyle w:val="TableBodyText"/>
                    <w:jc w:val="left"/>
                  </w:pPr>
                  <w:r w:rsidRPr="00EF7969">
                    <w:t>Food and Mood Centre</w:t>
                  </w:r>
                </w:p>
              </w:tc>
              <w:tc>
                <w:tcPr>
                  <w:tcW w:w="2126" w:type="dxa"/>
                  <w:shd w:val="clear" w:color="auto" w:fill="auto"/>
                </w:tcPr>
                <w:p w14:paraId="7C9D632E" w14:textId="77777777" w:rsidR="009C6940" w:rsidRPr="00EF7969" w:rsidRDefault="009C6940" w:rsidP="009C6940">
                  <w:pPr>
                    <w:pStyle w:val="TableBodyText"/>
                  </w:pPr>
                  <w:r w:rsidRPr="00EF7969">
                    <w:t>243</w:t>
                  </w:r>
                </w:p>
              </w:tc>
            </w:tr>
            <w:tr w:rsidR="009C6940" w:rsidRPr="00EF7969" w14:paraId="0681B281" w14:textId="77777777" w:rsidTr="009C6940">
              <w:tc>
                <w:tcPr>
                  <w:tcW w:w="6377" w:type="dxa"/>
                  <w:shd w:val="clear" w:color="auto" w:fill="auto"/>
                </w:tcPr>
                <w:p w14:paraId="4CE2A6A2" w14:textId="77777777" w:rsidR="009C6940" w:rsidRPr="00EF7969" w:rsidRDefault="009C6940" w:rsidP="009C6940">
                  <w:pPr>
                    <w:pStyle w:val="TableBodyText"/>
                    <w:jc w:val="left"/>
                  </w:pPr>
                  <w:r w:rsidRPr="00EF7969">
                    <w:t>Forum of Australian Services for Survivors for Torture and Trauma (FASSTT)</w:t>
                  </w:r>
                </w:p>
              </w:tc>
              <w:tc>
                <w:tcPr>
                  <w:tcW w:w="2126" w:type="dxa"/>
                  <w:shd w:val="clear" w:color="auto" w:fill="auto"/>
                </w:tcPr>
                <w:p w14:paraId="2E1F6C12" w14:textId="77777777" w:rsidR="009C6940" w:rsidRPr="00EF7969" w:rsidRDefault="009C6940" w:rsidP="009C6940">
                  <w:pPr>
                    <w:pStyle w:val="TableBodyText"/>
                  </w:pPr>
                  <w:r w:rsidRPr="00EF7969">
                    <w:t>293, 838</w:t>
                  </w:r>
                </w:p>
              </w:tc>
            </w:tr>
            <w:tr w:rsidR="009C6940" w:rsidRPr="00EF7969" w14:paraId="4C297249" w14:textId="77777777" w:rsidTr="009C6940">
              <w:tc>
                <w:tcPr>
                  <w:tcW w:w="6377" w:type="dxa"/>
                  <w:shd w:val="clear" w:color="auto" w:fill="auto"/>
                </w:tcPr>
                <w:p w14:paraId="38A9A8AD" w14:textId="77777777" w:rsidR="009C6940" w:rsidRPr="00EF7969" w:rsidRDefault="009C6940" w:rsidP="009C6940">
                  <w:pPr>
                    <w:pStyle w:val="TableBodyText"/>
                    <w:jc w:val="left"/>
                  </w:pPr>
                  <w:r w:rsidRPr="00EF7969">
                    <w:t>Foster Care Association of Victoria (FCAV)</w:t>
                  </w:r>
                </w:p>
              </w:tc>
              <w:tc>
                <w:tcPr>
                  <w:tcW w:w="2126" w:type="dxa"/>
                  <w:shd w:val="clear" w:color="auto" w:fill="auto"/>
                </w:tcPr>
                <w:p w14:paraId="5FB8B5F5" w14:textId="77777777" w:rsidR="009C6940" w:rsidRPr="00EF7969" w:rsidRDefault="009C6940" w:rsidP="009C6940">
                  <w:pPr>
                    <w:pStyle w:val="TableBodyText"/>
                  </w:pPr>
                  <w:r w:rsidRPr="00EF7969">
                    <w:t>114</w:t>
                  </w:r>
                </w:p>
              </w:tc>
            </w:tr>
            <w:tr w:rsidR="009C6940" w:rsidRPr="00EF7969" w14:paraId="44083CC4" w14:textId="77777777" w:rsidTr="009C6940">
              <w:tc>
                <w:tcPr>
                  <w:tcW w:w="6377" w:type="dxa"/>
                  <w:shd w:val="clear" w:color="auto" w:fill="auto"/>
                </w:tcPr>
                <w:p w14:paraId="6D124524" w14:textId="77777777" w:rsidR="009C6940" w:rsidRPr="00EF7969" w:rsidRDefault="009C6940" w:rsidP="009C6940">
                  <w:pPr>
                    <w:pStyle w:val="TableBodyText"/>
                    <w:jc w:val="left"/>
                  </w:pPr>
                  <w:r w:rsidRPr="00EF7969">
                    <w:t>Foundation for Alcohol Research and Education (FARE)</w:t>
                  </w:r>
                </w:p>
              </w:tc>
              <w:tc>
                <w:tcPr>
                  <w:tcW w:w="2126" w:type="dxa"/>
                  <w:shd w:val="clear" w:color="auto" w:fill="auto"/>
                </w:tcPr>
                <w:p w14:paraId="70F3621F" w14:textId="77777777" w:rsidR="009C6940" w:rsidRPr="00EF7969" w:rsidRDefault="009C6940" w:rsidP="009C6940">
                  <w:pPr>
                    <w:pStyle w:val="TableBodyText"/>
                  </w:pPr>
                  <w:r w:rsidRPr="00EF7969">
                    <w:t>269, 878</w:t>
                  </w:r>
                </w:p>
              </w:tc>
            </w:tr>
            <w:tr w:rsidR="009C6940" w:rsidRPr="00EF7969" w14:paraId="768B9383" w14:textId="77777777" w:rsidTr="009C6940">
              <w:tc>
                <w:tcPr>
                  <w:tcW w:w="6377" w:type="dxa"/>
                  <w:shd w:val="clear" w:color="auto" w:fill="auto"/>
                </w:tcPr>
                <w:p w14:paraId="0B100EA3" w14:textId="77777777" w:rsidR="009C6940" w:rsidRPr="00EF7969" w:rsidRDefault="009C6940" w:rsidP="009C6940">
                  <w:pPr>
                    <w:pStyle w:val="TableBodyText"/>
                    <w:jc w:val="left"/>
                  </w:pPr>
                  <w:r w:rsidRPr="00EF7969">
                    <w:t>Foundation for Rural and Regional Renewal (FRRR)</w:t>
                  </w:r>
                </w:p>
              </w:tc>
              <w:tc>
                <w:tcPr>
                  <w:tcW w:w="2126" w:type="dxa"/>
                  <w:shd w:val="clear" w:color="auto" w:fill="auto"/>
                </w:tcPr>
                <w:p w14:paraId="020E381E" w14:textId="77777777" w:rsidR="009C6940" w:rsidRPr="00EF7969" w:rsidRDefault="009C6940" w:rsidP="009C6940">
                  <w:pPr>
                    <w:pStyle w:val="TableBodyText"/>
                  </w:pPr>
                  <w:r w:rsidRPr="00EF7969">
                    <w:t>195</w:t>
                  </w:r>
                </w:p>
              </w:tc>
            </w:tr>
            <w:tr w:rsidR="009C6940" w:rsidRPr="00EF7969" w14:paraId="4DF58061" w14:textId="77777777" w:rsidTr="009C6940">
              <w:tc>
                <w:tcPr>
                  <w:tcW w:w="6377" w:type="dxa"/>
                  <w:shd w:val="clear" w:color="auto" w:fill="auto"/>
                </w:tcPr>
                <w:p w14:paraId="63A706C5" w14:textId="77777777" w:rsidR="009C6940" w:rsidRPr="00EF7969" w:rsidRDefault="009C6940" w:rsidP="009C6940">
                  <w:pPr>
                    <w:pStyle w:val="TableBodyText"/>
                    <w:jc w:val="left"/>
                  </w:pPr>
                  <w:r w:rsidRPr="00EF7969">
                    <w:t>FracArt</w:t>
                  </w:r>
                </w:p>
              </w:tc>
              <w:tc>
                <w:tcPr>
                  <w:tcW w:w="2126" w:type="dxa"/>
                  <w:shd w:val="clear" w:color="auto" w:fill="auto"/>
                </w:tcPr>
                <w:p w14:paraId="19BB9FFE" w14:textId="77777777" w:rsidR="009C6940" w:rsidRPr="00EF7969" w:rsidRDefault="009C6940" w:rsidP="009C6940">
                  <w:pPr>
                    <w:pStyle w:val="TableBodyText"/>
                  </w:pPr>
                  <w:r w:rsidRPr="00EF7969">
                    <w:t>780</w:t>
                  </w:r>
                </w:p>
              </w:tc>
            </w:tr>
            <w:tr w:rsidR="009C6940" w:rsidRPr="00EF7969" w14:paraId="25283C1E" w14:textId="77777777" w:rsidTr="009C6940">
              <w:tc>
                <w:tcPr>
                  <w:tcW w:w="6377" w:type="dxa"/>
                  <w:shd w:val="clear" w:color="auto" w:fill="auto"/>
                </w:tcPr>
                <w:p w14:paraId="5E4AF06A" w14:textId="77777777" w:rsidR="009C6940" w:rsidRPr="00EF7969" w:rsidRDefault="009C6940" w:rsidP="009C6940">
                  <w:pPr>
                    <w:pStyle w:val="TableBodyText"/>
                    <w:jc w:val="left"/>
                  </w:pPr>
                  <w:r w:rsidRPr="00EF7969">
                    <w:t>Freya</w:t>
                  </w:r>
                </w:p>
              </w:tc>
              <w:tc>
                <w:tcPr>
                  <w:tcW w:w="2126" w:type="dxa"/>
                  <w:shd w:val="clear" w:color="auto" w:fill="auto"/>
                </w:tcPr>
                <w:p w14:paraId="7BF5F0EA" w14:textId="77777777" w:rsidR="009C6940" w:rsidRPr="00EF7969" w:rsidRDefault="009C6940" w:rsidP="009C6940">
                  <w:pPr>
                    <w:pStyle w:val="TableBodyText"/>
                  </w:pPr>
                  <w:r w:rsidRPr="00EF7969">
                    <w:t>1178</w:t>
                  </w:r>
                </w:p>
              </w:tc>
            </w:tr>
            <w:tr w:rsidR="009C6940" w:rsidRPr="00EF7969" w14:paraId="586BCDC2" w14:textId="77777777" w:rsidTr="009C6940">
              <w:tc>
                <w:tcPr>
                  <w:tcW w:w="6377" w:type="dxa"/>
                  <w:shd w:val="clear" w:color="auto" w:fill="auto"/>
                </w:tcPr>
                <w:p w14:paraId="13970F29" w14:textId="77777777" w:rsidR="009C6940" w:rsidRPr="00EF7969" w:rsidRDefault="009C6940" w:rsidP="009C6940">
                  <w:pPr>
                    <w:pStyle w:val="TableBodyText"/>
                    <w:jc w:val="left"/>
                  </w:pPr>
                  <w:r w:rsidRPr="00EF7969">
                    <w:t>Friends for Good Inc</w:t>
                  </w:r>
                </w:p>
              </w:tc>
              <w:tc>
                <w:tcPr>
                  <w:tcW w:w="2126" w:type="dxa"/>
                  <w:shd w:val="clear" w:color="auto" w:fill="auto"/>
                </w:tcPr>
                <w:p w14:paraId="252D5D94" w14:textId="77777777" w:rsidR="009C6940" w:rsidRPr="00EF7969" w:rsidRDefault="009C6940" w:rsidP="009C6940">
                  <w:pPr>
                    <w:pStyle w:val="TableBodyText"/>
                  </w:pPr>
                  <w:r w:rsidRPr="00EF7969">
                    <w:t>115</w:t>
                  </w:r>
                </w:p>
              </w:tc>
            </w:tr>
            <w:tr w:rsidR="009C6940" w:rsidRPr="00EF7969" w14:paraId="01AE7EED" w14:textId="77777777" w:rsidTr="009C6940">
              <w:tc>
                <w:tcPr>
                  <w:tcW w:w="6377" w:type="dxa"/>
                  <w:shd w:val="clear" w:color="auto" w:fill="auto"/>
                </w:tcPr>
                <w:p w14:paraId="3AC160E5" w14:textId="77777777" w:rsidR="009C6940" w:rsidRPr="00EF7969" w:rsidRDefault="009C6940" w:rsidP="009C6940">
                  <w:pPr>
                    <w:pStyle w:val="TableBodyText"/>
                    <w:jc w:val="left"/>
                  </w:pPr>
                  <w:r w:rsidRPr="00EF7969">
                    <w:t>Friends of Callan Park (FOCP)</w:t>
                  </w:r>
                </w:p>
              </w:tc>
              <w:tc>
                <w:tcPr>
                  <w:tcW w:w="2126" w:type="dxa"/>
                  <w:shd w:val="clear" w:color="auto" w:fill="auto"/>
                </w:tcPr>
                <w:p w14:paraId="27AF0DBB" w14:textId="77777777" w:rsidR="009C6940" w:rsidRPr="00EF7969" w:rsidRDefault="009C6940" w:rsidP="009C6940">
                  <w:pPr>
                    <w:pStyle w:val="TableBodyText"/>
                  </w:pPr>
                  <w:r w:rsidRPr="00EF7969">
                    <w:t>198, 758</w:t>
                  </w:r>
                </w:p>
              </w:tc>
            </w:tr>
            <w:tr w:rsidR="009C6940" w:rsidRPr="00EF7969" w14:paraId="074AE885" w14:textId="77777777" w:rsidTr="009C6940">
              <w:tc>
                <w:tcPr>
                  <w:tcW w:w="6377" w:type="dxa"/>
                  <w:shd w:val="clear" w:color="auto" w:fill="auto"/>
                </w:tcPr>
                <w:p w14:paraId="1E480239" w14:textId="77777777" w:rsidR="009C6940" w:rsidRPr="00EF7969" w:rsidRDefault="009C6940" w:rsidP="009C6940">
                  <w:pPr>
                    <w:pStyle w:val="TableBodyText"/>
                    <w:jc w:val="left"/>
                  </w:pPr>
                  <w:r w:rsidRPr="00EF7969">
                    <w:t>Future Generation</w:t>
                  </w:r>
                </w:p>
              </w:tc>
              <w:tc>
                <w:tcPr>
                  <w:tcW w:w="2126" w:type="dxa"/>
                  <w:shd w:val="clear" w:color="auto" w:fill="auto"/>
                </w:tcPr>
                <w:p w14:paraId="4B89FA0F" w14:textId="77777777" w:rsidR="009C6940" w:rsidRPr="00EF7969" w:rsidRDefault="009C6940" w:rsidP="009C6940">
                  <w:pPr>
                    <w:pStyle w:val="TableBodyText"/>
                  </w:pPr>
                  <w:r w:rsidRPr="00EF7969">
                    <w:t>1118</w:t>
                  </w:r>
                </w:p>
              </w:tc>
            </w:tr>
            <w:tr w:rsidR="009C6940" w:rsidRPr="00EF7969" w14:paraId="6E6C0C8A" w14:textId="77777777" w:rsidTr="009C6940">
              <w:tc>
                <w:tcPr>
                  <w:tcW w:w="6377" w:type="dxa"/>
                  <w:shd w:val="clear" w:color="auto" w:fill="auto"/>
                </w:tcPr>
                <w:p w14:paraId="5FC6EC57" w14:textId="77777777" w:rsidR="009C6940" w:rsidRPr="00EF7969" w:rsidRDefault="009C6940" w:rsidP="009C6940">
                  <w:pPr>
                    <w:pStyle w:val="TableBodyText"/>
                    <w:jc w:val="left"/>
                  </w:pPr>
                  <w:r w:rsidRPr="00EF7969">
                    <w:t>Gary Croton</w:t>
                  </w:r>
                </w:p>
              </w:tc>
              <w:tc>
                <w:tcPr>
                  <w:tcW w:w="2126" w:type="dxa"/>
                  <w:shd w:val="clear" w:color="auto" w:fill="auto"/>
                </w:tcPr>
                <w:p w14:paraId="6D659E05" w14:textId="77777777" w:rsidR="009C6940" w:rsidRPr="00EF7969" w:rsidRDefault="009C6940" w:rsidP="009C6940">
                  <w:pPr>
                    <w:pStyle w:val="TableBodyText"/>
                  </w:pPr>
                  <w:r w:rsidRPr="00EF7969">
                    <w:t>940</w:t>
                  </w:r>
                </w:p>
              </w:tc>
            </w:tr>
            <w:tr w:rsidR="009C6940" w:rsidRPr="00EF7969" w14:paraId="1B0BA685" w14:textId="77777777" w:rsidTr="009C6940">
              <w:tc>
                <w:tcPr>
                  <w:tcW w:w="6377" w:type="dxa"/>
                  <w:shd w:val="clear" w:color="auto" w:fill="auto"/>
                </w:tcPr>
                <w:p w14:paraId="422A0B89" w14:textId="77777777" w:rsidR="009C6940" w:rsidRPr="00EF7969" w:rsidRDefault="009C6940" w:rsidP="009C6940">
                  <w:pPr>
                    <w:pStyle w:val="TableBodyText"/>
                    <w:jc w:val="left"/>
                  </w:pPr>
                  <w:r w:rsidRPr="00EF7969">
                    <w:t>Gateway Health</w:t>
                  </w:r>
                </w:p>
              </w:tc>
              <w:tc>
                <w:tcPr>
                  <w:tcW w:w="2126" w:type="dxa"/>
                  <w:shd w:val="clear" w:color="auto" w:fill="auto"/>
                </w:tcPr>
                <w:p w14:paraId="620954EB" w14:textId="77777777" w:rsidR="009C6940" w:rsidRPr="00EF7969" w:rsidRDefault="009C6940" w:rsidP="009C6940">
                  <w:pPr>
                    <w:pStyle w:val="TableBodyText"/>
                  </w:pPr>
                  <w:r w:rsidRPr="00EF7969">
                    <w:t>42</w:t>
                  </w:r>
                </w:p>
              </w:tc>
            </w:tr>
            <w:tr w:rsidR="009C6940" w:rsidRPr="00EF7969" w14:paraId="6757B47E" w14:textId="77777777" w:rsidTr="009C6940">
              <w:tc>
                <w:tcPr>
                  <w:tcW w:w="6377" w:type="dxa"/>
                  <w:shd w:val="clear" w:color="auto" w:fill="auto"/>
                </w:tcPr>
                <w:p w14:paraId="29000C6B" w14:textId="77777777" w:rsidR="009C6940" w:rsidRPr="00EF7969" w:rsidRDefault="009C6940" w:rsidP="009C6940">
                  <w:pPr>
                    <w:pStyle w:val="TableBodyText"/>
                    <w:jc w:val="left"/>
                  </w:pPr>
                  <w:r w:rsidRPr="00EF7969">
                    <w:t>Gavin Keon</w:t>
                  </w:r>
                </w:p>
              </w:tc>
              <w:tc>
                <w:tcPr>
                  <w:tcW w:w="2126" w:type="dxa"/>
                  <w:shd w:val="clear" w:color="auto" w:fill="auto"/>
                </w:tcPr>
                <w:p w14:paraId="01E91F05" w14:textId="77777777" w:rsidR="009C6940" w:rsidRPr="00EF7969" w:rsidRDefault="009C6940" w:rsidP="009C6940">
                  <w:pPr>
                    <w:pStyle w:val="TableBodyText"/>
                  </w:pPr>
                  <w:r w:rsidRPr="00EF7969">
                    <w:t>1156</w:t>
                  </w:r>
                </w:p>
              </w:tc>
            </w:tr>
            <w:tr w:rsidR="009C6940" w:rsidRPr="00EF7969" w14:paraId="596A567F" w14:textId="77777777" w:rsidTr="009C6940">
              <w:tc>
                <w:tcPr>
                  <w:tcW w:w="6377" w:type="dxa"/>
                  <w:shd w:val="clear" w:color="auto" w:fill="auto"/>
                </w:tcPr>
                <w:p w14:paraId="2AB43007" w14:textId="77777777" w:rsidR="009C6940" w:rsidRPr="00EF7969" w:rsidRDefault="009C6940" w:rsidP="009C6940">
                  <w:pPr>
                    <w:pStyle w:val="TableBodyText"/>
                    <w:jc w:val="left"/>
                  </w:pPr>
                  <w:r w:rsidRPr="00EF7969">
                    <w:t>Gaye Morrow</w:t>
                  </w:r>
                </w:p>
              </w:tc>
              <w:tc>
                <w:tcPr>
                  <w:tcW w:w="2126" w:type="dxa"/>
                  <w:shd w:val="clear" w:color="auto" w:fill="auto"/>
                </w:tcPr>
                <w:p w14:paraId="5DA33663" w14:textId="77777777" w:rsidR="009C6940" w:rsidRPr="00EF7969" w:rsidRDefault="009C6940" w:rsidP="009C6940">
                  <w:pPr>
                    <w:pStyle w:val="TableBodyText"/>
                  </w:pPr>
                  <w:r w:rsidRPr="00EF7969">
                    <w:t>975</w:t>
                  </w:r>
                </w:p>
              </w:tc>
            </w:tr>
            <w:tr w:rsidR="009C6940" w:rsidRPr="00EF7969" w14:paraId="69680824" w14:textId="77777777" w:rsidTr="009C6940">
              <w:tc>
                <w:tcPr>
                  <w:tcW w:w="6377" w:type="dxa"/>
                  <w:shd w:val="clear" w:color="auto" w:fill="auto"/>
                </w:tcPr>
                <w:p w14:paraId="5F851A81" w14:textId="77777777" w:rsidR="009C6940" w:rsidRPr="00EF7969" w:rsidRDefault="009C6940" w:rsidP="009C6940">
                  <w:pPr>
                    <w:pStyle w:val="TableBodyText"/>
                    <w:jc w:val="left"/>
                  </w:pPr>
                  <w:r w:rsidRPr="00EF7969">
                    <w:t>Gaye Tindall</w:t>
                  </w:r>
                </w:p>
              </w:tc>
              <w:tc>
                <w:tcPr>
                  <w:tcW w:w="2126" w:type="dxa"/>
                  <w:shd w:val="clear" w:color="auto" w:fill="auto"/>
                </w:tcPr>
                <w:p w14:paraId="1056B4F0" w14:textId="77777777" w:rsidR="009C6940" w:rsidRPr="00EF7969" w:rsidRDefault="009C6940" w:rsidP="009C6940">
                  <w:pPr>
                    <w:pStyle w:val="TableBodyText"/>
                  </w:pPr>
                  <w:r w:rsidRPr="00EF7969">
                    <w:t>1100</w:t>
                  </w:r>
                </w:p>
              </w:tc>
            </w:tr>
            <w:tr w:rsidR="009C6940" w:rsidRPr="00EF7969" w14:paraId="1FD91348" w14:textId="77777777" w:rsidTr="009C6940">
              <w:tc>
                <w:tcPr>
                  <w:tcW w:w="6377" w:type="dxa"/>
                  <w:shd w:val="clear" w:color="auto" w:fill="auto"/>
                </w:tcPr>
                <w:p w14:paraId="570D4CAE" w14:textId="77777777" w:rsidR="009C6940" w:rsidRPr="00EF7969" w:rsidRDefault="009C6940" w:rsidP="009C6940">
                  <w:pPr>
                    <w:pStyle w:val="TableBodyText"/>
                    <w:jc w:val="left"/>
                  </w:pPr>
                  <w:r w:rsidRPr="00EF7969">
                    <w:t>Gaylene Fraser</w:t>
                  </w:r>
                </w:p>
              </w:tc>
              <w:tc>
                <w:tcPr>
                  <w:tcW w:w="2126" w:type="dxa"/>
                  <w:shd w:val="clear" w:color="auto" w:fill="auto"/>
                </w:tcPr>
                <w:p w14:paraId="344395DD" w14:textId="77777777" w:rsidR="009C6940" w:rsidRPr="00EF7969" w:rsidRDefault="009C6940" w:rsidP="009C6940">
                  <w:pPr>
                    <w:pStyle w:val="TableBodyText"/>
                  </w:pPr>
                  <w:r w:rsidRPr="00EF7969">
                    <w:t>1016</w:t>
                  </w:r>
                </w:p>
              </w:tc>
            </w:tr>
            <w:tr w:rsidR="009C6940" w:rsidRPr="00EF7969" w14:paraId="452B4969" w14:textId="77777777" w:rsidTr="009C6940">
              <w:tc>
                <w:tcPr>
                  <w:tcW w:w="6377" w:type="dxa"/>
                  <w:shd w:val="clear" w:color="auto" w:fill="auto"/>
                </w:tcPr>
                <w:p w14:paraId="65C57C62" w14:textId="77777777" w:rsidR="009C6940" w:rsidRPr="00EF7969" w:rsidRDefault="009C6940" w:rsidP="009C6940">
                  <w:pPr>
                    <w:pStyle w:val="TableBodyText"/>
                    <w:jc w:val="left"/>
                  </w:pPr>
                  <w:r w:rsidRPr="00EF7969">
                    <w:t>General Practice Mental Health Standards Collaboration (GPMHSC)</w:t>
                  </w:r>
                </w:p>
              </w:tc>
              <w:tc>
                <w:tcPr>
                  <w:tcW w:w="2126" w:type="dxa"/>
                  <w:shd w:val="clear" w:color="auto" w:fill="auto"/>
                </w:tcPr>
                <w:p w14:paraId="6441A386" w14:textId="77777777" w:rsidR="009C6940" w:rsidRPr="00EF7969" w:rsidRDefault="009C6940" w:rsidP="009C6940">
                  <w:pPr>
                    <w:pStyle w:val="TableBodyText"/>
                  </w:pPr>
                  <w:r w:rsidRPr="00EF7969">
                    <w:t>395, 769</w:t>
                  </w:r>
                </w:p>
              </w:tc>
            </w:tr>
            <w:tr w:rsidR="009C6940" w:rsidRPr="00EF7969" w14:paraId="39BDF053" w14:textId="77777777" w:rsidTr="009C6940">
              <w:tc>
                <w:tcPr>
                  <w:tcW w:w="6377" w:type="dxa"/>
                  <w:shd w:val="clear" w:color="auto" w:fill="auto"/>
                </w:tcPr>
                <w:p w14:paraId="28AC130B" w14:textId="77777777" w:rsidR="009C6940" w:rsidRPr="00EF7969" w:rsidRDefault="009C6940" w:rsidP="009C6940">
                  <w:pPr>
                    <w:pStyle w:val="TableBodyText"/>
                    <w:jc w:val="left"/>
                  </w:pPr>
                  <w:r w:rsidRPr="00EF7969">
                    <w:t>GenIMPACT Centre for Economic Impacts of Genomic Medicine</w:t>
                  </w:r>
                </w:p>
              </w:tc>
              <w:tc>
                <w:tcPr>
                  <w:tcW w:w="2126" w:type="dxa"/>
                  <w:shd w:val="clear" w:color="auto" w:fill="auto"/>
                </w:tcPr>
                <w:p w14:paraId="6C6354ED" w14:textId="77777777" w:rsidR="009C6940" w:rsidRPr="00EF7969" w:rsidRDefault="009C6940" w:rsidP="009C6940">
                  <w:pPr>
                    <w:pStyle w:val="TableBodyText"/>
                  </w:pPr>
                  <w:r w:rsidRPr="00EF7969">
                    <w:t>542</w:t>
                  </w:r>
                </w:p>
              </w:tc>
            </w:tr>
            <w:tr w:rsidR="009C6940" w:rsidRPr="00EF7969" w14:paraId="2FB8B61C" w14:textId="77777777" w:rsidTr="009C6940">
              <w:tc>
                <w:tcPr>
                  <w:tcW w:w="6377" w:type="dxa"/>
                  <w:shd w:val="clear" w:color="auto" w:fill="auto"/>
                </w:tcPr>
                <w:p w14:paraId="46B96D1B" w14:textId="77777777" w:rsidR="009C6940" w:rsidRPr="00EF7969" w:rsidRDefault="009C6940" w:rsidP="009C6940">
                  <w:pPr>
                    <w:pStyle w:val="TableBodyText"/>
                    <w:jc w:val="left"/>
                  </w:pPr>
                  <w:r w:rsidRPr="00EF7969">
                    <w:t>Gennaro Langella</w:t>
                  </w:r>
                </w:p>
              </w:tc>
              <w:tc>
                <w:tcPr>
                  <w:tcW w:w="2126" w:type="dxa"/>
                  <w:shd w:val="clear" w:color="auto" w:fill="auto"/>
                </w:tcPr>
                <w:p w14:paraId="529B6D30" w14:textId="77777777" w:rsidR="009C6940" w:rsidRPr="00EF7969" w:rsidRDefault="009C6940" w:rsidP="009C6940">
                  <w:pPr>
                    <w:pStyle w:val="TableBodyText"/>
                  </w:pPr>
                  <w:r w:rsidRPr="00EF7969">
                    <w:t>1170</w:t>
                  </w:r>
                </w:p>
              </w:tc>
            </w:tr>
            <w:tr w:rsidR="009C6940" w:rsidRPr="00EF7969" w14:paraId="5097793F" w14:textId="77777777" w:rsidTr="009C6940">
              <w:tc>
                <w:tcPr>
                  <w:tcW w:w="6377" w:type="dxa"/>
                  <w:shd w:val="clear" w:color="auto" w:fill="auto"/>
                </w:tcPr>
                <w:p w14:paraId="5C2F2AAF" w14:textId="77777777" w:rsidR="009C6940" w:rsidRPr="00EF7969" w:rsidRDefault="009C6940" w:rsidP="009C6940">
                  <w:pPr>
                    <w:pStyle w:val="TableBodyText"/>
                    <w:jc w:val="left"/>
                  </w:pPr>
                  <w:r w:rsidRPr="00EF7969">
                    <w:t>Geoff Kewley</w:t>
                  </w:r>
                </w:p>
              </w:tc>
              <w:tc>
                <w:tcPr>
                  <w:tcW w:w="2126" w:type="dxa"/>
                  <w:shd w:val="clear" w:color="auto" w:fill="auto"/>
                </w:tcPr>
                <w:p w14:paraId="1885659A" w14:textId="77777777" w:rsidR="009C6940" w:rsidRPr="00EF7969" w:rsidRDefault="009C6940" w:rsidP="009C6940">
                  <w:pPr>
                    <w:pStyle w:val="TableBodyText"/>
                  </w:pPr>
                  <w:r w:rsidRPr="00EF7969">
                    <w:t>652</w:t>
                  </w:r>
                </w:p>
              </w:tc>
            </w:tr>
            <w:tr w:rsidR="009C6940" w:rsidRPr="00EF7969" w14:paraId="348267F1" w14:textId="77777777" w:rsidTr="009C6940">
              <w:tc>
                <w:tcPr>
                  <w:tcW w:w="6377" w:type="dxa"/>
                  <w:shd w:val="clear" w:color="auto" w:fill="auto"/>
                </w:tcPr>
                <w:p w14:paraId="5E13377B" w14:textId="77777777" w:rsidR="009C6940" w:rsidRPr="00EF7969" w:rsidRDefault="009C6940" w:rsidP="009C6940">
                  <w:pPr>
                    <w:pStyle w:val="TableBodyText"/>
                    <w:jc w:val="left"/>
                  </w:pPr>
                  <w:r w:rsidRPr="00EF7969">
                    <w:t>Geoff Smith and Theresa Williams</w:t>
                  </w:r>
                </w:p>
              </w:tc>
              <w:tc>
                <w:tcPr>
                  <w:tcW w:w="2126" w:type="dxa"/>
                  <w:shd w:val="clear" w:color="auto" w:fill="auto"/>
                </w:tcPr>
                <w:p w14:paraId="22446278" w14:textId="77777777" w:rsidR="009C6940" w:rsidRPr="00EF7969" w:rsidRDefault="009C6940" w:rsidP="009C6940">
                  <w:pPr>
                    <w:pStyle w:val="TableBodyText"/>
                  </w:pPr>
                  <w:r w:rsidRPr="00EF7969">
                    <w:t>1229</w:t>
                  </w:r>
                </w:p>
              </w:tc>
            </w:tr>
            <w:tr w:rsidR="009C6940" w:rsidRPr="00EF7969" w14:paraId="0675CC7F" w14:textId="77777777" w:rsidTr="009C6940">
              <w:tc>
                <w:tcPr>
                  <w:tcW w:w="6377" w:type="dxa"/>
                  <w:tcBorders>
                    <w:bottom w:val="single" w:sz="6" w:space="0" w:color="BFBFBF"/>
                  </w:tcBorders>
                  <w:shd w:val="clear" w:color="auto" w:fill="auto"/>
                </w:tcPr>
                <w:p w14:paraId="09DA53EF" w14:textId="77777777" w:rsidR="009C6940" w:rsidRPr="00EF7969" w:rsidRDefault="009C6940" w:rsidP="009C6940">
                  <w:pPr>
                    <w:pStyle w:val="TableBodyText"/>
                    <w:jc w:val="left"/>
                  </w:pPr>
                  <w:r w:rsidRPr="00EF7969">
                    <w:t>Geoffrey Dawson</w:t>
                  </w:r>
                </w:p>
              </w:tc>
              <w:tc>
                <w:tcPr>
                  <w:tcW w:w="2126" w:type="dxa"/>
                  <w:tcBorders>
                    <w:bottom w:val="single" w:sz="6" w:space="0" w:color="BFBFBF"/>
                  </w:tcBorders>
                  <w:shd w:val="clear" w:color="auto" w:fill="auto"/>
                </w:tcPr>
                <w:p w14:paraId="17D2A0F6" w14:textId="77777777" w:rsidR="009C6940" w:rsidRPr="00EF7969" w:rsidRDefault="009C6940" w:rsidP="009C6940">
                  <w:pPr>
                    <w:pStyle w:val="TableBodyText"/>
                  </w:pPr>
                  <w:r w:rsidRPr="00EF7969">
                    <w:t>966</w:t>
                  </w:r>
                </w:p>
              </w:tc>
            </w:tr>
          </w:tbl>
          <w:p w14:paraId="7032D06B" w14:textId="77777777" w:rsidR="009C6940" w:rsidRPr="00EF7969" w:rsidRDefault="009C6940" w:rsidP="009C6940">
            <w:pPr>
              <w:pStyle w:val="Box"/>
            </w:pPr>
          </w:p>
        </w:tc>
      </w:tr>
      <w:tr w:rsidR="009C6940" w:rsidRPr="00EF7969" w14:paraId="156CC5F2" w14:textId="77777777" w:rsidTr="009C6940">
        <w:tc>
          <w:tcPr>
            <w:tcW w:w="8789" w:type="dxa"/>
            <w:tcBorders>
              <w:top w:val="nil"/>
              <w:left w:val="nil"/>
              <w:bottom w:val="nil"/>
              <w:right w:val="nil"/>
            </w:tcBorders>
            <w:shd w:val="clear" w:color="auto" w:fill="auto"/>
          </w:tcPr>
          <w:p w14:paraId="0BAA0ACB" w14:textId="77777777" w:rsidR="009C6940" w:rsidRPr="00EF7969" w:rsidRDefault="009C6940" w:rsidP="009C6940">
            <w:pPr>
              <w:pStyle w:val="Continued"/>
            </w:pPr>
            <w:r w:rsidRPr="00EF7969">
              <w:t>(continued next page)</w:t>
            </w:r>
          </w:p>
        </w:tc>
      </w:tr>
      <w:tr w:rsidR="009C6940" w:rsidRPr="00EF7969" w14:paraId="5CBA66BD" w14:textId="77777777" w:rsidTr="009C6940">
        <w:tc>
          <w:tcPr>
            <w:tcW w:w="8789" w:type="dxa"/>
            <w:tcBorders>
              <w:top w:val="nil"/>
              <w:left w:val="nil"/>
              <w:bottom w:val="single" w:sz="6" w:space="0" w:color="78A22F"/>
              <w:right w:val="nil"/>
            </w:tcBorders>
            <w:shd w:val="clear" w:color="auto" w:fill="auto"/>
          </w:tcPr>
          <w:p w14:paraId="08F2913C" w14:textId="77777777" w:rsidR="009C6940" w:rsidRPr="00EF7969" w:rsidRDefault="009C6940" w:rsidP="009C6940">
            <w:pPr>
              <w:pStyle w:val="Box"/>
              <w:spacing w:before="0" w:line="120" w:lineRule="exact"/>
            </w:pPr>
          </w:p>
        </w:tc>
      </w:tr>
      <w:tr w:rsidR="009C6940" w:rsidRPr="00EF7969" w14:paraId="1D10FD7B" w14:textId="77777777" w:rsidTr="009C6940">
        <w:tc>
          <w:tcPr>
            <w:tcW w:w="8789" w:type="dxa"/>
            <w:tcBorders>
              <w:top w:val="single" w:sz="6" w:space="0" w:color="78A22F"/>
              <w:left w:val="nil"/>
              <w:bottom w:val="nil"/>
              <w:right w:val="nil"/>
            </w:tcBorders>
          </w:tcPr>
          <w:p w14:paraId="7604467C" w14:textId="77777777" w:rsidR="009C6940" w:rsidRPr="00EF7969" w:rsidRDefault="009C6940" w:rsidP="009C6940">
            <w:pPr>
              <w:pStyle w:val="BoxSpaceBelow"/>
            </w:pPr>
          </w:p>
        </w:tc>
      </w:tr>
    </w:tbl>
    <w:p w14:paraId="2FD92A08"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3E650005" w14:textId="77777777" w:rsidTr="009C6940">
        <w:trPr>
          <w:tblHeader/>
        </w:trPr>
        <w:tc>
          <w:tcPr>
            <w:tcW w:w="8789" w:type="dxa"/>
            <w:tcBorders>
              <w:top w:val="single" w:sz="6" w:space="0" w:color="78A22F"/>
              <w:left w:val="nil"/>
              <w:bottom w:val="nil"/>
              <w:right w:val="nil"/>
            </w:tcBorders>
            <w:shd w:val="clear" w:color="auto" w:fill="auto"/>
          </w:tcPr>
          <w:p w14:paraId="392E4049"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4FED20D1"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10EF136B"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43BE8EF1"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007E8633" w14:textId="77777777" w:rsidR="009C6940" w:rsidRPr="00EF7969" w:rsidRDefault="009C6940" w:rsidP="009C6940">
                  <w:pPr>
                    <w:pStyle w:val="TableColumnHeading"/>
                    <w:ind w:right="28"/>
                  </w:pPr>
                  <w:r w:rsidRPr="00EF7969">
                    <w:t>Submission no.</w:t>
                  </w:r>
                </w:p>
              </w:tc>
            </w:tr>
            <w:tr w:rsidR="009C6940" w:rsidRPr="00EF7969" w14:paraId="36717207" w14:textId="77777777" w:rsidTr="009C6940">
              <w:tc>
                <w:tcPr>
                  <w:tcW w:w="6377" w:type="dxa"/>
                  <w:shd w:val="clear" w:color="auto" w:fill="auto"/>
                </w:tcPr>
                <w:p w14:paraId="3EC8AEE3" w14:textId="77777777" w:rsidR="009C6940" w:rsidRPr="00EF7969" w:rsidRDefault="009C6940" w:rsidP="009C6940">
                  <w:pPr>
                    <w:pStyle w:val="TableBodyText"/>
                    <w:spacing w:before="40"/>
                    <w:jc w:val="left"/>
                  </w:pPr>
                  <w:r w:rsidRPr="00EF7969">
                    <w:t>Geoffrey White</w:t>
                  </w:r>
                </w:p>
              </w:tc>
              <w:tc>
                <w:tcPr>
                  <w:tcW w:w="2126" w:type="dxa"/>
                  <w:shd w:val="clear" w:color="auto" w:fill="auto"/>
                </w:tcPr>
                <w:p w14:paraId="33EA1697" w14:textId="77777777" w:rsidR="009C6940" w:rsidRPr="00EF7969" w:rsidRDefault="009C6940" w:rsidP="009C6940">
                  <w:pPr>
                    <w:pStyle w:val="TableBodyText"/>
                    <w:spacing w:before="40"/>
                  </w:pPr>
                  <w:r w:rsidRPr="00EF7969">
                    <w:t>961</w:t>
                  </w:r>
                </w:p>
              </w:tc>
            </w:tr>
            <w:tr w:rsidR="009C6940" w:rsidRPr="00EF7969" w14:paraId="39DDC508" w14:textId="77777777" w:rsidTr="009C6940">
              <w:tc>
                <w:tcPr>
                  <w:tcW w:w="6377" w:type="dxa"/>
                  <w:shd w:val="clear" w:color="auto" w:fill="auto"/>
                </w:tcPr>
                <w:p w14:paraId="393041D9" w14:textId="77777777" w:rsidR="009C6940" w:rsidRPr="00EF7969" w:rsidRDefault="009C6940" w:rsidP="009C6940">
                  <w:pPr>
                    <w:pStyle w:val="TableBodyText"/>
                    <w:jc w:val="left"/>
                  </w:pPr>
                  <w:r w:rsidRPr="00EF7969">
                    <w:t>Gidget Foundation Australia</w:t>
                  </w:r>
                </w:p>
              </w:tc>
              <w:tc>
                <w:tcPr>
                  <w:tcW w:w="2126" w:type="dxa"/>
                  <w:shd w:val="clear" w:color="auto" w:fill="auto"/>
                </w:tcPr>
                <w:p w14:paraId="0B5AEA5E" w14:textId="77777777" w:rsidR="009C6940" w:rsidRPr="00EF7969" w:rsidRDefault="009C6940" w:rsidP="009C6940">
                  <w:pPr>
                    <w:pStyle w:val="TableBodyText"/>
                  </w:pPr>
                  <w:r w:rsidRPr="00EF7969">
                    <w:t>709</w:t>
                  </w:r>
                </w:p>
              </w:tc>
            </w:tr>
            <w:tr w:rsidR="009C6940" w:rsidRPr="00EF7969" w14:paraId="713BA3E1" w14:textId="77777777" w:rsidTr="009C6940">
              <w:tc>
                <w:tcPr>
                  <w:tcW w:w="6377" w:type="dxa"/>
                  <w:shd w:val="clear" w:color="auto" w:fill="auto"/>
                </w:tcPr>
                <w:p w14:paraId="0BDC962E" w14:textId="77777777" w:rsidR="009C6940" w:rsidRPr="00EF7969" w:rsidRDefault="009C6940" w:rsidP="009C6940">
                  <w:pPr>
                    <w:pStyle w:val="TableBodyText"/>
                    <w:jc w:val="left"/>
                  </w:pPr>
                  <w:r w:rsidRPr="00EF7969">
                    <w:t>Glen Barnett</w:t>
                  </w:r>
                </w:p>
              </w:tc>
              <w:tc>
                <w:tcPr>
                  <w:tcW w:w="2126" w:type="dxa"/>
                  <w:shd w:val="clear" w:color="auto" w:fill="auto"/>
                </w:tcPr>
                <w:p w14:paraId="287A271F" w14:textId="77777777" w:rsidR="009C6940" w:rsidRPr="00EF7969" w:rsidRDefault="009C6940" w:rsidP="009C6940">
                  <w:pPr>
                    <w:pStyle w:val="TableBodyText"/>
                  </w:pPr>
                  <w:r w:rsidRPr="00EF7969">
                    <w:t>964</w:t>
                  </w:r>
                </w:p>
              </w:tc>
            </w:tr>
            <w:tr w:rsidR="009C6940" w:rsidRPr="00EF7969" w14:paraId="02EEBD27" w14:textId="77777777" w:rsidTr="009C6940">
              <w:tc>
                <w:tcPr>
                  <w:tcW w:w="6377" w:type="dxa"/>
                  <w:shd w:val="clear" w:color="auto" w:fill="auto"/>
                </w:tcPr>
                <w:p w14:paraId="180AE3DB" w14:textId="77777777" w:rsidR="009C6940" w:rsidRPr="00EF7969" w:rsidRDefault="009C6940" w:rsidP="009C6940">
                  <w:pPr>
                    <w:pStyle w:val="TableBodyText"/>
                    <w:jc w:val="left"/>
                  </w:pPr>
                  <w:r w:rsidRPr="00EF7969">
                    <w:t>Glenn Floyd</w:t>
                  </w:r>
                </w:p>
              </w:tc>
              <w:tc>
                <w:tcPr>
                  <w:tcW w:w="2126" w:type="dxa"/>
                  <w:shd w:val="clear" w:color="auto" w:fill="auto"/>
                </w:tcPr>
                <w:p w14:paraId="74D3F86F" w14:textId="77777777" w:rsidR="009C6940" w:rsidRPr="00EF7969" w:rsidRDefault="009C6940" w:rsidP="009C6940">
                  <w:pPr>
                    <w:pStyle w:val="TableBodyText"/>
                  </w:pPr>
                  <w:r w:rsidRPr="00EF7969">
                    <w:t>595</w:t>
                  </w:r>
                </w:p>
              </w:tc>
            </w:tr>
            <w:tr w:rsidR="009C6940" w:rsidRPr="00EF7969" w14:paraId="47D13A1E" w14:textId="77777777" w:rsidTr="009C6940">
              <w:tc>
                <w:tcPr>
                  <w:tcW w:w="6377" w:type="dxa"/>
                  <w:shd w:val="clear" w:color="auto" w:fill="auto"/>
                </w:tcPr>
                <w:p w14:paraId="1BDB3A57" w14:textId="77777777" w:rsidR="009C6940" w:rsidRPr="00EF7969" w:rsidRDefault="009C6940" w:rsidP="009C6940">
                  <w:pPr>
                    <w:pStyle w:val="TableBodyText"/>
                    <w:jc w:val="left"/>
                  </w:pPr>
                  <w:r w:rsidRPr="00EF7969">
                    <w:t>Glenn Morrow</w:t>
                  </w:r>
                </w:p>
              </w:tc>
              <w:tc>
                <w:tcPr>
                  <w:tcW w:w="2126" w:type="dxa"/>
                  <w:shd w:val="clear" w:color="auto" w:fill="auto"/>
                </w:tcPr>
                <w:p w14:paraId="4459E5C9" w14:textId="77777777" w:rsidR="009C6940" w:rsidRPr="00EF7969" w:rsidRDefault="009C6940" w:rsidP="009C6940">
                  <w:pPr>
                    <w:pStyle w:val="TableBodyText"/>
                  </w:pPr>
                  <w:r w:rsidRPr="00EF7969">
                    <w:t>168</w:t>
                  </w:r>
                </w:p>
              </w:tc>
            </w:tr>
            <w:tr w:rsidR="009C6940" w:rsidRPr="00EF7969" w14:paraId="41FAE8E6" w14:textId="77777777" w:rsidTr="009C6940">
              <w:tc>
                <w:tcPr>
                  <w:tcW w:w="6377" w:type="dxa"/>
                  <w:shd w:val="clear" w:color="auto" w:fill="auto"/>
                </w:tcPr>
                <w:p w14:paraId="40AF7288" w14:textId="77777777" w:rsidR="009C6940" w:rsidRPr="00EF7969" w:rsidRDefault="009C6940" w:rsidP="009C6940">
                  <w:pPr>
                    <w:pStyle w:val="TableBodyText"/>
                    <w:jc w:val="left"/>
                  </w:pPr>
                  <w:r w:rsidRPr="00EF7969">
                    <w:t>Glenys Nall</w:t>
                  </w:r>
                </w:p>
              </w:tc>
              <w:tc>
                <w:tcPr>
                  <w:tcW w:w="2126" w:type="dxa"/>
                  <w:shd w:val="clear" w:color="auto" w:fill="auto"/>
                </w:tcPr>
                <w:p w14:paraId="25C998E2" w14:textId="77777777" w:rsidR="009C6940" w:rsidRPr="00EF7969" w:rsidRDefault="009C6940" w:rsidP="009C6940">
                  <w:pPr>
                    <w:pStyle w:val="TableBodyText"/>
                  </w:pPr>
                  <w:r w:rsidRPr="00EF7969">
                    <w:t>1004</w:t>
                  </w:r>
                </w:p>
              </w:tc>
            </w:tr>
            <w:tr w:rsidR="009C6940" w:rsidRPr="00EF7969" w14:paraId="0525C040" w14:textId="77777777" w:rsidTr="009C6940">
              <w:tc>
                <w:tcPr>
                  <w:tcW w:w="6377" w:type="dxa"/>
                  <w:shd w:val="clear" w:color="auto" w:fill="auto"/>
                </w:tcPr>
                <w:p w14:paraId="51C58E61" w14:textId="77777777" w:rsidR="009C6940" w:rsidRPr="00EF7969" w:rsidRDefault="009C6940" w:rsidP="009C6940">
                  <w:pPr>
                    <w:pStyle w:val="TableBodyText"/>
                    <w:jc w:val="left"/>
                  </w:pPr>
                  <w:r w:rsidRPr="00EF7969">
                    <w:t xml:space="preserve">Godwin Grech </w:t>
                  </w:r>
                </w:p>
              </w:tc>
              <w:tc>
                <w:tcPr>
                  <w:tcW w:w="2126" w:type="dxa"/>
                  <w:shd w:val="clear" w:color="auto" w:fill="auto"/>
                </w:tcPr>
                <w:p w14:paraId="22F3FC60" w14:textId="77777777" w:rsidR="009C6940" w:rsidRPr="00EF7969" w:rsidRDefault="009C6940" w:rsidP="009C6940">
                  <w:pPr>
                    <w:pStyle w:val="TableBodyText"/>
                  </w:pPr>
                  <w:r w:rsidRPr="00EF7969">
                    <w:t>534</w:t>
                  </w:r>
                </w:p>
              </w:tc>
            </w:tr>
            <w:tr w:rsidR="009C6940" w:rsidRPr="00EF7969" w14:paraId="02DEB844" w14:textId="77777777" w:rsidTr="009C6940">
              <w:tc>
                <w:tcPr>
                  <w:tcW w:w="6377" w:type="dxa"/>
                  <w:shd w:val="clear" w:color="auto" w:fill="auto"/>
                </w:tcPr>
                <w:p w14:paraId="144D14C5" w14:textId="77777777" w:rsidR="009C6940" w:rsidRPr="00EF7969" w:rsidRDefault="009C6940" w:rsidP="009C6940">
                  <w:pPr>
                    <w:pStyle w:val="TableBodyText"/>
                    <w:jc w:val="left"/>
                  </w:pPr>
                  <w:r w:rsidRPr="00EF7969">
                    <w:t>Grant Family Charitable Trust (GFCT)</w:t>
                  </w:r>
                </w:p>
              </w:tc>
              <w:tc>
                <w:tcPr>
                  <w:tcW w:w="2126" w:type="dxa"/>
                  <w:shd w:val="clear" w:color="auto" w:fill="auto"/>
                </w:tcPr>
                <w:p w14:paraId="6C2281E9" w14:textId="77777777" w:rsidR="009C6940" w:rsidRPr="00EF7969" w:rsidRDefault="009C6940" w:rsidP="009C6940">
                  <w:pPr>
                    <w:pStyle w:val="TableBodyText"/>
                  </w:pPr>
                  <w:r w:rsidRPr="00EF7969">
                    <w:t>76</w:t>
                  </w:r>
                </w:p>
              </w:tc>
            </w:tr>
            <w:tr w:rsidR="009C6940" w:rsidRPr="00EF7969" w14:paraId="14C9018F" w14:textId="77777777" w:rsidTr="009C6940">
              <w:tc>
                <w:tcPr>
                  <w:tcW w:w="6377" w:type="dxa"/>
                  <w:shd w:val="clear" w:color="auto" w:fill="auto"/>
                </w:tcPr>
                <w:p w14:paraId="354FBC7B" w14:textId="77777777" w:rsidR="009C6940" w:rsidRPr="00EF7969" w:rsidRDefault="009C6940" w:rsidP="009C6940">
                  <w:pPr>
                    <w:pStyle w:val="TableBodyText"/>
                    <w:jc w:val="left"/>
                  </w:pPr>
                  <w:r w:rsidRPr="00EF7969">
                    <w:t>Grant Jefford</w:t>
                  </w:r>
                </w:p>
              </w:tc>
              <w:tc>
                <w:tcPr>
                  <w:tcW w:w="2126" w:type="dxa"/>
                  <w:shd w:val="clear" w:color="auto" w:fill="auto"/>
                </w:tcPr>
                <w:p w14:paraId="4EFE81DE" w14:textId="77777777" w:rsidR="009C6940" w:rsidRPr="00EF7969" w:rsidRDefault="009C6940" w:rsidP="009C6940">
                  <w:pPr>
                    <w:pStyle w:val="TableBodyText"/>
                  </w:pPr>
                  <w:r w:rsidRPr="00EF7969">
                    <w:t>843</w:t>
                  </w:r>
                </w:p>
              </w:tc>
            </w:tr>
            <w:tr w:rsidR="009C6940" w:rsidRPr="00EF7969" w14:paraId="71C02D9D" w14:textId="77777777" w:rsidTr="009C6940">
              <w:tc>
                <w:tcPr>
                  <w:tcW w:w="6377" w:type="dxa"/>
                  <w:shd w:val="clear" w:color="auto" w:fill="auto"/>
                </w:tcPr>
                <w:p w14:paraId="7E4D919A" w14:textId="77777777" w:rsidR="009C6940" w:rsidRPr="00EF7969" w:rsidRDefault="009C6940" w:rsidP="009C6940">
                  <w:pPr>
                    <w:pStyle w:val="TableBodyText"/>
                    <w:jc w:val="left"/>
                  </w:pPr>
                  <w:r w:rsidRPr="00EF7969">
                    <w:t>Grattan Institute</w:t>
                  </w:r>
                </w:p>
              </w:tc>
              <w:tc>
                <w:tcPr>
                  <w:tcW w:w="2126" w:type="dxa"/>
                  <w:shd w:val="clear" w:color="auto" w:fill="auto"/>
                </w:tcPr>
                <w:p w14:paraId="00D7CC2B" w14:textId="77777777" w:rsidR="009C6940" w:rsidRPr="00EF7969" w:rsidRDefault="009C6940" w:rsidP="009C6940">
                  <w:pPr>
                    <w:pStyle w:val="TableBodyText"/>
                  </w:pPr>
                  <w:r w:rsidRPr="00EF7969">
                    <w:t>816, 1223</w:t>
                  </w:r>
                </w:p>
              </w:tc>
            </w:tr>
            <w:tr w:rsidR="009C6940" w:rsidRPr="00EF7969" w14:paraId="3D9E4087" w14:textId="77777777" w:rsidTr="009C6940">
              <w:tc>
                <w:tcPr>
                  <w:tcW w:w="6377" w:type="dxa"/>
                  <w:shd w:val="clear" w:color="auto" w:fill="auto"/>
                </w:tcPr>
                <w:p w14:paraId="74A2CF60" w14:textId="77777777" w:rsidR="009C6940" w:rsidRPr="00EF7969" w:rsidRDefault="009C6940" w:rsidP="009C6940">
                  <w:pPr>
                    <w:pStyle w:val="TableBodyText"/>
                    <w:jc w:val="left"/>
                  </w:pPr>
                  <w:r w:rsidRPr="00EF7969">
                    <w:t>Greg Franklin</w:t>
                  </w:r>
                </w:p>
              </w:tc>
              <w:tc>
                <w:tcPr>
                  <w:tcW w:w="2126" w:type="dxa"/>
                  <w:shd w:val="clear" w:color="auto" w:fill="auto"/>
                </w:tcPr>
                <w:p w14:paraId="24FA9E79" w14:textId="77777777" w:rsidR="009C6940" w:rsidRPr="00EF7969" w:rsidRDefault="009C6940" w:rsidP="009C6940">
                  <w:pPr>
                    <w:pStyle w:val="TableBodyText"/>
                  </w:pPr>
                  <w:r w:rsidRPr="00EF7969">
                    <w:t>287</w:t>
                  </w:r>
                </w:p>
              </w:tc>
            </w:tr>
            <w:tr w:rsidR="009C6940" w:rsidRPr="00EF7969" w14:paraId="39756AA2" w14:textId="77777777" w:rsidTr="009C6940">
              <w:tc>
                <w:tcPr>
                  <w:tcW w:w="6377" w:type="dxa"/>
                  <w:shd w:val="clear" w:color="auto" w:fill="auto"/>
                </w:tcPr>
                <w:p w14:paraId="7B1E5A33" w14:textId="77777777" w:rsidR="009C6940" w:rsidRPr="00EF7969" w:rsidRDefault="009C6940" w:rsidP="009C6940">
                  <w:pPr>
                    <w:pStyle w:val="TableBodyText"/>
                    <w:jc w:val="left"/>
                  </w:pPr>
                  <w:r w:rsidRPr="00EF7969">
                    <w:t>Grief Journeys Ltd</w:t>
                  </w:r>
                </w:p>
              </w:tc>
              <w:tc>
                <w:tcPr>
                  <w:tcW w:w="2126" w:type="dxa"/>
                  <w:shd w:val="clear" w:color="auto" w:fill="auto"/>
                </w:tcPr>
                <w:p w14:paraId="56774A97" w14:textId="77777777" w:rsidR="009C6940" w:rsidRPr="00EF7969" w:rsidRDefault="009C6940" w:rsidP="009C6940">
                  <w:pPr>
                    <w:pStyle w:val="TableBodyText"/>
                  </w:pPr>
                  <w:r w:rsidRPr="00EF7969">
                    <w:t>817</w:t>
                  </w:r>
                </w:p>
              </w:tc>
            </w:tr>
            <w:tr w:rsidR="009C6940" w:rsidRPr="00EF7969" w14:paraId="4A0B60CA" w14:textId="77777777" w:rsidTr="009C6940">
              <w:tc>
                <w:tcPr>
                  <w:tcW w:w="6377" w:type="dxa"/>
                  <w:shd w:val="clear" w:color="auto" w:fill="auto"/>
                </w:tcPr>
                <w:p w14:paraId="68889247" w14:textId="77777777" w:rsidR="009C6940" w:rsidRPr="00EF7969" w:rsidRDefault="009C6940" w:rsidP="009C6940">
                  <w:pPr>
                    <w:pStyle w:val="TableBodyText"/>
                    <w:jc w:val="left"/>
                  </w:pPr>
                  <w:r w:rsidRPr="00EF7969">
                    <w:t>Grow Australia</w:t>
                  </w:r>
                </w:p>
              </w:tc>
              <w:tc>
                <w:tcPr>
                  <w:tcW w:w="2126" w:type="dxa"/>
                  <w:shd w:val="clear" w:color="auto" w:fill="auto"/>
                </w:tcPr>
                <w:p w14:paraId="5A60AE4B" w14:textId="77777777" w:rsidR="009C6940" w:rsidRPr="00EF7969" w:rsidRDefault="009C6940" w:rsidP="009C6940">
                  <w:pPr>
                    <w:pStyle w:val="TableBodyText"/>
                  </w:pPr>
                  <w:r w:rsidRPr="00EF7969">
                    <w:t>194, 847</w:t>
                  </w:r>
                </w:p>
              </w:tc>
            </w:tr>
            <w:tr w:rsidR="009C6940" w:rsidRPr="00EF7969" w14:paraId="1127525C" w14:textId="77777777" w:rsidTr="009C6940">
              <w:tc>
                <w:tcPr>
                  <w:tcW w:w="6377" w:type="dxa"/>
                  <w:shd w:val="clear" w:color="auto" w:fill="auto"/>
                </w:tcPr>
                <w:p w14:paraId="318D14A7" w14:textId="77777777" w:rsidR="009C6940" w:rsidRPr="00EF7969" w:rsidRDefault="009C6940" w:rsidP="009C6940">
                  <w:pPr>
                    <w:pStyle w:val="TableBodyText"/>
                    <w:jc w:val="left"/>
                  </w:pPr>
                  <w:r w:rsidRPr="00EF7969">
                    <w:t>Guy Taylor</w:t>
                  </w:r>
                </w:p>
              </w:tc>
              <w:tc>
                <w:tcPr>
                  <w:tcW w:w="2126" w:type="dxa"/>
                  <w:shd w:val="clear" w:color="auto" w:fill="auto"/>
                </w:tcPr>
                <w:p w14:paraId="0C5E1A65" w14:textId="77777777" w:rsidR="009C6940" w:rsidRPr="00EF7969" w:rsidRDefault="009C6940" w:rsidP="009C6940">
                  <w:pPr>
                    <w:pStyle w:val="TableBodyText"/>
                  </w:pPr>
                  <w:r w:rsidRPr="00EF7969">
                    <w:t>1126</w:t>
                  </w:r>
                </w:p>
              </w:tc>
            </w:tr>
            <w:tr w:rsidR="009C6940" w:rsidRPr="00EF7969" w14:paraId="1C4ED805" w14:textId="77777777" w:rsidTr="009C6940">
              <w:tc>
                <w:tcPr>
                  <w:tcW w:w="6377" w:type="dxa"/>
                  <w:shd w:val="clear" w:color="auto" w:fill="auto"/>
                </w:tcPr>
                <w:p w14:paraId="2C8F59B5" w14:textId="77777777" w:rsidR="009C6940" w:rsidRPr="00EF7969" w:rsidRDefault="009C6940" w:rsidP="009C6940">
                  <w:pPr>
                    <w:pStyle w:val="TableBodyText"/>
                    <w:jc w:val="left"/>
                  </w:pPr>
                  <w:r w:rsidRPr="00EF7969">
                    <w:t>GV Development Clinic</w:t>
                  </w:r>
                </w:p>
              </w:tc>
              <w:tc>
                <w:tcPr>
                  <w:tcW w:w="2126" w:type="dxa"/>
                  <w:shd w:val="clear" w:color="auto" w:fill="auto"/>
                </w:tcPr>
                <w:p w14:paraId="127136C5" w14:textId="77777777" w:rsidR="009C6940" w:rsidRPr="00EF7969" w:rsidRDefault="009C6940" w:rsidP="009C6940">
                  <w:pPr>
                    <w:pStyle w:val="TableBodyText"/>
                  </w:pPr>
                  <w:r w:rsidRPr="00EF7969">
                    <w:t>428</w:t>
                  </w:r>
                </w:p>
              </w:tc>
            </w:tr>
            <w:tr w:rsidR="009C6940" w:rsidRPr="00EF7969" w14:paraId="68A91973" w14:textId="77777777" w:rsidTr="009C6940">
              <w:tc>
                <w:tcPr>
                  <w:tcW w:w="6377" w:type="dxa"/>
                  <w:shd w:val="clear" w:color="auto" w:fill="auto"/>
                </w:tcPr>
                <w:p w14:paraId="17C1F0FD" w14:textId="77777777" w:rsidR="009C6940" w:rsidRPr="00EF7969" w:rsidRDefault="009C6940" w:rsidP="009C6940">
                  <w:pPr>
                    <w:pStyle w:val="TableBodyText"/>
                    <w:jc w:val="left"/>
                  </w:pPr>
                  <w:r w:rsidRPr="00EF7969">
                    <w:t>Hannah Bloomfield</w:t>
                  </w:r>
                </w:p>
              </w:tc>
              <w:tc>
                <w:tcPr>
                  <w:tcW w:w="2126" w:type="dxa"/>
                  <w:shd w:val="clear" w:color="auto" w:fill="auto"/>
                </w:tcPr>
                <w:p w14:paraId="0646E418" w14:textId="77777777" w:rsidR="009C6940" w:rsidRPr="00EF7969" w:rsidRDefault="009C6940" w:rsidP="009C6940">
                  <w:pPr>
                    <w:pStyle w:val="TableBodyText"/>
                  </w:pPr>
                  <w:r w:rsidRPr="00EF7969">
                    <w:t>955</w:t>
                  </w:r>
                </w:p>
              </w:tc>
            </w:tr>
            <w:tr w:rsidR="009C6940" w:rsidRPr="00EF7969" w14:paraId="3B03BA54" w14:textId="77777777" w:rsidTr="009C6940">
              <w:tc>
                <w:tcPr>
                  <w:tcW w:w="6377" w:type="dxa"/>
                  <w:shd w:val="clear" w:color="auto" w:fill="auto"/>
                </w:tcPr>
                <w:p w14:paraId="3A423B7A" w14:textId="77777777" w:rsidR="009C6940" w:rsidRPr="00EF7969" w:rsidRDefault="009C6940" w:rsidP="009C6940">
                  <w:pPr>
                    <w:pStyle w:val="TableBodyText"/>
                    <w:jc w:val="left"/>
                  </w:pPr>
                  <w:r w:rsidRPr="00EF7969">
                    <w:t>Harrison Banacek</w:t>
                  </w:r>
                </w:p>
              </w:tc>
              <w:tc>
                <w:tcPr>
                  <w:tcW w:w="2126" w:type="dxa"/>
                  <w:shd w:val="clear" w:color="auto" w:fill="auto"/>
                </w:tcPr>
                <w:p w14:paraId="19F083F9" w14:textId="77777777" w:rsidR="009C6940" w:rsidRPr="00EF7969" w:rsidRDefault="009C6940" w:rsidP="009C6940">
                  <w:pPr>
                    <w:pStyle w:val="TableBodyText"/>
                  </w:pPr>
                  <w:r w:rsidRPr="00EF7969">
                    <w:t>1139</w:t>
                  </w:r>
                </w:p>
              </w:tc>
            </w:tr>
            <w:tr w:rsidR="009C6940" w:rsidRPr="00EF7969" w14:paraId="1B2E3F3B" w14:textId="77777777" w:rsidTr="009C6940">
              <w:tc>
                <w:tcPr>
                  <w:tcW w:w="6377" w:type="dxa"/>
                  <w:shd w:val="clear" w:color="auto" w:fill="auto"/>
                </w:tcPr>
                <w:p w14:paraId="190FFE50" w14:textId="77777777" w:rsidR="009C6940" w:rsidRPr="00EF7969" w:rsidRDefault="009C6940" w:rsidP="009C6940">
                  <w:pPr>
                    <w:pStyle w:val="TableBodyText"/>
                    <w:jc w:val="left"/>
                  </w:pPr>
                  <w:r w:rsidRPr="00EF7969">
                    <w:t>Harry Crawford</w:t>
                  </w:r>
                </w:p>
              </w:tc>
              <w:tc>
                <w:tcPr>
                  <w:tcW w:w="2126" w:type="dxa"/>
                  <w:shd w:val="clear" w:color="auto" w:fill="auto"/>
                </w:tcPr>
                <w:p w14:paraId="159BF5B8" w14:textId="77777777" w:rsidR="009C6940" w:rsidRPr="00EF7969" w:rsidRDefault="009C6940" w:rsidP="009C6940">
                  <w:pPr>
                    <w:pStyle w:val="TableBodyText"/>
                  </w:pPr>
                  <w:r w:rsidRPr="00EF7969">
                    <w:t>1060</w:t>
                  </w:r>
                </w:p>
              </w:tc>
            </w:tr>
            <w:tr w:rsidR="009C6940" w:rsidRPr="00EF7969" w14:paraId="4230DA4E" w14:textId="77777777" w:rsidTr="009C6940">
              <w:tc>
                <w:tcPr>
                  <w:tcW w:w="6377" w:type="dxa"/>
                  <w:shd w:val="clear" w:color="auto" w:fill="auto"/>
                </w:tcPr>
                <w:p w14:paraId="583C746D" w14:textId="77777777" w:rsidR="009C6940" w:rsidRPr="00EF7969" w:rsidRDefault="009C6940" w:rsidP="009C6940">
                  <w:pPr>
                    <w:pStyle w:val="TableBodyText"/>
                    <w:jc w:val="left"/>
                  </w:pPr>
                  <w:r w:rsidRPr="00EF7969">
                    <w:t>Hayley Wuerfel</w:t>
                  </w:r>
                </w:p>
              </w:tc>
              <w:tc>
                <w:tcPr>
                  <w:tcW w:w="2126" w:type="dxa"/>
                  <w:shd w:val="clear" w:color="auto" w:fill="auto"/>
                </w:tcPr>
                <w:p w14:paraId="224B6A11" w14:textId="77777777" w:rsidR="009C6940" w:rsidRPr="00EF7969" w:rsidRDefault="009C6940" w:rsidP="009C6940">
                  <w:pPr>
                    <w:pStyle w:val="TableBodyText"/>
                  </w:pPr>
                  <w:r w:rsidRPr="00EF7969">
                    <w:t>989</w:t>
                  </w:r>
                </w:p>
              </w:tc>
            </w:tr>
            <w:tr w:rsidR="009C6940" w:rsidRPr="00EF7969" w14:paraId="66238E92" w14:textId="77777777" w:rsidTr="009C6940">
              <w:tc>
                <w:tcPr>
                  <w:tcW w:w="6377" w:type="dxa"/>
                  <w:shd w:val="clear" w:color="auto" w:fill="auto"/>
                </w:tcPr>
                <w:p w14:paraId="6733AACA" w14:textId="77777777" w:rsidR="009C6940" w:rsidRPr="00EF7969" w:rsidRDefault="009C6940" w:rsidP="009C6940">
                  <w:pPr>
                    <w:pStyle w:val="TableBodyText"/>
                    <w:jc w:val="left"/>
                  </w:pPr>
                  <w:r w:rsidRPr="00EF7969">
                    <w:t>HCF</w:t>
                  </w:r>
                </w:p>
              </w:tc>
              <w:tc>
                <w:tcPr>
                  <w:tcW w:w="2126" w:type="dxa"/>
                  <w:shd w:val="clear" w:color="auto" w:fill="auto"/>
                </w:tcPr>
                <w:p w14:paraId="442BFA06" w14:textId="77777777" w:rsidR="009C6940" w:rsidRPr="00EF7969" w:rsidRDefault="009C6940" w:rsidP="009C6940">
                  <w:pPr>
                    <w:pStyle w:val="TableBodyText"/>
                  </w:pPr>
                  <w:r w:rsidRPr="00EF7969">
                    <w:t>299</w:t>
                  </w:r>
                </w:p>
              </w:tc>
            </w:tr>
            <w:tr w:rsidR="009C6940" w:rsidRPr="00EF7969" w14:paraId="1D5B9473" w14:textId="77777777" w:rsidTr="009C6940">
              <w:tc>
                <w:tcPr>
                  <w:tcW w:w="6377" w:type="dxa"/>
                  <w:shd w:val="clear" w:color="auto" w:fill="auto"/>
                </w:tcPr>
                <w:p w14:paraId="7D21616F" w14:textId="77777777" w:rsidR="009C6940" w:rsidRPr="00EF7969" w:rsidRDefault="009C6940" w:rsidP="009C6940">
                  <w:pPr>
                    <w:pStyle w:val="TableBodyText"/>
                    <w:jc w:val="left"/>
                  </w:pPr>
                  <w:r w:rsidRPr="00EF7969">
                    <w:t>Heads of Department and Schools of Psychology Association (HODSPA)</w:t>
                  </w:r>
                </w:p>
              </w:tc>
              <w:tc>
                <w:tcPr>
                  <w:tcW w:w="2126" w:type="dxa"/>
                  <w:shd w:val="clear" w:color="auto" w:fill="auto"/>
                </w:tcPr>
                <w:p w14:paraId="04A3DCD5" w14:textId="77777777" w:rsidR="009C6940" w:rsidRPr="00EF7969" w:rsidRDefault="009C6940" w:rsidP="009C6940">
                  <w:pPr>
                    <w:pStyle w:val="TableBodyText"/>
                  </w:pPr>
                  <w:r w:rsidRPr="00EF7969">
                    <w:t>362</w:t>
                  </w:r>
                </w:p>
              </w:tc>
            </w:tr>
            <w:tr w:rsidR="009C6940" w:rsidRPr="00EF7969" w14:paraId="4A1B23D5" w14:textId="77777777" w:rsidTr="009C6940">
              <w:tc>
                <w:tcPr>
                  <w:tcW w:w="6377" w:type="dxa"/>
                  <w:shd w:val="clear" w:color="auto" w:fill="auto"/>
                </w:tcPr>
                <w:p w14:paraId="5D5AB4AD" w14:textId="77777777" w:rsidR="009C6940" w:rsidRPr="00EF7969" w:rsidRDefault="009C6940" w:rsidP="009C6940">
                  <w:pPr>
                    <w:pStyle w:val="TableBodyText"/>
                    <w:jc w:val="left"/>
                  </w:pPr>
                  <w:r w:rsidRPr="00EF7969">
                    <w:t xml:space="preserve">headspace – National </w:t>
                  </w:r>
                  <w:r>
                    <w:t>Youth</w:t>
                  </w:r>
                  <w:r w:rsidRPr="00EF7969">
                    <w:t xml:space="preserve"> Mental Health Foundation</w:t>
                  </w:r>
                </w:p>
              </w:tc>
              <w:tc>
                <w:tcPr>
                  <w:tcW w:w="2126" w:type="dxa"/>
                  <w:shd w:val="clear" w:color="auto" w:fill="auto"/>
                </w:tcPr>
                <w:p w14:paraId="7BD233D3" w14:textId="77777777" w:rsidR="009C6940" w:rsidRPr="00EF7969" w:rsidRDefault="009C6940" w:rsidP="009C6940">
                  <w:pPr>
                    <w:pStyle w:val="TableBodyText"/>
                  </w:pPr>
                  <w:r w:rsidRPr="00EF7969">
                    <w:t>947</w:t>
                  </w:r>
                </w:p>
              </w:tc>
            </w:tr>
            <w:tr w:rsidR="009C6940" w:rsidRPr="00EF7969" w14:paraId="1CBC9B68" w14:textId="77777777" w:rsidTr="009C6940">
              <w:tc>
                <w:tcPr>
                  <w:tcW w:w="6377" w:type="dxa"/>
                  <w:shd w:val="clear" w:color="auto" w:fill="auto"/>
                </w:tcPr>
                <w:p w14:paraId="0E3A77BA" w14:textId="77777777" w:rsidR="009C6940" w:rsidRPr="00EF7969" w:rsidRDefault="009C6940" w:rsidP="009C6940">
                  <w:pPr>
                    <w:pStyle w:val="TableBodyText"/>
                    <w:jc w:val="left"/>
                  </w:pPr>
                  <w:r w:rsidRPr="00EF7969">
                    <w:t>headspace Armadale WA</w:t>
                  </w:r>
                </w:p>
              </w:tc>
              <w:tc>
                <w:tcPr>
                  <w:tcW w:w="2126" w:type="dxa"/>
                  <w:shd w:val="clear" w:color="auto" w:fill="auto"/>
                </w:tcPr>
                <w:p w14:paraId="740FC9C6" w14:textId="77777777" w:rsidR="009C6940" w:rsidRPr="00EF7969" w:rsidRDefault="009C6940" w:rsidP="009C6940">
                  <w:pPr>
                    <w:pStyle w:val="TableBodyText"/>
                  </w:pPr>
                  <w:r w:rsidRPr="00EF7969">
                    <w:t>724</w:t>
                  </w:r>
                </w:p>
              </w:tc>
            </w:tr>
            <w:tr w:rsidR="009C6940" w:rsidRPr="00EF7969" w14:paraId="1918D05B" w14:textId="77777777" w:rsidTr="009C6940">
              <w:tc>
                <w:tcPr>
                  <w:tcW w:w="6377" w:type="dxa"/>
                  <w:shd w:val="clear" w:color="auto" w:fill="auto"/>
                </w:tcPr>
                <w:p w14:paraId="0AA29C9B" w14:textId="77777777" w:rsidR="009C6940" w:rsidRPr="00EF7969" w:rsidRDefault="009C6940" w:rsidP="009C6940">
                  <w:pPr>
                    <w:pStyle w:val="TableBodyText"/>
                    <w:jc w:val="left"/>
                  </w:pPr>
                  <w:r w:rsidRPr="00EF7969">
                    <w:t>headspace Bundaberg</w:t>
                  </w:r>
                </w:p>
              </w:tc>
              <w:tc>
                <w:tcPr>
                  <w:tcW w:w="2126" w:type="dxa"/>
                  <w:shd w:val="clear" w:color="auto" w:fill="auto"/>
                </w:tcPr>
                <w:p w14:paraId="1B5EA626" w14:textId="77777777" w:rsidR="009C6940" w:rsidRPr="00EF7969" w:rsidRDefault="009C6940" w:rsidP="009C6940">
                  <w:pPr>
                    <w:pStyle w:val="TableBodyText"/>
                  </w:pPr>
                  <w:r w:rsidRPr="00EF7969">
                    <w:t>813</w:t>
                  </w:r>
                </w:p>
              </w:tc>
            </w:tr>
            <w:tr w:rsidR="009C6940" w:rsidRPr="00EF7969" w14:paraId="43BA8AAE" w14:textId="77777777" w:rsidTr="009C6940">
              <w:tc>
                <w:tcPr>
                  <w:tcW w:w="6377" w:type="dxa"/>
                  <w:shd w:val="clear" w:color="auto" w:fill="auto"/>
                </w:tcPr>
                <w:p w14:paraId="67FDF0A6" w14:textId="77777777" w:rsidR="009C6940" w:rsidRPr="00EF7969" w:rsidRDefault="009C6940" w:rsidP="009C6940">
                  <w:pPr>
                    <w:pStyle w:val="TableBodyText"/>
                    <w:jc w:val="left"/>
                  </w:pPr>
                  <w:r w:rsidRPr="00EF7969">
                    <w:t>headspace Geraldton</w:t>
                  </w:r>
                </w:p>
              </w:tc>
              <w:tc>
                <w:tcPr>
                  <w:tcW w:w="2126" w:type="dxa"/>
                  <w:shd w:val="clear" w:color="auto" w:fill="auto"/>
                </w:tcPr>
                <w:p w14:paraId="1405F5FC" w14:textId="77777777" w:rsidR="009C6940" w:rsidRPr="00EF7969" w:rsidRDefault="009C6940" w:rsidP="009C6940">
                  <w:pPr>
                    <w:pStyle w:val="TableBodyText"/>
                  </w:pPr>
                  <w:r w:rsidRPr="00EF7969">
                    <w:t>617</w:t>
                  </w:r>
                </w:p>
              </w:tc>
            </w:tr>
            <w:tr w:rsidR="009C6940" w:rsidRPr="00EF7969" w14:paraId="40C24635" w14:textId="77777777" w:rsidTr="009C6940">
              <w:tc>
                <w:tcPr>
                  <w:tcW w:w="6377" w:type="dxa"/>
                  <w:shd w:val="clear" w:color="auto" w:fill="auto"/>
                </w:tcPr>
                <w:p w14:paraId="66670FA6" w14:textId="77777777" w:rsidR="009C6940" w:rsidRPr="00EF7969" w:rsidRDefault="009C6940" w:rsidP="009C6940">
                  <w:pPr>
                    <w:pStyle w:val="TableBodyText"/>
                    <w:jc w:val="left"/>
                  </w:pPr>
                  <w:r w:rsidRPr="00EF7969">
                    <w:t>headspace Hobart</w:t>
                  </w:r>
                </w:p>
              </w:tc>
              <w:tc>
                <w:tcPr>
                  <w:tcW w:w="2126" w:type="dxa"/>
                  <w:shd w:val="clear" w:color="auto" w:fill="auto"/>
                </w:tcPr>
                <w:p w14:paraId="1AD0365D" w14:textId="77777777" w:rsidR="009C6940" w:rsidRPr="00EF7969" w:rsidRDefault="009C6940" w:rsidP="009C6940">
                  <w:pPr>
                    <w:pStyle w:val="TableBodyText"/>
                  </w:pPr>
                  <w:r w:rsidRPr="00EF7969">
                    <w:t>631</w:t>
                  </w:r>
                </w:p>
              </w:tc>
            </w:tr>
            <w:tr w:rsidR="009C6940" w:rsidRPr="00EF7969" w14:paraId="24DA875E" w14:textId="77777777" w:rsidTr="009C6940">
              <w:tc>
                <w:tcPr>
                  <w:tcW w:w="6377" w:type="dxa"/>
                  <w:shd w:val="clear" w:color="auto" w:fill="auto"/>
                </w:tcPr>
                <w:p w14:paraId="780C3079" w14:textId="77777777" w:rsidR="009C6940" w:rsidRPr="00EF7969" w:rsidRDefault="009C6940" w:rsidP="009C6940">
                  <w:pPr>
                    <w:pStyle w:val="TableBodyText"/>
                    <w:jc w:val="left"/>
                  </w:pPr>
                  <w:r w:rsidRPr="00EF7969">
                    <w:t>Healing Foundation</w:t>
                  </w:r>
                </w:p>
              </w:tc>
              <w:tc>
                <w:tcPr>
                  <w:tcW w:w="2126" w:type="dxa"/>
                  <w:shd w:val="clear" w:color="auto" w:fill="auto"/>
                </w:tcPr>
                <w:p w14:paraId="06AC8E44" w14:textId="77777777" w:rsidR="009C6940" w:rsidRPr="00EF7969" w:rsidRDefault="009C6940" w:rsidP="009C6940">
                  <w:pPr>
                    <w:pStyle w:val="TableBodyText"/>
                  </w:pPr>
                  <w:r w:rsidRPr="00EF7969">
                    <w:t>193</w:t>
                  </w:r>
                </w:p>
              </w:tc>
            </w:tr>
            <w:tr w:rsidR="009C6940" w:rsidRPr="00EF7969" w14:paraId="5E46B242" w14:textId="77777777" w:rsidTr="009C6940">
              <w:tc>
                <w:tcPr>
                  <w:tcW w:w="6377" w:type="dxa"/>
                  <w:shd w:val="clear" w:color="auto" w:fill="auto"/>
                </w:tcPr>
                <w:p w14:paraId="6E87F19E" w14:textId="77777777" w:rsidR="009C6940" w:rsidRPr="00EF7969" w:rsidRDefault="009C6940" w:rsidP="009C6940">
                  <w:pPr>
                    <w:pStyle w:val="TableBodyText"/>
                    <w:jc w:val="left"/>
                  </w:pPr>
                  <w:r w:rsidRPr="00EF7969">
                    <w:t>Health and Community Services Union (HACSU)</w:t>
                  </w:r>
                </w:p>
              </w:tc>
              <w:tc>
                <w:tcPr>
                  <w:tcW w:w="2126" w:type="dxa"/>
                  <w:shd w:val="clear" w:color="auto" w:fill="auto"/>
                </w:tcPr>
                <w:p w14:paraId="704D3DBF" w14:textId="77777777" w:rsidR="009C6940" w:rsidRPr="00EF7969" w:rsidRDefault="009C6940" w:rsidP="009C6940">
                  <w:pPr>
                    <w:pStyle w:val="TableBodyText"/>
                  </w:pPr>
                  <w:r w:rsidRPr="00EF7969">
                    <w:t>784</w:t>
                  </w:r>
                </w:p>
              </w:tc>
            </w:tr>
            <w:tr w:rsidR="009C6940" w:rsidRPr="00EF7969" w14:paraId="7A2B2C03" w14:textId="77777777" w:rsidTr="009C6940">
              <w:tc>
                <w:tcPr>
                  <w:tcW w:w="6377" w:type="dxa"/>
                  <w:shd w:val="clear" w:color="auto" w:fill="auto"/>
                </w:tcPr>
                <w:p w14:paraId="59318124" w14:textId="77777777" w:rsidR="009C6940" w:rsidRPr="00EF7969" w:rsidRDefault="009C6940" w:rsidP="009C6940">
                  <w:pPr>
                    <w:pStyle w:val="TableBodyText"/>
                    <w:jc w:val="left"/>
                  </w:pPr>
                  <w:r w:rsidRPr="00EF7969">
                    <w:t>Health Justice Australia</w:t>
                  </w:r>
                </w:p>
              </w:tc>
              <w:tc>
                <w:tcPr>
                  <w:tcW w:w="2126" w:type="dxa"/>
                  <w:shd w:val="clear" w:color="auto" w:fill="auto"/>
                </w:tcPr>
                <w:p w14:paraId="5B3422E2" w14:textId="77777777" w:rsidR="009C6940" w:rsidRPr="00EF7969" w:rsidRDefault="009C6940" w:rsidP="009C6940">
                  <w:pPr>
                    <w:pStyle w:val="TableBodyText"/>
                  </w:pPr>
                  <w:r w:rsidRPr="00EF7969">
                    <w:t>749</w:t>
                  </w:r>
                </w:p>
              </w:tc>
            </w:tr>
            <w:tr w:rsidR="009C6940" w:rsidRPr="00EF7969" w14:paraId="706EA39C" w14:textId="77777777" w:rsidTr="009C6940">
              <w:tc>
                <w:tcPr>
                  <w:tcW w:w="6377" w:type="dxa"/>
                  <w:shd w:val="clear" w:color="auto" w:fill="auto"/>
                </w:tcPr>
                <w:p w14:paraId="65446F37" w14:textId="77777777" w:rsidR="009C6940" w:rsidRPr="00EF7969" w:rsidRDefault="009C6940" w:rsidP="009C6940">
                  <w:pPr>
                    <w:pStyle w:val="TableBodyText"/>
                    <w:jc w:val="left"/>
                  </w:pPr>
                  <w:r w:rsidRPr="00EF7969">
                    <w:t>Health Services Union (HSU)</w:t>
                  </w:r>
                </w:p>
              </w:tc>
              <w:tc>
                <w:tcPr>
                  <w:tcW w:w="2126" w:type="dxa"/>
                  <w:shd w:val="clear" w:color="auto" w:fill="auto"/>
                </w:tcPr>
                <w:p w14:paraId="0D6B8233" w14:textId="77777777" w:rsidR="009C6940" w:rsidRPr="00EF7969" w:rsidRDefault="009C6940" w:rsidP="009C6940">
                  <w:pPr>
                    <w:pStyle w:val="TableBodyText"/>
                  </w:pPr>
                  <w:r w:rsidRPr="00EF7969">
                    <w:t>237</w:t>
                  </w:r>
                </w:p>
              </w:tc>
            </w:tr>
            <w:tr w:rsidR="009C6940" w:rsidRPr="00EF7969" w14:paraId="544A5D24" w14:textId="77777777" w:rsidTr="009C6940">
              <w:tc>
                <w:tcPr>
                  <w:tcW w:w="6377" w:type="dxa"/>
                  <w:shd w:val="clear" w:color="auto" w:fill="auto"/>
                </w:tcPr>
                <w:p w14:paraId="5F8783A4" w14:textId="77777777" w:rsidR="009C6940" w:rsidRPr="00EF7969" w:rsidRDefault="009C6940" w:rsidP="009C6940">
                  <w:pPr>
                    <w:pStyle w:val="TableBodyText"/>
                    <w:jc w:val="left"/>
                  </w:pPr>
                  <w:r w:rsidRPr="00EF7969">
                    <w:t>HealthWise</w:t>
                  </w:r>
                </w:p>
              </w:tc>
              <w:tc>
                <w:tcPr>
                  <w:tcW w:w="2126" w:type="dxa"/>
                  <w:shd w:val="clear" w:color="auto" w:fill="auto"/>
                </w:tcPr>
                <w:p w14:paraId="6CD2210A" w14:textId="77777777" w:rsidR="009C6940" w:rsidRPr="00EF7969" w:rsidRDefault="009C6940" w:rsidP="009C6940">
                  <w:pPr>
                    <w:pStyle w:val="TableBodyText"/>
                  </w:pPr>
                  <w:r w:rsidRPr="00EF7969">
                    <w:t>750</w:t>
                  </w:r>
                </w:p>
              </w:tc>
            </w:tr>
            <w:tr w:rsidR="009C6940" w:rsidRPr="00EF7969" w14:paraId="26725603" w14:textId="77777777" w:rsidTr="009C6940">
              <w:tc>
                <w:tcPr>
                  <w:tcW w:w="6377" w:type="dxa"/>
                  <w:shd w:val="clear" w:color="auto" w:fill="auto"/>
                </w:tcPr>
                <w:p w14:paraId="43E4061E" w14:textId="77777777" w:rsidR="009C6940" w:rsidRPr="00EF7969" w:rsidRDefault="009C6940" w:rsidP="009C6940">
                  <w:pPr>
                    <w:pStyle w:val="TableBodyText"/>
                    <w:jc w:val="left"/>
                  </w:pPr>
                  <w:r w:rsidRPr="00EF7969">
                    <w:t>Healthy Minds Education and Training</w:t>
                  </w:r>
                </w:p>
              </w:tc>
              <w:tc>
                <w:tcPr>
                  <w:tcW w:w="2126" w:type="dxa"/>
                  <w:shd w:val="clear" w:color="auto" w:fill="auto"/>
                </w:tcPr>
                <w:p w14:paraId="1DCB9726" w14:textId="77777777" w:rsidR="009C6940" w:rsidRPr="00EF7969" w:rsidRDefault="009C6940" w:rsidP="009C6940">
                  <w:pPr>
                    <w:pStyle w:val="TableBodyText"/>
                  </w:pPr>
                  <w:r w:rsidRPr="00EF7969">
                    <w:t>298, 619</w:t>
                  </w:r>
                </w:p>
              </w:tc>
            </w:tr>
            <w:tr w:rsidR="009C6940" w:rsidRPr="00EF7969" w14:paraId="706B97CE" w14:textId="77777777" w:rsidTr="009C6940">
              <w:tc>
                <w:tcPr>
                  <w:tcW w:w="6377" w:type="dxa"/>
                  <w:shd w:val="clear" w:color="auto" w:fill="auto"/>
                </w:tcPr>
                <w:p w14:paraId="0B5A7654" w14:textId="77777777" w:rsidR="009C6940" w:rsidRPr="00EF7969" w:rsidRDefault="009C6940" w:rsidP="009C6940">
                  <w:pPr>
                    <w:pStyle w:val="TableBodyText"/>
                    <w:jc w:val="left"/>
                  </w:pPr>
                  <w:r w:rsidRPr="00EF7969">
                    <w:t>Heart Support Australia (HS</w:t>
                  </w:r>
                  <w:r w:rsidRPr="00EF7969">
                    <w:noBreakHyphen/>
                    <w:t>A)</w:t>
                  </w:r>
                </w:p>
              </w:tc>
              <w:tc>
                <w:tcPr>
                  <w:tcW w:w="2126" w:type="dxa"/>
                  <w:shd w:val="clear" w:color="auto" w:fill="auto"/>
                </w:tcPr>
                <w:p w14:paraId="287A21B3" w14:textId="77777777" w:rsidR="009C6940" w:rsidRPr="00EF7969" w:rsidRDefault="009C6940" w:rsidP="009C6940">
                  <w:pPr>
                    <w:pStyle w:val="TableBodyText"/>
                  </w:pPr>
                  <w:r w:rsidRPr="00EF7969">
                    <w:t>332</w:t>
                  </w:r>
                </w:p>
              </w:tc>
            </w:tr>
            <w:tr w:rsidR="009C6940" w:rsidRPr="00EF7969" w14:paraId="74225BF0" w14:textId="77777777" w:rsidTr="009C6940">
              <w:tc>
                <w:tcPr>
                  <w:tcW w:w="6377" w:type="dxa"/>
                  <w:shd w:val="clear" w:color="auto" w:fill="auto"/>
                </w:tcPr>
                <w:p w14:paraId="6AABBA7C" w14:textId="77777777" w:rsidR="009C6940" w:rsidRPr="00EF7969" w:rsidRDefault="009C6940" w:rsidP="009C6940">
                  <w:pPr>
                    <w:pStyle w:val="TableBodyText"/>
                    <w:jc w:val="left"/>
                  </w:pPr>
                  <w:r w:rsidRPr="00EF7969">
                    <w:t>Helen Bassett</w:t>
                  </w:r>
                </w:p>
              </w:tc>
              <w:tc>
                <w:tcPr>
                  <w:tcW w:w="2126" w:type="dxa"/>
                  <w:shd w:val="clear" w:color="auto" w:fill="auto"/>
                </w:tcPr>
                <w:p w14:paraId="591E229A" w14:textId="77777777" w:rsidR="009C6940" w:rsidRPr="00EF7969" w:rsidRDefault="009C6940" w:rsidP="009C6940">
                  <w:pPr>
                    <w:pStyle w:val="TableBodyText"/>
                  </w:pPr>
                  <w:r w:rsidRPr="00EF7969">
                    <w:t>1036</w:t>
                  </w:r>
                </w:p>
              </w:tc>
            </w:tr>
            <w:tr w:rsidR="009C6940" w:rsidRPr="00EF7969" w14:paraId="70CBD0F0" w14:textId="77777777" w:rsidTr="009C6940">
              <w:tc>
                <w:tcPr>
                  <w:tcW w:w="6377" w:type="dxa"/>
                  <w:shd w:val="clear" w:color="auto" w:fill="auto"/>
                </w:tcPr>
                <w:p w14:paraId="652DF8E7" w14:textId="77777777" w:rsidR="009C6940" w:rsidRPr="00EF7969" w:rsidRDefault="009C6940" w:rsidP="009C6940">
                  <w:pPr>
                    <w:pStyle w:val="TableBodyText"/>
                    <w:jc w:val="left"/>
                  </w:pPr>
                  <w:r w:rsidRPr="00EF7969">
                    <w:t>Helen Cameron</w:t>
                  </w:r>
                </w:p>
              </w:tc>
              <w:tc>
                <w:tcPr>
                  <w:tcW w:w="2126" w:type="dxa"/>
                  <w:shd w:val="clear" w:color="auto" w:fill="auto"/>
                </w:tcPr>
                <w:p w14:paraId="2FB2935B" w14:textId="77777777" w:rsidR="009C6940" w:rsidRPr="00EF7969" w:rsidRDefault="009C6940" w:rsidP="009C6940">
                  <w:pPr>
                    <w:pStyle w:val="TableBodyText"/>
                  </w:pPr>
                  <w:r w:rsidRPr="00EF7969">
                    <w:t>988</w:t>
                  </w:r>
                </w:p>
              </w:tc>
            </w:tr>
            <w:tr w:rsidR="009C6940" w:rsidRPr="00EF7969" w14:paraId="305DFBAA" w14:textId="77777777" w:rsidTr="009C6940">
              <w:tc>
                <w:tcPr>
                  <w:tcW w:w="6377" w:type="dxa"/>
                  <w:shd w:val="clear" w:color="auto" w:fill="auto"/>
                </w:tcPr>
                <w:p w14:paraId="561B80F2" w14:textId="77777777" w:rsidR="009C6940" w:rsidRPr="00EF7969" w:rsidRDefault="009C6940" w:rsidP="009C6940">
                  <w:pPr>
                    <w:pStyle w:val="TableBodyText"/>
                    <w:jc w:val="left"/>
                  </w:pPr>
                  <w:r w:rsidRPr="00EF7969">
                    <w:t>Helen Lingard and James Harley</w:t>
                  </w:r>
                </w:p>
              </w:tc>
              <w:tc>
                <w:tcPr>
                  <w:tcW w:w="2126" w:type="dxa"/>
                  <w:shd w:val="clear" w:color="auto" w:fill="auto"/>
                </w:tcPr>
                <w:p w14:paraId="782EA432" w14:textId="77777777" w:rsidR="009C6940" w:rsidRPr="00EF7969" w:rsidRDefault="009C6940" w:rsidP="009C6940">
                  <w:pPr>
                    <w:pStyle w:val="TableBodyText"/>
                  </w:pPr>
                  <w:r w:rsidRPr="00EF7969">
                    <w:t>827</w:t>
                  </w:r>
                </w:p>
              </w:tc>
            </w:tr>
            <w:tr w:rsidR="009C6940" w:rsidRPr="00EF7969" w14:paraId="6A8419FF" w14:textId="77777777" w:rsidTr="009C6940">
              <w:tc>
                <w:tcPr>
                  <w:tcW w:w="6377" w:type="dxa"/>
                  <w:shd w:val="clear" w:color="auto" w:fill="auto"/>
                </w:tcPr>
                <w:p w14:paraId="208C7902" w14:textId="77777777" w:rsidR="009C6940" w:rsidRPr="00EF7969" w:rsidRDefault="009C6940" w:rsidP="009C6940">
                  <w:pPr>
                    <w:pStyle w:val="TableBodyText"/>
                    <w:jc w:val="left"/>
                  </w:pPr>
                  <w:r w:rsidRPr="00EF7969">
                    <w:t>HelpingMinds</w:t>
                  </w:r>
                </w:p>
              </w:tc>
              <w:tc>
                <w:tcPr>
                  <w:tcW w:w="2126" w:type="dxa"/>
                  <w:shd w:val="clear" w:color="auto" w:fill="auto"/>
                </w:tcPr>
                <w:p w14:paraId="480B09CF" w14:textId="77777777" w:rsidR="009C6940" w:rsidRPr="00EF7969" w:rsidRDefault="009C6940" w:rsidP="009C6940">
                  <w:pPr>
                    <w:pStyle w:val="TableBodyText"/>
                  </w:pPr>
                  <w:r w:rsidRPr="00EF7969">
                    <w:t>470</w:t>
                  </w:r>
                </w:p>
              </w:tc>
            </w:tr>
            <w:tr w:rsidR="009C6940" w:rsidRPr="00EF7969" w14:paraId="1935C4A1" w14:textId="77777777" w:rsidTr="009C6940">
              <w:tc>
                <w:tcPr>
                  <w:tcW w:w="6377" w:type="dxa"/>
                  <w:shd w:val="clear" w:color="auto" w:fill="auto"/>
                </w:tcPr>
                <w:p w14:paraId="68E636A2" w14:textId="77777777" w:rsidR="009C6940" w:rsidRPr="00EF7969" w:rsidRDefault="009C6940" w:rsidP="009C6940">
                  <w:pPr>
                    <w:pStyle w:val="TableBodyText"/>
                    <w:jc w:val="left"/>
                  </w:pPr>
                  <w:r w:rsidRPr="00EF7969">
                    <w:t>Hobsons Bay City Council</w:t>
                  </w:r>
                </w:p>
              </w:tc>
              <w:tc>
                <w:tcPr>
                  <w:tcW w:w="2126" w:type="dxa"/>
                  <w:shd w:val="clear" w:color="auto" w:fill="auto"/>
                </w:tcPr>
                <w:p w14:paraId="62CACD60" w14:textId="77777777" w:rsidR="009C6940" w:rsidRPr="00EF7969" w:rsidRDefault="009C6940" w:rsidP="009C6940">
                  <w:pPr>
                    <w:pStyle w:val="TableBodyText"/>
                  </w:pPr>
                  <w:r w:rsidRPr="00EF7969">
                    <w:t>176</w:t>
                  </w:r>
                </w:p>
              </w:tc>
            </w:tr>
            <w:tr w:rsidR="009C6940" w:rsidRPr="00EF7969" w14:paraId="34581887" w14:textId="77777777" w:rsidTr="009C6940">
              <w:tc>
                <w:tcPr>
                  <w:tcW w:w="6377" w:type="dxa"/>
                  <w:shd w:val="clear" w:color="auto" w:fill="auto"/>
                </w:tcPr>
                <w:p w14:paraId="3EC5056B" w14:textId="77777777" w:rsidR="009C6940" w:rsidRPr="00EF7969" w:rsidRDefault="009C6940" w:rsidP="009C6940">
                  <w:pPr>
                    <w:pStyle w:val="TableBodyText"/>
                    <w:jc w:val="left"/>
                  </w:pPr>
                  <w:r w:rsidRPr="00EF7969">
                    <w:t>Hope Community Services Ltd</w:t>
                  </w:r>
                </w:p>
              </w:tc>
              <w:tc>
                <w:tcPr>
                  <w:tcW w:w="2126" w:type="dxa"/>
                  <w:shd w:val="clear" w:color="auto" w:fill="auto"/>
                </w:tcPr>
                <w:p w14:paraId="276DA4CD" w14:textId="77777777" w:rsidR="009C6940" w:rsidRPr="00EF7969" w:rsidRDefault="009C6940" w:rsidP="009C6940">
                  <w:pPr>
                    <w:pStyle w:val="TableBodyText"/>
                  </w:pPr>
                  <w:r w:rsidRPr="00EF7969">
                    <w:t>30</w:t>
                  </w:r>
                </w:p>
              </w:tc>
            </w:tr>
            <w:tr w:rsidR="009C6940" w:rsidRPr="00EF7969" w14:paraId="2EEAD5DB" w14:textId="77777777" w:rsidTr="009C6940">
              <w:tc>
                <w:tcPr>
                  <w:tcW w:w="6377" w:type="dxa"/>
                  <w:shd w:val="clear" w:color="auto" w:fill="auto"/>
                </w:tcPr>
                <w:p w14:paraId="32B1B488" w14:textId="77777777" w:rsidR="009C6940" w:rsidRPr="00EF7969" w:rsidRDefault="009C6940" w:rsidP="009C6940">
                  <w:pPr>
                    <w:pStyle w:val="TableBodyText"/>
                    <w:jc w:val="left"/>
                  </w:pPr>
                  <w:r w:rsidRPr="00EF7969">
                    <w:t>Hospital Benefit Fund (HBF)</w:t>
                  </w:r>
                </w:p>
              </w:tc>
              <w:tc>
                <w:tcPr>
                  <w:tcW w:w="2126" w:type="dxa"/>
                  <w:shd w:val="clear" w:color="auto" w:fill="auto"/>
                </w:tcPr>
                <w:p w14:paraId="666795CD" w14:textId="77777777" w:rsidR="009C6940" w:rsidRPr="00EF7969" w:rsidRDefault="009C6940" w:rsidP="009C6940">
                  <w:pPr>
                    <w:pStyle w:val="TableBodyText"/>
                  </w:pPr>
                  <w:r w:rsidRPr="00EF7969">
                    <w:t>1215</w:t>
                  </w:r>
                </w:p>
              </w:tc>
            </w:tr>
            <w:tr w:rsidR="009C6940" w:rsidRPr="00EF7969" w14:paraId="1835A9A5" w14:textId="77777777" w:rsidTr="009C6940">
              <w:tc>
                <w:tcPr>
                  <w:tcW w:w="6377" w:type="dxa"/>
                  <w:shd w:val="clear" w:color="auto" w:fill="auto"/>
                </w:tcPr>
                <w:p w14:paraId="021AFA1F" w14:textId="77777777" w:rsidR="009C6940" w:rsidRPr="00EF7969" w:rsidRDefault="009C6940" w:rsidP="009C6940">
                  <w:pPr>
                    <w:pStyle w:val="TableBodyText"/>
                    <w:jc w:val="left"/>
                  </w:pPr>
                  <w:r w:rsidRPr="00EF7969">
                    <w:t>Hristina Piltz</w:t>
                  </w:r>
                </w:p>
              </w:tc>
              <w:tc>
                <w:tcPr>
                  <w:tcW w:w="2126" w:type="dxa"/>
                  <w:shd w:val="clear" w:color="auto" w:fill="auto"/>
                </w:tcPr>
                <w:p w14:paraId="5FFA1648" w14:textId="77777777" w:rsidR="009C6940" w:rsidRPr="00EF7969" w:rsidRDefault="009C6940" w:rsidP="009C6940">
                  <w:pPr>
                    <w:pStyle w:val="TableBodyText"/>
                  </w:pPr>
                  <w:r w:rsidRPr="00EF7969">
                    <w:t>946</w:t>
                  </w:r>
                </w:p>
              </w:tc>
            </w:tr>
            <w:tr w:rsidR="009C6940" w:rsidRPr="00EF7969" w14:paraId="3DCE8EB2" w14:textId="77777777" w:rsidTr="009C6940">
              <w:tc>
                <w:tcPr>
                  <w:tcW w:w="6377" w:type="dxa"/>
                  <w:tcBorders>
                    <w:bottom w:val="single" w:sz="6" w:space="0" w:color="BFBFBF"/>
                  </w:tcBorders>
                  <w:shd w:val="clear" w:color="auto" w:fill="auto"/>
                </w:tcPr>
                <w:p w14:paraId="5DB9CF1E" w14:textId="77777777" w:rsidR="009C6940" w:rsidRPr="00EF7969" w:rsidRDefault="009C6940" w:rsidP="009C6940">
                  <w:pPr>
                    <w:pStyle w:val="TableBodyText"/>
                    <w:jc w:val="left"/>
                  </w:pPr>
                  <w:r w:rsidRPr="00EF7969">
                    <w:t>Hunter Leonard</w:t>
                  </w:r>
                </w:p>
              </w:tc>
              <w:tc>
                <w:tcPr>
                  <w:tcW w:w="2126" w:type="dxa"/>
                  <w:tcBorders>
                    <w:bottom w:val="single" w:sz="6" w:space="0" w:color="BFBFBF"/>
                  </w:tcBorders>
                  <w:shd w:val="clear" w:color="auto" w:fill="auto"/>
                </w:tcPr>
                <w:p w14:paraId="3C4BAA3C" w14:textId="77777777" w:rsidR="009C6940" w:rsidRPr="00EF7969" w:rsidRDefault="009C6940" w:rsidP="009C6940">
                  <w:pPr>
                    <w:pStyle w:val="TableBodyText"/>
                  </w:pPr>
                  <w:r w:rsidRPr="00EF7969">
                    <w:t>1008</w:t>
                  </w:r>
                </w:p>
              </w:tc>
            </w:tr>
          </w:tbl>
          <w:p w14:paraId="384526C5" w14:textId="77777777" w:rsidR="009C6940" w:rsidRPr="00EF7969" w:rsidRDefault="009C6940" w:rsidP="009C6940">
            <w:pPr>
              <w:pStyle w:val="Box"/>
            </w:pPr>
          </w:p>
        </w:tc>
      </w:tr>
      <w:tr w:rsidR="009C6940" w:rsidRPr="00EF7969" w14:paraId="3BF57DE6" w14:textId="77777777" w:rsidTr="009C6940">
        <w:tc>
          <w:tcPr>
            <w:tcW w:w="8789" w:type="dxa"/>
            <w:tcBorders>
              <w:top w:val="nil"/>
              <w:left w:val="nil"/>
              <w:bottom w:val="nil"/>
              <w:right w:val="nil"/>
            </w:tcBorders>
            <w:shd w:val="clear" w:color="auto" w:fill="auto"/>
          </w:tcPr>
          <w:p w14:paraId="5710D62E" w14:textId="77777777" w:rsidR="009C6940" w:rsidRPr="00EF7969" w:rsidRDefault="009C6940" w:rsidP="009C6940">
            <w:pPr>
              <w:pStyle w:val="Continued"/>
            </w:pPr>
            <w:r w:rsidRPr="00EF7969">
              <w:t>(continued next page)</w:t>
            </w:r>
          </w:p>
        </w:tc>
      </w:tr>
      <w:tr w:rsidR="009C6940" w:rsidRPr="00EF7969" w14:paraId="15ADE29E" w14:textId="77777777" w:rsidTr="009C6940">
        <w:tc>
          <w:tcPr>
            <w:tcW w:w="8789" w:type="dxa"/>
            <w:tcBorders>
              <w:top w:val="nil"/>
              <w:left w:val="nil"/>
              <w:bottom w:val="single" w:sz="6" w:space="0" w:color="78A22F"/>
              <w:right w:val="nil"/>
            </w:tcBorders>
            <w:shd w:val="clear" w:color="auto" w:fill="auto"/>
          </w:tcPr>
          <w:p w14:paraId="53EBBC91" w14:textId="77777777" w:rsidR="009C6940" w:rsidRPr="00EF7969" w:rsidRDefault="009C6940" w:rsidP="009C6940">
            <w:pPr>
              <w:pStyle w:val="Box"/>
              <w:spacing w:before="0" w:line="120" w:lineRule="exact"/>
            </w:pPr>
          </w:p>
        </w:tc>
      </w:tr>
      <w:tr w:rsidR="009C6940" w:rsidRPr="00EF7969" w14:paraId="604ADD74" w14:textId="77777777" w:rsidTr="009C6940">
        <w:tc>
          <w:tcPr>
            <w:tcW w:w="8789" w:type="dxa"/>
            <w:tcBorders>
              <w:top w:val="single" w:sz="6" w:space="0" w:color="78A22F"/>
              <w:left w:val="nil"/>
              <w:bottom w:val="nil"/>
              <w:right w:val="nil"/>
            </w:tcBorders>
          </w:tcPr>
          <w:p w14:paraId="4ADB7601" w14:textId="77777777" w:rsidR="009C6940" w:rsidRPr="00EF7969" w:rsidRDefault="009C6940" w:rsidP="009C6940">
            <w:pPr>
              <w:pStyle w:val="BoxSpaceBelow"/>
            </w:pPr>
          </w:p>
        </w:tc>
      </w:tr>
    </w:tbl>
    <w:p w14:paraId="331E83DB"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291D1097" w14:textId="77777777" w:rsidTr="009C6940">
        <w:trPr>
          <w:tblHeader/>
        </w:trPr>
        <w:tc>
          <w:tcPr>
            <w:tcW w:w="8789" w:type="dxa"/>
            <w:tcBorders>
              <w:top w:val="single" w:sz="6" w:space="0" w:color="78A22F"/>
              <w:left w:val="nil"/>
              <w:bottom w:val="nil"/>
              <w:right w:val="nil"/>
            </w:tcBorders>
            <w:shd w:val="clear" w:color="auto" w:fill="auto"/>
          </w:tcPr>
          <w:p w14:paraId="34B544CC"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0A5C635C"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79E179C7"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5B123976"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65333E14" w14:textId="77777777" w:rsidR="009C6940" w:rsidRPr="00EF7969" w:rsidRDefault="009C6940" w:rsidP="009C6940">
                  <w:pPr>
                    <w:pStyle w:val="TableColumnHeading"/>
                    <w:ind w:right="28"/>
                  </w:pPr>
                  <w:r w:rsidRPr="00EF7969">
                    <w:t>Submission no.</w:t>
                  </w:r>
                </w:p>
              </w:tc>
            </w:tr>
            <w:tr w:rsidR="009C6940" w:rsidRPr="00EF7969" w14:paraId="0747770F" w14:textId="77777777" w:rsidTr="009C6940">
              <w:tc>
                <w:tcPr>
                  <w:tcW w:w="6377" w:type="dxa"/>
                  <w:shd w:val="clear" w:color="auto" w:fill="auto"/>
                </w:tcPr>
                <w:p w14:paraId="5A09B270" w14:textId="77777777" w:rsidR="009C6940" w:rsidRPr="00EF7969" w:rsidRDefault="009C6940" w:rsidP="009C6940">
                  <w:pPr>
                    <w:pStyle w:val="TableBodyText"/>
                    <w:spacing w:before="40"/>
                    <w:jc w:val="left"/>
                  </w:pPr>
                  <w:r w:rsidRPr="00EF7969">
                    <w:t>Hunter New England Central Coast Primary Health Network</w:t>
                  </w:r>
                </w:p>
              </w:tc>
              <w:tc>
                <w:tcPr>
                  <w:tcW w:w="2126" w:type="dxa"/>
                  <w:shd w:val="clear" w:color="auto" w:fill="auto"/>
                </w:tcPr>
                <w:p w14:paraId="410F694D" w14:textId="77777777" w:rsidR="009C6940" w:rsidRPr="00EF7969" w:rsidRDefault="009C6940" w:rsidP="009C6940">
                  <w:pPr>
                    <w:pStyle w:val="TableBodyText"/>
                    <w:spacing w:before="40"/>
                  </w:pPr>
                  <w:r w:rsidRPr="00EF7969">
                    <w:t>641</w:t>
                  </w:r>
                </w:p>
              </w:tc>
            </w:tr>
            <w:tr w:rsidR="009C6940" w:rsidRPr="00EF7969" w14:paraId="533F279B" w14:textId="77777777" w:rsidTr="009C6940">
              <w:tc>
                <w:tcPr>
                  <w:tcW w:w="6377" w:type="dxa"/>
                  <w:shd w:val="clear" w:color="auto" w:fill="auto"/>
                </w:tcPr>
                <w:p w14:paraId="5BAF23E2" w14:textId="77777777" w:rsidR="009C6940" w:rsidRPr="00EF7969" w:rsidRDefault="009C6940" w:rsidP="009C6940">
                  <w:pPr>
                    <w:pStyle w:val="TableBodyText"/>
                    <w:jc w:val="left"/>
                  </w:pPr>
                  <w:r w:rsidRPr="00EF7969">
                    <w:t>Hunter Rise Associates</w:t>
                  </w:r>
                </w:p>
              </w:tc>
              <w:tc>
                <w:tcPr>
                  <w:tcW w:w="2126" w:type="dxa"/>
                  <w:shd w:val="clear" w:color="auto" w:fill="auto"/>
                </w:tcPr>
                <w:p w14:paraId="69008019" w14:textId="77777777" w:rsidR="009C6940" w:rsidRPr="00EF7969" w:rsidRDefault="009C6940" w:rsidP="009C6940">
                  <w:pPr>
                    <w:pStyle w:val="TableBodyText"/>
                  </w:pPr>
                  <w:r w:rsidRPr="00EF7969">
                    <w:t>439</w:t>
                  </w:r>
                </w:p>
              </w:tc>
            </w:tr>
            <w:tr w:rsidR="009C6940" w:rsidRPr="00EF7969" w14:paraId="62D27FF3" w14:textId="77777777" w:rsidTr="009C6940">
              <w:tc>
                <w:tcPr>
                  <w:tcW w:w="6377" w:type="dxa"/>
                  <w:shd w:val="clear" w:color="auto" w:fill="auto"/>
                </w:tcPr>
                <w:p w14:paraId="38DF4E0F" w14:textId="77777777" w:rsidR="009C6940" w:rsidRPr="00EF7969" w:rsidRDefault="009C6940" w:rsidP="009C6940">
                  <w:pPr>
                    <w:pStyle w:val="TableBodyText"/>
                    <w:jc w:val="left"/>
                  </w:pPr>
                  <w:r w:rsidRPr="00EF7969">
                    <w:t>Ian and Rhonda McNees</w:t>
                  </w:r>
                </w:p>
              </w:tc>
              <w:tc>
                <w:tcPr>
                  <w:tcW w:w="2126" w:type="dxa"/>
                  <w:shd w:val="clear" w:color="auto" w:fill="auto"/>
                </w:tcPr>
                <w:p w14:paraId="69C26CBD" w14:textId="77777777" w:rsidR="009C6940" w:rsidRPr="00EF7969" w:rsidRDefault="009C6940" w:rsidP="009C6940">
                  <w:pPr>
                    <w:pStyle w:val="TableBodyText"/>
                  </w:pPr>
                  <w:r w:rsidRPr="00EF7969">
                    <w:t>505</w:t>
                  </w:r>
                </w:p>
              </w:tc>
            </w:tr>
            <w:tr w:rsidR="009C6940" w:rsidRPr="00EF7969" w14:paraId="4FBB5591" w14:textId="77777777" w:rsidTr="009C6940">
              <w:tc>
                <w:tcPr>
                  <w:tcW w:w="6377" w:type="dxa"/>
                  <w:shd w:val="clear" w:color="auto" w:fill="auto"/>
                </w:tcPr>
                <w:p w14:paraId="40837FB1" w14:textId="77777777" w:rsidR="009C6940" w:rsidRPr="00EF7969" w:rsidRDefault="009C6940" w:rsidP="009C6940">
                  <w:pPr>
                    <w:pStyle w:val="TableBodyText"/>
                    <w:jc w:val="left"/>
                  </w:pPr>
                  <w:r w:rsidRPr="00EF7969">
                    <w:t>Ian Jones</w:t>
                  </w:r>
                </w:p>
              </w:tc>
              <w:tc>
                <w:tcPr>
                  <w:tcW w:w="2126" w:type="dxa"/>
                  <w:shd w:val="clear" w:color="auto" w:fill="auto"/>
                </w:tcPr>
                <w:p w14:paraId="0FC69128" w14:textId="77777777" w:rsidR="009C6940" w:rsidRPr="00EF7969" w:rsidRDefault="009C6940" w:rsidP="009C6940">
                  <w:pPr>
                    <w:pStyle w:val="TableBodyText"/>
                  </w:pPr>
                  <w:r w:rsidRPr="00EF7969">
                    <w:t>1171</w:t>
                  </w:r>
                </w:p>
              </w:tc>
            </w:tr>
            <w:tr w:rsidR="009C6940" w:rsidRPr="00EF7969" w14:paraId="0E262D18" w14:textId="77777777" w:rsidTr="009C6940">
              <w:tc>
                <w:tcPr>
                  <w:tcW w:w="6377" w:type="dxa"/>
                  <w:shd w:val="clear" w:color="auto" w:fill="auto"/>
                </w:tcPr>
                <w:p w14:paraId="60CE71B1" w14:textId="77777777" w:rsidR="009C6940" w:rsidRPr="00EF7969" w:rsidRDefault="009C6940" w:rsidP="009C6940">
                  <w:pPr>
                    <w:pStyle w:val="TableBodyText"/>
                    <w:jc w:val="left"/>
                  </w:pPr>
                  <w:r w:rsidRPr="00EF7969">
                    <w:t>Ian Stewart</w:t>
                  </w:r>
                </w:p>
              </w:tc>
              <w:tc>
                <w:tcPr>
                  <w:tcW w:w="2126" w:type="dxa"/>
                  <w:shd w:val="clear" w:color="auto" w:fill="auto"/>
                </w:tcPr>
                <w:p w14:paraId="6AEC8138" w14:textId="77777777" w:rsidR="009C6940" w:rsidRPr="00EF7969" w:rsidRDefault="009C6940" w:rsidP="009C6940">
                  <w:pPr>
                    <w:pStyle w:val="TableBodyText"/>
                  </w:pPr>
                  <w:r w:rsidRPr="00EF7969">
                    <w:t>1076</w:t>
                  </w:r>
                </w:p>
              </w:tc>
            </w:tr>
            <w:tr w:rsidR="009C6940" w:rsidRPr="00EF7969" w14:paraId="6EB12FC2" w14:textId="77777777" w:rsidTr="009C6940">
              <w:tc>
                <w:tcPr>
                  <w:tcW w:w="6377" w:type="dxa"/>
                  <w:shd w:val="clear" w:color="auto" w:fill="auto"/>
                </w:tcPr>
                <w:p w14:paraId="699CACFC" w14:textId="77777777" w:rsidR="009C6940" w:rsidRPr="00EF7969" w:rsidRDefault="009C6940" w:rsidP="009C6940">
                  <w:pPr>
                    <w:pStyle w:val="TableBodyText"/>
                    <w:jc w:val="left"/>
                  </w:pPr>
                  <w:r w:rsidRPr="00EF7969">
                    <w:t>Ian Webster</w:t>
                  </w:r>
                </w:p>
              </w:tc>
              <w:tc>
                <w:tcPr>
                  <w:tcW w:w="2126" w:type="dxa"/>
                  <w:shd w:val="clear" w:color="auto" w:fill="auto"/>
                </w:tcPr>
                <w:p w14:paraId="3AA53363" w14:textId="77777777" w:rsidR="009C6940" w:rsidRPr="00EF7969" w:rsidRDefault="009C6940" w:rsidP="009C6940">
                  <w:pPr>
                    <w:pStyle w:val="TableBodyText"/>
                  </w:pPr>
                  <w:r w:rsidRPr="00EF7969">
                    <w:t>626</w:t>
                  </w:r>
                </w:p>
              </w:tc>
            </w:tr>
            <w:tr w:rsidR="009C6940" w:rsidRPr="00EF7969" w14:paraId="1038CA91" w14:textId="77777777" w:rsidTr="009C6940">
              <w:tc>
                <w:tcPr>
                  <w:tcW w:w="6377" w:type="dxa"/>
                  <w:shd w:val="clear" w:color="auto" w:fill="auto"/>
                </w:tcPr>
                <w:p w14:paraId="1E821AAB" w14:textId="77777777" w:rsidR="009C6940" w:rsidRPr="00EF7969" w:rsidRDefault="009C6940" w:rsidP="009C6940">
                  <w:pPr>
                    <w:pStyle w:val="TableBodyText"/>
                    <w:jc w:val="left"/>
                  </w:pPr>
                  <w:r w:rsidRPr="00EF7969">
                    <w:t>Ikhwi Rita Syahni</w:t>
                  </w:r>
                </w:p>
              </w:tc>
              <w:tc>
                <w:tcPr>
                  <w:tcW w:w="2126" w:type="dxa"/>
                  <w:shd w:val="clear" w:color="auto" w:fill="auto"/>
                </w:tcPr>
                <w:p w14:paraId="0045C8E6" w14:textId="77777777" w:rsidR="009C6940" w:rsidRPr="00EF7969" w:rsidRDefault="009C6940" w:rsidP="009C6940">
                  <w:pPr>
                    <w:pStyle w:val="TableBodyText"/>
                  </w:pPr>
                  <w:r w:rsidRPr="00EF7969">
                    <w:t>1163</w:t>
                  </w:r>
                </w:p>
              </w:tc>
            </w:tr>
            <w:tr w:rsidR="009C6940" w:rsidRPr="00EF7969" w14:paraId="69376323" w14:textId="77777777" w:rsidTr="009C6940">
              <w:tc>
                <w:tcPr>
                  <w:tcW w:w="6377" w:type="dxa"/>
                  <w:shd w:val="clear" w:color="auto" w:fill="auto"/>
                </w:tcPr>
                <w:p w14:paraId="6DBFDA31" w14:textId="77777777" w:rsidR="009C6940" w:rsidRPr="00EF7969" w:rsidRDefault="009C6940" w:rsidP="009C6940">
                  <w:pPr>
                    <w:pStyle w:val="TableBodyText"/>
                    <w:jc w:val="left"/>
                  </w:pPr>
                  <w:r w:rsidRPr="00EF7969">
                    <w:t>Inala Primary Care</w:t>
                  </w:r>
                </w:p>
              </w:tc>
              <w:tc>
                <w:tcPr>
                  <w:tcW w:w="2126" w:type="dxa"/>
                  <w:shd w:val="clear" w:color="auto" w:fill="auto"/>
                </w:tcPr>
                <w:p w14:paraId="742276E0" w14:textId="77777777" w:rsidR="009C6940" w:rsidRPr="00EF7969" w:rsidRDefault="009C6940" w:rsidP="009C6940">
                  <w:pPr>
                    <w:pStyle w:val="TableBodyText"/>
                  </w:pPr>
                  <w:r w:rsidRPr="00EF7969">
                    <w:t>325</w:t>
                  </w:r>
                </w:p>
              </w:tc>
            </w:tr>
            <w:tr w:rsidR="009C6940" w:rsidRPr="00EF7969" w14:paraId="653471B8" w14:textId="77777777" w:rsidTr="009C6940">
              <w:tc>
                <w:tcPr>
                  <w:tcW w:w="6377" w:type="dxa"/>
                  <w:shd w:val="clear" w:color="auto" w:fill="auto"/>
                </w:tcPr>
                <w:p w14:paraId="0CE327FC" w14:textId="77777777" w:rsidR="009C6940" w:rsidRPr="00EF7969" w:rsidRDefault="009C6940" w:rsidP="009C6940">
                  <w:pPr>
                    <w:pStyle w:val="TableBodyText"/>
                    <w:jc w:val="left"/>
                  </w:pPr>
                  <w:r w:rsidRPr="00EF7969">
                    <w:t>Independent Higher Education Australia (IHEA)</w:t>
                  </w:r>
                </w:p>
              </w:tc>
              <w:tc>
                <w:tcPr>
                  <w:tcW w:w="2126" w:type="dxa"/>
                  <w:shd w:val="clear" w:color="auto" w:fill="auto"/>
                </w:tcPr>
                <w:p w14:paraId="0181A21A" w14:textId="77777777" w:rsidR="009C6940" w:rsidRPr="00EF7969" w:rsidRDefault="009C6940" w:rsidP="009C6940">
                  <w:pPr>
                    <w:pStyle w:val="TableBodyText"/>
                  </w:pPr>
                  <w:r w:rsidRPr="00EF7969">
                    <w:t>555</w:t>
                  </w:r>
                </w:p>
              </w:tc>
            </w:tr>
            <w:tr w:rsidR="009C6940" w:rsidRPr="00EF7969" w14:paraId="5F72A32D" w14:textId="77777777" w:rsidTr="009C6940">
              <w:tc>
                <w:tcPr>
                  <w:tcW w:w="6377" w:type="dxa"/>
                  <w:shd w:val="clear" w:color="auto" w:fill="auto"/>
                </w:tcPr>
                <w:p w14:paraId="27FB9B7A" w14:textId="77777777" w:rsidR="009C6940" w:rsidRPr="00EF7969" w:rsidRDefault="009C6940" w:rsidP="009C6940">
                  <w:pPr>
                    <w:pStyle w:val="TableBodyText"/>
                    <w:jc w:val="left"/>
                  </w:pPr>
                  <w:r w:rsidRPr="00EF7969">
                    <w:t>Independent Private Psychiatrists Group</w:t>
                  </w:r>
                </w:p>
              </w:tc>
              <w:tc>
                <w:tcPr>
                  <w:tcW w:w="2126" w:type="dxa"/>
                  <w:shd w:val="clear" w:color="auto" w:fill="auto"/>
                </w:tcPr>
                <w:p w14:paraId="7A887162" w14:textId="77777777" w:rsidR="009C6940" w:rsidRPr="00EF7969" w:rsidRDefault="009C6940" w:rsidP="009C6940">
                  <w:pPr>
                    <w:pStyle w:val="TableBodyText"/>
                  </w:pPr>
                  <w:r w:rsidRPr="00EF7969">
                    <w:t>473, 742</w:t>
                  </w:r>
                </w:p>
              </w:tc>
            </w:tr>
            <w:tr w:rsidR="009C6940" w:rsidRPr="00EF7969" w14:paraId="2309202C" w14:textId="77777777" w:rsidTr="009C6940">
              <w:tc>
                <w:tcPr>
                  <w:tcW w:w="6377" w:type="dxa"/>
                  <w:shd w:val="clear" w:color="auto" w:fill="auto"/>
                </w:tcPr>
                <w:p w14:paraId="4BEAE8D0" w14:textId="77777777" w:rsidR="009C6940" w:rsidRPr="00EF7969" w:rsidRDefault="009C6940" w:rsidP="009C6940">
                  <w:pPr>
                    <w:pStyle w:val="TableBodyText"/>
                    <w:jc w:val="left"/>
                  </w:pPr>
                  <w:r w:rsidRPr="00EF7969">
                    <w:t>Ingrid Ozols</w:t>
                  </w:r>
                </w:p>
              </w:tc>
              <w:tc>
                <w:tcPr>
                  <w:tcW w:w="2126" w:type="dxa"/>
                  <w:shd w:val="clear" w:color="auto" w:fill="auto"/>
                </w:tcPr>
                <w:p w14:paraId="0DF249E2" w14:textId="77777777" w:rsidR="009C6940" w:rsidRPr="00EF7969" w:rsidRDefault="009C6940" w:rsidP="009C6940">
                  <w:pPr>
                    <w:pStyle w:val="TableBodyText"/>
                  </w:pPr>
                  <w:r w:rsidRPr="00EF7969">
                    <w:t>73, 80</w:t>
                  </w:r>
                </w:p>
              </w:tc>
            </w:tr>
            <w:tr w:rsidR="009C6940" w:rsidRPr="00EF7969" w14:paraId="51226672" w14:textId="77777777" w:rsidTr="009C6940">
              <w:tc>
                <w:tcPr>
                  <w:tcW w:w="6377" w:type="dxa"/>
                  <w:shd w:val="clear" w:color="auto" w:fill="auto"/>
                </w:tcPr>
                <w:p w14:paraId="3023ECE3" w14:textId="77777777" w:rsidR="009C6940" w:rsidRPr="00EF7969" w:rsidRDefault="009C6940" w:rsidP="009C6940">
                  <w:pPr>
                    <w:pStyle w:val="TableBodyText"/>
                    <w:jc w:val="left"/>
                  </w:pPr>
                  <w:r w:rsidRPr="00EF7969">
                    <w:t>Inner South Family and Friends</w:t>
                  </w:r>
                </w:p>
              </w:tc>
              <w:tc>
                <w:tcPr>
                  <w:tcW w:w="2126" w:type="dxa"/>
                  <w:shd w:val="clear" w:color="auto" w:fill="auto"/>
                </w:tcPr>
                <w:p w14:paraId="6D437D14" w14:textId="77777777" w:rsidR="009C6940" w:rsidRPr="00EF7969" w:rsidRDefault="009C6940" w:rsidP="009C6940">
                  <w:pPr>
                    <w:pStyle w:val="TableBodyText"/>
                  </w:pPr>
                  <w:r w:rsidRPr="00EF7969">
                    <w:t>129</w:t>
                  </w:r>
                </w:p>
              </w:tc>
            </w:tr>
            <w:tr w:rsidR="009C6940" w:rsidRPr="00EF7969" w14:paraId="2F529078" w14:textId="77777777" w:rsidTr="009C6940">
              <w:tc>
                <w:tcPr>
                  <w:tcW w:w="6377" w:type="dxa"/>
                  <w:shd w:val="clear" w:color="auto" w:fill="auto"/>
                </w:tcPr>
                <w:p w14:paraId="2FC0F8C2" w14:textId="77777777" w:rsidR="009C6940" w:rsidRPr="00EF7969" w:rsidRDefault="009C6940" w:rsidP="009C6940">
                  <w:pPr>
                    <w:pStyle w:val="TableBodyText"/>
                    <w:jc w:val="left"/>
                  </w:pPr>
                  <w:r w:rsidRPr="00EF7969">
                    <w:t>Innervate Pain Management</w:t>
                  </w:r>
                </w:p>
              </w:tc>
              <w:tc>
                <w:tcPr>
                  <w:tcW w:w="2126" w:type="dxa"/>
                  <w:shd w:val="clear" w:color="auto" w:fill="auto"/>
                </w:tcPr>
                <w:p w14:paraId="1914000C" w14:textId="77777777" w:rsidR="009C6940" w:rsidRPr="00EF7969" w:rsidRDefault="009C6940" w:rsidP="009C6940">
                  <w:pPr>
                    <w:pStyle w:val="TableBodyText"/>
                  </w:pPr>
                  <w:r w:rsidRPr="00EF7969">
                    <w:t>402</w:t>
                  </w:r>
                </w:p>
              </w:tc>
            </w:tr>
            <w:tr w:rsidR="009C6940" w:rsidRPr="00EF7969" w14:paraId="783877CA" w14:textId="77777777" w:rsidTr="009C6940">
              <w:tc>
                <w:tcPr>
                  <w:tcW w:w="6377" w:type="dxa"/>
                  <w:shd w:val="clear" w:color="auto" w:fill="auto"/>
                </w:tcPr>
                <w:p w14:paraId="0D7D29B5" w14:textId="77777777" w:rsidR="009C6940" w:rsidRPr="00EF7969" w:rsidRDefault="009C6940" w:rsidP="009C6940">
                  <w:pPr>
                    <w:pStyle w:val="TableBodyText"/>
                    <w:jc w:val="left"/>
                  </w:pPr>
                  <w:r w:rsidRPr="00EF7969">
                    <w:t>InnoWell Pty Ltd</w:t>
                  </w:r>
                </w:p>
              </w:tc>
              <w:tc>
                <w:tcPr>
                  <w:tcW w:w="2126" w:type="dxa"/>
                  <w:shd w:val="clear" w:color="auto" w:fill="auto"/>
                </w:tcPr>
                <w:p w14:paraId="15B5BDA1" w14:textId="77777777" w:rsidR="009C6940" w:rsidRPr="00EF7969" w:rsidRDefault="009C6940" w:rsidP="009C6940">
                  <w:pPr>
                    <w:pStyle w:val="TableBodyText"/>
                  </w:pPr>
                  <w:r w:rsidRPr="00EF7969">
                    <w:t>153</w:t>
                  </w:r>
                </w:p>
              </w:tc>
            </w:tr>
            <w:tr w:rsidR="009C6940" w:rsidRPr="00EF7969" w14:paraId="00EEE64F" w14:textId="77777777" w:rsidTr="009C6940">
              <w:tc>
                <w:tcPr>
                  <w:tcW w:w="6377" w:type="dxa"/>
                  <w:shd w:val="clear" w:color="auto" w:fill="auto"/>
                </w:tcPr>
                <w:p w14:paraId="29588A54" w14:textId="77777777" w:rsidR="009C6940" w:rsidRPr="00EF7969" w:rsidRDefault="009C6940" w:rsidP="009C6940">
                  <w:pPr>
                    <w:pStyle w:val="TableBodyText"/>
                    <w:jc w:val="left"/>
                  </w:pPr>
                  <w:r>
                    <w:t xml:space="preserve">Institute for </w:t>
                  </w:r>
                  <w:r w:rsidRPr="00EF7969">
                    <w:t xml:space="preserve">Urban </w:t>
                  </w:r>
                  <w:r>
                    <w:t xml:space="preserve">and </w:t>
                  </w:r>
                  <w:r w:rsidRPr="00EF7969">
                    <w:t>Indigenous Health (IUIH)</w:t>
                  </w:r>
                </w:p>
              </w:tc>
              <w:tc>
                <w:tcPr>
                  <w:tcW w:w="2126" w:type="dxa"/>
                  <w:shd w:val="clear" w:color="auto" w:fill="auto"/>
                </w:tcPr>
                <w:p w14:paraId="44BF7B6D" w14:textId="77777777" w:rsidR="009C6940" w:rsidRPr="00EF7969" w:rsidRDefault="009C6940" w:rsidP="009C6940">
                  <w:pPr>
                    <w:pStyle w:val="TableBodyText"/>
                  </w:pPr>
                  <w:r w:rsidRPr="00EF7969">
                    <w:t>1108</w:t>
                  </w:r>
                </w:p>
              </w:tc>
            </w:tr>
            <w:tr w:rsidR="009C6940" w:rsidRPr="00EF7969" w14:paraId="693C048A" w14:textId="77777777" w:rsidTr="009C6940">
              <w:tc>
                <w:tcPr>
                  <w:tcW w:w="6377" w:type="dxa"/>
                  <w:shd w:val="clear" w:color="auto" w:fill="auto"/>
                </w:tcPr>
                <w:p w14:paraId="680612C7" w14:textId="77777777" w:rsidR="009C6940" w:rsidRPr="00EF7969" w:rsidRDefault="009C6940" w:rsidP="009C6940">
                  <w:pPr>
                    <w:pStyle w:val="TableBodyText"/>
                    <w:jc w:val="left"/>
                  </w:pPr>
                  <w:r w:rsidRPr="00EF7969">
                    <w:t>Institute of Clinical Psychologists (ICP)</w:t>
                  </w:r>
                </w:p>
              </w:tc>
              <w:tc>
                <w:tcPr>
                  <w:tcW w:w="2126" w:type="dxa"/>
                  <w:shd w:val="clear" w:color="auto" w:fill="auto"/>
                </w:tcPr>
                <w:p w14:paraId="4C0B5155" w14:textId="77777777" w:rsidR="009C6940" w:rsidRPr="00EF7969" w:rsidRDefault="009C6940" w:rsidP="009C6940">
                  <w:pPr>
                    <w:pStyle w:val="TableBodyText"/>
                  </w:pPr>
                  <w:r w:rsidRPr="00EF7969">
                    <w:t>447</w:t>
                  </w:r>
                </w:p>
              </w:tc>
            </w:tr>
            <w:tr w:rsidR="009C6940" w:rsidRPr="00EF7969" w14:paraId="1C30806D" w14:textId="77777777" w:rsidTr="009C6940">
              <w:tc>
                <w:tcPr>
                  <w:tcW w:w="6377" w:type="dxa"/>
                  <w:shd w:val="clear" w:color="auto" w:fill="auto"/>
                </w:tcPr>
                <w:p w14:paraId="3E871A18" w14:textId="77777777" w:rsidR="009C6940" w:rsidRPr="00EF7969" w:rsidRDefault="009C6940" w:rsidP="009C6940">
                  <w:pPr>
                    <w:pStyle w:val="TableBodyText"/>
                    <w:jc w:val="left"/>
                  </w:pPr>
                  <w:r w:rsidRPr="00EF7969">
                    <w:t>Institute of Private Practising Psychologists (IPPP)</w:t>
                  </w:r>
                </w:p>
              </w:tc>
              <w:tc>
                <w:tcPr>
                  <w:tcW w:w="2126" w:type="dxa"/>
                  <w:shd w:val="clear" w:color="auto" w:fill="auto"/>
                </w:tcPr>
                <w:p w14:paraId="6000DD23" w14:textId="77777777" w:rsidR="009C6940" w:rsidRPr="00EF7969" w:rsidRDefault="009C6940" w:rsidP="009C6940">
                  <w:pPr>
                    <w:pStyle w:val="TableBodyText"/>
                  </w:pPr>
                  <w:r w:rsidRPr="00EF7969">
                    <w:t>389</w:t>
                  </w:r>
                </w:p>
              </w:tc>
            </w:tr>
            <w:tr w:rsidR="009C6940" w:rsidRPr="00EF7969" w14:paraId="0E3126EB" w14:textId="77777777" w:rsidTr="009C6940">
              <w:tc>
                <w:tcPr>
                  <w:tcW w:w="6377" w:type="dxa"/>
                  <w:shd w:val="clear" w:color="auto" w:fill="auto"/>
                </w:tcPr>
                <w:p w14:paraId="0BBBA0FB" w14:textId="77777777" w:rsidR="009C6940" w:rsidRPr="00EF7969" w:rsidRDefault="009C6940" w:rsidP="009C6940">
                  <w:pPr>
                    <w:pStyle w:val="TableBodyText"/>
                    <w:jc w:val="left"/>
                  </w:pPr>
                  <w:r w:rsidRPr="00EF7969">
                    <w:t>Institute of Public Accountants</w:t>
                  </w:r>
                </w:p>
              </w:tc>
              <w:tc>
                <w:tcPr>
                  <w:tcW w:w="2126" w:type="dxa"/>
                  <w:shd w:val="clear" w:color="auto" w:fill="auto"/>
                </w:tcPr>
                <w:p w14:paraId="381B6652" w14:textId="77777777" w:rsidR="009C6940" w:rsidRPr="00EF7969" w:rsidRDefault="009C6940" w:rsidP="009C6940">
                  <w:pPr>
                    <w:pStyle w:val="TableBodyText"/>
                  </w:pPr>
                  <w:r w:rsidRPr="00EF7969">
                    <w:t>284</w:t>
                  </w:r>
                </w:p>
              </w:tc>
            </w:tr>
            <w:tr w:rsidR="009C6940" w:rsidRPr="00EF7969" w14:paraId="27FB2EC0" w14:textId="77777777" w:rsidTr="009C6940">
              <w:tc>
                <w:tcPr>
                  <w:tcW w:w="6377" w:type="dxa"/>
                  <w:shd w:val="clear" w:color="auto" w:fill="auto"/>
                </w:tcPr>
                <w:p w14:paraId="0EAEB1A8" w14:textId="77777777" w:rsidR="009C6940" w:rsidRPr="00EF7969" w:rsidRDefault="009C6940" w:rsidP="009C6940">
                  <w:pPr>
                    <w:pStyle w:val="TableBodyText"/>
                    <w:jc w:val="left"/>
                  </w:pPr>
                  <w:r w:rsidRPr="00EF7969">
                    <w:t>Insurance Council of Australia</w:t>
                  </w:r>
                </w:p>
              </w:tc>
              <w:tc>
                <w:tcPr>
                  <w:tcW w:w="2126" w:type="dxa"/>
                  <w:shd w:val="clear" w:color="auto" w:fill="auto"/>
                </w:tcPr>
                <w:p w14:paraId="5EE23AEB" w14:textId="77777777" w:rsidR="009C6940" w:rsidRPr="00EF7969" w:rsidRDefault="009C6940" w:rsidP="009C6940">
                  <w:pPr>
                    <w:pStyle w:val="TableBodyText"/>
                  </w:pPr>
                  <w:r w:rsidRPr="00EF7969">
                    <w:t>861</w:t>
                  </w:r>
                </w:p>
              </w:tc>
            </w:tr>
            <w:tr w:rsidR="009C6940" w:rsidRPr="00EF7969" w14:paraId="5B015AE1" w14:textId="77777777" w:rsidTr="009C6940">
              <w:tc>
                <w:tcPr>
                  <w:tcW w:w="6377" w:type="dxa"/>
                  <w:shd w:val="clear" w:color="auto" w:fill="auto"/>
                </w:tcPr>
                <w:p w14:paraId="6A3D4C5F" w14:textId="77777777" w:rsidR="009C6940" w:rsidRPr="00EF7969" w:rsidRDefault="009C6940" w:rsidP="009C6940">
                  <w:pPr>
                    <w:pStyle w:val="TableBodyText"/>
                    <w:jc w:val="left"/>
                  </w:pPr>
                  <w:r w:rsidRPr="00EF7969">
                    <w:t>Iona Kentwell</w:t>
                  </w:r>
                </w:p>
              </w:tc>
              <w:tc>
                <w:tcPr>
                  <w:tcW w:w="2126" w:type="dxa"/>
                  <w:shd w:val="clear" w:color="auto" w:fill="auto"/>
                </w:tcPr>
                <w:p w14:paraId="4CA7C36F" w14:textId="77777777" w:rsidR="009C6940" w:rsidRPr="00EF7969" w:rsidRDefault="009C6940" w:rsidP="009C6940">
                  <w:pPr>
                    <w:pStyle w:val="TableBodyText"/>
                  </w:pPr>
                  <w:r w:rsidRPr="00EF7969">
                    <w:t>697</w:t>
                  </w:r>
                </w:p>
              </w:tc>
            </w:tr>
            <w:tr w:rsidR="009C6940" w:rsidRPr="00EF7969" w14:paraId="7D7EF04D" w14:textId="77777777" w:rsidTr="009C6940">
              <w:tc>
                <w:tcPr>
                  <w:tcW w:w="6377" w:type="dxa"/>
                  <w:shd w:val="clear" w:color="auto" w:fill="auto"/>
                </w:tcPr>
                <w:p w14:paraId="5E08569C" w14:textId="77777777" w:rsidR="009C6940" w:rsidRPr="00EF7969" w:rsidRDefault="009C6940" w:rsidP="009C6940">
                  <w:pPr>
                    <w:pStyle w:val="TableBodyText"/>
                    <w:jc w:val="left"/>
                  </w:pPr>
                  <w:r w:rsidRPr="00EF7969">
                    <w:t>Isabella Curnuck</w:t>
                  </w:r>
                </w:p>
              </w:tc>
              <w:tc>
                <w:tcPr>
                  <w:tcW w:w="2126" w:type="dxa"/>
                  <w:shd w:val="clear" w:color="auto" w:fill="auto"/>
                </w:tcPr>
                <w:p w14:paraId="00EF7598" w14:textId="77777777" w:rsidR="009C6940" w:rsidRPr="00EF7969" w:rsidRDefault="009C6940" w:rsidP="009C6940">
                  <w:pPr>
                    <w:pStyle w:val="TableBodyText"/>
                  </w:pPr>
                  <w:r w:rsidRPr="00EF7969">
                    <w:t>977</w:t>
                  </w:r>
                </w:p>
              </w:tc>
            </w:tr>
            <w:tr w:rsidR="009C6940" w:rsidRPr="00EF7969" w14:paraId="566C4357" w14:textId="77777777" w:rsidTr="009C6940">
              <w:tc>
                <w:tcPr>
                  <w:tcW w:w="6377" w:type="dxa"/>
                  <w:shd w:val="clear" w:color="auto" w:fill="auto"/>
                </w:tcPr>
                <w:p w14:paraId="09D5C100" w14:textId="77777777" w:rsidR="009C6940" w:rsidRPr="00EF7969" w:rsidRDefault="009C6940" w:rsidP="009C6940">
                  <w:pPr>
                    <w:pStyle w:val="TableBodyText"/>
                    <w:jc w:val="left"/>
                  </w:pPr>
                  <w:r w:rsidRPr="00EF7969">
                    <w:t>ISANA</w:t>
                  </w:r>
                </w:p>
              </w:tc>
              <w:tc>
                <w:tcPr>
                  <w:tcW w:w="2126" w:type="dxa"/>
                  <w:shd w:val="clear" w:color="auto" w:fill="auto"/>
                </w:tcPr>
                <w:p w14:paraId="6859C1CA" w14:textId="77777777" w:rsidR="009C6940" w:rsidRPr="00EF7969" w:rsidRDefault="009C6940" w:rsidP="009C6940">
                  <w:pPr>
                    <w:pStyle w:val="TableBodyText"/>
                  </w:pPr>
                  <w:r w:rsidRPr="00EF7969">
                    <w:t>932</w:t>
                  </w:r>
                </w:p>
              </w:tc>
            </w:tr>
            <w:tr w:rsidR="009C6940" w:rsidRPr="00EF7969" w14:paraId="1DA3B3FB" w14:textId="77777777" w:rsidTr="009C6940">
              <w:tc>
                <w:tcPr>
                  <w:tcW w:w="6377" w:type="dxa"/>
                  <w:shd w:val="clear" w:color="auto" w:fill="auto"/>
                </w:tcPr>
                <w:p w14:paraId="12603C19" w14:textId="77777777" w:rsidR="009C6940" w:rsidRPr="00EF7969" w:rsidRDefault="009C6940" w:rsidP="009C6940">
                  <w:pPr>
                    <w:pStyle w:val="TableBodyText"/>
                    <w:jc w:val="left"/>
                  </w:pPr>
                  <w:r w:rsidRPr="00EF7969">
                    <w:t>Jacques Doucas</w:t>
                  </w:r>
                </w:p>
              </w:tc>
              <w:tc>
                <w:tcPr>
                  <w:tcW w:w="2126" w:type="dxa"/>
                  <w:shd w:val="clear" w:color="auto" w:fill="auto"/>
                </w:tcPr>
                <w:p w14:paraId="10EE363E" w14:textId="77777777" w:rsidR="009C6940" w:rsidRPr="00EF7969" w:rsidRDefault="009C6940" w:rsidP="009C6940">
                  <w:pPr>
                    <w:pStyle w:val="TableBodyText"/>
                  </w:pPr>
                  <w:r w:rsidRPr="00EF7969">
                    <w:t>1084</w:t>
                  </w:r>
                </w:p>
              </w:tc>
            </w:tr>
            <w:tr w:rsidR="009C6940" w:rsidRPr="00EF7969" w14:paraId="6FA3887C" w14:textId="77777777" w:rsidTr="009C6940">
              <w:tc>
                <w:tcPr>
                  <w:tcW w:w="6377" w:type="dxa"/>
                  <w:shd w:val="clear" w:color="auto" w:fill="auto"/>
                </w:tcPr>
                <w:p w14:paraId="2C3C544A" w14:textId="77777777" w:rsidR="009C6940" w:rsidRPr="00EF7969" w:rsidRDefault="009C6940" w:rsidP="009C6940">
                  <w:pPr>
                    <w:pStyle w:val="TableBodyText"/>
                    <w:jc w:val="left"/>
                  </w:pPr>
                  <w:r w:rsidRPr="00EF7969">
                    <w:t>Jade Weary</w:t>
                  </w:r>
                </w:p>
              </w:tc>
              <w:tc>
                <w:tcPr>
                  <w:tcW w:w="2126" w:type="dxa"/>
                  <w:shd w:val="clear" w:color="auto" w:fill="auto"/>
                </w:tcPr>
                <w:p w14:paraId="217A65E3" w14:textId="77777777" w:rsidR="009C6940" w:rsidRPr="00EF7969" w:rsidRDefault="009C6940" w:rsidP="009C6940">
                  <w:pPr>
                    <w:pStyle w:val="TableBodyText"/>
                  </w:pPr>
                  <w:r w:rsidRPr="00EF7969">
                    <w:t>436</w:t>
                  </w:r>
                </w:p>
              </w:tc>
            </w:tr>
            <w:tr w:rsidR="009C6940" w:rsidRPr="00EF7969" w14:paraId="6580559E" w14:textId="77777777" w:rsidTr="009C6940">
              <w:tc>
                <w:tcPr>
                  <w:tcW w:w="6377" w:type="dxa"/>
                  <w:shd w:val="clear" w:color="auto" w:fill="auto"/>
                </w:tcPr>
                <w:p w14:paraId="6FB7E0C6" w14:textId="77777777" w:rsidR="009C6940" w:rsidRPr="00EF7969" w:rsidRDefault="009C6940" w:rsidP="009C6940">
                  <w:pPr>
                    <w:pStyle w:val="TableBodyText"/>
                    <w:jc w:val="left"/>
                  </w:pPr>
                  <w:r w:rsidRPr="00EF7969">
                    <w:t>James Alexander</w:t>
                  </w:r>
                </w:p>
              </w:tc>
              <w:tc>
                <w:tcPr>
                  <w:tcW w:w="2126" w:type="dxa"/>
                  <w:shd w:val="clear" w:color="auto" w:fill="auto"/>
                </w:tcPr>
                <w:p w14:paraId="7C370323" w14:textId="77777777" w:rsidR="009C6940" w:rsidRPr="00EF7969" w:rsidRDefault="009C6940" w:rsidP="009C6940">
                  <w:pPr>
                    <w:pStyle w:val="TableBodyText"/>
                  </w:pPr>
                  <w:r w:rsidRPr="00EF7969">
                    <w:t>160</w:t>
                  </w:r>
                </w:p>
              </w:tc>
            </w:tr>
            <w:tr w:rsidR="009C6940" w:rsidRPr="00EF7969" w14:paraId="4A94AA45" w14:textId="77777777" w:rsidTr="009C6940">
              <w:tc>
                <w:tcPr>
                  <w:tcW w:w="6377" w:type="dxa"/>
                  <w:shd w:val="clear" w:color="auto" w:fill="auto"/>
                </w:tcPr>
                <w:p w14:paraId="07616AA4" w14:textId="77777777" w:rsidR="009C6940" w:rsidRPr="00EF7969" w:rsidRDefault="009C6940" w:rsidP="009C6940">
                  <w:pPr>
                    <w:pStyle w:val="TableBodyText"/>
                    <w:jc w:val="left"/>
                  </w:pPr>
                  <w:r w:rsidRPr="00EF7969">
                    <w:t>James Davey</w:t>
                  </w:r>
                </w:p>
              </w:tc>
              <w:tc>
                <w:tcPr>
                  <w:tcW w:w="2126" w:type="dxa"/>
                  <w:shd w:val="clear" w:color="auto" w:fill="auto"/>
                </w:tcPr>
                <w:p w14:paraId="3F44B9B2" w14:textId="77777777" w:rsidR="009C6940" w:rsidRPr="00EF7969" w:rsidRDefault="009C6940" w:rsidP="009C6940">
                  <w:pPr>
                    <w:pStyle w:val="TableBodyText"/>
                  </w:pPr>
                  <w:r w:rsidRPr="00EF7969">
                    <w:t>658</w:t>
                  </w:r>
                </w:p>
              </w:tc>
            </w:tr>
            <w:tr w:rsidR="009C6940" w:rsidRPr="00EF7969" w14:paraId="1E549E7C" w14:textId="77777777" w:rsidTr="009C6940">
              <w:tc>
                <w:tcPr>
                  <w:tcW w:w="6377" w:type="dxa"/>
                  <w:shd w:val="clear" w:color="auto" w:fill="auto"/>
                </w:tcPr>
                <w:p w14:paraId="4454F348" w14:textId="77777777" w:rsidR="009C6940" w:rsidRPr="00EF7969" w:rsidRDefault="009C6940" w:rsidP="009C6940">
                  <w:pPr>
                    <w:pStyle w:val="TableBodyText"/>
                    <w:jc w:val="left"/>
                  </w:pPr>
                  <w:r w:rsidRPr="00EF7969">
                    <w:t>James Hill</w:t>
                  </w:r>
                </w:p>
              </w:tc>
              <w:tc>
                <w:tcPr>
                  <w:tcW w:w="2126" w:type="dxa"/>
                  <w:shd w:val="clear" w:color="auto" w:fill="auto"/>
                </w:tcPr>
                <w:p w14:paraId="0A05DF4F" w14:textId="77777777" w:rsidR="009C6940" w:rsidRPr="00EF7969" w:rsidRDefault="009C6940" w:rsidP="009C6940">
                  <w:pPr>
                    <w:pStyle w:val="TableBodyText"/>
                  </w:pPr>
                  <w:r w:rsidRPr="00EF7969">
                    <w:t>634</w:t>
                  </w:r>
                </w:p>
              </w:tc>
            </w:tr>
            <w:tr w:rsidR="009C6940" w:rsidRPr="00EF7969" w14:paraId="6E128451" w14:textId="77777777" w:rsidTr="009C6940">
              <w:tc>
                <w:tcPr>
                  <w:tcW w:w="6377" w:type="dxa"/>
                  <w:shd w:val="clear" w:color="auto" w:fill="auto"/>
                </w:tcPr>
                <w:p w14:paraId="2F50CB26" w14:textId="77777777" w:rsidR="009C6940" w:rsidRPr="00EF7969" w:rsidRDefault="009C6940" w:rsidP="009C6940">
                  <w:pPr>
                    <w:pStyle w:val="TableBodyText"/>
                    <w:jc w:val="left"/>
                  </w:pPr>
                  <w:r w:rsidRPr="00EF7969">
                    <w:t>Jan Lester</w:t>
                  </w:r>
                </w:p>
              </w:tc>
              <w:tc>
                <w:tcPr>
                  <w:tcW w:w="2126" w:type="dxa"/>
                  <w:shd w:val="clear" w:color="auto" w:fill="auto"/>
                </w:tcPr>
                <w:p w14:paraId="498E2AF3" w14:textId="77777777" w:rsidR="009C6940" w:rsidRPr="00EF7969" w:rsidRDefault="009C6940" w:rsidP="009C6940">
                  <w:pPr>
                    <w:pStyle w:val="TableBodyText"/>
                  </w:pPr>
                  <w:r w:rsidRPr="00EF7969">
                    <w:t>1058</w:t>
                  </w:r>
                </w:p>
              </w:tc>
            </w:tr>
            <w:tr w:rsidR="009C6940" w:rsidRPr="00EF7969" w14:paraId="18E98510" w14:textId="77777777" w:rsidTr="009C6940">
              <w:tc>
                <w:tcPr>
                  <w:tcW w:w="6377" w:type="dxa"/>
                  <w:shd w:val="clear" w:color="auto" w:fill="auto"/>
                </w:tcPr>
                <w:p w14:paraId="576B01AC" w14:textId="77777777" w:rsidR="009C6940" w:rsidRPr="00EF7969" w:rsidRDefault="009C6940" w:rsidP="009C6940">
                  <w:pPr>
                    <w:pStyle w:val="TableBodyText"/>
                    <w:jc w:val="left"/>
                  </w:pPr>
                  <w:r w:rsidRPr="00EF7969">
                    <w:t>Jane Bradbear</w:t>
                  </w:r>
                </w:p>
              </w:tc>
              <w:tc>
                <w:tcPr>
                  <w:tcW w:w="2126" w:type="dxa"/>
                  <w:shd w:val="clear" w:color="auto" w:fill="auto"/>
                </w:tcPr>
                <w:p w14:paraId="3F2C1334" w14:textId="77777777" w:rsidR="009C6940" w:rsidRPr="00EF7969" w:rsidRDefault="009C6940" w:rsidP="009C6940">
                  <w:pPr>
                    <w:pStyle w:val="TableBodyText"/>
                  </w:pPr>
                  <w:r w:rsidRPr="00EF7969">
                    <w:t>215</w:t>
                  </w:r>
                </w:p>
              </w:tc>
            </w:tr>
            <w:tr w:rsidR="009C6940" w:rsidRPr="00EF7969" w14:paraId="11802C36" w14:textId="77777777" w:rsidTr="009C6940">
              <w:tc>
                <w:tcPr>
                  <w:tcW w:w="6377" w:type="dxa"/>
                  <w:shd w:val="clear" w:color="auto" w:fill="auto"/>
                </w:tcPr>
                <w:p w14:paraId="51A2821D" w14:textId="77777777" w:rsidR="009C6940" w:rsidRPr="00EF7969" w:rsidRDefault="009C6940" w:rsidP="009C6940">
                  <w:pPr>
                    <w:pStyle w:val="TableBodyText"/>
                    <w:jc w:val="left"/>
                  </w:pPr>
                  <w:r w:rsidRPr="00EF7969">
                    <w:t>Jane Jervis</w:t>
                  </w:r>
                </w:p>
              </w:tc>
              <w:tc>
                <w:tcPr>
                  <w:tcW w:w="2126" w:type="dxa"/>
                  <w:shd w:val="clear" w:color="auto" w:fill="auto"/>
                </w:tcPr>
                <w:p w14:paraId="6266816D" w14:textId="77777777" w:rsidR="009C6940" w:rsidRPr="00EF7969" w:rsidRDefault="009C6940" w:rsidP="009C6940">
                  <w:pPr>
                    <w:pStyle w:val="TableBodyText"/>
                  </w:pPr>
                  <w:r w:rsidRPr="00EF7969">
                    <w:t>593</w:t>
                  </w:r>
                </w:p>
              </w:tc>
            </w:tr>
            <w:tr w:rsidR="009C6940" w:rsidRPr="00EF7969" w14:paraId="2E19CFD6" w14:textId="77777777" w:rsidTr="009C6940">
              <w:tc>
                <w:tcPr>
                  <w:tcW w:w="6377" w:type="dxa"/>
                  <w:shd w:val="clear" w:color="auto" w:fill="auto"/>
                </w:tcPr>
                <w:p w14:paraId="7D2CBF86" w14:textId="77777777" w:rsidR="009C6940" w:rsidRPr="00EF7969" w:rsidRDefault="009C6940" w:rsidP="009C6940">
                  <w:pPr>
                    <w:pStyle w:val="TableBodyText"/>
                    <w:jc w:val="left"/>
                  </w:pPr>
                  <w:r w:rsidRPr="00EF7969">
                    <w:t>Jane Peart</w:t>
                  </w:r>
                </w:p>
              </w:tc>
              <w:tc>
                <w:tcPr>
                  <w:tcW w:w="2126" w:type="dxa"/>
                  <w:shd w:val="clear" w:color="auto" w:fill="auto"/>
                </w:tcPr>
                <w:p w14:paraId="38BC6274" w14:textId="77777777" w:rsidR="009C6940" w:rsidRPr="00EF7969" w:rsidRDefault="009C6940" w:rsidP="009C6940">
                  <w:pPr>
                    <w:pStyle w:val="TableBodyText"/>
                  </w:pPr>
                  <w:r w:rsidRPr="00EF7969">
                    <w:t>565</w:t>
                  </w:r>
                </w:p>
              </w:tc>
            </w:tr>
            <w:tr w:rsidR="009C6940" w:rsidRPr="00EF7969" w14:paraId="7F49D0DF" w14:textId="77777777" w:rsidTr="009C6940">
              <w:tc>
                <w:tcPr>
                  <w:tcW w:w="6377" w:type="dxa"/>
                  <w:shd w:val="clear" w:color="auto" w:fill="auto"/>
                </w:tcPr>
                <w:p w14:paraId="2F471A76" w14:textId="77777777" w:rsidR="009C6940" w:rsidRPr="00EF7969" w:rsidRDefault="009C6940" w:rsidP="009C6940">
                  <w:pPr>
                    <w:pStyle w:val="TableBodyText"/>
                    <w:jc w:val="left"/>
                  </w:pPr>
                  <w:r w:rsidRPr="00EF7969">
                    <w:t>Jane Philip</w:t>
                  </w:r>
                </w:p>
              </w:tc>
              <w:tc>
                <w:tcPr>
                  <w:tcW w:w="2126" w:type="dxa"/>
                  <w:shd w:val="clear" w:color="auto" w:fill="auto"/>
                </w:tcPr>
                <w:p w14:paraId="55CEF2EA" w14:textId="77777777" w:rsidR="009C6940" w:rsidRPr="00EF7969" w:rsidRDefault="009C6940" w:rsidP="009C6940">
                  <w:pPr>
                    <w:pStyle w:val="TableBodyText"/>
                  </w:pPr>
                  <w:r w:rsidRPr="00EF7969">
                    <w:t>1049</w:t>
                  </w:r>
                </w:p>
              </w:tc>
            </w:tr>
            <w:tr w:rsidR="009C6940" w:rsidRPr="00EF7969" w14:paraId="6CF930F6" w14:textId="77777777" w:rsidTr="009C6940">
              <w:tc>
                <w:tcPr>
                  <w:tcW w:w="6377" w:type="dxa"/>
                  <w:shd w:val="clear" w:color="auto" w:fill="auto"/>
                </w:tcPr>
                <w:p w14:paraId="4DDF015C" w14:textId="77777777" w:rsidR="009C6940" w:rsidRPr="00EF7969" w:rsidRDefault="009C6940" w:rsidP="009C6940">
                  <w:pPr>
                    <w:pStyle w:val="TableBodyText"/>
                    <w:jc w:val="left"/>
                  </w:pPr>
                  <w:r w:rsidRPr="00EF7969">
                    <w:t>Jasmine Middleton</w:t>
                  </w:r>
                </w:p>
              </w:tc>
              <w:tc>
                <w:tcPr>
                  <w:tcW w:w="2126" w:type="dxa"/>
                  <w:shd w:val="clear" w:color="auto" w:fill="auto"/>
                </w:tcPr>
                <w:p w14:paraId="7F43F41E" w14:textId="77777777" w:rsidR="009C6940" w:rsidRPr="00EF7969" w:rsidRDefault="009C6940" w:rsidP="009C6940">
                  <w:pPr>
                    <w:pStyle w:val="TableBodyText"/>
                  </w:pPr>
                  <w:r w:rsidRPr="00EF7969">
                    <w:t>1167</w:t>
                  </w:r>
                </w:p>
              </w:tc>
            </w:tr>
            <w:tr w:rsidR="009C6940" w:rsidRPr="00EF7969" w14:paraId="230E107E" w14:textId="77777777" w:rsidTr="009C6940">
              <w:tc>
                <w:tcPr>
                  <w:tcW w:w="6377" w:type="dxa"/>
                  <w:shd w:val="clear" w:color="auto" w:fill="auto"/>
                </w:tcPr>
                <w:p w14:paraId="2ED83631" w14:textId="77777777" w:rsidR="009C6940" w:rsidRPr="00EF7969" w:rsidRDefault="009C6940" w:rsidP="009C6940">
                  <w:pPr>
                    <w:pStyle w:val="TableBodyText"/>
                    <w:jc w:val="left"/>
                  </w:pPr>
                  <w:r w:rsidRPr="00EF7969">
                    <w:t>Jasmine Stone</w:t>
                  </w:r>
                </w:p>
              </w:tc>
              <w:tc>
                <w:tcPr>
                  <w:tcW w:w="2126" w:type="dxa"/>
                  <w:shd w:val="clear" w:color="auto" w:fill="auto"/>
                </w:tcPr>
                <w:p w14:paraId="37A3D423" w14:textId="77777777" w:rsidR="009C6940" w:rsidRPr="00EF7969" w:rsidRDefault="009C6940" w:rsidP="009C6940">
                  <w:pPr>
                    <w:pStyle w:val="TableBodyText"/>
                  </w:pPr>
                  <w:r w:rsidRPr="00EF7969">
                    <w:t>1059</w:t>
                  </w:r>
                </w:p>
              </w:tc>
            </w:tr>
            <w:tr w:rsidR="009C6940" w:rsidRPr="00EF7969" w14:paraId="29CE49BB" w14:textId="77777777" w:rsidTr="009C6940">
              <w:tc>
                <w:tcPr>
                  <w:tcW w:w="6377" w:type="dxa"/>
                  <w:shd w:val="clear" w:color="auto" w:fill="auto"/>
                </w:tcPr>
                <w:p w14:paraId="6D9B7A14" w14:textId="77777777" w:rsidR="009C6940" w:rsidRPr="00EF7969" w:rsidRDefault="009C6940" w:rsidP="009C6940">
                  <w:pPr>
                    <w:pStyle w:val="TableBodyText"/>
                    <w:jc w:val="left"/>
                  </w:pPr>
                  <w:r w:rsidRPr="00EF7969">
                    <w:t>Jason Toth</w:t>
                  </w:r>
                </w:p>
              </w:tc>
              <w:tc>
                <w:tcPr>
                  <w:tcW w:w="2126" w:type="dxa"/>
                  <w:shd w:val="clear" w:color="auto" w:fill="auto"/>
                </w:tcPr>
                <w:p w14:paraId="00A735F9" w14:textId="77777777" w:rsidR="009C6940" w:rsidRPr="00EF7969" w:rsidRDefault="009C6940" w:rsidP="009C6940">
                  <w:pPr>
                    <w:pStyle w:val="TableBodyText"/>
                  </w:pPr>
                  <w:r w:rsidRPr="00EF7969">
                    <w:t>665</w:t>
                  </w:r>
                </w:p>
              </w:tc>
            </w:tr>
            <w:tr w:rsidR="009C6940" w:rsidRPr="00EF7969" w14:paraId="26D9956F" w14:textId="77777777" w:rsidTr="009C6940">
              <w:tc>
                <w:tcPr>
                  <w:tcW w:w="6377" w:type="dxa"/>
                  <w:shd w:val="clear" w:color="auto" w:fill="auto"/>
                </w:tcPr>
                <w:p w14:paraId="69EF4E38" w14:textId="77777777" w:rsidR="009C6940" w:rsidRPr="00EF7969" w:rsidRDefault="009C6940" w:rsidP="009C6940">
                  <w:pPr>
                    <w:pStyle w:val="TableBodyText"/>
                    <w:jc w:val="left"/>
                  </w:pPr>
                  <w:r w:rsidRPr="00EF7969">
                    <w:t>Jayne Wells</w:t>
                  </w:r>
                </w:p>
              </w:tc>
              <w:tc>
                <w:tcPr>
                  <w:tcW w:w="2126" w:type="dxa"/>
                  <w:shd w:val="clear" w:color="auto" w:fill="auto"/>
                </w:tcPr>
                <w:p w14:paraId="1C98A408" w14:textId="77777777" w:rsidR="009C6940" w:rsidRPr="00EF7969" w:rsidRDefault="009C6940" w:rsidP="009C6940">
                  <w:pPr>
                    <w:pStyle w:val="TableBodyText"/>
                  </w:pPr>
                  <w:r w:rsidRPr="00EF7969">
                    <w:t>219</w:t>
                  </w:r>
                </w:p>
              </w:tc>
            </w:tr>
            <w:tr w:rsidR="009C6940" w:rsidRPr="00EF7969" w14:paraId="1D6C48B7" w14:textId="77777777" w:rsidTr="009C6940">
              <w:tc>
                <w:tcPr>
                  <w:tcW w:w="6377" w:type="dxa"/>
                  <w:shd w:val="clear" w:color="auto" w:fill="auto"/>
                </w:tcPr>
                <w:p w14:paraId="04468497" w14:textId="77777777" w:rsidR="009C6940" w:rsidRPr="00EF7969" w:rsidRDefault="009C6940" w:rsidP="009C6940">
                  <w:pPr>
                    <w:pStyle w:val="TableBodyText"/>
                    <w:jc w:val="left"/>
                  </w:pPr>
                  <w:r w:rsidRPr="00C005F5">
                    <w:t>Jeff Borland and Yi-Ping Tseng</w:t>
                  </w:r>
                </w:p>
              </w:tc>
              <w:tc>
                <w:tcPr>
                  <w:tcW w:w="2126" w:type="dxa"/>
                  <w:shd w:val="clear" w:color="auto" w:fill="auto"/>
                </w:tcPr>
                <w:p w14:paraId="2059505A" w14:textId="77777777" w:rsidR="009C6940" w:rsidRPr="00EF7969" w:rsidRDefault="009C6940" w:rsidP="009C6940">
                  <w:pPr>
                    <w:pStyle w:val="TableBodyText"/>
                  </w:pPr>
                  <w:r w:rsidRPr="00C005F5">
                    <w:t>792</w:t>
                  </w:r>
                </w:p>
              </w:tc>
            </w:tr>
            <w:tr w:rsidR="009C6940" w:rsidRPr="00EF7969" w14:paraId="67AC9393" w14:textId="77777777" w:rsidTr="009C6940">
              <w:tc>
                <w:tcPr>
                  <w:tcW w:w="6377" w:type="dxa"/>
                  <w:shd w:val="clear" w:color="auto" w:fill="auto"/>
                </w:tcPr>
                <w:p w14:paraId="5E2E5AE9" w14:textId="77777777" w:rsidR="009C6940" w:rsidRPr="00EF7969" w:rsidRDefault="009C6940" w:rsidP="009C6940">
                  <w:pPr>
                    <w:pStyle w:val="TableBodyText"/>
                    <w:jc w:val="left"/>
                  </w:pPr>
                  <w:r w:rsidRPr="00EF7969">
                    <w:t>Jeffrey Beats</w:t>
                  </w:r>
                </w:p>
              </w:tc>
              <w:tc>
                <w:tcPr>
                  <w:tcW w:w="2126" w:type="dxa"/>
                  <w:shd w:val="clear" w:color="auto" w:fill="auto"/>
                </w:tcPr>
                <w:p w14:paraId="336292F5" w14:textId="77777777" w:rsidR="009C6940" w:rsidRPr="00EF7969" w:rsidRDefault="009C6940" w:rsidP="009C6940">
                  <w:pPr>
                    <w:pStyle w:val="TableBodyText"/>
                  </w:pPr>
                  <w:r w:rsidRPr="00EF7969">
                    <w:t>1051</w:t>
                  </w:r>
                </w:p>
              </w:tc>
            </w:tr>
            <w:tr w:rsidR="009C6940" w:rsidRPr="00EF7969" w14:paraId="35A29E27" w14:textId="77777777" w:rsidTr="009C6940">
              <w:tc>
                <w:tcPr>
                  <w:tcW w:w="6377" w:type="dxa"/>
                  <w:shd w:val="clear" w:color="auto" w:fill="auto"/>
                </w:tcPr>
                <w:p w14:paraId="62A64EAF" w14:textId="77777777" w:rsidR="009C6940" w:rsidRPr="00EF7969" w:rsidRDefault="009C6940" w:rsidP="009C6940">
                  <w:pPr>
                    <w:pStyle w:val="TableBodyText"/>
                    <w:jc w:val="left"/>
                  </w:pPr>
                  <w:r w:rsidRPr="00EF7969">
                    <w:t>Jennifer Annoki-Chan</w:t>
                  </w:r>
                </w:p>
              </w:tc>
              <w:tc>
                <w:tcPr>
                  <w:tcW w:w="2126" w:type="dxa"/>
                  <w:shd w:val="clear" w:color="auto" w:fill="auto"/>
                </w:tcPr>
                <w:p w14:paraId="21257913" w14:textId="77777777" w:rsidR="009C6940" w:rsidRPr="00EF7969" w:rsidRDefault="009C6940" w:rsidP="009C6940">
                  <w:pPr>
                    <w:pStyle w:val="TableBodyText"/>
                  </w:pPr>
                  <w:r w:rsidRPr="00EF7969">
                    <w:t>1175</w:t>
                  </w:r>
                </w:p>
              </w:tc>
            </w:tr>
            <w:tr w:rsidR="009C6940" w:rsidRPr="00EF7969" w14:paraId="78D8D85B" w14:textId="77777777" w:rsidTr="009C6940">
              <w:tc>
                <w:tcPr>
                  <w:tcW w:w="6377" w:type="dxa"/>
                  <w:shd w:val="clear" w:color="auto" w:fill="auto"/>
                </w:tcPr>
                <w:p w14:paraId="3A9A0640" w14:textId="77777777" w:rsidR="009C6940" w:rsidRPr="00EF7969" w:rsidRDefault="009C6940" w:rsidP="009C6940">
                  <w:pPr>
                    <w:pStyle w:val="TableBodyText"/>
                    <w:jc w:val="left"/>
                  </w:pPr>
                  <w:r w:rsidRPr="00EF7969">
                    <w:t>Jennifer Costello</w:t>
                  </w:r>
                </w:p>
              </w:tc>
              <w:tc>
                <w:tcPr>
                  <w:tcW w:w="2126" w:type="dxa"/>
                  <w:shd w:val="clear" w:color="auto" w:fill="auto"/>
                </w:tcPr>
                <w:p w14:paraId="41EE950D" w14:textId="77777777" w:rsidR="009C6940" w:rsidRPr="00EF7969" w:rsidRDefault="009C6940" w:rsidP="009C6940">
                  <w:pPr>
                    <w:pStyle w:val="TableBodyText"/>
                  </w:pPr>
                  <w:r w:rsidRPr="00EF7969">
                    <w:t>1160</w:t>
                  </w:r>
                </w:p>
              </w:tc>
            </w:tr>
            <w:tr w:rsidR="009C6940" w:rsidRPr="00EF7969" w14:paraId="145895E7" w14:textId="77777777" w:rsidTr="009C6940">
              <w:tc>
                <w:tcPr>
                  <w:tcW w:w="6377" w:type="dxa"/>
                  <w:shd w:val="clear" w:color="auto" w:fill="auto"/>
                </w:tcPr>
                <w:p w14:paraId="31F10396" w14:textId="77777777" w:rsidR="009C6940" w:rsidRPr="00EF7969" w:rsidRDefault="009C6940" w:rsidP="009C6940">
                  <w:pPr>
                    <w:pStyle w:val="TableBodyText"/>
                    <w:jc w:val="left"/>
                  </w:pPr>
                  <w:r w:rsidRPr="00EF7969">
                    <w:t>Jenny Corran</w:t>
                  </w:r>
                </w:p>
              </w:tc>
              <w:tc>
                <w:tcPr>
                  <w:tcW w:w="2126" w:type="dxa"/>
                  <w:shd w:val="clear" w:color="auto" w:fill="auto"/>
                </w:tcPr>
                <w:p w14:paraId="062353F5" w14:textId="77777777" w:rsidR="009C6940" w:rsidRPr="00EF7969" w:rsidRDefault="009C6940" w:rsidP="009C6940">
                  <w:pPr>
                    <w:pStyle w:val="TableBodyText"/>
                  </w:pPr>
                  <w:r w:rsidRPr="00EF7969">
                    <w:t>388</w:t>
                  </w:r>
                </w:p>
              </w:tc>
            </w:tr>
            <w:tr w:rsidR="009C6940" w:rsidRPr="00EF7969" w14:paraId="5C87A6F7" w14:textId="77777777" w:rsidTr="009C6940">
              <w:tc>
                <w:tcPr>
                  <w:tcW w:w="6377" w:type="dxa"/>
                  <w:tcBorders>
                    <w:bottom w:val="single" w:sz="6" w:space="0" w:color="BFBFBF"/>
                  </w:tcBorders>
                  <w:shd w:val="clear" w:color="auto" w:fill="auto"/>
                </w:tcPr>
                <w:p w14:paraId="257B85BA" w14:textId="77777777" w:rsidR="009C6940" w:rsidRPr="00EF7969" w:rsidRDefault="009C6940" w:rsidP="009C6940">
                  <w:pPr>
                    <w:pStyle w:val="TableBodyText"/>
                    <w:jc w:val="left"/>
                  </w:pPr>
                  <w:r w:rsidRPr="00EF7969">
                    <w:t>Jessica Houston</w:t>
                  </w:r>
                </w:p>
              </w:tc>
              <w:tc>
                <w:tcPr>
                  <w:tcW w:w="2126" w:type="dxa"/>
                  <w:tcBorders>
                    <w:bottom w:val="single" w:sz="6" w:space="0" w:color="BFBFBF"/>
                  </w:tcBorders>
                  <w:shd w:val="clear" w:color="auto" w:fill="auto"/>
                </w:tcPr>
                <w:p w14:paraId="0EC5FD00" w14:textId="77777777" w:rsidR="009C6940" w:rsidRPr="00EF7969" w:rsidRDefault="009C6940" w:rsidP="009C6940">
                  <w:pPr>
                    <w:pStyle w:val="TableBodyText"/>
                  </w:pPr>
                  <w:r w:rsidRPr="00EF7969">
                    <w:t>21</w:t>
                  </w:r>
                </w:p>
              </w:tc>
            </w:tr>
          </w:tbl>
          <w:p w14:paraId="5B1D33E3" w14:textId="77777777" w:rsidR="009C6940" w:rsidRPr="00EF7969" w:rsidRDefault="009C6940" w:rsidP="009C6940">
            <w:pPr>
              <w:pStyle w:val="Box"/>
            </w:pPr>
          </w:p>
        </w:tc>
      </w:tr>
      <w:tr w:rsidR="009C6940" w:rsidRPr="00EF7969" w14:paraId="1735EBF6" w14:textId="77777777" w:rsidTr="009C6940">
        <w:tc>
          <w:tcPr>
            <w:tcW w:w="8789" w:type="dxa"/>
            <w:tcBorders>
              <w:top w:val="nil"/>
              <w:left w:val="nil"/>
              <w:bottom w:val="nil"/>
              <w:right w:val="nil"/>
            </w:tcBorders>
            <w:shd w:val="clear" w:color="auto" w:fill="auto"/>
          </w:tcPr>
          <w:p w14:paraId="155C7660" w14:textId="77777777" w:rsidR="009C6940" w:rsidRPr="00EF7969" w:rsidRDefault="009C6940" w:rsidP="009C6940">
            <w:pPr>
              <w:pStyle w:val="Continued"/>
            </w:pPr>
            <w:r w:rsidRPr="00EF7969">
              <w:t>(continued next page)</w:t>
            </w:r>
          </w:p>
        </w:tc>
      </w:tr>
      <w:tr w:rsidR="009C6940" w:rsidRPr="00EF7969" w14:paraId="36EF85C9" w14:textId="77777777" w:rsidTr="009C6940">
        <w:tc>
          <w:tcPr>
            <w:tcW w:w="8789" w:type="dxa"/>
            <w:tcBorders>
              <w:top w:val="nil"/>
              <w:left w:val="nil"/>
              <w:bottom w:val="single" w:sz="6" w:space="0" w:color="78A22F"/>
              <w:right w:val="nil"/>
            </w:tcBorders>
            <w:shd w:val="clear" w:color="auto" w:fill="auto"/>
          </w:tcPr>
          <w:p w14:paraId="0AAA00DB" w14:textId="77777777" w:rsidR="009C6940" w:rsidRPr="00EF7969" w:rsidRDefault="009C6940" w:rsidP="009C6940">
            <w:pPr>
              <w:pStyle w:val="Box"/>
              <w:spacing w:before="0" w:line="120" w:lineRule="exact"/>
            </w:pPr>
          </w:p>
        </w:tc>
      </w:tr>
      <w:tr w:rsidR="009C6940" w:rsidRPr="00EF7969" w14:paraId="0A92C8DA" w14:textId="77777777" w:rsidTr="009C6940">
        <w:tc>
          <w:tcPr>
            <w:tcW w:w="8789" w:type="dxa"/>
            <w:tcBorders>
              <w:top w:val="single" w:sz="6" w:space="0" w:color="78A22F"/>
              <w:left w:val="nil"/>
              <w:bottom w:val="nil"/>
              <w:right w:val="nil"/>
            </w:tcBorders>
          </w:tcPr>
          <w:p w14:paraId="1DEC3AA7" w14:textId="77777777" w:rsidR="009C6940" w:rsidRPr="00EF7969" w:rsidRDefault="009C6940" w:rsidP="009C6940">
            <w:pPr>
              <w:pStyle w:val="BoxSpaceBelow"/>
            </w:pPr>
          </w:p>
        </w:tc>
      </w:tr>
    </w:tbl>
    <w:p w14:paraId="3C2FFECE"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27E95767" w14:textId="77777777" w:rsidTr="009C6940">
        <w:trPr>
          <w:tblHeader/>
        </w:trPr>
        <w:tc>
          <w:tcPr>
            <w:tcW w:w="8789" w:type="dxa"/>
            <w:tcBorders>
              <w:top w:val="single" w:sz="6" w:space="0" w:color="78A22F"/>
              <w:left w:val="nil"/>
              <w:bottom w:val="nil"/>
              <w:right w:val="nil"/>
            </w:tcBorders>
            <w:shd w:val="clear" w:color="auto" w:fill="auto"/>
          </w:tcPr>
          <w:p w14:paraId="184EF3BD"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5C73885E"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662"/>
              <w:gridCol w:w="1841"/>
            </w:tblGrid>
            <w:tr w:rsidR="009C6940" w:rsidRPr="00EF7969" w14:paraId="5DAF0110" w14:textId="77777777" w:rsidTr="009C6940">
              <w:trPr>
                <w:tblHeader/>
              </w:trPr>
              <w:tc>
                <w:tcPr>
                  <w:tcW w:w="6662" w:type="dxa"/>
                  <w:tcBorders>
                    <w:top w:val="single" w:sz="6" w:space="0" w:color="BFBFBF"/>
                    <w:bottom w:val="single" w:sz="6" w:space="0" w:color="BFBFBF"/>
                  </w:tcBorders>
                  <w:shd w:val="clear" w:color="auto" w:fill="auto"/>
                  <w:tcMar>
                    <w:top w:w="28" w:type="dxa"/>
                  </w:tcMar>
                </w:tcPr>
                <w:p w14:paraId="3DCAD7AB" w14:textId="77777777" w:rsidR="009C6940" w:rsidRPr="00EF7969" w:rsidRDefault="009C6940" w:rsidP="009C6940">
                  <w:pPr>
                    <w:pStyle w:val="TableColumnHeading"/>
                    <w:jc w:val="left"/>
                  </w:pPr>
                  <w:r w:rsidRPr="00EF7969">
                    <w:t>Participant</w:t>
                  </w:r>
                </w:p>
              </w:tc>
              <w:tc>
                <w:tcPr>
                  <w:tcW w:w="1841" w:type="dxa"/>
                  <w:tcBorders>
                    <w:top w:val="single" w:sz="6" w:space="0" w:color="BFBFBF"/>
                    <w:bottom w:val="single" w:sz="6" w:space="0" w:color="BFBFBF"/>
                  </w:tcBorders>
                  <w:shd w:val="clear" w:color="auto" w:fill="auto"/>
                  <w:tcMar>
                    <w:top w:w="28" w:type="dxa"/>
                  </w:tcMar>
                </w:tcPr>
                <w:p w14:paraId="29C09F60" w14:textId="77777777" w:rsidR="009C6940" w:rsidRPr="00EF7969" w:rsidRDefault="009C6940" w:rsidP="009C6940">
                  <w:pPr>
                    <w:pStyle w:val="TableColumnHeading"/>
                    <w:ind w:right="28"/>
                  </w:pPr>
                  <w:r w:rsidRPr="00EF7969">
                    <w:t>Submission no.</w:t>
                  </w:r>
                </w:p>
              </w:tc>
            </w:tr>
            <w:tr w:rsidR="009C6940" w:rsidRPr="00EF7969" w14:paraId="7591D5D2" w14:textId="77777777" w:rsidTr="009C6940">
              <w:tc>
                <w:tcPr>
                  <w:tcW w:w="6662" w:type="dxa"/>
                  <w:shd w:val="clear" w:color="auto" w:fill="auto"/>
                </w:tcPr>
                <w:p w14:paraId="1DC89ED4" w14:textId="77777777" w:rsidR="009C6940" w:rsidRPr="00EF7969" w:rsidRDefault="009C6940" w:rsidP="009C6940">
                  <w:pPr>
                    <w:pStyle w:val="TableBodyText"/>
                    <w:spacing w:before="40"/>
                    <w:jc w:val="left"/>
                  </w:pPr>
                  <w:r w:rsidRPr="00EF7969">
                    <w:t>Jessica Klausen Psychological Services</w:t>
                  </w:r>
                </w:p>
              </w:tc>
              <w:tc>
                <w:tcPr>
                  <w:tcW w:w="1841" w:type="dxa"/>
                  <w:shd w:val="clear" w:color="auto" w:fill="auto"/>
                </w:tcPr>
                <w:p w14:paraId="3481E097" w14:textId="77777777" w:rsidR="009C6940" w:rsidRPr="00EF7969" w:rsidRDefault="009C6940" w:rsidP="009C6940">
                  <w:pPr>
                    <w:pStyle w:val="TableBodyText"/>
                    <w:spacing w:before="40"/>
                  </w:pPr>
                  <w:r w:rsidRPr="00EF7969">
                    <w:t>401</w:t>
                  </w:r>
                </w:p>
              </w:tc>
            </w:tr>
            <w:tr w:rsidR="009C6940" w:rsidRPr="00EF7969" w14:paraId="573A13D7" w14:textId="77777777" w:rsidTr="009C6940">
              <w:tc>
                <w:tcPr>
                  <w:tcW w:w="6662" w:type="dxa"/>
                  <w:shd w:val="clear" w:color="auto" w:fill="auto"/>
                </w:tcPr>
                <w:p w14:paraId="76C4D8BD" w14:textId="77777777" w:rsidR="009C6940" w:rsidRPr="00EF7969" w:rsidRDefault="009C6940" w:rsidP="009C6940">
                  <w:pPr>
                    <w:pStyle w:val="TableBodyText"/>
                    <w:jc w:val="left"/>
                  </w:pPr>
                  <w:r w:rsidRPr="00EF7969">
                    <w:t>Jesuit Social Services</w:t>
                  </w:r>
                </w:p>
              </w:tc>
              <w:tc>
                <w:tcPr>
                  <w:tcW w:w="1841" w:type="dxa"/>
                  <w:shd w:val="clear" w:color="auto" w:fill="auto"/>
                </w:tcPr>
                <w:p w14:paraId="78BBC9CF" w14:textId="77777777" w:rsidR="009C6940" w:rsidRPr="00EF7969" w:rsidRDefault="009C6940" w:rsidP="009C6940">
                  <w:pPr>
                    <w:pStyle w:val="TableBodyText"/>
                  </w:pPr>
                  <w:r w:rsidRPr="00EF7969">
                    <w:t>441, 1186</w:t>
                  </w:r>
                </w:p>
              </w:tc>
            </w:tr>
            <w:tr w:rsidR="009C6940" w:rsidRPr="00EF7969" w14:paraId="572ACB0D" w14:textId="77777777" w:rsidTr="009C6940">
              <w:tc>
                <w:tcPr>
                  <w:tcW w:w="6662" w:type="dxa"/>
                  <w:shd w:val="clear" w:color="auto" w:fill="auto"/>
                </w:tcPr>
                <w:p w14:paraId="6A1812DE" w14:textId="77777777" w:rsidR="009C6940" w:rsidRPr="00EF7969" w:rsidRDefault="009C6940" w:rsidP="009C6940">
                  <w:pPr>
                    <w:pStyle w:val="TableBodyText"/>
                    <w:jc w:val="left"/>
                  </w:pPr>
                  <w:r w:rsidRPr="00EF7969">
                    <w:t>Jigsaw Queensland Inc</w:t>
                  </w:r>
                </w:p>
              </w:tc>
              <w:tc>
                <w:tcPr>
                  <w:tcW w:w="1841" w:type="dxa"/>
                  <w:shd w:val="clear" w:color="auto" w:fill="auto"/>
                </w:tcPr>
                <w:p w14:paraId="3898C0D7" w14:textId="77777777" w:rsidR="009C6940" w:rsidRPr="00EF7969" w:rsidRDefault="009C6940" w:rsidP="009C6940">
                  <w:pPr>
                    <w:pStyle w:val="TableBodyText"/>
                  </w:pPr>
                  <w:r w:rsidRPr="00EF7969">
                    <w:t>29</w:t>
                  </w:r>
                </w:p>
              </w:tc>
            </w:tr>
            <w:tr w:rsidR="009C6940" w:rsidRPr="00EF7969" w14:paraId="311192AC" w14:textId="77777777" w:rsidTr="009C6940">
              <w:tc>
                <w:tcPr>
                  <w:tcW w:w="6662" w:type="dxa"/>
                  <w:shd w:val="clear" w:color="auto" w:fill="auto"/>
                </w:tcPr>
                <w:p w14:paraId="1FBC8E7C" w14:textId="77777777" w:rsidR="009C6940" w:rsidRPr="00EF7969" w:rsidRDefault="009C6940" w:rsidP="009C6940">
                  <w:pPr>
                    <w:pStyle w:val="TableBodyText"/>
                    <w:jc w:val="left"/>
                  </w:pPr>
                  <w:r w:rsidRPr="00EF7969">
                    <w:t>Jillian Reid</w:t>
                  </w:r>
                </w:p>
              </w:tc>
              <w:tc>
                <w:tcPr>
                  <w:tcW w:w="1841" w:type="dxa"/>
                  <w:shd w:val="clear" w:color="auto" w:fill="auto"/>
                </w:tcPr>
                <w:p w14:paraId="1FB2FFF1" w14:textId="77777777" w:rsidR="009C6940" w:rsidRPr="00EF7969" w:rsidRDefault="009C6940" w:rsidP="009C6940">
                  <w:pPr>
                    <w:pStyle w:val="TableBodyText"/>
                  </w:pPr>
                  <w:r w:rsidRPr="00EF7969">
                    <w:t>597</w:t>
                  </w:r>
                </w:p>
              </w:tc>
            </w:tr>
            <w:tr w:rsidR="009C6940" w:rsidRPr="00EF7969" w14:paraId="28DB1AAC" w14:textId="77777777" w:rsidTr="009C6940">
              <w:tc>
                <w:tcPr>
                  <w:tcW w:w="6662" w:type="dxa"/>
                  <w:shd w:val="clear" w:color="auto" w:fill="auto"/>
                </w:tcPr>
                <w:p w14:paraId="0A34AD53" w14:textId="77777777" w:rsidR="009C6940" w:rsidRPr="00EF7969" w:rsidRDefault="009C6940" w:rsidP="009C6940">
                  <w:pPr>
                    <w:pStyle w:val="TableBodyText"/>
                    <w:jc w:val="left"/>
                  </w:pPr>
                  <w:r w:rsidRPr="00EF7969">
                    <w:t>Jo Farmer</w:t>
                  </w:r>
                </w:p>
              </w:tc>
              <w:tc>
                <w:tcPr>
                  <w:tcW w:w="1841" w:type="dxa"/>
                  <w:shd w:val="clear" w:color="auto" w:fill="auto"/>
                </w:tcPr>
                <w:p w14:paraId="21E9FEA7" w14:textId="77777777" w:rsidR="009C6940" w:rsidRPr="00EF7969" w:rsidRDefault="009C6940" w:rsidP="009C6940">
                  <w:pPr>
                    <w:pStyle w:val="TableBodyText"/>
                  </w:pPr>
                  <w:r w:rsidRPr="00EF7969">
                    <w:t>715</w:t>
                  </w:r>
                </w:p>
              </w:tc>
            </w:tr>
            <w:tr w:rsidR="009C6940" w:rsidRPr="00EF7969" w14:paraId="24970C2E" w14:textId="77777777" w:rsidTr="009C6940">
              <w:tc>
                <w:tcPr>
                  <w:tcW w:w="6662" w:type="dxa"/>
                  <w:shd w:val="clear" w:color="auto" w:fill="auto"/>
                </w:tcPr>
                <w:p w14:paraId="789AEF54" w14:textId="77777777" w:rsidR="009C6940" w:rsidRPr="00EF7969" w:rsidRDefault="009C6940" w:rsidP="009C6940">
                  <w:pPr>
                    <w:pStyle w:val="TableBodyText"/>
                    <w:jc w:val="left"/>
                  </w:pPr>
                  <w:r w:rsidRPr="00EF7969">
                    <w:t>Joanne Enticott, Anton Isaacs, Sebastian Rosenberg, Frances Shawyer, Brett Inder and Graham Meadows</w:t>
                  </w:r>
                </w:p>
              </w:tc>
              <w:tc>
                <w:tcPr>
                  <w:tcW w:w="1841" w:type="dxa"/>
                  <w:shd w:val="clear" w:color="auto" w:fill="auto"/>
                </w:tcPr>
                <w:p w14:paraId="6ADC6838" w14:textId="77777777" w:rsidR="009C6940" w:rsidRPr="00EF7969" w:rsidRDefault="009C6940" w:rsidP="009C6940">
                  <w:pPr>
                    <w:pStyle w:val="TableBodyText"/>
                  </w:pPr>
                  <w:r w:rsidRPr="00EF7969">
                    <w:t>836</w:t>
                  </w:r>
                </w:p>
              </w:tc>
            </w:tr>
            <w:tr w:rsidR="009C6940" w:rsidRPr="00EF7969" w14:paraId="4CD18CA1" w14:textId="77777777" w:rsidTr="009C6940">
              <w:tc>
                <w:tcPr>
                  <w:tcW w:w="6662" w:type="dxa"/>
                  <w:shd w:val="clear" w:color="auto" w:fill="auto"/>
                </w:tcPr>
                <w:p w14:paraId="51BB0079" w14:textId="77777777" w:rsidR="009C6940" w:rsidRPr="00EF7969" w:rsidRDefault="009C6940" w:rsidP="009C6940">
                  <w:pPr>
                    <w:pStyle w:val="TableBodyText"/>
                    <w:jc w:val="left"/>
                  </w:pPr>
                  <w:r w:rsidRPr="00EF7969">
                    <w:t>Jobs Australia (JA)</w:t>
                  </w:r>
                </w:p>
              </w:tc>
              <w:tc>
                <w:tcPr>
                  <w:tcW w:w="1841" w:type="dxa"/>
                  <w:shd w:val="clear" w:color="auto" w:fill="auto"/>
                </w:tcPr>
                <w:p w14:paraId="0E0E11E7" w14:textId="77777777" w:rsidR="009C6940" w:rsidRPr="00EF7969" w:rsidRDefault="009C6940" w:rsidP="009C6940">
                  <w:pPr>
                    <w:pStyle w:val="TableBodyText"/>
                  </w:pPr>
                  <w:r w:rsidRPr="00EF7969">
                    <w:t>398</w:t>
                  </w:r>
                </w:p>
              </w:tc>
            </w:tr>
            <w:tr w:rsidR="009C6940" w:rsidRPr="00EF7969" w14:paraId="5CE62219" w14:textId="77777777" w:rsidTr="009C6940">
              <w:tc>
                <w:tcPr>
                  <w:tcW w:w="6662" w:type="dxa"/>
                  <w:shd w:val="clear" w:color="auto" w:fill="auto"/>
                </w:tcPr>
                <w:p w14:paraId="1E0CE1CB" w14:textId="77777777" w:rsidR="009C6940" w:rsidRPr="00EF7969" w:rsidRDefault="009C6940" w:rsidP="009C6940">
                  <w:pPr>
                    <w:pStyle w:val="TableBodyText"/>
                    <w:jc w:val="left"/>
                  </w:pPr>
                  <w:r w:rsidRPr="00EF7969">
                    <w:t>Jodie Gale</w:t>
                  </w:r>
                </w:p>
              </w:tc>
              <w:tc>
                <w:tcPr>
                  <w:tcW w:w="1841" w:type="dxa"/>
                  <w:shd w:val="clear" w:color="auto" w:fill="auto"/>
                </w:tcPr>
                <w:p w14:paraId="6F3EF266" w14:textId="77777777" w:rsidR="009C6940" w:rsidRPr="00EF7969" w:rsidRDefault="009C6940" w:rsidP="009C6940">
                  <w:pPr>
                    <w:pStyle w:val="TableBodyText"/>
                  </w:pPr>
                  <w:r w:rsidRPr="00EF7969">
                    <w:t>83</w:t>
                  </w:r>
                </w:p>
              </w:tc>
            </w:tr>
            <w:tr w:rsidR="009C6940" w:rsidRPr="00EF7969" w14:paraId="3F66E13D" w14:textId="77777777" w:rsidTr="009C6940">
              <w:tc>
                <w:tcPr>
                  <w:tcW w:w="6662" w:type="dxa"/>
                  <w:shd w:val="clear" w:color="auto" w:fill="auto"/>
                </w:tcPr>
                <w:p w14:paraId="03B6FA6B" w14:textId="77777777" w:rsidR="009C6940" w:rsidRPr="00EF7969" w:rsidRDefault="009C6940" w:rsidP="009C6940">
                  <w:pPr>
                    <w:pStyle w:val="TableBodyText"/>
                    <w:jc w:val="left"/>
                  </w:pPr>
                  <w:r w:rsidRPr="00EF7969">
                    <w:t>Joe Azzopardi</w:t>
                  </w:r>
                </w:p>
              </w:tc>
              <w:tc>
                <w:tcPr>
                  <w:tcW w:w="1841" w:type="dxa"/>
                  <w:shd w:val="clear" w:color="auto" w:fill="auto"/>
                </w:tcPr>
                <w:p w14:paraId="1DB18C7A" w14:textId="77777777" w:rsidR="009C6940" w:rsidRPr="00EF7969" w:rsidRDefault="009C6940" w:rsidP="009C6940">
                  <w:pPr>
                    <w:pStyle w:val="TableBodyText"/>
                  </w:pPr>
                  <w:r w:rsidRPr="00EF7969">
                    <w:t>1169</w:t>
                  </w:r>
                </w:p>
              </w:tc>
            </w:tr>
            <w:tr w:rsidR="009C6940" w:rsidRPr="00EF7969" w14:paraId="787A4C21" w14:textId="77777777" w:rsidTr="009C6940">
              <w:tc>
                <w:tcPr>
                  <w:tcW w:w="6662" w:type="dxa"/>
                  <w:shd w:val="clear" w:color="auto" w:fill="auto"/>
                </w:tcPr>
                <w:p w14:paraId="68DBAE7C" w14:textId="77777777" w:rsidR="009C6940" w:rsidRPr="00EF7969" w:rsidRDefault="009C6940" w:rsidP="009C6940">
                  <w:pPr>
                    <w:pStyle w:val="TableBodyText"/>
                    <w:jc w:val="left"/>
                  </w:pPr>
                  <w:r w:rsidRPr="00EF7969">
                    <w:t>Joe Calleja</w:t>
                  </w:r>
                </w:p>
              </w:tc>
              <w:tc>
                <w:tcPr>
                  <w:tcW w:w="1841" w:type="dxa"/>
                  <w:shd w:val="clear" w:color="auto" w:fill="auto"/>
                </w:tcPr>
                <w:p w14:paraId="4EC1B645" w14:textId="77777777" w:rsidR="009C6940" w:rsidRPr="00EF7969" w:rsidRDefault="009C6940" w:rsidP="009C6940">
                  <w:pPr>
                    <w:pStyle w:val="TableBodyText"/>
                  </w:pPr>
                  <w:r w:rsidRPr="00EF7969">
                    <w:t>422</w:t>
                  </w:r>
                </w:p>
              </w:tc>
            </w:tr>
            <w:tr w:rsidR="009C6940" w:rsidRPr="00EF7969" w14:paraId="2D694E80" w14:textId="77777777" w:rsidTr="009C6940">
              <w:tc>
                <w:tcPr>
                  <w:tcW w:w="6662" w:type="dxa"/>
                  <w:shd w:val="clear" w:color="auto" w:fill="auto"/>
                </w:tcPr>
                <w:p w14:paraId="06C790BE" w14:textId="77777777" w:rsidR="009C6940" w:rsidRPr="00EF7969" w:rsidRDefault="009C6940" w:rsidP="009C6940">
                  <w:pPr>
                    <w:pStyle w:val="TableBodyText"/>
                    <w:jc w:val="left"/>
                  </w:pPr>
                  <w:r w:rsidRPr="00EF7969">
                    <w:t>Jon Jureidini and Melissa Raven</w:t>
                  </w:r>
                </w:p>
              </w:tc>
              <w:tc>
                <w:tcPr>
                  <w:tcW w:w="1841" w:type="dxa"/>
                  <w:shd w:val="clear" w:color="auto" w:fill="auto"/>
                </w:tcPr>
                <w:p w14:paraId="31087B27" w14:textId="77777777" w:rsidR="009C6940" w:rsidRPr="00EF7969" w:rsidRDefault="009C6940" w:rsidP="009C6940">
                  <w:pPr>
                    <w:pStyle w:val="TableBodyText"/>
                  </w:pPr>
                  <w:r w:rsidRPr="00EF7969">
                    <w:t>945</w:t>
                  </w:r>
                </w:p>
              </w:tc>
            </w:tr>
            <w:tr w:rsidR="009C6940" w:rsidRPr="00EF7969" w14:paraId="6B0A4E8E" w14:textId="77777777" w:rsidTr="009C6940">
              <w:tc>
                <w:tcPr>
                  <w:tcW w:w="6662" w:type="dxa"/>
                  <w:shd w:val="clear" w:color="auto" w:fill="auto"/>
                </w:tcPr>
                <w:p w14:paraId="3BF55B58" w14:textId="77777777" w:rsidR="009C6940" w:rsidRPr="00EF7969" w:rsidRDefault="009C6940" w:rsidP="009C6940">
                  <w:pPr>
                    <w:pStyle w:val="TableBodyText"/>
                    <w:jc w:val="left"/>
                  </w:pPr>
                  <w:r w:rsidRPr="00EF7969">
                    <w:t>John Herbert</w:t>
                  </w:r>
                </w:p>
              </w:tc>
              <w:tc>
                <w:tcPr>
                  <w:tcW w:w="1841" w:type="dxa"/>
                  <w:shd w:val="clear" w:color="auto" w:fill="auto"/>
                </w:tcPr>
                <w:p w14:paraId="4EBE0673" w14:textId="77777777" w:rsidR="009C6940" w:rsidRPr="00EF7969" w:rsidRDefault="009C6940" w:rsidP="009C6940">
                  <w:pPr>
                    <w:pStyle w:val="TableBodyText"/>
                  </w:pPr>
                  <w:r w:rsidRPr="00EF7969">
                    <w:t>51</w:t>
                  </w:r>
                </w:p>
              </w:tc>
            </w:tr>
            <w:tr w:rsidR="009C6940" w:rsidRPr="00EF7969" w14:paraId="76F3BB49" w14:textId="77777777" w:rsidTr="009C6940">
              <w:tc>
                <w:tcPr>
                  <w:tcW w:w="6662" w:type="dxa"/>
                  <w:shd w:val="clear" w:color="auto" w:fill="auto"/>
                </w:tcPr>
                <w:p w14:paraId="05748331" w14:textId="77777777" w:rsidR="009C6940" w:rsidRPr="00EF7969" w:rsidRDefault="009C6940" w:rsidP="009C6940">
                  <w:pPr>
                    <w:pStyle w:val="TableBodyText"/>
                    <w:jc w:val="left"/>
                  </w:pPr>
                  <w:r w:rsidRPr="00EF7969">
                    <w:t>John Miller</w:t>
                  </w:r>
                </w:p>
              </w:tc>
              <w:tc>
                <w:tcPr>
                  <w:tcW w:w="1841" w:type="dxa"/>
                  <w:shd w:val="clear" w:color="auto" w:fill="auto"/>
                </w:tcPr>
                <w:p w14:paraId="61D9ADF7" w14:textId="77777777" w:rsidR="009C6940" w:rsidRPr="00EF7969" w:rsidRDefault="009C6940" w:rsidP="009C6940">
                  <w:pPr>
                    <w:pStyle w:val="TableBodyText"/>
                  </w:pPr>
                  <w:r w:rsidRPr="00EF7969">
                    <w:t>1061</w:t>
                  </w:r>
                </w:p>
              </w:tc>
            </w:tr>
            <w:tr w:rsidR="009C6940" w:rsidRPr="00EF7969" w14:paraId="31B2792C" w14:textId="77777777" w:rsidTr="009C6940">
              <w:tc>
                <w:tcPr>
                  <w:tcW w:w="6662" w:type="dxa"/>
                  <w:shd w:val="clear" w:color="auto" w:fill="auto"/>
                </w:tcPr>
                <w:p w14:paraId="7F64E88F" w14:textId="77777777" w:rsidR="009C6940" w:rsidRPr="00EF7969" w:rsidRDefault="009C6940" w:rsidP="009C6940">
                  <w:pPr>
                    <w:pStyle w:val="TableBodyText"/>
                    <w:jc w:val="left"/>
                  </w:pPr>
                  <w:r w:rsidRPr="00EF7969">
                    <w:t>John Mills</w:t>
                  </w:r>
                </w:p>
              </w:tc>
              <w:tc>
                <w:tcPr>
                  <w:tcW w:w="1841" w:type="dxa"/>
                  <w:shd w:val="clear" w:color="auto" w:fill="auto"/>
                </w:tcPr>
                <w:p w14:paraId="5D3ABEB1" w14:textId="77777777" w:rsidR="009C6940" w:rsidRPr="00EF7969" w:rsidRDefault="009C6940" w:rsidP="009C6940">
                  <w:pPr>
                    <w:pStyle w:val="TableBodyText"/>
                  </w:pPr>
                  <w:r w:rsidRPr="00EF7969">
                    <w:t>43</w:t>
                  </w:r>
                </w:p>
              </w:tc>
            </w:tr>
            <w:tr w:rsidR="009C6940" w:rsidRPr="00EF7969" w14:paraId="53D8EDCE" w14:textId="77777777" w:rsidTr="009C6940">
              <w:tc>
                <w:tcPr>
                  <w:tcW w:w="6662" w:type="dxa"/>
                  <w:shd w:val="clear" w:color="auto" w:fill="auto"/>
                </w:tcPr>
                <w:p w14:paraId="26DF63E7" w14:textId="77777777" w:rsidR="009C6940" w:rsidRPr="00EF7969" w:rsidRDefault="009C6940" w:rsidP="009C6940">
                  <w:pPr>
                    <w:pStyle w:val="TableBodyText"/>
                    <w:jc w:val="left"/>
                  </w:pPr>
                  <w:r w:rsidRPr="00EF7969">
                    <w:t>John Pink</w:t>
                  </w:r>
                </w:p>
              </w:tc>
              <w:tc>
                <w:tcPr>
                  <w:tcW w:w="1841" w:type="dxa"/>
                  <w:shd w:val="clear" w:color="auto" w:fill="auto"/>
                </w:tcPr>
                <w:p w14:paraId="6308635E" w14:textId="77777777" w:rsidR="009C6940" w:rsidRPr="00EF7969" w:rsidRDefault="009C6940" w:rsidP="009C6940">
                  <w:pPr>
                    <w:pStyle w:val="TableBodyText"/>
                  </w:pPr>
                  <w:r w:rsidRPr="00EF7969">
                    <w:t>48</w:t>
                  </w:r>
                </w:p>
              </w:tc>
            </w:tr>
            <w:tr w:rsidR="009C6940" w:rsidRPr="00EF7969" w14:paraId="5886E8FE" w14:textId="77777777" w:rsidTr="009C6940">
              <w:tc>
                <w:tcPr>
                  <w:tcW w:w="6662" w:type="dxa"/>
                  <w:shd w:val="clear" w:color="auto" w:fill="auto"/>
                </w:tcPr>
                <w:p w14:paraId="4427DDD0" w14:textId="77777777" w:rsidR="009C6940" w:rsidRPr="00EF7969" w:rsidRDefault="009C6940" w:rsidP="009C6940">
                  <w:pPr>
                    <w:pStyle w:val="TableBodyText"/>
                    <w:jc w:val="left"/>
                  </w:pPr>
                  <w:r w:rsidRPr="00EF7969">
                    <w:t>John Pullman</w:t>
                  </w:r>
                </w:p>
              </w:tc>
              <w:tc>
                <w:tcPr>
                  <w:tcW w:w="1841" w:type="dxa"/>
                  <w:shd w:val="clear" w:color="auto" w:fill="auto"/>
                </w:tcPr>
                <w:p w14:paraId="48755692" w14:textId="77777777" w:rsidR="009C6940" w:rsidRPr="00EF7969" w:rsidRDefault="009C6940" w:rsidP="009C6940">
                  <w:pPr>
                    <w:pStyle w:val="TableBodyText"/>
                  </w:pPr>
                  <w:r w:rsidRPr="00EF7969">
                    <w:t>453</w:t>
                  </w:r>
                </w:p>
              </w:tc>
            </w:tr>
            <w:tr w:rsidR="009C6940" w:rsidRPr="00EF7969" w14:paraId="75807501" w14:textId="77777777" w:rsidTr="009C6940">
              <w:tc>
                <w:tcPr>
                  <w:tcW w:w="6662" w:type="dxa"/>
                  <w:shd w:val="clear" w:color="auto" w:fill="auto"/>
                </w:tcPr>
                <w:p w14:paraId="4AA53CD4" w14:textId="77777777" w:rsidR="009C6940" w:rsidRPr="00EF7969" w:rsidRDefault="009C6940" w:rsidP="009C6940">
                  <w:pPr>
                    <w:pStyle w:val="TableBodyText"/>
                    <w:jc w:val="left"/>
                  </w:pPr>
                  <w:r w:rsidRPr="00EF7969">
                    <w:t>Johnson &amp; Johnson Australia</w:t>
                  </w:r>
                </w:p>
              </w:tc>
              <w:tc>
                <w:tcPr>
                  <w:tcW w:w="1841" w:type="dxa"/>
                  <w:shd w:val="clear" w:color="auto" w:fill="auto"/>
                </w:tcPr>
                <w:p w14:paraId="401B61B7" w14:textId="77777777" w:rsidR="009C6940" w:rsidRPr="00EF7969" w:rsidRDefault="009C6940" w:rsidP="009C6940">
                  <w:pPr>
                    <w:pStyle w:val="TableBodyText"/>
                  </w:pPr>
                  <w:r w:rsidRPr="00EF7969">
                    <w:t>448</w:t>
                  </w:r>
                </w:p>
              </w:tc>
            </w:tr>
            <w:tr w:rsidR="009C6940" w:rsidRPr="00EF7969" w14:paraId="26F0E559" w14:textId="77777777" w:rsidTr="009C6940">
              <w:tc>
                <w:tcPr>
                  <w:tcW w:w="6662" w:type="dxa"/>
                  <w:shd w:val="clear" w:color="auto" w:fill="auto"/>
                </w:tcPr>
                <w:p w14:paraId="5C15AB29" w14:textId="77777777" w:rsidR="009C6940" w:rsidRPr="00EF7969" w:rsidRDefault="009C6940" w:rsidP="009C6940">
                  <w:pPr>
                    <w:pStyle w:val="TableBodyText"/>
                    <w:jc w:val="left"/>
                  </w:pPr>
                  <w:r>
                    <w:t xml:space="preserve">Jo </w:t>
                  </w:r>
                  <w:r w:rsidRPr="00EF7969">
                    <w:t>Steen</w:t>
                  </w:r>
                </w:p>
              </w:tc>
              <w:tc>
                <w:tcPr>
                  <w:tcW w:w="1841" w:type="dxa"/>
                  <w:shd w:val="clear" w:color="auto" w:fill="auto"/>
                </w:tcPr>
                <w:p w14:paraId="46543137" w14:textId="77777777" w:rsidR="009C6940" w:rsidRPr="00EF7969" w:rsidRDefault="009C6940" w:rsidP="009C6940">
                  <w:pPr>
                    <w:pStyle w:val="TableBodyText"/>
                  </w:pPr>
                  <w:r w:rsidRPr="00EF7969">
                    <w:t>1062</w:t>
                  </w:r>
                </w:p>
              </w:tc>
            </w:tr>
            <w:tr w:rsidR="009C6940" w:rsidRPr="00EF7969" w14:paraId="53D1F51F" w14:textId="77777777" w:rsidTr="009C6940">
              <w:tc>
                <w:tcPr>
                  <w:tcW w:w="6662" w:type="dxa"/>
                  <w:shd w:val="clear" w:color="auto" w:fill="auto"/>
                </w:tcPr>
                <w:p w14:paraId="029B3D0F" w14:textId="77777777" w:rsidR="009C6940" w:rsidRPr="00EF7969" w:rsidRDefault="009C6940" w:rsidP="009C6940">
                  <w:pPr>
                    <w:pStyle w:val="TableBodyText"/>
                    <w:jc w:val="left"/>
                  </w:pPr>
                  <w:r w:rsidRPr="00EF7969">
                    <w:t>Josephine Beats</w:t>
                  </w:r>
                </w:p>
              </w:tc>
              <w:tc>
                <w:tcPr>
                  <w:tcW w:w="1841" w:type="dxa"/>
                  <w:shd w:val="clear" w:color="auto" w:fill="auto"/>
                </w:tcPr>
                <w:p w14:paraId="188224FE" w14:textId="77777777" w:rsidR="009C6940" w:rsidRPr="00EF7969" w:rsidRDefault="009C6940" w:rsidP="009C6940">
                  <w:pPr>
                    <w:pStyle w:val="TableBodyText"/>
                  </w:pPr>
                  <w:r w:rsidRPr="00EF7969">
                    <w:t>1050</w:t>
                  </w:r>
                </w:p>
              </w:tc>
            </w:tr>
            <w:tr w:rsidR="009C6940" w:rsidRPr="00EF7969" w14:paraId="08603E46" w14:textId="77777777" w:rsidTr="009C6940">
              <w:tc>
                <w:tcPr>
                  <w:tcW w:w="6662" w:type="dxa"/>
                  <w:shd w:val="clear" w:color="auto" w:fill="auto"/>
                </w:tcPr>
                <w:p w14:paraId="38B596BB" w14:textId="77777777" w:rsidR="009C6940" w:rsidRPr="00EF7969" w:rsidRDefault="009C6940" w:rsidP="009C6940">
                  <w:pPr>
                    <w:pStyle w:val="TableBodyText"/>
                    <w:jc w:val="left"/>
                  </w:pPr>
                  <w:r w:rsidRPr="00EF7969">
                    <w:t>Josephine Reid</w:t>
                  </w:r>
                </w:p>
              </w:tc>
              <w:tc>
                <w:tcPr>
                  <w:tcW w:w="1841" w:type="dxa"/>
                  <w:shd w:val="clear" w:color="auto" w:fill="auto"/>
                </w:tcPr>
                <w:p w14:paraId="29645010" w14:textId="77777777" w:rsidR="009C6940" w:rsidRPr="00EF7969" w:rsidRDefault="009C6940" w:rsidP="009C6940">
                  <w:pPr>
                    <w:pStyle w:val="TableBodyText"/>
                  </w:pPr>
                  <w:r w:rsidRPr="00EF7969">
                    <w:t>635</w:t>
                  </w:r>
                </w:p>
              </w:tc>
            </w:tr>
            <w:tr w:rsidR="009C6940" w:rsidRPr="00EF7969" w14:paraId="3BC592E5" w14:textId="77777777" w:rsidTr="009C6940">
              <w:tc>
                <w:tcPr>
                  <w:tcW w:w="6662" w:type="dxa"/>
                  <w:shd w:val="clear" w:color="auto" w:fill="auto"/>
                </w:tcPr>
                <w:p w14:paraId="6F41A957" w14:textId="77777777" w:rsidR="009C6940" w:rsidRPr="00EF7969" w:rsidRDefault="009C6940" w:rsidP="009C6940">
                  <w:pPr>
                    <w:pStyle w:val="TableBodyText"/>
                    <w:jc w:val="left"/>
                  </w:pPr>
                  <w:r w:rsidRPr="00EF7969">
                    <w:t>Joyce Noronha</w:t>
                  </w:r>
                  <w:r w:rsidRPr="00EF7969">
                    <w:noBreakHyphen/>
                    <w:t>Barrett</w:t>
                  </w:r>
                </w:p>
              </w:tc>
              <w:tc>
                <w:tcPr>
                  <w:tcW w:w="1841" w:type="dxa"/>
                  <w:shd w:val="clear" w:color="auto" w:fill="auto"/>
                </w:tcPr>
                <w:p w14:paraId="450A6B5C" w14:textId="77777777" w:rsidR="009C6940" w:rsidRPr="00EF7969" w:rsidRDefault="009C6940" w:rsidP="009C6940">
                  <w:pPr>
                    <w:pStyle w:val="TableBodyText"/>
                  </w:pPr>
                  <w:r w:rsidRPr="00EF7969">
                    <w:t>518</w:t>
                  </w:r>
                </w:p>
              </w:tc>
            </w:tr>
            <w:tr w:rsidR="009C6940" w:rsidRPr="00EF7969" w14:paraId="2C33ABED" w14:textId="77777777" w:rsidTr="009C6940">
              <w:tc>
                <w:tcPr>
                  <w:tcW w:w="6662" w:type="dxa"/>
                  <w:shd w:val="clear" w:color="auto" w:fill="auto"/>
                </w:tcPr>
                <w:p w14:paraId="25A1394E" w14:textId="77777777" w:rsidR="009C6940" w:rsidRPr="00EF7969" w:rsidRDefault="009C6940" w:rsidP="009C6940">
                  <w:pPr>
                    <w:pStyle w:val="TableBodyText"/>
                    <w:jc w:val="left"/>
                  </w:pPr>
                  <w:r w:rsidRPr="00EF7969">
                    <w:t>Julian McNally</w:t>
                  </w:r>
                </w:p>
              </w:tc>
              <w:tc>
                <w:tcPr>
                  <w:tcW w:w="1841" w:type="dxa"/>
                  <w:shd w:val="clear" w:color="auto" w:fill="auto"/>
                </w:tcPr>
                <w:p w14:paraId="35201E35" w14:textId="77777777" w:rsidR="009C6940" w:rsidRPr="00EF7969" w:rsidRDefault="009C6940" w:rsidP="009C6940">
                  <w:pPr>
                    <w:pStyle w:val="TableBodyText"/>
                  </w:pPr>
                  <w:r w:rsidRPr="00EF7969">
                    <w:t>870</w:t>
                  </w:r>
                </w:p>
              </w:tc>
            </w:tr>
            <w:tr w:rsidR="009C6940" w:rsidRPr="00EF7969" w14:paraId="48C0D314" w14:textId="77777777" w:rsidTr="009C6940">
              <w:tc>
                <w:tcPr>
                  <w:tcW w:w="6662" w:type="dxa"/>
                  <w:shd w:val="clear" w:color="auto" w:fill="auto"/>
                </w:tcPr>
                <w:p w14:paraId="55576050" w14:textId="77777777" w:rsidR="009C6940" w:rsidRPr="00EF7969" w:rsidRDefault="009C6940" w:rsidP="009C6940">
                  <w:pPr>
                    <w:pStyle w:val="TableBodyText"/>
                    <w:jc w:val="left"/>
                  </w:pPr>
                  <w:r w:rsidRPr="00EF7969">
                    <w:t>Julian Turner</w:t>
                  </w:r>
                </w:p>
              </w:tc>
              <w:tc>
                <w:tcPr>
                  <w:tcW w:w="1841" w:type="dxa"/>
                  <w:shd w:val="clear" w:color="auto" w:fill="auto"/>
                </w:tcPr>
                <w:p w14:paraId="1416C644" w14:textId="77777777" w:rsidR="009C6940" w:rsidRPr="00EF7969" w:rsidRDefault="009C6940" w:rsidP="009C6940">
                  <w:pPr>
                    <w:pStyle w:val="TableBodyText"/>
                  </w:pPr>
                  <w:r w:rsidRPr="00EF7969">
                    <w:t>1001</w:t>
                  </w:r>
                </w:p>
              </w:tc>
            </w:tr>
            <w:tr w:rsidR="009C6940" w:rsidRPr="00EF7969" w14:paraId="71A308EE" w14:textId="77777777" w:rsidTr="009C6940">
              <w:tc>
                <w:tcPr>
                  <w:tcW w:w="6662" w:type="dxa"/>
                  <w:shd w:val="clear" w:color="auto" w:fill="auto"/>
                </w:tcPr>
                <w:p w14:paraId="286E7ED5" w14:textId="77777777" w:rsidR="009C6940" w:rsidRPr="00EF7969" w:rsidRDefault="009C6940" w:rsidP="009C6940">
                  <w:pPr>
                    <w:pStyle w:val="TableBodyText"/>
                    <w:jc w:val="left"/>
                  </w:pPr>
                  <w:r w:rsidRPr="00EF7969">
                    <w:t>Julianne Anderson</w:t>
                  </w:r>
                </w:p>
              </w:tc>
              <w:tc>
                <w:tcPr>
                  <w:tcW w:w="1841" w:type="dxa"/>
                  <w:shd w:val="clear" w:color="auto" w:fill="auto"/>
                </w:tcPr>
                <w:p w14:paraId="32047FAE" w14:textId="77777777" w:rsidR="009C6940" w:rsidRPr="00EF7969" w:rsidRDefault="009C6940" w:rsidP="009C6940">
                  <w:pPr>
                    <w:pStyle w:val="TableBodyText"/>
                  </w:pPr>
                  <w:r w:rsidRPr="00EF7969">
                    <w:t>1102</w:t>
                  </w:r>
                </w:p>
              </w:tc>
            </w:tr>
            <w:tr w:rsidR="009C6940" w:rsidRPr="00EF7969" w14:paraId="104ED077" w14:textId="77777777" w:rsidTr="009C6940">
              <w:tc>
                <w:tcPr>
                  <w:tcW w:w="6662" w:type="dxa"/>
                  <w:shd w:val="clear" w:color="auto" w:fill="auto"/>
                </w:tcPr>
                <w:p w14:paraId="169A80AF" w14:textId="77777777" w:rsidR="009C6940" w:rsidRPr="00EF7969" w:rsidRDefault="009C6940" w:rsidP="009C6940">
                  <w:pPr>
                    <w:pStyle w:val="TableBodyText"/>
                    <w:jc w:val="left"/>
                  </w:pPr>
                  <w:r w:rsidRPr="00EF7969">
                    <w:t>Julie Couzens</w:t>
                  </w:r>
                </w:p>
              </w:tc>
              <w:tc>
                <w:tcPr>
                  <w:tcW w:w="1841" w:type="dxa"/>
                  <w:shd w:val="clear" w:color="auto" w:fill="auto"/>
                </w:tcPr>
                <w:p w14:paraId="4047748B" w14:textId="77777777" w:rsidR="009C6940" w:rsidRPr="00EF7969" w:rsidRDefault="009C6940" w:rsidP="009C6940">
                  <w:pPr>
                    <w:pStyle w:val="TableBodyText"/>
                  </w:pPr>
                  <w:r w:rsidRPr="00EF7969">
                    <w:t>559</w:t>
                  </w:r>
                </w:p>
              </w:tc>
            </w:tr>
            <w:tr w:rsidR="009C6940" w:rsidRPr="00EF7969" w14:paraId="4E78B236" w14:textId="77777777" w:rsidTr="009C6940">
              <w:tc>
                <w:tcPr>
                  <w:tcW w:w="6662" w:type="dxa"/>
                  <w:shd w:val="clear" w:color="auto" w:fill="auto"/>
                </w:tcPr>
                <w:p w14:paraId="3AA02226" w14:textId="77777777" w:rsidR="009C6940" w:rsidRPr="00EF7969" w:rsidRDefault="009C6940" w:rsidP="009C6940">
                  <w:pPr>
                    <w:pStyle w:val="TableBodyText"/>
                    <w:jc w:val="left"/>
                  </w:pPr>
                  <w:r w:rsidRPr="00EF7969">
                    <w:t>Julie Stephens</w:t>
                  </w:r>
                </w:p>
              </w:tc>
              <w:tc>
                <w:tcPr>
                  <w:tcW w:w="1841" w:type="dxa"/>
                  <w:shd w:val="clear" w:color="auto" w:fill="auto"/>
                </w:tcPr>
                <w:p w14:paraId="2C4AD922" w14:textId="77777777" w:rsidR="009C6940" w:rsidRPr="00EF7969" w:rsidRDefault="009C6940" w:rsidP="009C6940">
                  <w:pPr>
                    <w:pStyle w:val="TableBodyText"/>
                  </w:pPr>
                  <w:r w:rsidRPr="00EF7969">
                    <w:t>1177</w:t>
                  </w:r>
                </w:p>
              </w:tc>
            </w:tr>
            <w:tr w:rsidR="009C6940" w:rsidRPr="00EF7969" w14:paraId="1812AEC9" w14:textId="77777777" w:rsidTr="009C6940">
              <w:tc>
                <w:tcPr>
                  <w:tcW w:w="6662" w:type="dxa"/>
                  <w:shd w:val="clear" w:color="auto" w:fill="auto"/>
                </w:tcPr>
                <w:p w14:paraId="075998B0" w14:textId="77777777" w:rsidR="009C6940" w:rsidRPr="00EF7969" w:rsidRDefault="009C6940" w:rsidP="009C6940">
                  <w:pPr>
                    <w:pStyle w:val="TableBodyText"/>
                    <w:jc w:val="left"/>
                  </w:pPr>
                  <w:r w:rsidRPr="00EF7969">
                    <w:t>Juliette Ryland</w:t>
                  </w:r>
                </w:p>
              </w:tc>
              <w:tc>
                <w:tcPr>
                  <w:tcW w:w="1841" w:type="dxa"/>
                  <w:shd w:val="clear" w:color="auto" w:fill="auto"/>
                </w:tcPr>
                <w:p w14:paraId="13434DF7" w14:textId="77777777" w:rsidR="009C6940" w:rsidRPr="00EF7969" w:rsidRDefault="009C6940" w:rsidP="009C6940">
                  <w:pPr>
                    <w:pStyle w:val="TableBodyText"/>
                  </w:pPr>
                  <w:r w:rsidRPr="00EF7969">
                    <w:t>921</w:t>
                  </w:r>
                </w:p>
              </w:tc>
            </w:tr>
            <w:tr w:rsidR="009C6940" w:rsidRPr="00EF7969" w14:paraId="613920C8" w14:textId="77777777" w:rsidTr="009C6940">
              <w:tc>
                <w:tcPr>
                  <w:tcW w:w="6662" w:type="dxa"/>
                  <w:shd w:val="clear" w:color="auto" w:fill="auto"/>
                </w:tcPr>
                <w:p w14:paraId="1FC81563" w14:textId="77777777" w:rsidR="009C6940" w:rsidRPr="00EF7969" w:rsidRDefault="009C6940" w:rsidP="009C6940">
                  <w:pPr>
                    <w:pStyle w:val="TableBodyText"/>
                    <w:jc w:val="left"/>
                  </w:pPr>
                  <w:r w:rsidRPr="00EF7969">
                    <w:t>Just Reinvest NSW</w:t>
                  </w:r>
                </w:p>
              </w:tc>
              <w:tc>
                <w:tcPr>
                  <w:tcW w:w="1841" w:type="dxa"/>
                  <w:shd w:val="clear" w:color="auto" w:fill="auto"/>
                </w:tcPr>
                <w:p w14:paraId="59E92B90" w14:textId="77777777" w:rsidR="009C6940" w:rsidRPr="00EF7969" w:rsidRDefault="009C6940" w:rsidP="009C6940">
                  <w:pPr>
                    <w:pStyle w:val="TableBodyText"/>
                  </w:pPr>
                  <w:r w:rsidRPr="00EF7969">
                    <w:t>440</w:t>
                  </w:r>
                </w:p>
              </w:tc>
            </w:tr>
            <w:tr w:rsidR="009C6940" w:rsidRPr="00EF7969" w14:paraId="59D00A7C" w14:textId="77777777" w:rsidTr="009C6940">
              <w:tc>
                <w:tcPr>
                  <w:tcW w:w="6662" w:type="dxa"/>
                  <w:shd w:val="clear" w:color="auto" w:fill="auto"/>
                </w:tcPr>
                <w:p w14:paraId="67AB80F4" w14:textId="77777777" w:rsidR="009C6940" w:rsidRPr="00EF7969" w:rsidRDefault="009C6940" w:rsidP="009C6940">
                  <w:pPr>
                    <w:pStyle w:val="TableBodyText"/>
                    <w:jc w:val="left"/>
                  </w:pPr>
                  <w:r w:rsidRPr="00EF7969">
                    <w:t>JusTas Inc</w:t>
                  </w:r>
                </w:p>
              </w:tc>
              <w:tc>
                <w:tcPr>
                  <w:tcW w:w="1841" w:type="dxa"/>
                  <w:shd w:val="clear" w:color="auto" w:fill="auto"/>
                </w:tcPr>
                <w:p w14:paraId="397F0AD9" w14:textId="77777777" w:rsidR="009C6940" w:rsidRPr="00EF7969" w:rsidRDefault="009C6940" w:rsidP="009C6940">
                  <w:pPr>
                    <w:pStyle w:val="TableBodyText"/>
                  </w:pPr>
                  <w:r w:rsidRPr="00EF7969">
                    <w:t>346</w:t>
                  </w:r>
                </w:p>
              </w:tc>
            </w:tr>
            <w:tr w:rsidR="009C6940" w:rsidRPr="00EF7969" w14:paraId="6594A985" w14:textId="77777777" w:rsidTr="009C6940">
              <w:tc>
                <w:tcPr>
                  <w:tcW w:w="6662" w:type="dxa"/>
                  <w:shd w:val="clear" w:color="auto" w:fill="auto"/>
                </w:tcPr>
                <w:p w14:paraId="1D2F2738" w14:textId="77777777" w:rsidR="009C6940" w:rsidRPr="00EF7969" w:rsidRDefault="009C6940" w:rsidP="009C6940">
                  <w:pPr>
                    <w:pStyle w:val="TableBodyText"/>
                    <w:jc w:val="left"/>
                  </w:pPr>
                  <w:r w:rsidRPr="00EF7969">
                    <w:t>Justice Action</w:t>
                  </w:r>
                </w:p>
              </w:tc>
              <w:tc>
                <w:tcPr>
                  <w:tcW w:w="1841" w:type="dxa"/>
                  <w:shd w:val="clear" w:color="auto" w:fill="auto"/>
                </w:tcPr>
                <w:p w14:paraId="35003F99" w14:textId="77777777" w:rsidR="009C6940" w:rsidRPr="00EF7969" w:rsidRDefault="009C6940" w:rsidP="009C6940">
                  <w:pPr>
                    <w:pStyle w:val="TableBodyText"/>
                  </w:pPr>
                  <w:r w:rsidRPr="00EF7969">
                    <w:t>307, 929</w:t>
                  </w:r>
                </w:p>
              </w:tc>
            </w:tr>
            <w:tr w:rsidR="009C6940" w:rsidRPr="00EF7969" w14:paraId="56A92D46" w14:textId="77777777" w:rsidTr="009C6940">
              <w:tc>
                <w:tcPr>
                  <w:tcW w:w="6662" w:type="dxa"/>
                  <w:shd w:val="clear" w:color="auto" w:fill="auto"/>
                </w:tcPr>
                <w:p w14:paraId="13384476" w14:textId="77777777" w:rsidR="009C6940" w:rsidRPr="00EF7969" w:rsidRDefault="009C6940" w:rsidP="009C6940">
                  <w:pPr>
                    <w:pStyle w:val="TableBodyText"/>
                    <w:jc w:val="left"/>
                  </w:pPr>
                  <w:r w:rsidRPr="00EF7969">
                    <w:t>Justice Health Unit – University of Melbourne</w:t>
                  </w:r>
                </w:p>
              </w:tc>
              <w:tc>
                <w:tcPr>
                  <w:tcW w:w="1841" w:type="dxa"/>
                  <w:shd w:val="clear" w:color="auto" w:fill="auto"/>
                </w:tcPr>
                <w:p w14:paraId="70A720FB" w14:textId="77777777" w:rsidR="009C6940" w:rsidRPr="00EF7969" w:rsidRDefault="009C6940" w:rsidP="009C6940">
                  <w:pPr>
                    <w:pStyle w:val="TableBodyText"/>
                  </w:pPr>
                  <w:r w:rsidRPr="00EF7969">
                    <w:t>339</w:t>
                  </w:r>
                  <w:r>
                    <w:t>,1237</w:t>
                  </w:r>
                </w:p>
              </w:tc>
            </w:tr>
            <w:tr w:rsidR="009C6940" w:rsidRPr="00EF7969" w14:paraId="36F26AF1" w14:textId="77777777" w:rsidTr="009C6940">
              <w:tc>
                <w:tcPr>
                  <w:tcW w:w="6662" w:type="dxa"/>
                  <w:shd w:val="clear" w:color="auto" w:fill="auto"/>
                </w:tcPr>
                <w:p w14:paraId="333ACC71" w14:textId="77777777" w:rsidR="009C6940" w:rsidRPr="00EF7969" w:rsidRDefault="009C6940" w:rsidP="009C6940">
                  <w:pPr>
                    <w:pStyle w:val="TableBodyText"/>
                    <w:jc w:val="left"/>
                  </w:pPr>
                  <w:r w:rsidRPr="00EF7969">
                    <w:t>Justin Kenardy</w:t>
                  </w:r>
                </w:p>
              </w:tc>
              <w:tc>
                <w:tcPr>
                  <w:tcW w:w="1841" w:type="dxa"/>
                  <w:shd w:val="clear" w:color="auto" w:fill="auto"/>
                </w:tcPr>
                <w:p w14:paraId="71C1E81C" w14:textId="77777777" w:rsidR="009C6940" w:rsidRPr="00EF7969" w:rsidRDefault="009C6940" w:rsidP="009C6940">
                  <w:pPr>
                    <w:pStyle w:val="TableBodyText"/>
                  </w:pPr>
                  <w:r w:rsidRPr="00EF7969">
                    <w:t>6</w:t>
                  </w:r>
                </w:p>
              </w:tc>
            </w:tr>
            <w:tr w:rsidR="009C6940" w:rsidRPr="00EF7969" w14:paraId="7C827F98" w14:textId="77777777" w:rsidTr="009C6940">
              <w:tc>
                <w:tcPr>
                  <w:tcW w:w="6662" w:type="dxa"/>
                  <w:shd w:val="clear" w:color="auto" w:fill="auto"/>
                </w:tcPr>
                <w:p w14:paraId="0CFD6144" w14:textId="77777777" w:rsidR="009C6940" w:rsidRPr="00EF7969" w:rsidRDefault="009C6940" w:rsidP="009C6940">
                  <w:pPr>
                    <w:pStyle w:val="TableBodyText"/>
                    <w:jc w:val="left"/>
                  </w:pPr>
                  <w:r w:rsidRPr="00EF7969">
                    <w:t>Kanda Quinlan</w:t>
                  </w:r>
                </w:p>
              </w:tc>
              <w:tc>
                <w:tcPr>
                  <w:tcW w:w="1841" w:type="dxa"/>
                  <w:shd w:val="clear" w:color="auto" w:fill="auto"/>
                </w:tcPr>
                <w:p w14:paraId="6F892CA4" w14:textId="77777777" w:rsidR="009C6940" w:rsidRPr="00EF7969" w:rsidRDefault="009C6940" w:rsidP="009C6940">
                  <w:pPr>
                    <w:pStyle w:val="TableBodyText"/>
                  </w:pPr>
                  <w:r w:rsidRPr="00EF7969">
                    <w:t>1157</w:t>
                  </w:r>
                </w:p>
              </w:tc>
            </w:tr>
            <w:tr w:rsidR="009C6940" w:rsidRPr="00EF7969" w14:paraId="4CCBE878" w14:textId="77777777" w:rsidTr="009C6940">
              <w:tc>
                <w:tcPr>
                  <w:tcW w:w="6662" w:type="dxa"/>
                  <w:shd w:val="clear" w:color="auto" w:fill="auto"/>
                </w:tcPr>
                <w:p w14:paraId="3565D957" w14:textId="77777777" w:rsidR="009C6940" w:rsidRPr="00EF7969" w:rsidRDefault="009C6940" w:rsidP="009C6940">
                  <w:pPr>
                    <w:pStyle w:val="TableBodyText"/>
                    <w:jc w:val="left"/>
                  </w:pPr>
                  <w:r w:rsidRPr="00EF7969">
                    <w:t xml:space="preserve">Karen Adams-Leask </w:t>
                  </w:r>
                </w:p>
              </w:tc>
              <w:tc>
                <w:tcPr>
                  <w:tcW w:w="1841" w:type="dxa"/>
                  <w:shd w:val="clear" w:color="auto" w:fill="auto"/>
                </w:tcPr>
                <w:p w14:paraId="1F4FA078" w14:textId="77777777" w:rsidR="009C6940" w:rsidRPr="00EF7969" w:rsidRDefault="009C6940" w:rsidP="009C6940">
                  <w:pPr>
                    <w:pStyle w:val="TableBodyText"/>
                  </w:pPr>
                  <w:r w:rsidRPr="00EF7969">
                    <w:t>689</w:t>
                  </w:r>
                </w:p>
              </w:tc>
            </w:tr>
            <w:tr w:rsidR="009C6940" w:rsidRPr="00EF7969" w14:paraId="71D28BB0" w14:textId="77777777" w:rsidTr="009C6940">
              <w:tc>
                <w:tcPr>
                  <w:tcW w:w="6662" w:type="dxa"/>
                  <w:shd w:val="clear" w:color="auto" w:fill="auto"/>
                </w:tcPr>
                <w:p w14:paraId="45A22B5F" w14:textId="77777777" w:rsidR="009C6940" w:rsidRPr="00EF7969" w:rsidRDefault="009C6940" w:rsidP="009C6940">
                  <w:pPr>
                    <w:pStyle w:val="TableBodyText"/>
                    <w:jc w:val="left"/>
                  </w:pPr>
                  <w:r w:rsidRPr="00EF7969">
                    <w:t>Karen Donnelly</w:t>
                  </w:r>
                </w:p>
              </w:tc>
              <w:tc>
                <w:tcPr>
                  <w:tcW w:w="1841" w:type="dxa"/>
                  <w:shd w:val="clear" w:color="auto" w:fill="auto"/>
                </w:tcPr>
                <w:p w14:paraId="7966A4F0" w14:textId="77777777" w:rsidR="009C6940" w:rsidRPr="00EF7969" w:rsidRDefault="009C6940" w:rsidP="009C6940">
                  <w:pPr>
                    <w:pStyle w:val="TableBodyText"/>
                  </w:pPr>
                  <w:r w:rsidRPr="00EF7969">
                    <w:t>90</w:t>
                  </w:r>
                </w:p>
              </w:tc>
            </w:tr>
            <w:tr w:rsidR="009C6940" w:rsidRPr="00EF7969" w14:paraId="1B169F21" w14:textId="77777777" w:rsidTr="009C6940">
              <w:tc>
                <w:tcPr>
                  <w:tcW w:w="6662" w:type="dxa"/>
                  <w:shd w:val="clear" w:color="auto" w:fill="auto"/>
                </w:tcPr>
                <w:p w14:paraId="3545CC8F" w14:textId="77777777" w:rsidR="009C6940" w:rsidRPr="00EF7969" w:rsidRDefault="009C6940" w:rsidP="009C6940">
                  <w:pPr>
                    <w:pStyle w:val="TableBodyText"/>
                    <w:jc w:val="left"/>
                  </w:pPr>
                  <w:r w:rsidRPr="00EF7969">
                    <w:t>Karen Hancock</w:t>
                  </w:r>
                </w:p>
              </w:tc>
              <w:tc>
                <w:tcPr>
                  <w:tcW w:w="1841" w:type="dxa"/>
                  <w:shd w:val="clear" w:color="auto" w:fill="auto"/>
                </w:tcPr>
                <w:p w14:paraId="51C559E6" w14:textId="77777777" w:rsidR="009C6940" w:rsidRPr="00EF7969" w:rsidRDefault="009C6940" w:rsidP="009C6940">
                  <w:pPr>
                    <w:pStyle w:val="TableBodyText"/>
                  </w:pPr>
                  <w:r w:rsidRPr="00EF7969">
                    <w:t>379</w:t>
                  </w:r>
                </w:p>
              </w:tc>
            </w:tr>
            <w:tr w:rsidR="009C6940" w:rsidRPr="00EF7969" w14:paraId="30F1FFE8" w14:textId="77777777" w:rsidTr="009C6940">
              <w:tc>
                <w:tcPr>
                  <w:tcW w:w="6662" w:type="dxa"/>
                  <w:shd w:val="clear" w:color="auto" w:fill="auto"/>
                </w:tcPr>
                <w:p w14:paraId="4DE36EE8" w14:textId="77777777" w:rsidR="009C6940" w:rsidRPr="00EF7969" w:rsidRDefault="009C6940" w:rsidP="009C6940">
                  <w:pPr>
                    <w:pStyle w:val="TableBodyText"/>
                    <w:jc w:val="left"/>
                  </w:pPr>
                  <w:r w:rsidRPr="00EF7969">
                    <w:t>Karen Holmes</w:t>
                  </w:r>
                </w:p>
              </w:tc>
              <w:tc>
                <w:tcPr>
                  <w:tcW w:w="1841" w:type="dxa"/>
                  <w:shd w:val="clear" w:color="auto" w:fill="auto"/>
                </w:tcPr>
                <w:p w14:paraId="2922A3C8" w14:textId="77777777" w:rsidR="009C6940" w:rsidRPr="00EF7969" w:rsidRDefault="009C6940" w:rsidP="009C6940">
                  <w:pPr>
                    <w:pStyle w:val="TableBodyText"/>
                  </w:pPr>
                  <w:r w:rsidRPr="00EF7969">
                    <w:t>142</w:t>
                  </w:r>
                </w:p>
              </w:tc>
            </w:tr>
            <w:tr w:rsidR="009C6940" w:rsidRPr="00EF7969" w14:paraId="03D78921" w14:textId="77777777" w:rsidTr="009C6940">
              <w:tc>
                <w:tcPr>
                  <w:tcW w:w="6662" w:type="dxa"/>
                  <w:shd w:val="clear" w:color="auto" w:fill="auto"/>
                </w:tcPr>
                <w:p w14:paraId="4EF32F5D" w14:textId="77777777" w:rsidR="009C6940" w:rsidRPr="00EF7969" w:rsidRDefault="009C6940" w:rsidP="009C6940">
                  <w:pPr>
                    <w:pStyle w:val="TableBodyText"/>
                    <w:jc w:val="left"/>
                  </w:pPr>
                  <w:r w:rsidRPr="00EF7969">
                    <w:t>Karitane</w:t>
                  </w:r>
                </w:p>
              </w:tc>
              <w:tc>
                <w:tcPr>
                  <w:tcW w:w="1841" w:type="dxa"/>
                  <w:shd w:val="clear" w:color="auto" w:fill="auto"/>
                </w:tcPr>
                <w:p w14:paraId="626CD295" w14:textId="77777777" w:rsidR="009C6940" w:rsidRPr="00EF7969" w:rsidRDefault="009C6940" w:rsidP="009C6940">
                  <w:pPr>
                    <w:pStyle w:val="TableBodyText"/>
                  </w:pPr>
                  <w:r w:rsidRPr="00EF7969">
                    <w:t>324</w:t>
                  </w:r>
                </w:p>
              </w:tc>
            </w:tr>
            <w:tr w:rsidR="009C6940" w:rsidRPr="00EF7969" w14:paraId="33C81207" w14:textId="77777777" w:rsidTr="009C6940">
              <w:tc>
                <w:tcPr>
                  <w:tcW w:w="6662" w:type="dxa"/>
                  <w:shd w:val="clear" w:color="auto" w:fill="auto"/>
                </w:tcPr>
                <w:p w14:paraId="7EB47925" w14:textId="77777777" w:rsidR="009C6940" w:rsidRPr="00EF7969" w:rsidRDefault="009C6940" w:rsidP="009C6940">
                  <w:pPr>
                    <w:pStyle w:val="TableBodyText"/>
                    <w:jc w:val="left"/>
                  </w:pPr>
                  <w:r w:rsidRPr="00EF7969">
                    <w:t>Karola Mostafanejad</w:t>
                  </w:r>
                </w:p>
              </w:tc>
              <w:tc>
                <w:tcPr>
                  <w:tcW w:w="1841" w:type="dxa"/>
                  <w:shd w:val="clear" w:color="auto" w:fill="auto"/>
                </w:tcPr>
                <w:p w14:paraId="6C988F8D" w14:textId="77777777" w:rsidR="009C6940" w:rsidRPr="00EF7969" w:rsidRDefault="009C6940" w:rsidP="009C6940">
                  <w:pPr>
                    <w:pStyle w:val="TableBodyText"/>
                  </w:pPr>
                  <w:r w:rsidRPr="00EF7969">
                    <w:t>570</w:t>
                  </w:r>
                </w:p>
              </w:tc>
            </w:tr>
            <w:tr w:rsidR="009C6940" w:rsidRPr="00EF7969" w14:paraId="1F9E2D22" w14:textId="77777777" w:rsidTr="009C6940">
              <w:tc>
                <w:tcPr>
                  <w:tcW w:w="6662" w:type="dxa"/>
                  <w:shd w:val="clear" w:color="auto" w:fill="auto"/>
                </w:tcPr>
                <w:p w14:paraId="1D686F7C" w14:textId="77777777" w:rsidR="009C6940" w:rsidRPr="00EF7969" w:rsidRDefault="009C6940" w:rsidP="009C6940">
                  <w:pPr>
                    <w:pStyle w:val="TableBodyText"/>
                    <w:jc w:val="left"/>
                  </w:pPr>
                  <w:r w:rsidRPr="00EF7969">
                    <w:t>Kate Ceberano</w:t>
                  </w:r>
                </w:p>
              </w:tc>
              <w:tc>
                <w:tcPr>
                  <w:tcW w:w="1841" w:type="dxa"/>
                  <w:shd w:val="clear" w:color="auto" w:fill="auto"/>
                </w:tcPr>
                <w:p w14:paraId="4A89B2D3" w14:textId="77777777" w:rsidR="009C6940" w:rsidRPr="00EF7969" w:rsidRDefault="009C6940" w:rsidP="009C6940">
                  <w:pPr>
                    <w:pStyle w:val="TableBodyText"/>
                  </w:pPr>
                  <w:r w:rsidRPr="00EF7969">
                    <w:t>1087</w:t>
                  </w:r>
                </w:p>
              </w:tc>
            </w:tr>
            <w:tr w:rsidR="009C6940" w:rsidRPr="00EF7969" w14:paraId="2964D4DB" w14:textId="77777777" w:rsidTr="009C6940">
              <w:tc>
                <w:tcPr>
                  <w:tcW w:w="6662" w:type="dxa"/>
                  <w:tcBorders>
                    <w:bottom w:val="single" w:sz="6" w:space="0" w:color="BFBFBF"/>
                  </w:tcBorders>
                  <w:shd w:val="clear" w:color="auto" w:fill="auto"/>
                </w:tcPr>
                <w:p w14:paraId="12363B16" w14:textId="77777777" w:rsidR="009C6940" w:rsidRPr="00EF7969" w:rsidRDefault="009C6940" w:rsidP="009C6940">
                  <w:pPr>
                    <w:pStyle w:val="TableBodyText"/>
                    <w:jc w:val="left"/>
                  </w:pPr>
                  <w:r w:rsidRPr="00EF7969">
                    <w:t>Kate Gee</w:t>
                  </w:r>
                </w:p>
              </w:tc>
              <w:tc>
                <w:tcPr>
                  <w:tcW w:w="1841" w:type="dxa"/>
                  <w:tcBorders>
                    <w:bottom w:val="single" w:sz="6" w:space="0" w:color="BFBFBF"/>
                  </w:tcBorders>
                  <w:shd w:val="clear" w:color="auto" w:fill="auto"/>
                </w:tcPr>
                <w:p w14:paraId="45856447" w14:textId="77777777" w:rsidR="009C6940" w:rsidRPr="00EF7969" w:rsidRDefault="009C6940" w:rsidP="009C6940">
                  <w:pPr>
                    <w:pStyle w:val="TableBodyText"/>
                  </w:pPr>
                  <w:r w:rsidRPr="00EF7969">
                    <w:t>1092</w:t>
                  </w:r>
                </w:p>
              </w:tc>
            </w:tr>
          </w:tbl>
          <w:p w14:paraId="1C469FF7" w14:textId="77777777" w:rsidR="009C6940" w:rsidRPr="00EF7969" w:rsidRDefault="009C6940" w:rsidP="009C6940">
            <w:pPr>
              <w:pStyle w:val="Box"/>
            </w:pPr>
          </w:p>
        </w:tc>
      </w:tr>
      <w:tr w:rsidR="009C6940" w:rsidRPr="00EF7969" w14:paraId="4E3FCED2" w14:textId="77777777" w:rsidTr="009C6940">
        <w:tc>
          <w:tcPr>
            <w:tcW w:w="8789" w:type="dxa"/>
            <w:tcBorders>
              <w:top w:val="nil"/>
              <w:left w:val="nil"/>
              <w:bottom w:val="nil"/>
              <w:right w:val="nil"/>
            </w:tcBorders>
            <w:shd w:val="clear" w:color="auto" w:fill="auto"/>
          </w:tcPr>
          <w:p w14:paraId="57435C7B" w14:textId="77777777" w:rsidR="009C6940" w:rsidRPr="00EF7969" w:rsidRDefault="009C6940" w:rsidP="009C6940">
            <w:pPr>
              <w:pStyle w:val="Continued"/>
            </w:pPr>
            <w:r w:rsidRPr="00EF7969">
              <w:t>(continued next page)</w:t>
            </w:r>
          </w:p>
        </w:tc>
      </w:tr>
      <w:tr w:rsidR="009C6940" w:rsidRPr="00EF7969" w14:paraId="4EA567B5" w14:textId="77777777" w:rsidTr="009C6940">
        <w:tc>
          <w:tcPr>
            <w:tcW w:w="8789" w:type="dxa"/>
            <w:tcBorders>
              <w:top w:val="nil"/>
              <w:left w:val="nil"/>
              <w:bottom w:val="single" w:sz="6" w:space="0" w:color="78A22F"/>
              <w:right w:val="nil"/>
            </w:tcBorders>
            <w:shd w:val="clear" w:color="auto" w:fill="auto"/>
          </w:tcPr>
          <w:p w14:paraId="00EE3CF6" w14:textId="77777777" w:rsidR="009C6940" w:rsidRPr="00EF7969" w:rsidRDefault="009C6940" w:rsidP="009C6940">
            <w:pPr>
              <w:pStyle w:val="Box"/>
              <w:spacing w:before="0" w:line="120" w:lineRule="exact"/>
            </w:pPr>
          </w:p>
        </w:tc>
      </w:tr>
      <w:tr w:rsidR="009C6940" w:rsidRPr="00EF7969" w14:paraId="1E3FF015" w14:textId="77777777" w:rsidTr="009C6940">
        <w:tc>
          <w:tcPr>
            <w:tcW w:w="8789" w:type="dxa"/>
            <w:tcBorders>
              <w:top w:val="single" w:sz="6" w:space="0" w:color="78A22F"/>
              <w:left w:val="nil"/>
              <w:bottom w:val="nil"/>
              <w:right w:val="nil"/>
            </w:tcBorders>
          </w:tcPr>
          <w:p w14:paraId="3A886964" w14:textId="77777777" w:rsidR="009C6940" w:rsidRPr="00EF7969" w:rsidRDefault="009C6940" w:rsidP="009C6940">
            <w:pPr>
              <w:pStyle w:val="BoxSpaceBelow"/>
            </w:pPr>
          </w:p>
        </w:tc>
      </w:tr>
    </w:tbl>
    <w:p w14:paraId="15EA0570"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09F95D6F" w14:textId="77777777" w:rsidTr="009C6940">
        <w:trPr>
          <w:tblHeader/>
        </w:trPr>
        <w:tc>
          <w:tcPr>
            <w:tcW w:w="8789" w:type="dxa"/>
            <w:tcBorders>
              <w:top w:val="single" w:sz="6" w:space="0" w:color="78A22F"/>
              <w:left w:val="nil"/>
              <w:bottom w:val="nil"/>
              <w:right w:val="nil"/>
            </w:tcBorders>
            <w:shd w:val="clear" w:color="auto" w:fill="auto"/>
          </w:tcPr>
          <w:p w14:paraId="4DDF48D1"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3AADB241"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357D6896"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3E822731"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222661AA" w14:textId="77777777" w:rsidR="009C6940" w:rsidRPr="00EF7969" w:rsidRDefault="009C6940" w:rsidP="009C6940">
                  <w:pPr>
                    <w:pStyle w:val="TableColumnHeading"/>
                    <w:ind w:right="28"/>
                  </w:pPr>
                  <w:r w:rsidRPr="00EF7969">
                    <w:t>Submission no.</w:t>
                  </w:r>
                </w:p>
              </w:tc>
            </w:tr>
            <w:tr w:rsidR="009C6940" w:rsidRPr="00EF7969" w14:paraId="73844A4F" w14:textId="77777777" w:rsidTr="009C6940">
              <w:tc>
                <w:tcPr>
                  <w:tcW w:w="6377" w:type="dxa"/>
                  <w:shd w:val="clear" w:color="auto" w:fill="auto"/>
                </w:tcPr>
                <w:p w14:paraId="27221451" w14:textId="77777777" w:rsidR="009C6940" w:rsidRPr="00EF7969" w:rsidRDefault="009C6940" w:rsidP="009C6940">
                  <w:pPr>
                    <w:pStyle w:val="TableBodyText"/>
                    <w:spacing w:before="40"/>
                    <w:jc w:val="left"/>
                  </w:pPr>
                  <w:r w:rsidRPr="00EF7969">
                    <w:t xml:space="preserve">Kate Ives </w:t>
                  </w:r>
                </w:p>
              </w:tc>
              <w:tc>
                <w:tcPr>
                  <w:tcW w:w="2126" w:type="dxa"/>
                  <w:shd w:val="clear" w:color="auto" w:fill="auto"/>
                </w:tcPr>
                <w:p w14:paraId="61722863" w14:textId="77777777" w:rsidR="009C6940" w:rsidRPr="00EF7969" w:rsidRDefault="009C6940" w:rsidP="009C6940">
                  <w:pPr>
                    <w:pStyle w:val="TableBodyText"/>
                    <w:spacing w:before="40"/>
                  </w:pPr>
                  <w:r w:rsidRPr="00EF7969">
                    <w:t>529</w:t>
                  </w:r>
                </w:p>
              </w:tc>
            </w:tr>
            <w:tr w:rsidR="009C6940" w:rsidRPr="00EF7969" w14:paraId="38C98494" w14:textId="77777777" w:rsidTr="009C6940">
              <w:tc>
                <w:tcPr>
                  <w:tcW w:w="6377" w:type="dxa"/>
                  <w:shd w:val="clear" w:color="auto" w:fill="auto"/>
                </w:tcPr>
                <w:p w14:paraId="3523AB91" w14:textId="77777777" w:rsidR="009C6940" w:rsidRPr="00EF7969" w:rsidRDefault="009C6940" w:rsidP="009C6940">
                  <w:pPr>
                    <w:pStyle w:val="TableBodyText"/>
                    <w:jc w:val="left"/>
                  </w:pPr>
                  <w:r w:rsidRPr="00EF7969">
                    <w:t>Kate McCloskey</w:t>
                  </w:r>
                </w:p>
              </w:tc>
              <w:tc>
                <w:tcPr>
                  <w:tcW w:w="2126" w:type="dxa"/>
                  <w:shd w:val="clear" w:color="auto" w:fill="auto"/>
                </w:tcPr>
                <w:p w14:paraId="34799EB0" w14:textId="77777777" w:rsidR="009C6940" w:rsidRPr="00EF7969" w:rsidRDefault="009C6940" w:rsidP="009C6940">
                  <w:pPr>
                    <w:pStyle w:val="TableBodyText"/>
                  </w:pPr>
                  <w:r w:rsidRPr="00EF7969">
                    <w:t>776</w:t>
                  </w:r>
                </w:p>
              </w:tc>
            </w:tr>
            <w:tr w:rsidR="009C6940" w:rsidRPr="00EF7969" w14:paraId="4EC018E2" w14:textId="77777777" w:rsidTr="009C6940">
              <w:tc>
                <w:tcPr>
                  <w:tcW w:w="6377" w:type="dxa"/>
                  <w:shd w:val="clear" w:color="auto" w:fill="auto"/>
                </w:tcPr>
                <w:p w14:paraId="25EFF5E9" w14:textId="77777777" w:rsidR="009C6940" w:rsidRPr="00EF7969" w:rsidRDefault="009C6940" w:rsidP="009C6940">
                  <w:pPr>
                    <w:pStyle w:val="TableBodyText"/>
                    <w:jc w:val="left"/>
                  </w:pPr>
                  <w:r w:rsidRPr="00EF7969">
                    <w:t>Katherine Vavasour</w:t>
                  </w:r>
                </w:p>
              </w:tc>
              <w:tc>
                <w:tcPr>
                  <w:tcW w:w="2126" w:type="dxa"/>
                  <w:shd w:val="clear" w:color="auto" w:fill="auto"/>
                </w:tcPr>
                <w:p w14:paraId="01B9C4D0" w14:textId="77777777" w:rsidR="009C6940" w:rsidRPr="00EF7969" w:rsidRDefault="009C6940" w:rsidP="009C6940">
                  <w:pPr>
                    <w:pStyle w:val="TableBodyText"/>
                  </w:pPr>
                  <w:r w:rsidRPr="00EF7969">
                    <w:t>162</w:t>
                  </w:r>
                </w:p>
              </w:tc>
            </w:tr>
            <w:tr w:rsidR="009C6940" w:rsidRPr="00EF7969" w14:paraId="1CBE52E9" w14:textId="77777777" w:rsidTr="009C6940">
              <w:tc>
                <w:tcPr>
                  <w:tcW w:w="6377" w:type="dxa"/>
                  <w:shd w:val="clear" w:color="auto" w:fill="auto"/>
                </w:tcPr>
                <w:p w14:paraId="3A876E38" w14:textId="77777777" w:rsidR="009C6940" w:rsidRPr="00EF7969" w:rsidRDefault="009C6940" w:rsidP="009C6940">
                  <w:pPr>
                    <w:pStyle w:val="TableBodyText"/>
                    <w:jc w:val="left"/>
                  </w:pPr>
                  <w:r w:rsidRPr="00EF7969">
                    <w:t>Katrina Grant</w:t>
                  </w:r>
                </w:p>
              </w:tc>
              <w:tc>
                <w:tcPr>
                  <w:tcW w:w="2126" w:type="dxa"/>
                  <w:shd w:val="clear" w:color="auto" w:fill="auto"/>
                </w:tcPr>
                <w:p w14:paraId="789C3C32" w14:textId="77777777" w:rsidR="009C6940" w:rsidRPr="00EF7969" w:rsidRDefault="009C6940" w:rsidP="009C6940">
                  <w:pPr>
                    <w:pStyle w:val="TableBodyText"/>
                  </w:pPr>
                  <w:r w:rsidRPr="00EF7969">
                    <w:t>1086</w:t>
                  </w:r>
                </w:p>
              </w:tc>
            </w:tr>
            <w:tr w:rsidR="009C6940" w:rsidRPr="00EF7969" w14:paraId="29BA4072" w14:textId="77777777" w:rsidTr="009C6940">
              <w:tc>
                <w:tcPr>
                  <w:tcW w:w="6377" w:type="dxa"/>
                  <w:shd w:val="clear" w:color="auto" w:fill="auto"/>
                </w:tcPr>
                <w:p w14:paraId="4C7F7B27" w14:textId="77777777" w:rsidR="009C6940" w:rsidRPr="00EF7969" w:rsidRDefault="009C6940" w:rsidP="009C6940">
                  <w:pPr>
                    <w:pStyle w:val="TableBodyText"/>
                    <w:jc w:val="left"/>
                  </w:pPr>
                  <w:r w:rsidRPr="00EF7969">
                    <w:t>Kay Seabrook</w:t>
                  </w:r>
                </w:p>
              </w:tc>
              <w:tc>
                <w:tcPr>
                  <w:tcW w:w="2126" w:type="dxa"/>
                  <w:shd w:val="clear" w:color="auto" w:fill="auto"/>
                </w:tcPr>
                <w:p w14:paraId="51A45E16" w14:textId="77777777" w:rsidR="009C6940" w:rsidRPr="00EF7969" w:rsidRDefault="009C6940" w:rsidP="009C6940">
                  <w:pPr>
                    <w:pStyle w:val="TableBodyText"/>
                  </w:pPr>
                  <w:r w:rsidRPr="00EF7969">
                    <w:t>1047</w:t>
                  </w:r>
                </w:p>
              </w:tc>
            </w:tr>
            <w:tr w:rsidR="009C6940" w:rsidRPr="00EF7969" w14:paraId="394E7FF1" w14:textId="77777777" w:rsidTr="009C6940">
              <w:tc>
                <w:tcPr>
                  <w:tcW w:w="6377" w:type="dxa"/>
                  <w:shd w:val="clear" w:color="auto" w:fill="auto"/>
                </w:tcPr>
                <w:p w14:paraId="69470FB5" w14:textId="77777777" w:rsidR="009C6940" w:rsidRPr="00EF7969" w:rsidRDefault="009C6940" w:rsidP="009C6940">
                  <w:pPr>
                    <w:pStyle w:val="TableBodyText"/>
                    <w:jc w:val="left"/>
                  </w:pPr>
                  <w:r w:rsidRPr="00EF7969">
                    <w:t>Keiko Shimizu</w:t>
                  </w:r>
                </w:p>
              </w:tc>
              <w:tc>
                <w:tcPr>
                  <w:tcW w:w="2126" w:type="dxa"/>
                  <w:shd w:val="clear" w:color="auto" w:fill="auto"/>
                </w:tcPr>
                <w:p w14:paraId="663278BB" w14:textId="77777777" w:rsidR="009C6940" w:rsidRPr="00EF7969" w:rsidRDefault="009C6940" w:rsidP="009C6940">
                  <w:pPr>
                    <w:pStyle w:val="TableBodyText"/>
                  </w:pPr>
                  <w:r w:rsidRPr="00EF7969">
                    <w:t>982</w:t>
                  </w:r>
                </w:p>
              </w:tc>
            </w:tr>
            <w:tr w:rsidR="009C6940" w:rsidRPr="00EF7969" w14:paraId="29F86892" w14:textId="77777777" w:rsidTr="009C6940">
              <w:tc>
                <w:tcPr>
                  <w:tcW w:w="6377" w:type="dxa"/>
                  <w:shd w:val="clear" w:color="auto" w:fill="auto"/>
                </w:tcPr>
                <w:p w14:paraId="138F0A82" w14:textId="77777777" w:rsidR="009C6940" w:rsidRPr="00EF7969" w:rsidRDefault="009C6940" w:rsidP="009C6940">
                  <w:pPr>
                    <w:pStyle w:val="TableBodyText"/>
                    <w:jc w:val="left"/>
                  </w:pPr>
                  <w:r w:rsidRPr="00EF7969">
                    <w:t>Ken Barnard</w:t>
                  </w:r>
                </w:p>
              </w:tc>
              <w:tc>
                <w:tcPr>
                  <w:tcW w:w="2126" w:type="dxa"/>
                  <w:shd w:val="clear" w:color="auto" w:fill="auto"/>
                </w:tcPr>
                <w:p w14:paraId="7192DB6A" w14:textId="77777777" w:rsidR="009C6940" w:rsidRPr="00EF7969" w:rsidRDefault="009C6940" w:rsidP="009C6940">
                  <w:pPr>
                    <w:pStyle w:val="TableBodyText"/>
                  </w:pPr>
                  <w:r w:rsidRPr="00EF7969">
                    <w:t>924</w:t>
                  </w:r>
                </w:p>
              </w:tc>
            </w:tr>
            <w:tr w:rsidR="009C6940" w:rsidRPr="00EF7969" w14:paraId="5DC7D54E" w14:textId="77777777" w:rsidTr="009C6940">
              <w:tc>
                <w:tcPr>
                  <w:tcW w:w="6377" w:type="dxa"/>
                  <w:shd w:val="clear" w:color="auto" w:fill="auto"/>
                </w:tcPr>
                <w:p w14:paraId="39D074A4" w14:textId="77777777" w:rsidR="009C6940" w:rsidRPr="00EF7969" w:rsidRDefault="009C6940" w:rsidP="009C6940">
                  <w:pPr>
                    <w:pStyle w:val="TableBodyText"/>
                    <w:jc w:val="left"/>
                  </w:pPr>
                  <w:r w:rsidRPr="00EF7969">
                    <w:t>Kerry Logan</w:t>
                  </w:r>
                </w:p>
              </w:tc>
              <w:tc>
                <w:tcPr>
                  <w:tcW w:w="2126" w:type="dxa"/>
                  <w:shd w:val="clear" w:color="auto" w:fill="auto"/>
                </w:tcPr>
                <w:p w14:paraId="0D179BFC" w14:textId="77777777" w:rsidR="009C6940" w:rsidRPr="00EF7969" w:rsidRDefault="009C6940" w:rsidP="009C6940">
                  <w:pPr>
                    <w:pStyle w:val="TableBodyText"/>
                  </w:pPr>
                  <w:r w:rsidRPr="00EF7969">
                    <w:t>824</w:t>
                  </w:r>
                </w:p>
              </w:tc>
            </w:tr>
            <w:tr w:rsidR="009C6940" w:rsidRPr="00EF7969" w14:paraId="5D8AB315" w14:textId="77777777" w:rsidTr="009C6940">
              <w:tc>
                <w:tcPr>
                  <w:tcW w:w="6377" w:type="dxa"/>
                  <w:shd w:val="clear" w:color="auto" w:fill="auto"/>
                </w:tcPr>
                <w:p w14:paraId="564F0B78" w14:textId="77777777" w:rsidR="009C6940" w:rsidRPr="00EF7969" w:rsidRDefault="009C6940" w:rsidP="009C6940">
                  <w:pPr>
                    <w:pStyle w:val="TableBodyText"/>
                    <w:jc w:val="left"/>
                  </w:pPr>
                  <w:r w:rsidRPr="00EF7969">
                    <w:t>Keven Coleman</w:t>
                  </w:r>
                </w:p>
              </w:tc>
              <w:tc>
                <w:tcPr>
                  <w:tcW w:w="2126" w:type="dxa"/>
                  <w:shd w:val="clear" w:color="auto" w:fill="auto"/>
                </w:tcPr>
                <w:p w14:paraId="3177D748" w14:textId="77777777" w:rsidR="009C6940" w:rsidRPr="00EF7969" w:rsidRDefault="009C6940" w:rsidP="009C6940">
                  <w:pPr>
                    <w:pStyle w:val="TableBodyText"/>
                  </w:pPr>
                  <w:r w:rsidRPr="00EF7969">
                    <w:t>839</w:t>
                  </w:r>
                </w:p>
              </w:tc>
            </w:tr>
            <w:tr w:rsidR="009C6940" w:rsidRPr="00EF7969" w14:paraId="62E15E57" w14:textId="77777777" w:rsidTr="009C6940">
              <w:tc>
                <w:tcPr>
                  <w:tcW w:w="6377" w:type="dxa"/>
                  <w:shd w:val="clear" w:color="auto" w:fill="auto"/>
                </w:tcPr>
                <w:p w14:paraId="2D0502DF" w14:textId="77777777" w:rsidR="009C6940" w:rsidRPr="00EF7969" w:rsidRDefault="009C6940" w:rsidP="009C6940">
                  <w:pPr>
                    <w:pStyle w:val="TableBodyText"/>
                    <w:jc w:val="left"/>
                  </w:pPr>
                  <w:r w:rsidRPr="00EF7969">
                    <w:t>Kids Giving Back</w:t>
                  </w:r>
                </w:p>
              </w:tc>
              <w:tc>
                <w:tcPr>
                  <w:tcW w:w="2126" w:type="dxa"/>
                  <w:shd w:val="clear" w:color="auto" w:fill="auto"/>
                </w:tcPr>
                <w:p w14:paraId="344C0179" w14:textId="77777777" w:rsidR="009C6940" w:rsidRPr="00EF7969" w:rsidRDefault="009C6940" w:rsidP="009C6940">
                  <w:pPr>
                    <w:pStyle w:val="TableBodyText"/>
                  </w:pPr>
                  <w:r w:rsidRPr="00EF7969">
                    <w:t>739</w:t>
                  </w:r>
                </w:p>
              </w:tc>
            </w:tr>
            <w:tr w:rsidR="009C6940" w:rsidRPr="00EF7969" w14:paraId="062686AB" w14:textId="77777777" w:rsidTr="009C6940">
              <w:tc>
                <w:tcPr>
                  <w:tcW w:w="6377" w:type="dxa"/>
                  <w:shd w:val="clear" w:color="auto" w:fill="auto"/>
                </w:tcPr>
                <w:p w14:paraId="7AED1235" w14:textId="77777777" w:rsidR="009C6940" w:rsidRPr="00EF7969" w:rsidRDefault="009C6940" w:rsidP="009C6940">
                  <w:pPr>
                    <w:pStyle w:val="TableBodyText"/>
                    <w:jc w:val="left"/>
                  </w:pPr>
                  <w:r w:rsidRPr="00EF7969">
                    <w:t>Kim Bloomberg</w:t>
                  </w:r>
                </w:p>
              </w:tc>
              <w:tc>
                <w:tcPr>
                  <w:tcW w:w="2126" w:type="dxa"/>
                  <w:shd w:val="clear" w:color="auto" w:fill="auto"/>
                </w:tcPr>
                <w:p w14:paraId="73E07CF4" w14:textId="77777777" w:rsidR="009C6940" w:rsidRPr="00EF7969" w:rsidRDefault="009C6940" w:rsidP="009C6940">
                  <w:pPr>
                    <w:pStyle w:val="TableBodyText"/>
                  </w:pPr>
                  <w:r w:rsidRPr="00EF7969">
                    <w:t>1056</w:t>
                  </w:r>
                </w:p>
              </w:tc>
            </w:tr>
            <w:tr w:rsidR="009C6940" w:rsidRPr="00EF7969" w14:paraId="2388B9B1" w14:textId="77777777" w:rsidTr="009C6940">
              <w:tc>
                <w:tcPr>
                  <w:tcW w:w="6377" w:type="dxa"/>
                  <w:shd w:val="clear" w:color="auto" w:fill="auto"/>
                </w:tcPr>
                <w:p w14:paraId="0F090280" w14:textId="77777777" w:rsidR="009C6940" w:rsidRPr="00EF7969" w:rsidRDefault="009C6940" w:rsidP="009C6940">
                  <w:pPr>
                    <w:pStyle w:val="TableBodyText"/>
                    <w:jc w:val="left"/>
                  </w:pPr>
                  <w:r w:rsidRPr="00EF7969">
                    <w:t>Kim Devlin</w:t>
                  </w:r>
                </w:p>
              </w:tc>
              <w:tc>
                <w:tcPr>
                  <w:tcW w:w="2126" w:type="dxa"/>
                  <w:shd w:val="clear" w:color="auto" w:fill="auto"/>
                </w:tcPr>
                <w:p w14:paraId="67B19AB3" w14:textId="77777777" w:rsidR="009C6940" w:rsidRPr="00EF7969" w:rsidRDefault="009C6940" w:rsidP="009C6940">
                  <w:pPr>
                    <w:pStyle w:val="TableBodyText"/>
                  </w:pPr>
                  <w:r w:rsidRPr="00EF7969">
                    <w:t>158</w:t>
                  </w:r>
                </w:p>
              </w:tc>
            </w:tr>
            <w:tr w:rsidR="009C6940" w:rsidRPr="00EF7969" w14:paraId="39A7EE87" w14:textId="77777777" w:rsidTr="009C6940">
              <w:tc>
                <w:tcPr>
                  <w:tcW w:w="6377" w:type="dxa"/>
                  <w:shd w:val="clear" w:color="auto" w:fill="auto"/>
                </w:tcPr>
                <w:p w14:paraId="4F488E05" w14:textId="77777777" w:rsidR="009C6940" w:rsidRPr="00EF7969" w:rsidRDefault="009C6940" w:rsidP="009C6940">
                  <w:pPr>
                    <w:pStyle w:val="TableBodyText"/>
                    <w:jc w:val="left"/>
                  </w:pPr>
                  <w:r w:rsidRPr="00EF7969">
                    <w:t>Kim Fitzgerald</w:t>
                  </w:r>
                </w:p>
              </w:tc>
              <w:tc>
                <w:tcPr>
                  <w:tcW w:w="2126" w:type="dxa"/>
                  <w:shd w:val="clear" w:color="auto" w:fill="auto"/>
                </w:tcPr>
                <w:p w14:paraId="2D7D440A" w14:textId="77777777" w:rsidR="009C6940" w:rsidRPr="00EF7969" w:rsidRDefault="009C6940" w:rsidP="009C6940">
                  <w:pPr>
                    <w:pStyle w:val="TableBodyText"/>
                  </w:pPr>
                  <w:r w:rsidRPr="00EF7969">
                    <w:t>1069, 1146</w:t>
                  </w:r>
                </w:p>
              </w:tc>
            </w:tr>
            <w:tr w:rsidR="009C6940" w:rsidRPr="00EF7969" w14:paraId="3599A339" w14:textId="77777777" w:rsidTr="009C6940">
              <w:tc>
                <w:tcPr>
                  <w:tcW w:w="6377" w:type="dxa"/>
                  <w:shd w:val="clear" w:color="auto" w:fill="auto"/>
                </w:tcPr>
                <w:p w14:paraId="7A76820A" w14:textId="77777777" w:rsidR="009C6940" w:rsidRPr="00EF7969" w:rsidRDefault="009C6940" w:rsidP="009C6940">
                  <w:pPr>
                    <w:pStyle w:val="TableBodyText"/>
                    <w:jc w:val="left"/>
                  </w:pPr>
                  <w:r w:rsidRPr="00EF7969">
                    <w:t>Kimberlie Dean</w:t>
                  </w:r>
                </w:p>
              </w:tc>
              <w:tc>
                <w:tcPr>
                  <w:tcW w:w="2126" w:type="dxa"/>
                  <w:shd w:val="clear" w:color="auto" w:fill="auto"/>
                </w:tcPr>
                <w:p w14:paraId="2F67A109" w14:textId="77777777" w:rsidR="009C6940" w:rsidRPr="00EF7969" w:rsidRDefault="009C6940" w:rsidP="009C6940">
                  <w:pPr>
                    <w:pStyle w:val="TableBodyText"/>
                  </w:pPr>
                  <w:r w:rsidRPr="00EF7969">
                    <w:t>235</w:t>
                  </w:r>
                </w:p>
              </w:tc>
            </w:tr>
            <w:tr w:rsidR="009C6940" w:rsidRPr="00EF7969" w14:paraId="3391A946" w14:textId="77777777" w:rsidTr="009C6940">
              <w:tc>
                <w:tcPr>
                  <w:tcW w:w="6377" w:type="dxa"/>
                  <w:shd w:val="clear" w:color="auto" w:fill="auto"/>
                </w:tcPr>
                <w:p w14:paraId="62178A16" w14:textId="77777777" w:rsidR="009C6940" w:rsidRPr="00EF7969" w:rsidRDefault="009C6940" w:rsidP="009C6940">
                  <w:pPr>
                    <w:pStyle w:val="TableBodyText"/>
                    <w:jc w:val="left"/>
                  </w:pPr>
                  <w:r w:rsidRPr="00EF7969">
                    <w:t>Kingsford Legal Centre (KLC)</w:t>
                  </w:r>
                </w:p>
              </w:tc>
              <w:tc>
                <w:tcPr>
                  <w:tcW w:w="2126" w:type="dxa"/>
                  <w:shd w:val="clear" w:color="auto" w:fill="auto"/>
                </w:tcPr>
                <w:p w14:paraId="3C1959AA" w14:textId="77777777" w:rsidR="009C6940" w:rsidRPr="00EF7969" w:rsidRDefault="009C6940" w:rsidP="009C6940">
                  <w:pPr>
                    <w:pStyle w:val="TableBodyText"/>
                  </w:pPr>
                  <w:r w:rsidRPr="00EF7969">
                    <w:t>469</w:t>
                  </w:r>
                </w:p>
              </w:tc>
            </w:tr>
            <w:tr w:rsidR="009C6940" w:rsidRPr="00EF7969" w14:paraId="6386E090" w14:textId="77777777" w:rsidTr="009C6940">
              <w:tc>
                <w:tcPr>
                  <w:tcW w:w="6377" w:type="dxa"/>
                  <w:shd w:val="clear" w:color="auto" w:fill="auto"/>
                </w:tcPr>
                <w:p w14:paraId="7617A616" w14:textId="77777777" w:rsidR="009C6940" w:rsidRPr="00EF7969" w:rsidRDefault="009C6940" w:rsidP="009C6940">
                  <w:pPr>
                    <w:pStyle w:val="TableBodyText"/>
                    <w:jc w:val="left"/>
                  </w:pPr>
                  <w:r w:rsidRPr="00EF7969">
                    <w:t>Kristy Mounsey</w:t>
                  </w:r>
                </w:p>
              </w:tc>
              <w:tc>
                <w:tcPr>
                  <w:tcW w:w="2126" w:type="dxa"/>
                  <w:shd w:val="clear" w:color="auto" w:fill="auto"/>
                </w:tcPr>
                <w:p w14:paraId="044B9B06" w14:textId="77777777" w:rsidR="009C6940" w:rsidRPr="00EF7969" w:rsidRDefault="009C6940" w:rsidP="009C6940">
                  <w:pPr>
                    <w:pStyle w:val="TableBodyText"/>
                  </w:pPr>
                  <w:r w:rsidRPr="00EF7969">
                    <w:t>615</w:t>
                  </w:r>
                </w:p>
              </w:tc>
            </w:tr>
            <w:tr w:rsidR="009C6940" w:rsidRPr="00EF7969" w14:paraId="6BD930FB" w14:textId="77777777" w:rsidTr="009C6940">
              <w:tc>
                <w:tcPr>
                  <w:tcW w:w="6377" w:type="dxa"/>
                  <w:shd w:val="clear" w:color="auto" w:fill="auto"/>
                </w:tcPr>
                <w:p w14:paraId="4861D4AC" w14:textId="77777777" w:rsidR="009C6940" w:rsidRPr="00EF7969" w:rsidRDefault="009C6940" w:rsidP="009C6940">
                  <w:pPr>
                    <w:pStyle w:val="TableBodyText"/>
                    <w:jc w:val="left"/>
                  </w:pPr>
                  <w:r w:rsidRPr="00EF7969">
                    <w:t>Krystyna Delaney</w:t>
                  </w:r>
                </w:p>
              </w:tc>
              <w:tc>
                <w:tcPr>
                  <w:tcW w:w="2126" w:type="dxa"/>
                  <w:shd w:val="clear" w:color="auto" w:fill="auto"/>
                </w:tcPr>
                <w:p w14:paraId="6C289496" w14:textId="77777777" w:rsidR="009C6940" w:rsidRPr="00EF7969" w:rsidRDefault="009C6940" w:rsidP="009C6940">
                  <w:pPr>
                    <w:pStyle w:val="TableBodyText"/>
                  </w:pPr>
                  <w:r w:rsidRPr="00EF7969">
                    <w:t>1013</w:t>
                  </w:r>
                </w:p>
              </w:tc>
            </w:tr>
            <w:tr w:rsidR="009C6940" w:rsidRPr="00EF7969" w14:paraId="53920FD7" w14:textId="77777777" w:rsidTr="009C6940">
              <w:tc>
                <w:tcPr>
                  <w:tcW w:w="6377" w:type="dxa"/>
                  <w:shd w:val="clear" w:color="auto" w:fill="auto"/>
                </w:tcPr>
                <w:p w14:paraId="0638FC02" w14:textId="77777777" w:rsidR="009C6940" w:rsidRPr="00EF7969" w:rsidRDefault="009C6940" w:rsidP="009C6940">
                  <w:pPr>
                    <w:pStyle w:val="TableBodyText"/>
                    <w:jc w:val="left"/>
                  </w:pPr>
                  <w:r w:rsidRPr="00EF7969">
                    <w:t>Kuo-chen Lo</w:t>
                  </w:r>
                </w:p>
              </w:tc>
              <w:tc>
                <w:tcPr>
                  <w:tcW w:w="2126" w:type="dxa"/>
                  <w:shd w:val="clear" w:color="auto" w:fill="auto"/>
                </w:tcPr>
                <w:p w14:paraId="53287EB7" w14:textId="77777777" w:rsidR="009C6940" w:rsidRPr="00EF7969" w:rsidRDefault="009C6940" w:rsidP="009C6940">
                  <w:pPr>
                    <w:pStyle w:val="TableBodyText"/>
                  </w:pPr>
                  <w:r w:rsidRPr="00EF7969">
                    <w:t>1135</w:t>
                  </w:r>
                </w:p>
              </w:tc>
            </w:tr>
            <w:tr w:rsidR="009C6940" w:rsidRPr="00EF7969" w14:paraId="2C4042BC" w14:textId="77777777" w:rsidTr="009C6940">
              <w:tc>
                <w:tcPr>
                  <w:tcW w:w="6377" w:type="dxa"/>
                  <w:shd w:val="clear" w:color="auto" w:fill="auto"/>
                </w:tcPr>
                <w:p w14:paraId="25769162" w14:textId="77777777" w:rsidR="009C6940" w:rsidRPr="00EF7969" w:rsidRDefault="009C6940" w:rsidP="009C6940">
                  <w:pPr>
                    <w:pStyle w:val="TableBodyText"/>
                    <w:jc w:val="left"/>
                  </w:pPr>
                  <w:r w:rsidRPr="00EF7969">
                    <w:t>KYDS Youth Development Service (KYDS)</w:t>
                  </w:r>
                </w:p>
              </w:tc>
              <w:tc>
                <w:tcPr>
                  <w:tcW w:w="2126" w:type="dxa"/>
                  <w:shd w:val="clear" w:color="auto" w:fill="auto"/>
                </w:tcPr>
                <w:p w14:paraId="50B4341E" w14:textId="77777777" w:rsidR="009C6940" w:rsidRPr="00EF7969" w:rsidRDefault="009C6940" w:rsidP="009C6940">
                  <w:pPr>
                    <w:pStyle w:val="TableBodyText"/>
                  </w:pPr>
                  <w:r w:rsidRPr="00EF7969">
                    <w:t>166</w:t>
                  </w:r>
                </w:p>
              </w:tc>
            </w:tr>
            <w:tr w:rsidR="009C6940" w:rsidRPr="00EF7969" w14:paraId="56822383" w14:textId="77777777" w:rsidTr="009C6940">
              <w:tc>
                <w:tcPr>
                  <w:tcW w:w="6377" w:type="dxa"/>
                  <w:shd w:val="clear" w:color="auto" w:fill="auto"/>
                </w:tcPr>
                <w:p w14:paraId="384CE5FD" w14:textId="77777777" w:rsidR="009C6940" w:rsidRPr="00EF7969" w:rsidRDefault="009C6940" w:rsidP="009C6940">
                  <w:pPr>
                    <w:pStyle w:val="TableBodyText"/>
                    <w:jc w:val="left"/>
                  </w:pPr>
                  <w:r w:rsidRPr="00EF7969">
                    <w:t>Kylia Steele</w:t>
                  </w:r>
                </w:p>
              </w:tc>
              <w:tc>
                <w:tcPr>
                  <w:tcW w:w="2126" w:type="dxa"/>
                  <w:shd w:val="clear" w:color="auto" w:fill="auto"/>
                </w:tcPr>
                <w:p w14:paraId="791FDD85" w14:textId="77777777" w:rsidR="009C6940" w:rsidRPr="00EF7969" w:rsidRDefault="009C6940" w:rsidP="009C6940">
                  <w:pPr>
                    <w:pStyle w:val="TableBodyText"/>
                  </w:pPr>
                  <w:r w:rsidRPr="00EF7969">
                    <w:t>968</w:t>
                  </w:r>
                </w:p>
              </w:tc>
            </w:tr>
            <w:tr w:rsidR="009C6940" w:rsidRPr="00EF7969" w14:paraId="501F930F" w14:textId="77777777" w:rsidTr="009C6940">
              <w:tc>
                <w:tcPr>
                  <w:tcW w:w="6377" w:type="dxa"/>
                  <w:shd w:val="clear" w:color="auto" w:fill="auto"/>
                </w:tcPr>
                <w:p w14:paraId="59993D84" w14:textId="77777777" w:rsidR="009C6940" w:rsidRPr="00EF7969" w:rsidRDefault="009C6940" w:rsidP="009C6940">
                  <w:pPr>
                    <w:pStyle w:val="TableBodyText"/>
                    <w:jc w:val="left"/>
                  </w:pPr>
                  <w:r w:rsidRPr="00EF7969">
                    <w:t>Latrobe Health Advocate</w:t>
                  </w:r>
                </w:p>
              </w:tc>
              <w:tc>
                <w:tcPr>
                  <w:tcW w:w="2126" w:type="dxa"/>
                  <w:shd w:val="clear" w:color="auto" w:fill="auto"/>
                </w:tcPr>
                <w:p w14:paraId="66D9E47E" w14:textId="77777777" w:rsidR="009C6940" w:rsidRPr="00EF7969" w:rsidRDefault="009C6940" w:rsidP="009C6940">
                  <w:pPr>
                    <w:pStyle w:val="TableBodyText"/>
                  </w:pPr>
                  <w:r w:rsidRPr="00EF7969">
                    <w:t>364</w:t>
                  </w:r>
                </w:p>
              </w:tc>
            </w:tr>
            <w:tr w:rsidR="009C6940" w:rsidRPr="00EF7969" w14:paraId="611B1AFE" w14:textId="77777777" w:rsidTr="009C6940">
              <w:tc>
                <w:tcPr>
                  <w:tcW w:w="6377" w:type="dxa"/>
                  <w:shd w:val="clear" w:color="auto" w:fill="auto"/>
                </w:tcPr>
                <w:p w14:paraId="665985C2" w14:textId="77777777" w:rsidR="009C6940" w:rsidRPr="00EF7969" w:rsidRDefault="009C6940" w:rsidP="009C6940">
                  <w:pPr>
                    <w:pStyle w:val="TableBodyText"/>
                    <w:jc w:val="left"/>
                  </w:pPr>
                  <w:r w:rsidRPr="00EF7969">
                    <w:t>Launch Housing</w:t>
                  </w:r>
                </w:p>
              </w:tc>
              <w:tc>
                <w:tcPr>
                  <w:tcW w:w="2126" w:type="dxa"/>
                  <w:shd w:val="clear" w:color="auto" w:fill="auto"/>
                </w:tcPr>
                <w:p w14:paraId="136D3F1E" w14:textId="77777777" w:rsidR="009C6940" w:rsidRPr="00EF7969" w:rsidRDefault="009C6940" w:rsidP="009C6940">
                  <w:pPr>
                    <w:pStyle w:val="TableBodyText"/>
                  </w:pPr>
                  <w:r w:rsidRPr="00EF7969">
                    <w:t>250, 764</w:t>
                  </w:r>
                </w:p>
              </w:tc>
            </w:tr>
            <w:tr w:rsidR="009C6940" w:rsidRPr="00EF7969" w14:paraId="79E325AE" w14:textId="77777777" w:rsidTr="009C6940">
              <w:tc>
                <w:tcPr>
                  <w:tcW w:w="6377" w:type="dxa"/>
                  <w:shd w:val="clear" w:color="auto" w:fill="auto"/>
                </w:tcPr>
                <w:p w14:paraId="67E76BD8" w14:textId="77777777" w:rsidR="009C6940" w:rsidRPr="00EF7969" w:rsidRDefault="009C6940" w:rsidP="009C6940">
                  <w:pPr>
                    <w:pStyle w:val="TableBodyText"/>
                    <w:jc w:val="left"/>
                  </w:pPr>
                  <w:r w:rsidRPr="00EF7969">
                    <w:t>Lauren Jarvis</w:t>
                  </w:r>
                </w:p>
              </w:tc>
              <w:tc>
                <w:tcPr>
                  <w:tcW w:w="2126" w:type="dxa"/>
                  <w:shd w:val="clear" w:color="auto" w:fill="auto"/>
                </w:tcPr>
                <w:p w14:paraId="34213B0D" w14:textId="77777777" w:rsidR="009C6940" w:rsidRPr="00EF7969" w:rsidRDefault="009C6940" w:rsidP="009C6940">
                  <w:pPr>
                    <w:pStyle w:val="TableBodyText"/>
                  </w:pPr>
                  <w:r w:rsidRPr="00EF7969">
                    <w:t>958</w:t>
                  </w:r>
                </w:p>
              </w:tc>
            </w:tr>
            <w:tr w:rsidR="009C6940" w:rsidRPr="00EF7969" w14:paraId="52D029F2" w14:textId="77777777" w:rsidTr="009C6940">
              <w:tc>
                <w:tcPr>
                  <w:tcW w:w="6377" w:type="dxa"/>
                  <w:shd w:val="clear" w:color="auto" w:fill="auto"/>
                </w:tcPr>
                <w:p w14:paraId="1A297AC0" w14:textId="77777777" w:rsidR="009C6940" w:rsidRPr="00EF7969" w:rsidRDefault="009C6940" w:rsidP="009C6940">
                  <w:pPr>
                    <w:pStyle w:val="TableBodyText"/>
                    <w:jc w:val="left"/>
                  </w:pPr>
                  <w:r w:rsidRPr="00EF7969">
                    <w:t>Laurence West</w:t>
                  </w:r>
                </w:p>
              </w:tc>
              <w:tc>
                <w:tcPr>
                  <w:tcW w:w="2126" w:type="dxa"/>
                  <w:shd w:val="clear" w:color="auto" w:fill="auto"/>
                </w:tcPr>
                <w:p w14:paraId="4456D903" w14:textId="77777777" w:rsidR="009C6940" w:rsidRPr="00EF7969" w:rsidRDefault="009C6940" w:rsidP="009C6940">
                  <w:pPr>
                    <w:pStyle w:val="TableBodyText"/>
                  </w:pPr>
                  <w:r w:rsidRPr="00EF7969">
                    <w:t>541</w:t>
                  </w:r>
                </w:p>
              </w:tc>
            </w:tr>
            <w:tr w:rsidR="009C6940" w:rsidRPr="00EF7969" w14:paraId="0ECF5AF3" w14:textId="77777777" w:rsidTr="009C6940">
              <w:tc>
                <w:tcPr>
                  <w:tcW w:w="6377" w:type="dxa"/>
                  <w:shd w:val="clear" w:color="auto" w:fill="auto"/>
                </w:tcPr>
                <w:p w14:paraId="16E60B4C" w14:textId="77777777" w:rsidR="009C6940" w:rsidRPr="00EF7969" w:rsidRDefault="009C6940" w:rsidP="009C6940">
                  <w:pPr>
                    <w:pStyle w:val="TableBodyText"/>
                    <w:jc w:val="left"/>
                  </w:pPr>
                  <w:r w:rsidRPr="00EF7969">
                    <w:t>Law Council of Australia</w:t>
                  </w:r>
                </w:p>
              </w:tc>
              <w:tc>
                <w:tcPr>
                  <w:tcW w:w="2126" w:type="dxa"/>
                  <w:shd w:val="clear" w:color="auto" w:fill="auto"/>
                </w:tcPr>
                <w:p w14:paraId="124C290C" w14:textId="77777777" w:rsidR="009C6940" w:rsidRPr="00EF7969" w:rsidRDefault="009C6940" w:rsidP="009C6940">
                  <w:pPr>
                    <w:pStyle w:val="TableBodyText"/>
                  </w:pPr>
                  <w:r w:rsidRPr="00EF7969">
                    <w:t>492, 1204</w:t>
                  </w:r>
                </w:p>
              </w:tc>
            </w:tr>
            <w:tr w:rsidR="009C6940" w:rsidRPr="00EF7969" w14:paraId="180A0904" w14:textId="77777777" w:rsidTr="009C6940">
              <w:tc>
                <w:tcPr>
                  <w:tcW w:w="6377" w:type="dxa"/>
                  <w:shd w:val="clear" w:color="auto" w:fill="auto"/>
                </w:tcPr>
                <w:p w14:paraId="43E0C87C" w14:textId="77777777" w:rsidR="009C6940" w:rsidRPr="00EF7969" w:rsidRDefault="009C6940" w:rsidP="009C6940">
                  <w:pPr>
                    <w:pStyle w:val="TableBodyText"/>
                    <w:jc w:val="left"/>
                  </w:pPr>
                  <w:r w:rsidRPr="00EF7969">
                    <w:t>Leah Hutching</w:t>
                  </w:r>
                </w:p>
              </w:tc>
              <w:tc>
                <w:tcPr>
                  <w:tcW w:w="2126" w:type="dxa"/>
                  <w:shd w:val="clear" w:color="auto" w:fill="auto"/>
                </w:tcPr>
                <w:p w14:paraId="21781D55" w14:textId="77777777" w:rsidR="009C6940" w:rsidRPr="00EF7969" w:rsidRDefault="009C6940" w:rsidP="009C6940">
                  <w:pPr>
                    <w:pStyle w:val="TableBodyText"/>
                  </w:pPr>
                  <w:r w:rsidRPr="00EF7969">
                    <w:t>1080</w:t>
                  </w:r>
                </w:p>
              </w:tc>
            </w:tr>
            <w:tr w:rsidR="009C6940" w:rsidRPr="00EF7969" w14:paraId="147CACC2" w14:textId="77777777" w:rsidTr="009C6940">
              <w:tc>
                <w:tcPr>
                  <w:tcW w:w="6377" w:type="dxa"/>
                  <w:shd w:val="clear" w:color="auto" w:fill="auto"/>
                </w:tcPr>
                <w:p w14:paraId="5408AEB3" w14:textId="77777777" w:rsidR="009C6940" w:rsidRPr="00EF7969" w:rsidRDefault="009C6940" w:rsidP="009C6940">
                  <w:pPr>
                    <w:pStyle w:val="TableBodyText"/>
                    <w:jc w:val="left"/>
                  </w:pPr>
                  <w:r w:rsidRPr="00EF7969">
                    <w:t>Leanne Hansen</w:t>
                  </w:r>
                </w:p>
              </w:tc>
              <w:tc>
                <w:tcPr>
                  <w:tcW w:w="2126" w:type="dxa"/>
                  <w:shd w:val="clear" w:color="auto" w:fill="auto"/>
                </w:tcPr>
                <w:p w14:paraId="6C22F778" w14:textId="77777777" w:rsidR="009C6940" w:rsidRPr="00EF7969" w:rsidRDefault="009C6940" w:rsidP="009C6940">
                  <w:pPr>
                    <w:pStyle w:val="TableBodyText"/>
                  </w:pPr>
                  <w:r w:rsidRPr="00EF7969">
                    <w:t>1031</w:t>
                  </w:r>
                </w:p>
              </w:tc>
            </w:tr>
            <w:tr w:rsidR="009C6940" w:rsidRPr="00EF7969" w14:paraId="19E49C4F" w14:textId="77777777" w:rsidTr="009C6940">
              <w:tc>
                <w:tcPr>
                  <w:tcW w:w="6377" w:type="dxa"/>
                  <w:shd w:val="clear" w:color="auto" w:fill="auto"/>
                </w:tcPr>
                <w:p w14:paraId="0DFC5330" w14:textId="77777777" w:rsidR="009C6940" w:rsidRPr="00EF7969" w:rsidRDefault="009C6940" w:rsidP="009C6940">
                  <w:pPr>
                    <w:pStyle w:val="TableBodyText"/>
                    <w:jc w:val="left"/>
                  </w:pPr>
                  <w:r w:rsidRPr="00EF7969">
                    <w:t>Leanne McGregor, Vikki Prior and Camille Fitzgerald</w:t>
                  </w:r>
                </w:p>
              </w:tc>
              <w:tc>
                <w:tcPr>
                  <w:tcW w:w="2126" w:type="dxa"/>
                  <w:shd w:val="clear" w:color="auto" w:fill="auto"/>
                </w:tcPr>
                <w:p w14:paraId="24102192" w14:textId="77777777" w:rsidR="009C6940" w:rsidRPr="00EF7969" w:rsidRDefault="009C6940" w:rsidP="009C6940">
                  <w:pPr>
                    <w:pStyle w:val="TableBodyText"/>
                  </w:pPr>
                  <w:r w:rsidRPr="00EF7969">
                    <w:t>481</w:t>
                  </w:r>
                </w:p>
              </w:tc>
            </w:tr>
            <w:tr w:rsidR="009C6940" w:rsidRPr="00EF7969" w14:paraId="640C5073" w14:textId="77777777" w:rsidTr="009C6940">
              <w:tc>
                <w:tcPr>
                  <w:tcW w:w="6377" w:type="dxa"/>
                  <w:shd w:val="clear" w:color="auto" w:fill="auto"/>
                </w:tcPr>
                <w:p w14:paraId="724D3400" w14:textId="77777777" w:rsidR="009C6940" w:rsidRPr="00EF7969" w:rsidRDefault="009C6940" w:rsidP="009C6940">
                  <w:pPr>
                    <w:pStyle w:val="TableBodyText"/>
                    <w:jc w:val="left"/>
                  </w:pPr>
                  <w:r w:rsidRPr="00EF7969">
                    <w:t>Lee Rogers</w:t>
                  </w:r>
                </w:p>
              </w:tc>
              <w:tc>
                <w:tcPr>
                  <w:tcW w:w="2126" w:type="dxa"/>
                  <w:shd w:val="clear" w:color="auto" w:fill="auto"/>
                </w:tcPr>
                <w:p w14:paraId="16D0D1C6" w14:textId="77777777" w:rsidR="009C6940" w:rsidRPr="00EF7969" w:rsidRDefault="009C6940" w:rsidP="009C6940">
                  <w:pPr>
                    <w:pStyle w:val="TableBodyText"/>
                  </w:pPr>
                  <w:r w:rsidRPr="00EF7969">
                    <w:t>995</w:t>
                  </w:r>
                </w:p>
              </w:tc>
            </w:tr>
            <w:tr w:rsidR="009C6940" w:rsidRPr="00EF7969" w14:paraId="71ECE494" w14:textId="77777777" w:rsidTr="009C6940">
              <w:tc>
                <w:tcPr>
                  <w:tcW w:w="6377" w:type="dxa"/>
                  <w:shd w:val="clear" w:color="auto" w:fill="auto"/>
                </w:tcPr>
                <w:p w14:paraId="47773C78" w14:textId="77777777" w:rsidR="009C6940" w:rsidRPr="00EF7969" w:rsidRDefault="009C6940" w:rsidP="009C6940">
                  <w:pPr>
                    <w:pStyle w:val="TableBodyText"/>
                    <w:jc w:val="left"/>
                  </w:pPr>
                  <w:r w:rsidRPr="00EF7969">
                    <w:t>Legal Aid ACT</w:t>
                  </w:r>
                </w:p>
              </w:tc>
              <w:tc>
                <w:tcPr>
                  <w:tcW w:w="2126" w:type="dxa"/>
                  <w:shd w:val="clear" w:color="auto" w:fill="auto"/>
                </w:tcPr>
                <w:p w14:paraId="4457A8A0" w14:textId="77777777" w:rsidR="009C6940" w:rsidRPr="00EF7969" w:rsidRDefault="009C6940" w:rsidP="009C6940">
                  <w:pPr>
                    <w:pStyle w:val="TableBodyText"/>
                  </w:pPr>
                  <w:r w:rsidRPr="00EF7969">
                    <w:t>363</w:t>
                  </w:r>
                </w:p>
              </w:tc>
            </w:tr>
            <w:tr w:rsidR="009C6940" w:rsidRPr="00EF7969" w14:paraId="7786669C" w14:textId="77777777" w:rsidTr="009C6940">
              <w:tc>
                <w:tcPr>
                  <w:tcW w:w="6377" w:type="dxa"/>
                  <w:shd w:val="clear" w:color="auto" w:fill="auto"/>
                </w:tcPr>
                <w:p w14:paraId="2809F588" w14:textId="77777777" w:rsidR="009C6940" w:rsidRPr="00EF7969" w:rsidRDefault="009C6940" w:rsidP="009C6940">
                  <w:pPr>
                    <w:pStyle w:val="TableBodyText"/>
                    <w:jc w:val="left"/>
                  </w:pPr>
                  <w:r w:rsidRPr="00EF7969">
                    <w:t>Legal Aid NSW</w:t>
                  </w:r>
                </w:p>
              </w:tc>
              <w:tc>
                <w:tcPr>
                  <w:tcW w:w="2126" w:type="dxa"/>
                  <w:shd w:val="clear" w:color="auto" w:fill="auto"/>
                </w:tcPr>
                <w:p w14:paraId="211D2E50" w14:textId="77777777" w:rsidR="009C6940" w:rsidRPr="00EF7969" w:rsidRDefault="009C6940" w:rsidP="009C6940">
                  <w:pPr>
                    <w:pStyle w:val="TableBodyText"/>
                  </w:pPr>
                  <w:r w:rsidRPr="00EF7969">
                    <w:t>111</w:t>
                  </w:r>
                </w:p>
              </w:tc>
            </w:tr>
            <w:tr w:rsidR="009C6940" w:rsidRPr="00EF7969" w14:paraId="2AF63C72" w14:textId="77777777" w:rsidTr="009C6940">
              <w:tc>
                <w:tcPr>
                  <w:tcW w:w="6377" w:type="dxa"/>
                  <w:shd w:val="clear" w:color="auto" w:fill="auto"/>
                </w:tcPr>
                <w:p w14:paraId="7A1B6DAC" w14:textId="77777777" w:rsidR="009C6940" w:rsidRPr="00EF7969" w:rsidRDefault="009C6940" w:rsidP="009C6940">
                  <w:pPr>
                    <w:pStyle w:val="TableBodyText"/>
                    <w:jc w:val="left"/>
                  </w:pPr>
                  <w:r w:rsidRPr="00EF7969">
                    <w:t>Leigh Price</w:t>
                  </w:r>
                </w:p>
              </w:tc>
              <w:tc>
                <w:tcPr>
                  <w:tcW w:w="2126" w:type="dxa"/>
                  <w:shd w:val="clear" w:color="auto" w:fill="auto"/>
                </w:tcPr>
                <w:p w14:paraId="094B5B32" w14:textId="77777777" w:rsidR="009C6940" w:rsidRPr="00EF7969" w:rsidRDefault="009C6940" w:rsidP="009C6940">
                  <w:pPr>
                    <w:pStyle w:val="TableBodyText"/>
                  </w:pPr>
                  <w:r w:rsidRPr="00EF7969">
                    <w:t>1123</w:t>
                  </w:r>
                </w:p>
              </w:tc>
            </w:tr>
            <w:tr w:rsidR="009C6940" w:rsidRPr="00EF7969" w14:paraId="4DF71373" w14:textId="77777777" w:rsidTr="009C6940">
              <w:tc>
                <w:tcPr>
                  <w:tcW w:w="6377" w:type="dxa"/>
                  <w:shd w:val="clear" w:color="auto" w:fill="auto"/>
                </w:tcPr>
                <w:p w14:paraId="4379AC7E" w14:textId="77777777" w:rsidR="009C6940" w:rsidRPr="00EF7969" w:rsidRDefault="009C6940" w:rsidP="009C6940">
                  <w:pPr>
                    <w:pStyle w:val="TableBodyText"/>
                    <w:jc w:val="left"/>
                  </w:pPr>
                  <w:r w:rsidRPr="00EF7969">
                    <w:t>Leonard Collen</w:t>
                  </w:r>
                </w:p>
              </w:tc>
              <w:tc>
                <w:tcPr>
                  <w:tcW w:w="2126" w:type="dxa"/>
                  <w:shd w:val="clear" w:color="auto" w:fill="auto"/>
                </w:tcPr>
                <w:p w14:paraId="2DDB37C4" w14:textId="77777777" w:rsidR="009C6940" w:rsidRPr="00EF7969" w:rsidRDefault="009C6940" w:rsidP="009C6940">
                  <w:pPr>
                    <w:pStyle w:val="TableBodyText"/>
                  </w:pPr>
                  <w:r w:rsidRPr="00EF7969">
                    <w:t>979</w:t>
                  </w:r>
                </w:p>
              </w:tc>
            </w:tr>
            <w:tr w:rsidR="009C6940" w:rsidRPr="00EF7969" w14:paraId="4B0E8F9C" w14:textId="77777777" w:rsidTr="009C6940">
              <w:tc>
                <w:tcPr>
                  <w:tcW w:w="6377" w:type="dxa"/>
                  <w:shd w:val="clear" w:color="auto" w:fill="auto"/>
                </w:tcPr>
                <w:p w14:paraId="1AB1F3ED" w14:textId="77777777" w:rsidR="009C6940" w:rsidRPr="00EF7969" w:rsidRDefault="009C6940" w:rsidP="009C6940">
                  <w:pPr>
                    <w:pStyle w:val="TableBodyText"/>
                    <w:jc w:val="left"/>
                  </w:pPr>
                  <w:r w:rsidRPr="00EF7969">
                    <w:t>Leonie Segal and Jackie Amos</w:t>
                  </w:r>
                </w:p>
              </w:tc>
              <w:tc>
                <w:tcPr>
                  <w:tcW w:w="2126" w:type="dxa"/>
                  <w:shd w:val="clear" w:color="auto" w:fill="auto"/>
                </w:tcPr>
                <w:p w14:paraId="37E79A13" w14:textId="77777777" w:rsidR="009C6940" w:rsidRPr="00EF7969" w:rsidRDefault="009C6940" w:rsidP="009C6940">
                  <w:pPr>
                    <w:pStyle w:val="TableBodyText"/>
                  </w:pPr>
                  <w:r w:rsidRPr="00EF7969">
                    <w:t>468</w:t>
                  </w:r>
                </w:p>
              </w:tc>
            </w:tr>
            <w:tr w:rsidR="009C6940" w:rsidRPr="00EF7969" w14:paraId="4CB48A21" w14:textId="77777777" w:rsidTr="009C6940">
              <w:tc>
                <w:tcPr>
                  <w:tcW w:w="6377" w:type="dxa"/>
                  <w:shd w:val="clear" w:color="auto" w:fill="auto"/>
                </w:tcPr>
                <w:p w14:paraId="08A8432B" w14:textId="77777777" w:rsidR="009C6940" w:rsidRPr="00EF7969" w:rsidRDefault="009C6940" w:rsidP="009C6940">
                  <w:pPr>
                    <w:pStyle w:val="TableBodyText"/>
                    <w:jc w:val="left"/>
                  </w:pPr>
                  <w:r w:rsidRPr="00EF7969">
                    <w:t>Let Sleep Happen</w:t>
                  </w:r>
                </w:p>
              </w:tc>
              <w:tc>
                <w:tcPr>
                  <w:tcW w:w="2126" w:type="dxa"/>
                  <w:shd w:val="clear" w:color="auto" w:fill="auto"/>
                </w:tcPr>
                <w:p w14:paraId="3A2586E3" w14:textId="77777777" w:rsidR="009C6940" w:rsidRPr="00EF7969" w:rsidRDefault="009C6940" w:rsidP="009C6940">
                  <w:pPr>
                    <w:pStyle w:val="TableBodyText"/>
                  </w:pPr>
                  <w:r w:rsidRPr="00EF7969">
                    <w:t>607</w:t>
                  </w:r>
                </w:p>
              </w:tc>
            </w:tr>
            <w:tr w:rsidR="009C6940" w:rsidRPr="00EF7969" w14:paraId="4FF5D33E" w14:textId="77777777" w:rsidTr="009C6940">
              <w:tc>
                <w:tcPr>
                  <w:tcW w:w="6377" w:type="dxa"/>
                  <w:shd w:val="clear" w:color="auto" w:fill="auto"/>
                </w:tcPr>
                <w:p w14:paraId="452401C2" w14:textId="77777777" w:rsidR="009C6940" w:rsidRPr="00EF7969" w:rsidRDefault="009C6940" w:rsidP="009C6940">
                  <w:pPr>
                    <w:pStyle w:val="TableBodyText"/>
                    <w:jc w:val="left"/>
                  </w:pPr>
                  <w:r w:rsidRPr="00EF7969">
                    <w:t>Lidia Di Lembo</w:t>
                  </w:r>
                </w:p>
              </w:tc>
              <w:tc>
                <w:tcPr>
                  <w:tcW w:w="2126" w:type="dxa"/>
                  <w:shd w:val="clear" w:color="auto" w:fill="auto"/>
                </w:tcPr>
                <w:p w14:paraId="11644D4A" w14:textId="77777777" w:rsidR="009C6940" w:rsidRPr="00EF7969" w:rsidRDefault="009C6940" w:rsidP="009C6940">
                  <w:pPr>
                    <w:pStyle w:val="TableBodyText"/>
                  </w:pPr>
                  <w:r w:rsidRPr="00EF7969">
                    <w:t>354</w:t>
                  </w:r>
                </w:p>
              </w:tc>
            </w:tr>
            <w:tr w:rsidR="009C6940" w:rsidRPr="00EF7969" w14:paraId="76A05761" w14:textId="77777777" w:rsidTr="009C6940">
              <w:tc>
                <w:tcPr>
                  <w:tcW w:w="6377" w:type="dxa"/>
                  <w:shd w:val="clear" w:color="auto" w:fill="auto"/>
                </w:tcPr>
                <w:p w14:paraId="24B5D6AE" w14:textId="77777777" w:rsidR="009C6940" w:rsidRPr="00EF7969" w:rsidRDefault="009C6940" w:rsidP="009C6940">
                  <w:pPr>
                    <w:pStyle w:val="TableBodyText"/>
                    <w:jc w:val="left"/>
                  </w:pPr>
                  <w:r w:rsidRPr="00EF7969">
                    <w:t>Life After Scams Ltd</w:t>
                  </w:r>
                </w:p>
              </w:tc>
              <w:tc>
                <w:tcPr>
                  <w:tcW w:w="2126" w:type="dxa"/>
                  <w:shd w:val="clear" w:color="auto" w:fill="auto"/>
                </w:tcPr>
                <w:p w14:paraId="6EF98CED" w14:textId="77777777" w:rsidR="009C6940" w:rsidRPr="00EF7969" w:rsidRDefault="009C6940" w:rsidP="009C6940">
                  <w:pPr>
                    <w:pStyle w:val="TableBodyText"/>
                  </w:pPr>
                  <w:r w:rsidRPr="00EF7969">
                    <w:t>319</w:t>
                  </w:r>
                </w:p>
              </w:tc>
            </w:tr>
            <w:tr w:rsidR="009C6940" w:rsidRPr="00EF7969" w14:paraId="658BDCD8" w14:textId="77777777" w:rsidTr="009C6940">
              <w:tc>
                <w:tcPr>
                  <w:tcW w:w="6377" w:type="dxa"/>
                  <w:shd w:val="clear" w:color="auto" w:fill="auto"/>
                </w:tcPr>
                <w:p w14:paraId="00452B0A" w14:textId="77777777" w:rsidR="009C6940" w:rsidRPr="00EF7969" w:rsidRDefault="009C6940" w:rsidP="009C6940">
                  <w:pPr>
                    <w:pStyle w:val="TableBodyText"/>
                    <w:jc w:val="left"/>
                  </w:pPr>
                  <w:r w:rsidRPr="00EF7969">
                    <w:t>Life Engineering TM</w:t>
                  </w:r>
                </w:p>
              </w:tc>
              <w:tc>
                <w:tcPr>
                  <w:tcW w:w="2126" w:type="dxa"/>
                  <w:shd w:val="clear" w:color="auto" w:fill="auto"/>
                </w:tcPr>
                <w:p w14:paraId="7890C96A" w14:textId="77777777" w:rsidR="009C6940" w:rsidRPr="00EF7969" w:rsidRDefault="009C6940" w:rsidP="009C6940">
                  <w:pPr>
                    <w:pStyle w:val="TableBodyText"/>
                  </w:pPr>
                  <w:r w:rsidRPr="00EF7969">
                    <w:t>69</w:t>
                  </w:r>
                </w:p>
              </w:tc>
            </w:tr>
            <w:tr w:rsidR="009C6940" w:rsidRPr="00EF7969" w14:paraId="7886EFC2" w14:textId="77777777" w:rsidTr="009C6940">
              <w:tc>
                <w:tcPr>
                  <w:tcW w:w="6377" w:type="dxa"/>
                  <w:shd w:val="clear" w:color="auto" w:fill="auto"/>
                </w:tcPr>
                <w:p w14:paraId="41A443ED" w14:textId="77777777" w:rsidR="009C6940" w:rsidRPr="00EF7969" w:rsidRDefault="009C6940" w:rsidP="009C6940">
                  <w:pPr>
                    <w:pStyle w:val="TableBodyText"/>
                    <w:jc w:val="left"/>
                  </w:pPr>
                  <w:r w:rsidRPr="00EF7969">
                    <w:t>Life Insurance Industry</w:t>
                  </w:r>
                </w:p>
              </w:tc>
              <w:tc>
                <w:tcPr>
                  <w:tcW w:w="2126" w:type="dxa"/>
                  <w:shd w:val="clear" w:color="auto" w:fill="auto"/>
                </w:tcPr>
                <w:p w14:paraId="55CEC5CB" w14:textId="77777777" w:rsidR="009C6940" w:rsidRPr="00EF7969" w:rsidRDefault="009C6940" w:rsidP="009C6940">
                  <w:pPr>
                    <w:pStyle w:val="TableBodyText"/>
                  </w:pPr>
                  <w:r w:rsidRPr="00EF7969">
                    <w:t>821</w:t>
                  </w:r>
                </w:p>
              </w:tc>
            </w:tr>
            <w:tr w:rsidR="009C6940" w:rsidRPr="00EF7969" w14:paraId="4245A07A" w14:textId="77777777" w:rsidTr="009C6940">
              <w:tc>
                <w:tcPr>
                  <w:tcW w:w="6377" w:type="dxa"/>
                  <w:shd w:val="clear" w:color="auto" w:fill="auto"/>
                </w:tcPr>
                <w:p w14:paraId="6BA8DEB5" w14:textId="77777777" w:rsidR="009C6940" w:rsidRPr="00EF7969" w:rsidRDefault="009C6940" w:rsidP="009C6940">
                  <w:pPr>
                    <w:pStyle w:val="TableBodyText"/>
                    <w:jc w:val="left"/>
                  </w:pPr>
                  <w:r w:rsidRPr="00EF7969">
                    <w:t>Lifeline Australia</w:t>
                  </w:r>
                </w:p>
              </w:tc>
              <w:tc>
                <w:tcPr>
                  <w:tcW w:w="2126" w:type="dxa"/>
                  <w:shd w:val="clear" w:color="auto" w:fill="auto"/>
                </w:tcPr>
                <w:p w14:paraId="4874C20F" w14:textId="77777777" w:rsidR="009C6940" w:rsidRPr="00EF7969" w:rsidRDefault="009C6940" w:rsidP="009C6940">
                  <w:pPr>
                    <w:pStyle w:val="TableBodyText"/>
                  </w:pPr>
                  <w:r w:rsidRPr="00EF7969">
                    <w:t>87</w:t>
                  </w:r>
                </w:p>
              </w:tc>
            </w:tr>
            <w:tr w:rsidR="009C6940" w:rsidRPr="00EF7969" w14:paraId="1F100FBC" w14:textId="77777777" w:rsidTr="009C6940">
              <w:tc>
                <w:tcPr>
                  <w:tcW w:w="6377" w:type="dxa"/>
                  <w:shd w:val="clear" w:color="auto" w:fill="auto"/>
                </w:tcPr>
                <w:p w14:paraId="042A38CC" w14:textId="77777777" w:rsidR="009C6940" w:rsidRPr="00EF7969" w:rsidRDefault="009C6940" w:rsidP="009C6940">
                  <w:pPr>
                    <w:pStyle w:val="TableBodyText"/>
                    <w:jc w:val="left"/>
                  </w:pPr>
                  <w:r w:rsidRPr="00EF7969">
                    <w:t>Linda Appleford</w:t>
                  </w:r>
                </w:p>
              </w:tc>
              <w:tc>
                <w:tcPr>
                  <w:tcW w:w="2126" w:type="dxa"/>
                  <w:shd w:val="clear" w:color="auto" w:fill="auto"/>
                </w:tcPr>
                <w:p w14:paraId="62D1A0BB" w14:textId="77777777" w:rsidR="009C6940" w:rsidRPr="00EF7969" w:rsidRDefault="009C6940" w:rsidP="009C6940">
                  <w:pPr>
                    <w:pStyle w:val="TableBodyText"/>
                  </w:pPr>
                  <w:r w:rsidRPr="00EF7969">
                    <w:t>1078</w:t>
                  </w:r>
                </w:p>
              </w:tc>
            </w:tr>
            <w:tr w:rsidR="009C6940" w:rsidRPr="00EF7969" w14:paraId="4800A5A8" w14:textId="77777777" w:rsidTr="009C6940">
              <w:tc>
                <w:tcPr>
                  <w:tcW w:w="6377" w:type="dxa"/>
                  <w:tcBorders>
                    <w:bottom w:val="single" w:sz="4" w:space="0" w:color="BFBFBF" w:themeColor="background1" w:themeShade="BF"/>
                  </w:tcBorders>
                  <w:shd w:val="clear" w:color="auto" w:fill="auto"/>
                </w:tcPr>
                <w:p w14:paraId="4638650E" w14:textId="77777777" w:rsidR="009C6940" w:rsidRPr="00EF7969" w:rsidRDefault="009C6940" w:rsidP="009C6940">
                  <w:pPr>
                    <w:pStyle w:val="TableBodyText"/>
                    <w:jc w:val="left"/>
                  </w:pPr>
                  <w:r w:rsidRPr="00EF7969">
                    <w:t>Linda Fenton</w:t>
                  </w:r>
                </w:p>
              </w:tc>
              <w:tc>
                <w:tcPr>
                  <w:tcW w:w="2126" w:type="dxa"/>
                  <w:tcBorders>
                    <w:bottom w:val="single" w:sz="4" w:space="0" w:color="BFBFBF" w:themeColor="background1" w:themeShade="BF"/>
                  </w:tcBorders>
                  <w:shd w:val="clear" w:color="auto" w:fill="auto"/>
                </w:tcPr>
                <w:p w14:paraId="7C89A80B" w14:textId="77777777" w:rsidR="009C6940" w:rsidRPr="00EF7969" w:rsidRDefault="009C6940" w:rsidP="009C6940">
                  <w:pPr>
                    <w:pStyle w:val="TableBodyText"/>
                  </w:pPr>
                  <w:r w:rsidRPr="00EF7969">
                    <w:t>629</w:t>
                  </w:r>
                </w:p>
              </w:tc>
            </w:tr>
          </w:tbl>
          <w:p w14:paraId="5BDFFB04" w14:textId="77777777" w:rsidR="009C6940" w:rsidRPr="00EF7969" w:rsidRDefault="009C6940" w:rsidP="009C6940">
            <w:pPr>
              <w:pStyle w:val="Box"/>
            </w:pPr>
          </w:p>
        </w:tc>
      </w:tr>
      <w:tr w:rsidR="009C6940" w:rsidRPr="00EF7969" w14:paraId="66857378" w14:textId="77777777" w:rsidTr="009C6940">
        <w:tc>
          <w:tcPr>
            <w:tcW w:w="8789" w:type="dxa"/>
            <w:tcBorders>
              <w:top w:val="nil"/>
              <w:left w:val="nil"/>
              <w:bottom w:val="nil"/>
              <w:right w:val="nil"/>
            </w:tcBorders>
            <w:shd w:val="clear" w:color="auto" w:fill="auto"/>
          </w:tcPr>
          <w:p w14:paraId="349C2D5F" w14:textId="77777777" w:rsidR="009C6940" w:rsidRPr="00EF7969" w:rsidRDefault="009C6940" w:rsidP="009C6940">
            <w:pPr>
              <w:pStyle w:val="Continued"/>
            </w:pPr>
            <w:r w:rsidRPr="00EF7969">
              <w:t>(continued next page)</w:t>
            </w:r>
          </w:p>
        </w:tc>
      </w:tr>
      <w:tr w:rsidR="009C6940" w:rsidRPr="00EF7969" w14:paraId="5F152C86" w14:textId="77777777" w:rsidTr="009C6940">
        <w:tc>
          <w:tcPr>
            <w:tcW w:w="8789" w:type="dxa"/>
            <w:tcBorders>
              <w:top w:val="nil"/>
              <w:left w:val="nil"/>
              <w:bottom w:val="single" w:sz="6" w:space="0" w:color="78A22F"/>
              <w:right w:val="nil"/>
            </w:tcBorders>
            <w:shd w:val="clear" w:color="auto" w:fill="auto"/>
          </w:tcPr>
          <w:p w14:paraId="28ABBA42" w14:textId="77777777" w:rsidR="009C6940" w:rsidRPr="00EF7969" w:rsidRDefault="009C6940" w:rsidP="009C6940">
            <w:pPr>
              <w:pStyle w:val="Box"/>
              <w:spacing w:before="0" w:line="120" w:lineRule="exact"/>
            </w:pPr>
          </w:p>
        </w:tc>
      </w:tr>
      <w:tr w:rsidR="009C6940" w:rsidRPr="00EF7969" w14:paraId="77DFB277" w14:textId="77777777" w:rsidTr="009C6940">
        <w:tc>
          <w:tcPr>
            <w:tcW w:w="8789" w:type="dxa"/>
            <w:tcBorders>
              <w:top w:val="single" w:sz="6" w:space="0" w:color="78A22F"/>
              <w:left w:val="nil"/>
              <w:bottom w:val="nil"/>
              <w:right w:val="nil"/>
            </w:tcBorders>
          </w:tcPr>
          <w:p w14:paraId="4A59F383" w14:textId="77777777" w:rsidR="009C6940" w:rsidRPr="00EF7969" w:rsidRDefault="009C6940" w:rsidP="009C6940">
            <w:pPr>
              <w:pStyle w:val="BoxSpaceBelow"/>
            </w:pPr>
          </w:p>
        </w:tc>
      </w:tr>
    </w:tbl>
    <w:p w14:paraId="5BCE832E"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27A01C6F" w14:textId="77777777" w:rsidTr="009C6940">
        <w:trPr>
          <w:tblHeader/>
        </w:trPr>
        <w:tc>
          <w:tcPr>
            <w:tcW w:w="8789" w:type="dxa"/>
            <w:tcBorders>
              <w:top w:val="single" w:sz="6" w:space="0" w:color="78A22F"/>
              <w:left w:val="nil"/>
              <w:bottom w:val="nil"/>
              <w:right w:val="nil"/>
            </w:tcBorders>
            <w:shd w:val="clear" w:color="auto" w:fill="auto"/>
          </w:tcPr>
          <w:p w14:paraId="1C8B509B"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0D91DFDC"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78295B74"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446F84CC"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054661FA" w14:textId="77777777" w:rsidR="009C6940" w:rsidRPr="00EF7969" w:rsidRDefault="009C6940" w:rsidP="009C6940">
                  <w:pPr>
                    <w:pStyle w:val="TableColumnHeading"/>
                    <w:ind w:right="28"/>
                  </w:pPr>
                  <w:r w:rsidRPr="00EF7969">
                    <w:t>Submission no.</w:t>
                  </w:r>
                </w:p>
              </w:tc>
            </w:tr>
            <w:tr w:rsidR="009C6940" w:rsidRPr="00EF7969" w14:paraId="323A200C" w14:textId="77777777" w:rsidTr="009C6940">
              <w:tc>
                <w:tcPr>
                  <w:tcW w:w="6377" w:type="dxa"/>
                  <w:shd w:val="clear" w:color="auto" w:fill="auto"/>
                </w:tcPr>
                <w:p w14:paraId="65A674B6" w14:textId="77777777" w:rsidR="009C6940" w:rsidRPr="00EF7969" w:rsidRDefault="009C6940" w:rsidP="009C6940">
                  <w:pPr>
                    <w:pStyle w:val="TableBodyText"/>
                    <w:spacing w:before="40"/>
                    <w:jc w:val="left"/>
                  </w:pPr>
                  <w:r w:rsidRPr="00EF7969">
                    <w:t>Linda Mulquin</w:t>
                  </w:r>
                </w:p>
              </w:tc>
              <w:tc>
                <w:tcPr>
                  <w:tcW w:w="2126" w:type="dxa"/>
                  <w:shd w:val="clear" w:color="auto" w:fill="auto"/>
                </w:tcPr>
                <w:p w14:paraId="3DD868D2" w14:textId="77777777" w:rsidR="009C6940" w:rsidRPr="00EF7969" w:rsidRDefault="009C6940" w:rsidP="009C6940">
                  <w:pPr>
                    <w:pStyle w:val="TableBodyText"/>
                    <w:spacing w:before="40"/>
                  </w:pPr>
                  <w:r w:rsidRPr="00EF7969">
                    <w:t>277</w:t>
                  </w:r>
                </w:p>
              </w:tc>
            </w:tr>
            <w:tr w:rsidR="009C6940" w:rsidRPr="00EF7969" w14:paraId="4F794643" w14:textId="77777777" w:rsidTr="009C6940">
              <w:tc>
                <w:tcPr>
                  <w:tcW w:w="6377" w:type="dxa"/>
                  <w:shd w:val="clear" w:color="auto" w:fill="auto"/>
                </w:tcPr>
                <w:p w14:paraId="7AEC4B71" w14:textId="77777777" w:rsidR="009C6940" w:rsidRPr="00EF7969" w:rsidRDefault="009C6940" w:rsidP="009C6940">
                  <w:pPr>
                    <w:pStyle w:val="TableBodyText"/>
                    <w:jc w:val="left"/>
                  </w:pPr>
                  <w:r w:rsidRPr="00EF7969">
                    <w:t>Linda Munn</w:t>
                  </w:r>
                </w:p>
              </w:tc>
              <w:tc>
                <w:tcPr>
                  <w:tcW w:w="2126" w:type="dxa"/>
                  <w:shd w:val="clear" w:color="auto" w:fill="auto"/>
                </w:tcPr>
                <w:p w14:paraId="56171B25" w14:textId="77777777" w:rsidR="009C6940" w:rsidRPr="00EF7969" w:rsidRDefault="009C6940" w:rsidP="009C6940">
                  <w:pPr>
                    <w:pStyle w:val="TableBodyText"/>
                  </w:pPr>
                  <w:r w:rsidRPr="00EF7969">
                    <w:t>1129</w:t>
                  </w:r>
                </w:p>
              </w:tc>
            </w:tr>
            <w:tr w:rsidR="009C6940" w:rsidRPr="00EF7969" w14:paraId="2346B1BF" w14:textId="77777777" w:rsidTr="009C6940">
              <w:tc>
                <w:tcPr>
                  <w:tcW w:w="6377" w:type="dxa"/>
                  <w:shd w:val="clear" w:color="auto" w:fill="auto"/>
                </w:tcPr>
                <w:p w14:paraId="7A8960C9" w14:textId="77777777" w:rsidR="009C6940" w:rsidRPr="00EF7969" w:rsidRDefault="009C6940" w:rsidP="009C6940">
                  <w:pPr>
                    <w:pStyle w:val="TableBodyText"/>
                    <w:jc w:val="left"/>
                  </w:pPr>
                  <w:r w:rsidRPr="00EF7969">
                    <w:t>Lisa Kamaralli</w:t>
                  </w:r>
                </w:p>
              </w:tc>
              <w:tc>
                <w:tcPr>
                  <w:tcW w:w="2126" w:type="dxa"/>
                  <w:shd w:val="clear" w:color="auto" w:fill="auto"/>
                </w:tcPr>
                <w:p w14:paraId="0353072B" w14:textId="77777777" w:rsidR="009C6940" w:rsidRPr="00EF7969" w:rsidRDefault="009C6940" w:rsidP="009C6940">
                  <w:pPr>
                    <w:pStyle w:val="TableBodyText"/>
                  </w:pPr>
                  <w:r w:rsidRPr="00EF7969">
                    <w:t>1007</w:t>
                  </w:r>
                </w:p>
              </w:tc>
            </w:tr>
            <w:tr w:rsidR="009C6940" w:rsidRPr="00EF7969" w14:paraId="5CBE90D8" w14:textId="77777777" w:rsidTr="009C6940">
              <w:tc>
                <w:tcPr>
                  <w:tcW w:w="6377" w:type="dxa"/>
                  <w:shd w:val="clear" w:color="auto" w:fill="auto"/>
                </w:tcPr>
                <w:p w14:paraId="6A1DBDE9" w14:textId="77777777" w:rsidR="009C6940" w:rsidRPr="00EF7969" w:rsidRDefault="009C6940" w:rsidP="009C6940">
                  <w:pPr>
                    <w:pStyle w:val="TableBodyText"/>
                    <w:jc w:val="left"/>
                  </w:pPr>
                  <w:r w:rsidRPr="00EF7969">
                    <w:t>Listen Up Music</w:t>
                  </w:r>
                </w:p>
              </w:tc>
              <w:tc>
                <w:tcPr>
                  <w:tcW w:w="2126" w:type="dxa"/>
                  <w:shd w:val="clear" w:color="auto" w:fill="auto"/>
                </w:tcPr>
                <w:p w14:paraId="120B761A" w14:textId="77777777" w:rsidR="009C6940" w:rsidRPr="00EF7969" w:rsidRDefault="009C6940" w:rsidP="009C6940">
                  <w:pPr>
                    <w:pStyle w:val="TableBodyText"/>
                  </w:pPr>
                  <w:r w:rsidRPr="00EF7969">
                    <w:t>899</w:t>
                  </w:r>
                </w:p>
              </w:tc>
            </w:tr>
            <w:tr w:rsidR="009C6940" w:rsidRPr="00EF7969" w14:paraId="7C76545D" w14:textId="77777777" w:rsidTr="009C6940">
              <w:tc>
                <w:tcPr>
                  <w:tcW w:w="6377" w:type="dxa"/>
                  <w:shd w:val="clear" w:color="auto" w:fill="auto"/>
                </w:tcPr>
                <w:p w14:paraId="15C7A0AA" w14:textId="77777777" w:rsidR="009C6940" w:rsidRPr="00EF7969" w:rsidRDefault="009C6940" w:rsidP="009C6940">
                  <w:pPr>
                    <w:pStyle w:val="TableBodyText"/>
                    <w:jc w:val="left"/>
                  </w:pPr>
                  <w:r w:rsidRPr="00EF7969">
                    <w:t>Lived Experience Australia</w:t>
                  </w:r>
                </w:p>
              </w:tc>
              <w:tc>
                <w:tcPr>
                  <w:tcW w:w="2126" w:type="dxa"/>
                  <w:shd w:val="clear" w:color="auto" w:fill="auto"/>
                </w:tcPr>
                <w:p w14:paraId="266B4658" w14:textId="77777777" w:rsidR="009C6940" w:rsidRPr="00EF7969" w:rsidRDefault="009C6940" w:rsidP="009C6940">
                  <w:pPr>
                    <w:pStyle w:val="TableBodyText"/>
                  </w:pPr>
                  <w:r w:rsidRPr="00EF7969">
                    <w:t>721</w:t>
                  </w:r>
                </w:p>
              </w:tc>
            </w:tr>
            <w:tr w:rsidR="009C6940" w:rsidRPr="00EF7969" w14:paraId="2DB6FA9B" w14:textId="77777777" w:rsidTr="009C6940">
              <w:tc>
                <w:tcPr>
                  <w:tcW w:w="6377" w:type="dxa"/>
                  <w:shd w:val="clear" w:color="auto" w:fill="auto"/>
                </w:tcPr>
                <w:p w14:paraId="628F6F0A" w14:textId="77777777" w:rsidR="009C6940" w:rsidRPr="00EF7969" w:rsidRDefault="009C6940" w:rsidP="009C6940">
                  <w:pPr>
                    <w:pStyle w:val="TableBodyText"/>
                    <w:jc w:val="left"/>
                  </w:pPr>
                  <w:r w:rsidRPr="00EF7969">
                    <w:t>Live</w:t>
                  </w:r>
                  <w:r>
                    <w:t>d</w:t>
                  </w:r>
                  <w:r w:rsidRPr="00EF7969">
                    <w:t xml:space="preserve"> Experience Leadership Roundtable (Queensland)</w:t>
                  </w:r>
                </w:p>
              </w:tc>
              <w:tc>
                <w:tcPr>
                  <w:tcW w:w="2126" w:type="dxa"/>
                  <w:shd w:val="clear" w:color="auto" w:fill="auto"/>
                </w:tcPr>
                <w:p w14:paraId="33A3CB32" w14:textId="77777777" w:rsidR="009C6940" w:rsidRPr="00EF7969" w:rsidRDefault="009C6940" w:rsidP="009C6940">
                  <w:pPr>
                    <w:pStyle w:val="TableBodyText"/>
                  </w:pPr>
                  <w:r w:rsidRPr="00EF7969">
                    <w:t>799</w:t>
                  </w:r>
                </w:p>
              </w:tc>
            </w:tr>
            <w:tr w:rsidR="009C6940" w:rsidRPr="00EF7969" w14:paraId="6491B9C5" w14:textId="77777777" w:rsidTr="009C6940">
              <w:tc>
                <w:tcPr>
                  <w:tcW w:w="6377" w:type="dxa"/>
                  <w:shd w:val="clear" w:color="auto" w:fill="auto"/>
                </w:tcPr>
                <w:p w14:paraId="5FB8E40C" w14:textId="77777777" w:rsidR="009C6940" w:rsidRPr="00EF7969" w:rsidRDefault="009C6940" w:rsidP="009C6940">
                  <w:pPr>
                    <w:pStyle w:val="TableBodyText"/>
                    <w:jc w:val="left"/>
                  </w:pPr>
                  <w:r w:rsidRPr="00EF7969">
                    <w:t>LivingWorks</w:t>
                  </w:r>
                </w:p>
              </w:tc>
              <w:tc>
                <w:tcPr>
                  <w:tcW w:w="2126" w:type="dxa"/>
                  <w:shd w:val="clear" w:color="auto" w:fill="auto"/>
                </w:tcPr>
                <w:p w14:paraId="53119519" w14:textId="77777777" w:rsidR="009C6940" w:rsidRPr="00EF7969" w:rsidRDefault="009C6940" w:rsidP="009C6940">
                  <w:pPr>
                    <w:pStyle w:val="TableBodyText"/>
                  </w:pPr>
                  <w:r w:rsidRPr="00EF7969">
                    <w:t>796</w:t>
                  </w:r>
                </w:p>
              </w:tc>
            </w:tr>
            <w:tr w:rsidR="009C6940" w:rsidRPr="00EF7969" w14:paraId="6D319CCD" w14:textId="77777777" w:rsidTr="009C6940">
              <w:tc>
                <w:tcPr>
                  <w:tcW w:w="6377" w:type="dxa"/>
                  <w:shd w:val="clear" w:color="auto" w:fill="auto"/>
                </w:tcPr>
                <w:p w14:paraId="4590A4AA" w14:textId="77777777" w:rsidR="009C6940" w:rsidRPr="00EF7969" w:rsidRDefault="009C6940" w:rsidP="009C6940">
                  <w:pPr>
                    <w:pStyle w:val="TableBodyText"/>
                    <w:jc w:val="left"/>
                  </w:pPr>
                  <w:r w:rsidRPr="00EF7969">
                    <w:t>Liz Grogan</w:t>
                  </w:r>
                </w:p>
              </w:tc>
              <w:tc>
                <w:tcPr>
                  <w:tcW w:w="2126" w:type="dxa"/>
                  <w:shd w:val="clear" w:color="auto" w:fill="auto"/>
                </w:tcPr>
                <w:p w14:paraId="5909EF63" w14:textId="77777777" w:rsidR="009C6940" w:rsidRPr="00EF7969" w:rsidRDefault="009C6940" w:rsidP="009C6940">
                  <w:pPr>
                    <w:pStyle w:val="TableBodyText"/>
                  </w:pPr>
                  <w:r w:rsidRPr="00EF7969">
                    <w:t>1091</w:t>
                  </w:r>
                </w:p>
              </w:tc>
            </w:tr>
            <w:tr w:rsidR="009C6940" w:rsidRPr="00EF7969" w14:paraId="16934FDB" w14:textId="77777777" w:rsidTr="009C6940">
              <w:tc>
                <w:tcPr>
                  <w:tcW w:w="6377" w:type="dxa"/>
                  <w:shd w:val="clear" w:color="auto" w:fill="auto"/>
                </w:tcPr>
                <w:p w14:paraId="23595DA2" w14:textId="77777777" w:rsidR="009C6940" w:rsidRPr="00EF7969" w:rsidRDefault="009C6940" w:rsidP="009C6940">
                  <w:pPr>
                    <w:pStyle w:val="TableBodyText"/>
                    <w:jc w:val="left"/>
                  </w:pPr>
                  <w:r w:rsidRPr="00EF7969">
                    <w:t>Local Government Association of SA (LGASA)</w:t>
                  </w:r>
                </w:p>
              </w:tc>
              <w:tc>
                <w:tcPr>
                  <w:tcW w:w="2126" w:type="dxa"/>
                  <w:shd w:val="clear" w:color="auto" w:fill="auto"/>
                </w:tcPr>
                <w:p w14:paraId="3669DEC1" w14:textId="77777777" w:rsidR="009C6940" w:rsidRPr="00EF7969" w:rsidRDefault="009C6940" w:rsidP="009C6940">
                  <w:pPr>
                    <w:pStyle w:val="TableBodyText"/>
                  </w:pPr>
                  <w:r w:rsidRPr="00EF7969">
                    <w:t>242</w:t>
                  </w:r>
                </w:p>
              </w:tc>
            </w:tr>
            <w:tr w:rsidR="009C6940" w:rsidRPr="00EF7969" w14:paraId="08B77B55" w14:textId="77777777" w:rsidTr="009C6940">
              <w:tc>
                <w:tcPr>
                  <w:tcW w:w="6377" w:type="dxa"/>
                  <w:shd w:val="clear" w:color="auto" w:fill="auto"/>
                </w:tcPr>
                <w:p w14:paraId="2C6B51D0" w14:textId="77777777" w:rsidR="009C6940" w:rsidRPr="00EF7969" w:rsidRDefault="009C6940" w:rsidP="009C6940">
                  <w:pPr>
                    <w:pStyle w:val="TableBodyText"/>
                    <w:jc w:val="left"/>
                  </w:pPr>
                  <w:r w:rsidRPr="00EF7969">
                    <w:t>Loddon Mallee Mental Health Carers Network (LMMHCN)</w:t>
                  </w:r>
                </w:p>
              </w:tc>
              <w:tc>
                <w:tcPr>
                  <w:tcW w:w="2126" w:type="dxa"/>
                  <w:shd w:val="clear" w:color="auto" w:fill="auto"/>
                </w:tcPr>
                <w:p w14:paraId="2C2E5674" w14:textId="77777777" w:rsidR="009C6940" w:rsidRPr="00EF7969" w:rsidRDefault="009C6940" w:rsidP="009C6940">
                  <w:pPr>
                    <w:pStyle w:val="TableBodyText"/>
                  </w:pPr>
                  <w:r w:rsidRPr="00EF7969">
                    <w:t>52</w:t>
                  </w:r>
                </w:p>
              </w:tc>
            </w:tr>
            <w:tr w:rsidR="009C6940" w:rsidRPr="00EF7969" w14:paraId="624D5927" w14:textId="77777777" w:rsidTr="009C6940">
              <w:tc>
                <w:tcPr>
                  <w:tcW w:w="6377" w:type="dxa"/>
                  <w:shd w:val="clear" w:color="auto" w:fill="auto"/>
                </w:tcPr>
                <w:p w14:paraId="02032188" w14:textId="77777777" w:rsidR="009C6940" w:rsidRPr="00EF7969" w:rsidRDefault="009C6940" w:rsidP="009C6940">
                  <w:pPr>
                    <w:pStyle w:val="TableBodyText"/>
                    <w:jc w:val="left"/>
                  </w:pPr>
                  <w:r w:rsidRPr="00EF7969">
                    <w:t xml:space="preserve">Loretta Woolston </w:t>
                  </w:r>
                </w:p>
              </w:tc>
              <w:tc>
                <w:tcPr>
                  <w:tcW w:w="2126" w:type="dxa"/>
                  <w:shd w:val="clear" w:color="auto" w:fill="auto"/>
                </w:tcPr>
                <w:p w14:paraId="4D2A13FB" w14:textId="77777777" w:rsidR="009C6940" w:rsidRPr="00EF7969" w:rsidRDefault="009C6940" w:rsidP="009C6940">
                  <w:pPr>
                    <w:pStyle w:val="TableBodyText"/>
                  </w:pPr>
                  <w:r w:rsidRPr="00EF7969">
                    <w:t>525</w:t>
                  </w:r>
                </w:p>
              </w:tc>
            </w:tr>
            <w:tr w:rsidR="009C6940" w:rsidRPr="00EF7969" w14:paraId="622760F8" w14:textId="77777777" w:rsidTr="009C6940">
              <w:tc>
                <w:tcPr>
                  <w:tcW w:w="6377" w:type="dxa"/>
                  <w:shd w:val="clear" w:color="auto" w:fill="auto"/>
                </w:tcPr>
                <w:p w14:paraId="4C621D43" w14:textId="77777777" w:rsidR="009C6940" w:rsidRPr="00EF7969" w:rsidRDefault="009C6940" w:rsidP="009C6940">
                  <w:pPr>
                    <w:pStyle w:val="TableBodyText"/>
                    <w:jc w:val="left"/>
                  </w:pPr>
                  <w:r w:rsidRPr="00EF7969">
                    <w:t>Lorna MacKellar</w:t>
                  </w:r>
                </w:p>
              </w:tc>
              <w:tc>
                <w:tcPr>
                  <w:tcW w:w="2126" w:type="dxa"/>
                  <w:shd w:val="clear" w:color="auto" w:fill="auto"/>
                </w:tcPr>
                <w:p w14:paraId="6B0962FC" w14:textId="77777777" w:rsidR="009C6940" w:rsidRPr="00EF7969" w:rsidRDefault="009C6940" w:rsidP="009C6940">
                  <w:pPr>
                    <w:pStyle w:val="TableBodyText"/>
                  </w:pPr>
                  <w:r w:rsidRPr="00EF7969">
                    <w:t>406</w:t>
                  </w:r>
                </w:p>
              </w:tc>
            </w:tr>
            <w:tr w:rsidR="009C6940" w:rsidRPr="00EF7969" w14:paraId="31CE5CDA" w14:textId="77777777" w:rsidTr="009C6940">
              <w:tc>
                <w:tcPr>
                  <w:tcW w:w="6377" w:type="dxa"/>
                  <w:shd w:val="clear" w:color="auto" w:fill="auto"/>
                </w:tcPr>
                <w:p w14:paraId="1BBFFB03" w14:textId="77777777" w:rsidR="009C6940" w:rsidRPr="00EF7969" w:rsidRDefault="009C6940" w:rsidP="009C6940">
                  <w:pPr>
                    <w:pStyle w:val="TableBodyText"/>
                    <w:jc w:val="left"/>
                  </w:pPr>
                  <w:r w:rsidRPr="00EF7969">
                    <w:t>Lorna-Jean Bradley</w:t>
                  </w:r>
                </w:p>
              </w:tc>
              <w:tc>
                <w:tcPr>
                  <w:tcW w:w="2126" w:type="dxa"/>
                  <w:shd w:val="clear" w:color="auto" w:fill="auto"/>
                </w:tcPr>
                <w:p w14:paraId="2F0D71AA" w14:textId="77777777" w:rsidR="009C6940" w:rsidRPr="00EF7969" w:rsidRDefault="009C6940" w:rsidP="009C6940">
                  <w:pPr>
                    <w:pStyle w:val="TableBodyText"/>
                  </w:pPr>
                  <w:r w:rsidRPr="00EF7969">
                    <w:t>978</w:t>
                  </w:r>
                </w:p>
              </w:tc>
            </w:tr>
            <w:tr w:rsidR="009C6940" w:rsidRPr="00EF7969" w14:paraId="2FDFFC74" w14:textId="77777777" w:rsidTr="009C6940">
              <w:tc>
                <w:tcPr>
                  <w:tcW w:w="6377" w:type="dxa"/>
                  <w:shd w:val="clear" w:color="auto" w:fill="auto"/>
                </w:tcPr>
                <w:p w14:paraId="54CCE5B8" w14:textId="77777777" w:rsidR="009C6940" w:rsidRPr="00EF7969" w:rsidRDefault="009C6940" w:rsidP="009C6940">
                  <w:pPr>
                    <w:pStyle w:val="TableBodyText"/>
                    <w:jc w:val="left"/>
                  </w:pPr>
                  <w:r w:rsidRPr="00EF7969">
                    <w:t>Lorraine Liberson</w:t>
                  </w:r>
                </w:p>
              </w:tc>
              <w:tc>
                <w:tcPr>
                  <w:tcW w:w="2126" w:type="dxa"/>
                  <w:shd w:val="clear" w:color="auto" w:fill="auto"/>
                </w:tcPr>
                <w:p w14:paraId="5395AB78" w14:textId="77777777" w:rsidR="009C6940" w:rsidRPr="00EF7969" w:rsidRDefault="009C6940" w:rsidP="009C6940">
                  <w:pPr>
                    <w:pStyle w:val="TableBodyText"/>
                  </w:pPr>
                  <w:r w:rsidRPr="00EF7969">
                    <w:t>1011</w:t>
                  </w:r>
                </w:p>
              </w:tc>
            </w:tr>
            <w:tr w:rsidR="009C6940" w:rsidRPr="00EF7969" w14:paraId="48E63F77" w14:textId="77777777" w:rsidTr="009C6940">
              <w:tc>
                <w:tcPr>
                  <w:tcW w:w="6377" w:type="dxa"/>
                  <w:shd w:val="clear" w:color="auto" w:fill="auto"/>
                </w:tcPr>
                <w:p w14:paraId="3EE4AA29" w14:textId="77777777" w:rsidR="009C6940" w:rsidRPr="00EF7969" w:rsidRDefault="009C6940" w:rsidP="009C6940">
                  <w:pPr>
                    <w:pStyle w:val="TableBodyText"/>
                    <w:jc w:val="left"/>
                  </w:pPr>
                  <w:r w:rsidRPr="00EF7969">
                    <w:t>Lou Brown, Carlie Lidonnici and Christine Jordan</w:t>
                  </w:r>
                </w:p>
              </w:tc>
              <w:tc>
                <w:tcPr>
                  <w:tcW w:w="2126" w:type="dxa"/>
                  <w:shd w:val="clear" w:color="auto" w:fill="auto"/>
                </w:tcPr>
                <w:p w14:paraId="6560AD53" w14:textId="77777777" w:rsidR="009C6940" w:rsidRPr="00EF7969" w:rsidRDefault="009C6940" w:rsidP="009C6940">
                  <w:pPr>
                    <w:pStyle w:val="TableBodyText"/>
                  </w:pPr>
                  <w:r w:rsidRPr="00EF7969">
                    <w:t>506</w:t>
                  </w:r>
                </w:p>
              </w:tc>
            </w:tr>
            <w:tr w:rsidR="009C6940" w:rsidRPr="00EF7969" w14:paraId="32A3679D" w14:textId="77777777" w:rsidTr="009C6940">
              <w:tc>
                <w:tcPr>
                  <w:tcW w:w="6377" w:type="dxa"/>
                  <w:shd w:val="clear" w:color="auto" w:fill="auto"/>
                </w:tcPr>
                <w:p w14:paraId="441D8ACD" w14:textId="77777777" w:rsidR="009C6940" w:rsidRPr="00EF7969" w:rsidRDefault="009C6940" w:rsidP="009C6940">
                  <w:pPr>
                    <w:pStyle w:val="TableBodyText"/>
                    <w:jc w:val="left"/>
                  </w:pPr>
                  <w:r w:rsidRPr="00EF7969">
                    <w:t>Lyndall Warren</w:t>
                  </w:r>
                </w:p>
              </w:tc>
              <w:tc>
                <w:tcPr>
                  <w:tcW w:w="2126" w:type="dxa"/>
                  <w:shd w:val="clear" w:color="auto" w:fill="auto"/>
                </w:tcPr>
                <w:p w14:paraId="3C62BAC2" w14:textId="77777777" w:rsidR="009C6940" w:rsidRPr="00EF7969" w:rsidRDefault="009C6940" w:rsidP="009C6940">
                  <w:pPr>
                    <w:pStyle w:val="TableBodyText"/>
                  </w:pPr>
                  <w:r w:rsidRPr="00EF7969">
                    <w:t>778</w:t>
                  </w:r>
                </w:p>
              </w:tc>
            </w:tr>
            <w:tr w:rsidR="009C6940" w:rsidRPr="00EF7969" w14:paraId="0F7E0DBF" w14:textId="77777777" w:rsidTr="009C6940">
              <w:tc>
                <w:tcPr>
                  <w:tcW w:w="6377" w:type="dxa"/>
                  <w:shd w:val="clear" w:color="auto" w:fill="auto"/>
                </w:tcPr>
                <w:p w14:paraId="41CAC249" w14:textId="77777777" w:rsidR="009C6940" w:rsidRPr="00EF7969" w:rsidRDefault="009C6940" w:rsidP="009C6940">
                  <w:pPr>
                    <w:pStyle w:val="TableBodyText"/>
                    <w:jc w:val="left"/>
                  </w:pPr>
                  <w:r w:rsidRPr="00EF7969">
                    <w:t>Lynette Smith</w:t>
                  </w:r>
                </w:p>
              </w:tc>
              <w:tc>
                <w:tcPr>
                  <w:tcW w:w="2126" w:type="dxa"/>
                  <w:shd w:val="clear" w:color="auto" w:fill="auto"/>
                </w:tcPr>
                <w:p w14:paraId="1A8C329A" w14:textId="77777777" w:rsidR="009C6940" w:rsidRPr="00EF7969" w:rsidRDefault="009C6940" w:rsidP="009C6940">
                  <w:pPr>
                    <w:pStyle w:val="TableBodyText"/>
                  </w:pPr>
                  <w:r w:rsidRPr="00EF7969">
                    <w:t>1002</w:t>
                  </w:r>
                </w:p>
              </w:tc>
            </w:tr>
            <w:tr w:rsidR="009C6940" w:rsidRPr="00EF7969" w14:paraId="72F1BF6D" w14:textId="77777777" w:rsidTr="009C6940">
              <w:tc>
                <w:tcPr>
                  <w:tcW w:w="6377" w:type="dxa"/>
                  <w:shd w:val="clear" w:color="auto" w:fill="auto"/>
                </w:tcPr>
                <w:p w14:paraId="71E21D05" w14:textId="77777777" w:rsidR="009C6940" w:rsidRPr="00EF7969" w:rsidRDefault="009C6940" w:rsidP="009C6940">
                  <w:pPr>
                    <w:pStyle w:val="TableBodyText"/>
                    <w:jc w:val="left"/>
                  </w:pPr>
                  <w:r w:rsidRPr="00EF7969">
                    <w:t>Madeliene Jones</w:t>
                  </w:r>
                </w:p>
              </w:tc>
              <w:tc>
                <w:tcPr>
                  <w:tcW w:w="2126" w:type="dxa"/>
                  <w:shd w:val="clear" w:color="auto" w:fill="auto"/>
                </w:tcPr>
                <w:p w14:paraId="0A803158" w14:textId="77777777" w:rsidR="009C6940" w:rsidRPr="00EF7969" w:rsidRDefault="009C6940" w:rsidP="009C6940">
                  <w:pPr>
                    <w:pStyle w:val="TableBodyText"/>
                  </w:pPr>
                  <w:r w:rsidRPr="00EF7969">
                    <w:t>972</w:t>
                  </w:r>
                </w:p>
              </w:tc>
            </w:tr>
            <w:tr w:rsidR="009C6940" w:rsidRPr="00EF7969" w14:paraId="4059261F" w14:textId="77777777" w:rsidTr="009C6940">
              <w:tc>
                <w:tcPr>
                  <w:tcW w:w="6377" w:type="dxa"/>
                  <w:shd w:val="clear" w:color="auto" w:fill="auto"/>
                </w:tcPr>
                <w:p w14:paraId="3F49BD39" w14:textId="77777777" w:rsidR="009C6940" w:rsidRPr="00EF7969" w:rsidRDefault="009C6940" w:rsidP="009C6940">
                  <w:pPr>
                    <w:pStyle w:val="TableBodyText"/>
                    <w:jc w:val="left"/>
                  </w:pPr>
                  <w:r w:rsidRPr="00EF7969">
                    <w:t>Manfred Schirnhofer</w:t>
                  </w:r>
                </w:p>
              </w:tc>
              <w:tc>
                <w:tcPr>
                  <w:tcW w:w="2126" w:type="dxa"/>
                  <w:shd w:val="clear" w:color="auto" w:fill="auto"/>
                </w:tcPr>
                <w:p w14:paraId="0AECFAAB" w14:textId="77777777" w:rsidR="009C6940" w:rsidRPr="00EF7969" w:rsidRDefault="009C6940" w:rsidP="009C6940">
                  <w:pPr>
                    <w:pStyle w:val="TableBodyText"/>
                  </w:pPr>
                  <w:r w:rsidRPr="00EF7969">
                    <w:t>1017</w:t>
                  </w:r>
                </w:p>
              </w:tc>
            </w:tr>
            <w:tr w:rsidR="009C6940" w:rsidRPr="00EF7969" w14:paraId="7D7BB101" w14:textId="77777777" w:rsidTr="009C6940">
              <w:tc>
                <w:tcPr>
                  <w:tcW w:w="6377" w:type="dxa"/>
                  <w:shd w:val="clear" w:color="auto" w:fill="auto"/>
                </w:tcPr>
                <w:p w14:paraId="37184F59" w14:textId="77777777" w:rsidR="009C6940" w:rsidRPr="00EF7969" w:rsidRDefault="009C6940" w:rsidP="009C6940">
                  <w:pPr>
                    <w:pStyle w:val="TableBodyText"/>
                    <w:jc w:val="left"/>
                  </w:pPr>
                  <w:r w:rsidRPr="00EF7969">
                    <w:t>Marathon Health</w:t>
                  </w:r>
                </w:p>
              </w:tc>
              <w:tc>
                <w:tcPr>
                  <w:tcW w:w="2126" w:type="dxa"/>
                  <w:shd w:val="clear" w:color="auto" w:fill="auto"/>
                </w:tcPr>
                <w:p w14:paraId="3AA8EC3D" w14:textId="77777777" w:rsidR="009C6940" w:rsidRPr="00EF7969" w:rsidRDefault="009C6940" w:rsidP="009C6940">
                  <w:pPr>
                    <w:pStyle w:val="TableBodyText"/>
                  </w:pPr>
                  <w:r w:rsidRPr="00EF7969">
                    <w:t>88, 828</w:t>
                  </w:r>
                </w:p>
              </w:tc>
            </w:tr>
            <w:tr w:rsidR="009C6940" w:rsidRPr="00EF7969" w14:paraId="35280503" w14:textId="77777777" w:rsidTr="009C6940">
              <w:tc>
                <w:tcPr>
                  <w:tcW w:w="6377" w:type="dxa"/>
                  <w:shd w:val="clear" w:color="auto" w:fill="auto"/>
                </w:tcPr>
                <w:p w14:paraId="0D427332" w14:textId="77777777" w:rsidR="009C6940" w:rsidRPr="00EF7969" w:rsidRDefault="009C6940" w:rsidP="009C6940">
                  <w:pPr>
                    <w:pStyle w:val="TableBodyText"/>
                    <w:jc w:val="left"/>
                  </w:pPr>
                  <w:r w:rsidRPr="00EF7969">
                    <w:t>Marcia Reid</w:t>
                  </w:r>
                </w:p>
              </w:tc>
              <w:tc>
                <w:tcPr>
                  <w:tcW w:w="2126" w:type="dxa"/>
                  <w:shd w:val="clear" w:color="auto" w:fill="auto"/>
                </w:tcPr>
                <w:p w14:paraId="4949F425" w14:textId="77777777" w:rsidR="009C6940" w:rsidRPr="00EF7969" w:rsidRDefault="009C6940" w:rsidP="009C6940">
                  <w:pPr>
                    <w:pStyle w:val="TableBodyText"/>
                  </w:pPr>
                  <w:r w:rsidRPr="00EF7969">
                    <w:t>1149</w:t>
                  </w:r>
                </w:p>
              </w:tc>
            </w:tr>
            <w:tr w:rsidR="009C6940" w:rsidRPr="00EF7969" w14:paraId="718FCE72" w14:textId="77777777" w:rsidTr="009C6940">
              <w:tc>
                <w:tcPr>
                  <w:tcW w:w="6377" w:type="dxa"/>
                  <w:shd w:val="clear" w:color="auto" w:fill="auto"/>
                </w:tcPr>
                <w:p w14:paraId="5B550833" w14:textId="77777777" w:rsidR="009C6940" w:rsidRPr="00EF7969" w:rsidRDefault="009C6940" w:rsidP="009C6940">
                  <w:pPr>
                    <w:pStyle w:val="TableBodyText"/>
                    <w:jc w:val="left"/>
                  </w:pPr>
                  <w:r w:rsidRPr="00EF7969">
                    <w:t>Maria Di lello</w:t>
                  </w:r>
                </w:p>
              </w:tc>
              <w:tc>
                <w:tcPr>
                  <w:tcW w:w="2126" w:type="dxa"/>
                  <w:shd w:val="clear" w:color="auto" w:fill="auto"/>
                </w:tcPr>
                <w:p w14:paraId="68286AA3" w14:textId="77777777" w:rsidR="009C6940" w:rsidRPr="00EF7969" w:rsidRDefault="009C6940" w:rsidP="009C6940">
                  <w:pPr>
                    <w:pStyle w:val="TableBodyText"/>
                  </w:pPr>
                  <w:r w:rsidRPr="00EF7969">
                    <w:t>1090</w:t>
                  </w:r>
                </w:p>
              </w:tc>
            </w:tr>
            <w:tr w:rsidR="009C6940" w:rsidRPr="00EF7969" w14:paraId="2F156737" w14:textId="77777777" w:rsidTr="009C6940">
              <w:tc>
                <w:tcPr>
                  <w:tcW w:w="6377" w:type="dxa"/>
                  <w:shd w:val="clear" w:color="auto" w:fill="auto"/>
                </w:tcPr>
                <w:p w14:paraId="34EFE673" w14:textId="77777777" w:rsidR="009C6940" w:rsidRPr="00EF7969" w:rsidRDefault="009C6940" w:rsidP="009C6940">
                  <w:pPr>
                    <w:pStyle w:val="TableBodyText"/>
                    <w:jc w:val="left"/>
                  </w:pPr>
                  <w:r w:rsidRPr="00EF7969">
                    <w:t>Maria Lohan</w:t>
                  </w:r>
                </w:p>
              </w:tc>
              <w:tc>
                <w:tcPr>
                  <w:tcW w:w="2126" w:type="dxa"/>
                  <w:shd w:val="clear" w:color="auto" w:fill="auto"/>
                </w:tcPr>
                <w:p w14:paraId="72688724" w14:textId="77777777" w:rsidR="009C6940" w:rsidRPr="00EF7969" w:rsidRDefault="009C6940" w:rsidP="009C6940">
                  <w:pPr>
                    <w:pStyle w:val="TableBodyText"/>
                  </w:pPr>
                  <w:r w:rsidRPr="00EF7969">
                    <w:t>515</w:t>
                  </w:r>
                </w:p>
              </w:tc>
            </w:tr>
            <w:tr w:rsidR="009C6940" w:rsidRPr="00EF7969" w14:paraId="3A239841" w14:textId="77777777" w:rsidTr="009C6940">
              <w:tc>
                <w:tcPr>
                  <w:tcW w:w="6377" w:type="dxa"/>
                  <w:shd w:val="clear" w:color="auto" w:fill="auto"/>
                </w:tcPr>
                <w:p w14:paraId="63257BA0" w14:textId="77777777" w:rsidR="009C6940" w:rsidRPr="00EF7969" w:rsidRDefault="009C6940" w:rsidP="009C6940">
                  <w:pPr>
                    <w:pStyle w:val="TableBodyText"/>
                    <w:jc w:val="left"/>
                  </w:pPr>
                  <w:r w:rsidRPr="00EF7969">
                    <w:t>Maria Silva</w:t>
                  </w:r>
                </w:p>
              </w:tc>
              <w:tc>
                <w:tcPr>
                  <w:tcW w:w="2126" w:type="dxa"/>
                  <w:shd w:val="clear" w:color="auto" w:fill="auto"/>
                </w:tcPr>
                <w:p w14:paraId="30049061" w14:textId="77777777" w:rsidR="009C6940" w:rsidRPr="00EF7969" w:rsidRDefault="009C6940" w:rsidP="009C6940">
                  <w:pPr>
                    <w:pStyle w:val="TableBodyText"/>
                  </w:pPr>
                  <w:r w:rsidRPr="00EF7969">
                    <w:t>1054</w:t>
                  </w:r>
                </w:p>
              </w:tc>
            </w:tr>
            <w:tr w:rsidR="009C6940" w:rsidRPr="00EF7969" w14:paraId="498B3267" w14:textId="77777777" w:rsidTr="009C6940">
              <w:tc>
                <w:tcPr>
                  <w:tcW w:w="6377" w:type="dxa"/>
                  <w:shd w:val="clear" w:color="auto" w:fill="auto"/>
                </w:tcPr>
                <w:p w14:paraId="0294C63D" w14:textId="77777777" w:rsidR="009C6940" w:rsidRPr="00EF7969" w:rsidRDefault="009C6940" w:rsidP="009C6940">
                  <w:pPr>
                    <w:pStyle w:val="TableBodyText"/>
                    <w:jc w:val="left"/>
                  </w:pPr>
                  <w:r w:rsidRPr="00EF7969">
                    <w:t>Marjolein Collins</w:t>
                  </w:r>
                </w:p>
              </w:tc>
              <w:tc>
                <w:tcPr>
                  <w:tcW w:w="2126" w:type="dxa"/>
                  <w:shd w:val="clear" w:color="auto" w:fill="auto"/>
                </w:tcPr>
                <w:p w14:paraId="2085D6B9" w14:textId="77777777" w:rsidR="009C6940" w:rsidRPr="00EF7969" w:rsidRDefault="009C6940" w:rsidP="009C6940">
                  <w:pPr>
                    <w:pStyle w:val="TableBodyText"/>
                  </w:pPr>
                  <w:r w:rsidRPr="00EF7969">
                    <w:t>1176</w:t>
                  </w:r>
                </w:p>
              </w:tc>
            </w:tr>
            <w:tr w:rsidR="009C6940" w:rsidRPr="00EF7969" w14:paraId="73A00A69" w14:textId="77777777" w:rsidTr="009C6940">
              <w:tc>
                <w:tcPr>
                  <w:tcW w:w="6377" w:type="dxa"/>
                  <w:shd w:val="clear" w:color="auto" w:fill="auto"/>
                </w:tcPr>
                <w:p w14:paraId="7C1976ED" w14:textId="77777777" w:rsidR="009C6940" w:rsidRPr="00EF7969" w:rsidRDefault="009C6940" w:rsidP="009C6940">
                  <w:pPr>
                    <w:pStyle w:val="TableBodyText"/>
                    <w:jc w:val="left"/>
                  </w:pPr>
                  <w:r w:rsidRPr="00EF7969">
                    <w:t>Mark Broadly</w:t>
                  </w:r>
                </w:p>
              </w:tc>
              <w:tc>
                <w:tcPr>
                  <w:tcW w:w="2126" w:type="dxa"/>
                  <w:shd w:val="clear" w:color="auto" w:fill="auto"/>
                </w:tcPr>
                <w:p w14:paraId="77F4564F" w14:textId="77777777" w:rsidR="009C6940" w:rsidRPr="00EF7969" w:rsidRDefault="009C6940" w:rsidP="009C6940">
                  <w:pPr>
                    <w:pStyle w:val="TableBodyText"/>
                  </w:pPr>
                  <w:r w:rsidRPr="00EF7969">
                    <w:t>568</w:t>
                  </w:r>
                </w:p>
              </w:tc>
            </w:tr>
            <w:tr w:rsidR="009C6940" w:rsidRPr="00EF7969" w14:paraId="5794897C" w14:textId="77777777" w:rsidTr="009C6940">
              <w:tc>
                <w:tcPr>
                  <w:tcW w:w="6377" w:type="dxa"/>
                  <w:shd w:val="clear" w:color="auto" w:fill="auto"/>
                </w:tcPr>
                <w:p w14:paraId="5DBC45C5" w14:textId="77777777" w:rsidR="009C6940" w:rsidRPr="00EF7969" w:rsidRDefault="009C6940" w:rsidP="009C6940">
                  <w:pPr>
                    <w:pStyle w:val="TableBodyText"/>
                    <w:jc w:val="left"/>
                  </w:pPr>
                  <w:r w:rsidRPr="00EF7969">
                    <w:t>Mark Mahanetrs</w:t>
                  </w:r>
                </w:p>
              </w:tc>
              <w:tc>
                <w:tcPr>
                  <w:tcW w:w="2126" w:type="dxa"/>
                  <w:shd w:val="clear" w:color="auto" w:fill="auto"/>
                </w:tcPr>
                <w:p w14:paraId="1ACD7880" w14:textId="77777777" w:rsidR="009C6940" w:rsidRPr="00EF7969" w:rsidRDefault="009C6940" w:rsidP="009C6940">
                  <w:pPr>
                    <w:pStyle w:val="TableBodyText"/>
                  </w:pPr>
                  <w:r w:rsidRPr="00EF7969">
                    <w:t>1035</w:t>
                  </w:r>
                </w:p>
              </w:tc>
            </w:tr>
            <w:tr w:rsidR="009C6940" w:rsidRPr="00EF7969" w14:paraId="7721C774" w14:textId="77777777" w:rsidTr="009C6940">
              <w:tc>
                <w:tcPr>
                  <w:tcW w:w="6377" w:type="dxa"/>
                  <w:shd w:val="clear" w:color="auto" w:fill="auto"/>
                </w:tcPr>
                <w:p w14:paraId="786B42B8" w14:textId="77777777" w:rsidR="009C6940" w:rsidRPr="00EF7969" w:rsidRDefault="009C6940" w:rsidP="009C6940">
                  <w:pPr>
                    <w:pStyle w:val="TableBodyText"/>
                    <w:jc w:val="left"/>
                  </w:pPr>
                  <w:r w:rsidRPr="00EF7969">
                    <w:t>Mark Porter</w:t>
                  </w:r>
                </w:p>
              </w:tc>
              <w:tc>
                <w:tcPr>
                  <w:tcW w:w="2126" w:type="dxa"/>
                  <w:shd w:val="clear" w:color="auto" w:fill="auto"/>
                </w:tcPr>
                <w:p w14:paraId="45EB8388" w14:textId="77777777" w:rsidR="009C6940" w:rsidRPr="00EF7969" w:rsidRDefault="009C6940" w:rsidP="009C6940">
                  <w:pPr>
                    <w:pStyle w:val="TableBodyText"/>
                  </w:pPr>
                  <w:r w:rsidRPr="00EF7969">
                    <w:t>331</w:t>
                  </w:r>
                </w:p>
              </w:tc>
            </w:tr>
            <w:tr w:rsidR="009C6940" w:rsidRPr="00EF7969" w14:paraId="791D315F" w14:textId="77777777" w:rsidTr="009C6940">
              <w:tc>
                <w:tcPr>
                  <w:tcW w:w="6377" w:type="dxa"/>
                  <w:shd w:val="clear" w:color="auto" w:fill="auto"/>
                </w:tcPr>
                <w:p w14:paraId="65ED9F2E" w14:textId="77777777" w:rsidR="009C6940" w:rsidRPr="00EF7969" w:rsidRDefault="009C6940" w:rsidP="009C6940">
                  <w:pPr>
                    <w:pStyle w:val="TableBodyText"/>
                    <w:jc w:val="left"/>
                  </w:pPr>
                  <w:r w:rsidRPr="00EF7969">
                    <w:t>Marnie Jones</w:t>
                  </w:r>
                </w:p>
              </w:tc>
              <w:tc>
                <w:tcPr>
                  <w:tcW w:w="2126" w:type="dxa"/>
                  <w:shd w:val="clear" w:color="auto" w:fill="auto"/>
                </w:tcPr>
                <w:p w14:paraId="6800933B" w14:textId="77777777" w:rsidR="009C6940" w:rsidRPr="00EF7969" w:rsidRDefault="009C6940" w:rsidP="009C6940">
                  <w:pPr>
                    <w:pStyle w:val="TableBodyText"/>
                  </w:pPr>
                  <w:r w:rsidRPr="00EF7969">
                    <w:t>605</w:t>
                  </w:r>
                </w:p>
              </w:tc>
            </w:tr>
            <w:tr w:rsidR="009C6940" w:rsidRPr="00EF7969" w14:paraId="094738D8" w14:textId="77777777" w:rsidTr="009C6940">
              <w:tc>
                <w:tcPr>
                  <w:tcW w:w="6377" w:type="dxa"/>
                  <w:shd w:val="clear" w:color="auto" w:fill="auto"/>
                </w:tcPr>
                <w:p w14:paraId="6FFBFBC6" w14:textId="77777777" w:rsidR="009C6940" w:rsidRPr="00EF7969" w:rsidRDefault="009C6940" w:rsidP="009C6940">
                  <w:pPr>
                    <w:pStyle w:val="TableBodyText"/>
                    <w:jc w:val="left"/>
                  </w:pPr>
                  <w:r w:rsidRPr="00EF7969">
                    <w:t>Maroondah City Council</w:t>
                  </w:r>
                </w:p>
              </w:tc>
              <w:tc>
                <w:tcPr>
                  <w:tcW w:w="2126" w:type="dxa"/>
                  <w:shd w:val="clear" w:color="auto" w:fill="auto"/>
                </w:tcPr>
                <w:p w14:paraId="30F6DB48" w14:textId="77777777" w:rsidR="009C6940" w:rsidRPr="00EF7969" w:rsidRDefault="009C6940" w:rsidP="009C6940">
                  <w:pPr>
                    <w:pStyle w:val="TableBodyText"/>
                  </w:pPr>
                  <w:r w:rsidRPr="00EF7969">
                    <w:t>747</w:t>
                  </w:r>
                </w:p>
              </w:tc>
            </w:tr>
            <w:tr w:rsidR="009C6940" w:rsidRPr="00EF7969" w14:paraId="21D5E266" w14:textId="77777777" w:rsidTr="009C6940">
              <w:tc>
                <w:tcPr>
                  <w:tcW w:w="6377" w:type="dxa"/>
                  <w:shd w:val="clear" w:color="auto" w:fill="auto"/>
                </w:tcPr>
                <w:p w14:paraId="0C5C683A" w14:textId="77777777" w:rsidR="009C6940" w:rsidRPr="00EF7969" w:rsidRDefault="009C6940" w:rsidP="009C6940">
                  <w:pPr>
                    <w:pStyle w:val="TableBodyText"/>
                    <w:jc w:val="left"/>
                  </w:pPr>
                  <w:r w:rsidRPr="00EF7969">
                    <w:t>Martha Henderson</w:t>
                  </w:r>
                </w:p>
              </w:tc>
              <w:tc>
                <w:tcPr>
                  <w:tcW w:w="2126" w:type="dxa"/>
                  <w:shd w:val="clear" w:color="auto" w:fill="auto"/>
                </w:tcPr>
                <w:p w14:paraId="50171D8F" w14:textId="77777777" w:rsidR="009C6940" w:rsidRPr="00EF7969" w:rsidRDefault="009C6940" w:rsidP="009C6940">
                  <w:pPr>
                    <w:pStyle w:val="TableBodyText"/>
                  </w:pPr>
                  <w:r w:rsidRPr="00EF7969">
                    <w:t>65</w:t>
                  </w:r>
                </w:p>
              </w:tc>
            </w:tr>
            <w:tr w:rsidR="009C6940" w:rsidRPr="00EF7969" w14:paraId="2003BF33" w14:textId="77777777" w:rsidTr="009C6940">
              <w:tc>
                <w:tcPr>
                  <w:tcW w:w="6377" w:type="dxa"/>
                  <w:shd w:val="clear" w:color="auto" w:fill="auto"/>
                </w:tcPr>
                <w:p w14:paraId="255B28AA" w14:textId="77777777" w:rsidR="009C6940" w:rsidRPr="00EF7969" w:rsidRDefault="009C6940" w:rsidP="009C6940">
                  <w:pPr>
                    <w:pStyle w:val="TableBodyText"/>
                    <w:jc w:val="left"/>
                  </w:pPr>
                  <w:r w:rsidRPr="00EF7969">
                    <w:t>Martin Whitely</w:t>
                  </w:r>
                </w:p>
              </w:tc>
              <w:tc>
                <w:tcPr>
                  <w:tcW w:w="2126" w:type="dxa"/>
                  <w:shd w:val="clear" w:color="auto" w:fill="auto"/>
                </w:tcPr>
                <w:p w14:paraId="3533D1C8" w14:textId="77777777" w:rsidR="009C6940" w:rsidRPr="00EF7969" w:rsidRDefault="009C6940" w:rsidP="009C6940">
                  <w:pPr>
                    <w:pStyle w:val="TableBodyText"/>
                  </w:pPr>
                  <w:r w:rsidRPr="00EF7969">
                    <w:t>1198</w:t>
                  </w:r>
                </w:p>
              </w:tc>
            </w:tr>
            <w:tr w:rsidR="009C6940" w:rsidRPr="00EF7969" w14:paraId="2056F046" w14:textId="77777777" w:rsidTr="009C6940">
              <w:tc>
                <w:tcPr>
                  <w:tcW w:w="6377" w:type="dxa"/>
                  <w:shd w:val="clear" w:color="auto" w:fill="auto"/>
                </w:tcPr>
                <w:p w14:paraId="4ACABD53" w14:textId="77777777" w:rsidR="009C6940" w:rsidRPr="00EF7969" w:rsidRDefault="009C6940" w:rsidP="009C6940">
                  <w:pPr>
                    <w:pStyle w:val="TableBodyText"/>
                    <w:jc w:val="left"/>
                  </w:pPr>
                  <w:r w:rsidRPr="00EF7969">
                    <w:t>Massage and Myotherapy Australia</w:t>
                  </w:r>
                </w:p>
              </w:tc>
              <w:tc>
                <w:tcPr>
                  <w:tcW w:w="2126" w:type="dxa"/>
                  <w:shd w:val="clear" w:color="auto" w:fill="auto"/>
                </w:tcPr>
                <w:p w14:paraId="5ECE0306" w14:textId="77777777" w:rsidR="009C6940" w:rsidRPr="00EF7969" w:rsidRDefault="009C6940" w:rsidP="009C6940">
                  <w:pPr>
                    <w:pStyle w:val="TableBodyText"/>
                  </w:pPr>
                  <w:r w:rsidRPr="00EF7969">
                    <w:t>696</w:t>
                  </w:r>
                </w:p>
              </w:tc>
            </w:tr>
            <w:tr w:rsidR="009C6940" w:rsidRPr="00EF7969" w14:paraId="1C6FEB08" w14:textId="77777777" w:rsidTr="009C6940">
              <w:tc>
                <w:tcPr>
                  <w:tcW w:w="6377" w:type="dxa"/>
                  <w:shd w:val="clear" w:color="auto" w:fill="auto"/>
                </w:tcPr>
                <w:p w14:paraId="424C60E8" w14:textId="77777777" w:rsidR="009C6940" w:rsidRPr="00EF7969" w:rsidRDefault="009C6940" w:rsidP="009C6940">
                  <w:pPr>
                    <w:pStyle w:val="TableBodyText"/>
                    <w:jc w:val="left"/>
                  </w:pPr>
                  <w:r w:rsidRPr="00EF7969">
                    <w:t>Mates in Construction (MIC)</w:t>
                  </w:r>
                </w:p>
              </w:tc>
              <w:tc>
                <w:tcPr>
                  <w:tcW w:w="2126" w:type="dxa"/>
                  <w:shd w:val="clear" w:color="auto" w:fill="auto"/>
                </w:tcPr>
                <w:p w14:paraId="072E75F5" w14:textId="77777777" w:rsidR="009C6940" w:rsidRPr="00EF7969" w:rsidRDefault="009C6940" w:rsidP="009C6940">
                  <w:pPr>
                    <w:pStyle w:val="TableBodyText"/>
                  </w:pPr>
                  <w:r w:rsidRPr="00EF7969">
                    <w:t>786</w:t>
                  </w:r>
                </w:p>
              </w:tc>
            </w:tr>
            <w:tr w:rsidR="009C6940" w:rsidRPr="00EF7969" w14:paraId="1AEC0BCA" w14:textId="77777777" w:rsidTr="009C6940">
              <w:tc>
                <w:tcPr>
                  <w:tcW w:w="6377" w:type="dxa"/>
                  <w:shd w:val="clear" w:color="auto" w:fill="auto"/>
                </w:tcPr>
                <w:p w14:paraId="0C986023" w14:textId="77777777" w:rsidR="009C6940" w:rsidRPr="00EF7969" w:rsidRDefault="009C6940" w:rsidP="009C6940">
                  <w:pPr>
                    <w:pStyle w:val="TableBodyText"/>
                    <w:jc w:val="left"/>
                  </w:pPr>
                  <w:r w:rsidRPr="00EF7969">
                    <w:t>Matilda Centre for Research in Mental Health and Substance Use</w:t>
                  </w:r>
                </w:p>
              </w:tc>
              <w:tc>
                <w:tcPr>
                  <w:tcW w:w="2126" w:type="dxa"/>
                  <w:shd w:val="clear" w:color="auto" w:fill="auto"/>
                </w:tcPr>
                <w:p w14:paraId="4CACC41B" w14:textId="77777777" w:rsidR="009C6940" w:rsidRPr="00EF7969" w:rsidRDefault="009C6940" w:rsidP="009C6940">
                  <w:pPr>
                    <w:pStyle w:val="TableBodyText"/>
                  </w:pPr>
                  <w:r w:rsidRPr="00EF7969">
                    <w:t>280, 880</w:t>
                  </w:r>
                </w:p>
              </w:tc>
            </w:tr>
            <w:tr w:rsidR="009C6940" w:rsidRPr="00EF7969" w14:paraId="5A7F7654" w14:textId="77777777" w:rsidTr="009C6940">
              <w:tc>
                <w:tcPr>
                  <w:tcW w:w="6377" w:type="dxa"/>
                  <w:shd w:val="clear" w:color="auto" w:fill="auto"/>
                </w:tcPr>
                <w:p w14:paraId="6C8CFEE6" w14:textId="77777777" w:rsidR="009C6940" w:rsidRPr="00EF7969" w:rsidRDefault="009C6940" w:rsidP="009C6940">
                  <w:pPr>
                    <w:pStyle w:val="TableBodyText"/>
                    <w:jc w:val="left"/>
                  </w:pPr>
                  <w:r w:rsidRPr="00EF7969">
                    <w:t xml:space="preserve">Maree Teesson and Alan </w:t>
                  </w:r>
                </w:p>
              </w:tc>
              <w:tc>
                <w:tcPr>
                  <w:tcW w:w="2126" w:type="dxa"/>
                  <w:shd w:val="clear" w:color="auto" w:fill="auto"/>
                </w:tcPr>
                <w:p w14:paraId="781BB86F" w14:textId="77777777" w:rsidR="009C6940" w:rsidRPr="00EF7969" w:rsidRDefault="009C6940" w:rsidP="009C6940">
                  <w:pPr>
                    <w:pStyle w:val="TableBodyText"/>
                  </w:pPr>
                  <w:r w:rsidRPr="00EF7969">
                    <w:t>226</w:t>
                  </w:r>
                </w:p>
              </w:tc>
            </w:tr>
            <w:tr w:rsidR="009C6940" w:rsidRPr="00EF7969" w14:paraId="393DF6C6" w14:textId="77777777" w:rsidTr="009C6940">
              <w:tc>
                <w:tcPr>
                  <w:tcW w:w="6377" w:type="dxa"/>
                  <w:shd w:val="clear" w:color="auto" w:fill="auto"/>
                </w:tcPr>
                <w:p w14:paraId="66EB6608" w14:textId="77777777" w:rsidR="009C6940" w:rsidRPr="00EF7969" w:rsidRDefault="009C6940" w:rsidP="009C6940">
                  <w:pPr>
                    <w:pStyle w:val="TableBodyText"/>
                    <w:jc w:val="left"/>
                  </w:pPr>
                  <w:r w:rsidRPr="00EF7969">
                    <w:t>Matthew Fitzpatrick</w:t>
                  </w:r>
                </w:p>
              </w:tc>
              <w:tc>
                <w:tcPr>
                  <w:tcW w:w="2126" w:type="dxa"/>
                  <w:shd w:val="clear" w:color="auto" w:fill="auto"/>
                </w:tcPr>
                <w:p w14:paraId="6FB621DC" w14:textId="77777777" w:rsidR="009C6940" w:rsidRPr="00EF7969" w:rsidRDefault="009C6940" w:rsidP="009C6940">
                  <w:pPr>
                    <w:pStyle w:val="TableBodyText"/>
                  </w:pPr>
                  <w:r w:rsidRPr="00EF7969">
                    <w:t>358, 936</w:t>
                  </w:r>
                </w:p>
              </w:tc>
            </w:tr>
            <w:tr w:rsidR="009C6940" w:rsidRPr="00EF7969" w14:paraId="1C195394" w14:textId="77777777" w:rsidTr="009C6940">
              <w:tc>
                <w:tcPr>
                  <w:tcW w:w="6377" w:type="dxa"/>
                  <w:shd w:val="clear" w:color="auto" w:fill="auto"/>
                </w:tcPr>
                <w:p w14:paraId="1930DB87" w14:textId="77777777" w:rsidR="009C6940" w:rsidRPr="00EF7969" w:rsidRDefault="009C6940" w:rsidP="009C6940">
                  <w:pPr>
                    <w:pStyle w:val="TableBodyText"/>
                    <w:jc w:val="left"/>
                  </w:pPr>
                  <w:r w:rsidRPr="00EF7969">
                    <w:t>Matthew Macfarlane</w:t>
                  </w:r>
                </w:p>
              </w:tc>
              <w:tc>
                <w:tcPr>
                  <w:tcW w:w="2126" w:type="dxa"/>
                  <w:shd w:val="clear" w:color="auto" w:fill="auto"/>
                </w:tcPr>
                <w:p w14:paraId="02629C78" w14:textId="77777777" w:rsidR="009C6940" w:rsidRPr="00EF7969" w:rsidRDefault="009C6940" w:rsidP="009C6940">
                  <w:pPr>
                    <w:pStyle w:val="TableBodyText"/>
                  </w:pPr>
                  <w:r w:rsidRPr="00EF7969">
                    <w:t>2</w:t>
                  </w:r>
                </w:p>
              </w:tc>
            </w:tr>
            <w:tr w:rsidR="009C6940" w:rsidRPr="00EF7969" w14:paraId="534B36F9" w14:textId="77777777" w:rsidTr="009C6940">
              <w:tc>
                <w:tcPr>
                  <w:tcW w:w="6377" w:type="dxa"/>
                  <w:shd w:val="clear" w:color="auto" w:fill="auto"/>
                </w:tcPr>
                <w:p w14:paraId="12A82026" w14:textId="77777777" w:rsidR="009C6940" w:rsidRPr="00EF7969" w:rsidRDefault="009C6940" w:rsidP="009C6940">
                  <w:pPr>
                    <w:pStyle w:val="TableBodyText"/>
                    <w:jc w:val="left"/>
                  </w:pPr>
                  <w:r w:rsidRPr="00EF7969">
                    <w:t>Maurice Blackburn Lawyers</w:t>
                  </w:r>
                </w:p>
              </w:tc>
              <w:tc>
                <w:tcPr>
                  <w:tcW w:w="2126" w:type="dxa"/>
                  <w:shd w:val="clear" w:color="auto" w:fill="auto"/>
                </w:tcPr>
                <w:p w14:paraId="56E611F1" w14:textId="77777777" w:rsidR="009C6940" w:rsidRPr="00EF7969" w:rsidRDefault="009C6940" w:rsidP="009C6940">
                  <w:pPr>
                    <w:pStyle w:val="TableBodyText"/>
                  </w:pPr>
                  <w:r w:rsidRPr="00EF7969">
                    <w:t>239</w:t>
                  </w:r>
                </w:p>
              </w:tc>
            </w:tr>
            <w:tr w:rsidR="009C6940" w:rsidRPr="00EF7969" w14:paraId="0B6CC3D8" w14:textId="77777777" w:rsidTr="009C6940">
              <w:tc>
                <w:tcPr>
                  <w:tcW w:w="6377" w:type="dxa"/>
                  <w:shd w:val="clear" w:color="auto" w:fill="auto"/>
                </w:tcPr>
                <w:p w14:paraId="0788C1EE" w14:textId="77777777" w:rsidR="009C6940" w:rsidRPr="00EF7969" w:rsidRDefault="009C6940" w:rsidP="009C6940">
                  <w:pPr>
                    <w:pStyle w:val="TableBodyText"/>
                    <w:jc w:val="left"/>
                  </w:pPr>
                  <w:r>
                    <w:t>Melbourne Children’s Campus</w:t>
                  </w:r>
                </w:p>
              </w:tc>
              <w:tc>
                <w:tcPr>
                  <w:tcW w:w="2126" w:type="dxa"/>
                  <w:shd w:val="clear" w:color="auto" w:fill="auto"/>
                </w:tcPr>
                <w:p w14:paraId="24848847" w14:textId="77777777" w:rsidR="009C6940" w:rsidRPr="00EF7969" w:rsidRDefault="009C6940" w:rsidP="009C6940">
                  <w:pPr>
                    <w:pStyle w:val="TableBodyText"/>
                  </w:pPr>
                  <w:r>
                    <w:t>191, 927</w:t>
                  </w:r>
                </w:p>
              </w:tc>
            </w:tr>
            <w:tr w:rsidR="009C6940" w:rsidRPr="00EF7969" w14:paraId="2FC8FC51" w14:textId="77777777" w:rsidTr="009C6940">
              <w:tc>
                <w:tcPr>
                  <w:tcW w:w="6377" w:type="dxa"/>
                  <w:shd w:val="clear" w:color="auto" w:fill="auto"/>
                </w:tcPr>
                <w:p w14:paraId="66A1E3D9" w14:textId="77777777" w:rsidR="009C6940" w:rsidRPr="00EF7969" w:rsidRDefault="009C6940" w:rsidP="009C6940">
                  <w:pPr>
                    <w:pStyle w:val="TableBodyText"/>
                    <w:jc w:val="left"/>
                  </w:pPr>
                  <w:r>
                    <w:t>Melbourne Disability Institute</w:t>
                  </w:r>
                </w:p>
              </w:tc>
              <w:tc>
                <w:tcPr>
                  <w:tcW w:w="2126" w:type="dxa"/>
                  <w:shd w:val="clear" w:color="auto" w:fill="auto"/>
                </w:tcPr>
                <w:p w14:paraId="6BAEE661" w14:textId="77777777" w:rsidR="009C6940" w:rsidRPr="00EF7969" w:rsidRDefault="009C6940" w:rsidP="009C6940">
                  <w:pPr>
                    <w:pStyle w:val="TableBodyText"/>
                  </w:pPr>
                  <w:r>
                    <w:t>144</w:t>
                  </w:r>
                </w:p>
              </w:tc>
            </w:tr>
            <w:tr w:rsidR="009C6940" w:rsidRPr="00EF7969" w14:paraId="41EAF94C" w14:textId="77777777" w:rsidTr="009C6940">
              <w:tc>
                <w:tcPr>
                  <w:tcW w:w="6377" w:type="dxa"/>
                  <w:tcBorders>
                    <w:bottom w:val="single" w:sz="4" w:space="0" w:color="BFBFBF" w:themeColor="background1" w:themeShade="BF"/>
                  </w:tcBorders>
                  <w:shd w:val="clear" w:color="auto" w:fill="auto"/>
                </w:tcPr>
                <w:p w14:paraId="4C848A9D" w14:textId="77777777" w:rsidR="009C6940" w:rsidRDefault="009C6940" w:rsidP="009C6940">
                  <w:pPr>
                    <w:pStyle w:val="TableBodyText"/>
                    <w:jc w:val="left"/>
                  </w:pPr>
                  <w:r w:rsidRPr="00EF7969">
                    <w:t>Medibank</w:t>
                  </w:r>
                </w:p>
              </w:tc>
              <w:tc>
                <w:tcPr>
                  <w:tcW w:w="2126" w:type="dxa"/>
                  <w:tcBorders>
                    <w:bottom w:val="single" w:sz="4" w:space="0" w:color="BFBFBF" w:themeColor="background1" w:themeShade="BF"/>
                  </w:tcBorders>
                  <w:shd w:val="clear" w:color="auto" w:fill="auto"/>
                </w:tcPr>
                <w:p w14:paraId="13C6850D" w14:textId="77777777" w:rsidR="009C6940" w:rsidRDefault="009C6940" w:rsidP="009C6940">
                  <w:pPr>
                    <w:pStyle w:val="TableBodyText"/>
                  </w:pPr>
                  <w:r w:rsidRPr="00EF7969">
                    <w:t>700</w:t>
                  </w:r>
                </w:p>
              </w:tc>
            </w:tr>
          </w:tbl>
          <w:p w14:paraId="6E6AAD93" w14:textId="77777777" w:rsidR="009C6940" w:rsidRPr="00EF7969" w:rsidRDefault="009C6940" w:rsidP="009C6940">
            <w:pPr>
              <w:pStyle w:val="Box"/>
            </w:pPr>
          </w:p>
        </w:tc>
      </w:tr>
      <w:tr w:rsidR="009C6940" w:rsidRPr="00EF7969" w14:paraId="7C181289" w14:textId="77777777" w:rsidTr="009C6940">
        <w:tc>
          <w:tcPr>
            <w:tcW w:w="8789" w:type="dxa"/>
            <w:tcBorders>
              <w:top w:val="nil"/>
              <w:left w:val="nil"/>
              <w:bottom w:val="nil"/>
              <w:right w:val="nil"/>
            </w:tcBorders>
            <w:shd w:val="clear" w:color="auto" w:fill="auto"/>
          </w:tcPr>
          <w:p w14:paraId="3045AD5A" w14:textId="77777777" w:rsidR="009C6940" w:rsidRPr="00EF7969" w:rsidRDefault="009C6940" w:rsidP="009C6940">
            <w:pPr>
              <w:pStyle w:val="Continued"/>
            </w:pPr>
            <w:r w:rsidRPr="00EF7969">
              <w:t>(continued next page)</w:t>
            </w:r>
          </w:p>
        </w:tc>
      </w:tr>
      <w:tr w:rsidR="009C6940" w:rsidRPr="00EF7969" w14:paraId="0FAEF0D5" w14:textId="77777777" w:rsidTr="009C6940">
        <w:tc>
          <w:tcPr>
            <w:tcW w:w="8789" w:type="dxa"/>
            <w:tcBorders>
              <w:top w:val="nil"/>
              <w:left w:val="nil"/>
              <w:bottom w:val="single" w:sz="6" w:space="0" w:color="78A22F"/>
              <w:right w:val="nil"/>
            </w:tcBorders>
            <w:shd w:val="clear" w:color="auto" w:fill="auto"/>
          </w:tcPr>
          <w:p w14:paraId="428BFE7E" w14:textId="77777777" w:rsidR="009C6940" w:rsidRPr="00EF7969" w:rsidRDefault="009C6940" w:rsidP="009C6940">
            <w:pPr>
              <w:pStyle w:val="Box"/>
              <w:spacing w:before="0" w:line="120" w:lineRule="exact"/>
            </w:pPr>
          </w:p>
        </w:tc>
      </w:tr>
      <w:tr w:rsidR="009C6940" w:rsidRPr="00EF7969" w14:paraId="21F412A3" w14:textId="77777777" w:rsidTr="009C6940">
        <w:tc>
          <w:tcPr>
            <w:tcW w:w="8789" w:type="dxa"/>
            <w:tcBorders>
              <w:top w:val="single" w:sz="6" w:space="0" w:color="78A22F"/>
              <w:left w:val="nil"/>
              <w:bottom w:val="nil"/>
              <w:right w:val="nil"/>
            </w:tcBorders>
          </w:tcPr>
          <w:p w14:paraId="4559D2AD" w14:textId="77777777" w:rsidR="009C6940" w:rsidRPr="00EF7969" w:rsidRDefault="009C6940" w:rsidP="009C6940">
            <w:pPr>
              <w:pStyle w:val="BoxSpaceBelow"/>
            </w:pPr>
          </w:p>
        </w:tc>
      </w:tr>
    </w:tbl>
    <w:p w14:paraId="2B7BBE40"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03CB3450" w14:textId="77777777" w:rsidTr="009C6940">
        <w:trPr>
          <w:tblHeader/>
        </w:trPr>
        <w:tc>
          <w:tcPr>
            <w:tcW w:w="8789" w:type="dxa"/>
            <w:tcBorders>
              <w:top w:val="single" w:sz="6" w:space="0" w:color="78A22F"/>
              <w:left w:val="nil"/>
              <w:bottom w:val="nil"/>
              <w:right w:val="nil"/>
            </w:tcBorders>
            <w:shd w:val="clear" w:color="auto" w:fill="auto"/>
          </w:tcPr>
          <w:p w14:paraId="453E5838"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2FB6C91E"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35C32D73"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25A29DFB"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6A937382" w14:textId="77777777" w:rsidR="009C6940" w:rsidRPr="00EF7969" w:rsidRDefault="009C6940" w:rsidP="009C6940">
                  <w:pPr>
                    <w:pStyle w:val="TableColumnHeading"/>
                    <w:ind w:right="28"/>
                  </w:pPr>
                  <w:r w:rsidRPr="00EF7969">
                    <w:t>Submission no.</w:t>
                  </w:r>
                </w:p>
              </w:tc>
            </w:tr>
            <w:tr w:rsidR="009C6940" w:rsidRPr="00EF7969" w14:paraId="3C15BEF9" w14:textId="77777777" w:rsidTr="009C6940">
              <w:trPr>
                <w:tblHeader/>
              </w:trPr>
              <w:tc>
                <w:tcPr>
                  <w:tcW w:w="6377" w:type="dxa"/>
                  <w:shd w:val="clear" w:color="auto" w:fill="auto"/>
                  <w:tcMar>
                    <w:top w:w="28" w:type="dxa"/>
                  </w:tcMar>
                </w:tcPr>
                <w:p w14:paraId="1BB36BD9" w14:textId="77777777" w:rsidR="009C6940" w:rsidRDefault="009C6940" w:rsidP="00536C2C">
                  <w:pPr>
                    <w:pStyle w:val="TableBodyText"/>
                    <w:spacing w:before="40"/>
                    <w:jc w:val="left"/>
                  </w:pPr>
                  <w:r w:rsidRPr="00EF7969">
                    <w:t>Medical Consumers Association</w:t>
                  </w:r>
                </w:p>
              </w:tc>
              <w:tc>
                <w:tcPr>
                  <w:tcW w:w="2126" w:type="dxa"/>
                  <w:shd w:val="clear" w:color="auto" w:fill="auto"/>
                  <w:tcMar>
                    <w:top w:w="28" w:type="dxa"/>
                  </w:tcMar>
                </w:tcPr>
                <w:p w14:paraId="4D3D19DB" w14:textId="77777777" w:rsidR="009C6940" w:rsidRDefault="009C6940" w:rsidP="00536C2C">
                  <w:pPr>
                    <w:pStyle w:val="TableBodyText"/>
                    <w:spacing w:before="40"/>
                  </w:pPr>
                  <w:r w:rsidRPr="00EF7969">
                    <w:t>19, 675, 1117, 1233</w:t>
                  </w:r>
                </w:p>
              </w:tc>
            </w:tr>
            <w:tr w:rsidR="009C6940" w:rsidRPr="00EF7969" w14:paraId="1E51B9BE" w14:textId="77777777" w:rsidTr="009C6940">
              <w:trPr>
                <w:tblHeader/>
              </w:trPr>
              <w:tc>
                <w:tcPr>
                  <w:tcW w:w="6377" w:type="dxa"/>
                  <w:shd w:val="clear" w:color="auto" w:fill="auto"/>
                  <w:tcMar>
                    <w:top w:w="28" w:type="dxa"/>
                  </w:tcMar>
                </w:tcPr>
                <w:p w14:paraId="294C3D2F" w14:textId="77777777" w:rsidR="009C6940" w:rsidRPr="00EF7969" w:rsidRDefault="009C6940" w:rsidP="009C6940">
                  <w:pPr>
                    <w:pStyle w:val="TableBodyText"/>
                    <w:jc w:val="left"/>
                  </w:pPr>
                  <w:r>
                    <w:t>Mental Health at Work</w:t>
                  </w:r>
                </w:p>
              </w:tc>
              <w:tc>
                <w:tcPr>
                  <w:tcW w:w="2126" w:type="dxa"/>
                  <w:shd w:val="clear" w:color="auto" w:fill="auto"/>
                  <w:tcMar>
                    <w:top w:w="28" w:type="dxa"/>
                  </w:tcMar>
                </w:tcPr>
                <w:p w14:paraId="6CD40F09" w14:textId="77777777" w:rsidR="009C6940" w:rsidRPr="00EF7969" w:rsidRDefault="009C6940" w:rsidP="009C6940">
                  <w:pPr>
                    <w:pStyle w:val="TableBodyText"/>
                  </w:pPr>
                  <w:r>
                    <w:t>171</w:t>
                  </w:r>
                </w:p>
              </w:tc>
            </w:tr>
            <w:tr w:rsidR="009C6940" w:rsidRPr="00EF7969" w14:paraId="3EFFD92A" w14:textId="77777777" w:rsidTr="009C6940">
              <w:tc>
                <w:tcPr>
                  <w:tcW w:w="6377" w:type="dxa"/>
                  <w:shd w:val="clear" w:color="auto" w:fill="auto"/>
                </w:tcPr>
                <w:p w14:paraId="404F7009" w14:textId="77777777" w:rsidR="009C6940" w:rsidRPr="00EF7969" w:rsidRDefault="009C6940" w:rsidP="009C6940">
                  <w:pPr>
                    <w:pStyle w:val="TableBodyText"/>
                    <w:jc w:val="left"/>
                  </w:pPr>
                  <w:r>
                    <w:t>Mental Health Australia</w:t>
                  </w:r>
                </w:p>
              </w:tc>
              <w:tc>
                <w:tcPr>
                  <w:tcW w:w="2126" w:type="dxa"/>
                  <w:shd w:val="clear" w:color="auto" w:fill="auto"/>
                </w:tcPr>
                <w:p w14:paraId="4289E415" w14:textId="77777777" w:rsidR="009C6940" w:rsidRPr="00EF7969" w:rsidRDefault="009C6940" w:rsidP="009C6940">
                  <w:pPr>
                    <w:pStyle w:val="TableBodyText"/>
                  </w:pPr>
                  <w:r>
                    <w:t>407, 538, 544, 864</w:t>
                  </w:r>
                </w:p>
              </w:tc>
            </w:tr>
            <w:tr w:rsidR="009C6940" w:rsidRPr="00EF7969" w14:paraId="54F1EC6E" w14:textId="77777777" w:rsidTr="009C6940">
              <w:tc>
                <w:tcPr>
                  <w:tcW w:w="6377" w:type="dxa"/>
                  <w:shd w:val="clear" w:color="auto" w:fill="auto"/>
                </w:tcPr>
                <w:p w14:paraId="783AEA6F" w14:textId="77777777" w:rsidR="009C6940" w:rsidRPr="00EF7969" w:rsidRDefault="009C6940" w:rsidP="009C6940">
                  <w:pPr>
                    <w:pStyle w:val="TableBodyText"/>
                    <w:jc w:val="left"/>
                  </w:pPr>
                  <w:r w:rsidRPr="00EF7969">
                    <w:t>Mental Health Australia, Federation of Ethnic Communities’ Councils of Australia (FECCA) and National Ethnic Disability Alliance (</w:t>
                  </w:r>
                  <w:r>
                    <w:t>NED</w:t>
                  </w:r>
                  <w:r w:rsidRPr="00EF7969">
                    <w:t xml:space="preserve">A) </w:t>
                  </w:r>
                </w:p>
              </w:tc>
              <w:tc>
                <w:tcPr>
                  <w:tcW w:w="2126" w:type="dxa"/>
                  <w:shd w:val="clear" w:color="auto" w:fill="auto"/>
                </w:tcPr>
                <w:p w14:paraId="07409DC9" w14:textId="77777777" w:rsidR="009C6940" w:rsidRPr="00EF7969" w:rsidRDefault="009C6940" w:rsidP="009C6940">
                  <w:pPr>
                    <w:pStyle w:val="TableBodyText"/>
                  </w:pPr>
                  <w:r w:rsidRPr="00EF7969">
                    <w:t>524, 1113</w:t>
                  </w:r>
                </w:p>
              </w:tc>
            </w:tr>
            <w:tr w:rsidR="009C6940" w:rsidRPr="00EF7969" w14:paraId="396D8AE8" w14:textId="77777777" w:rsidTr="009C6940">
              <w:tc>
                <w:tcPr>
                  <w:tcW w:w="6377" w:type="dxa"/>
                  <w:shd w:val="clear" w:color="auto" w:fill="auto"/>
                </w:tcPr>
                <w:p w14:paraId="60080B94" w14:textId="77777777" w:rsidR="009C6940" w:rsidRPr="00EF7969" w:rsidRDefault="009C6940" w:rsidP="009C6940">
                  <w:pPr>
                    <w:pStyle w:val="TableBodyText"/>
                    <w:jc w:val="left"/>
                  </w:pPr>
                  <w:r w:rsidRPr="00EF7969">
                    <w:t>Mental Health Carers ARAFMI Illawarra</w:t>
                  </w:r>
                </w:p>
              </w:tc>
              <w:tc>
                <w:tcPr>
                  <w:tcW w:w="2126" w:type="dxa"/>
                  <w:shd w:val="clear" w:color="auto" w:fill="auto"/>
                </w:tcPr>
                <w:p w14:paraId="2FB121E1" w14:textId="77777777" w:rsidR="009C6940" w:rsidRPr="00EF7969" w:rsidRDefault="009C6940" w:rsidP="009C6940">
                  <w:pPr>
                    <w:pStyle w:val="TableBodyText"/>
                  </w:pPr>
                  <w:r w:rsidRPr="00EF7969">
                    <w:t>161</w:t>
                  </w:r>
                </w:p>
              </w:tc>
            </w:tr>
            <w:tr w:rsidR="009C6940" w:rsidRPr="00EF7969" w14:paraId="5F154A8E" w14:textId="77777777" w:rsidTr="009C6940">
              <w:tc>
                <w:tcPr>
                  <w:tcW w:w="6377" w:type="dxa"/>
                  <w:shd w:val="clear" w:color="auto" w:fill="auto"/>
                </w:tcPr>
                <w:p w14:paraId="3A76BBC6" w14:textId="77777777" w:rsidR="009C6940" w:rsidRPr="00EF7969" w:rsidRDefault="009C6940" w:rsidP="009C6940">
                  <w:pPr>
                    <w:pStyle w:val="TableBodyText"/>
                    <w:jc w:val="left"/>
                  </w:pPr>
                  <w:r w:rsidRPr="00EF7969">
                    <w:t>Mental Health Carers Australia (MHCA)</w:t>
                  </w:r>
                </w:p>
              </w:tc>
              <w:tc>
                <w:tcPr>
                  <w:tcW w:w="2126" w:type="dxa"/>
                  <w:shd w:val="clear" w:color="auto" w:fill="auto"/>
                </w:tcPr>
                <w:p w14:paraId="780E7E6E" w14:textId="77777777" w:rsidR="009C6940" w:rsidRPr="00EF7969" w:rsidRDefault="009C6940" w:rsidP="009C6940">
                  <w:pPr>
                    <w:pStyle w:val="TableBodyText"/>
                  </w:pPr>
                  <w:r w:rsidRPr="00EF7969">
                    <w:t>489, 898</w:t>
                  </w:r>
                </w:p>
              </w:tc>
            </w:tr>
            <w:tr w:rsidR="009C6940" w:rsidRPr="00EF7969" w14:paraId="2D8FD706" w14:textId="77777777" w:rsidTr="009C6940">
              <w:tc>
                <w:tcPr>
                  <w:tcW w:w="6377" w:type="dxa"/>
                  <w:shd w:val="clear" w:color="auto" w:fill="auto"/>
                </w:tcPr>
                <w:p w14:paraId="4EDA0885" w14:textId="77777777" w:rsidR="009C6940" w:rsidRPr="00EF7969" w:rsidRDefault="009C6940" w:rsidP="009C6940">
                  <w:pPr>
                    <w:pStyle w:val="TableBodyText"/>
                    <w:jc w:val="left"/>
                  </w:pPr>
                  <w:r w:rsidRPr="00EF7969">
                    <w:t>Mental Health Carers NSW (MHCN)</w:t>
                  </w:r>
                </w:p>
              </w:tc>
              <w:tc>
                <w:tcPr>
                  <w:tcW w:w="2126" w:type="dxa"/>
                  <w:shd w:val="clear" w:color="auto" w:fill="auto"/>
                </w:tcPr>
                <w:p w14:paraId="1D85B57A" w14:textId="77777777" w:rsidR="009C6940" w:rsidRPr="00EF7969" w:rsidRDefault="009C6940" w:rsidP="009C6940">
                  <w:pPr>
                    <w:pStyle w:val="TableBodyText"/>
                  </w:pPr>
                  <w:r w:rsidRPr="00EF7969">
                    <w:t>245, 1231</w:t>
                  </w:r>
                </w:p>
              </w:tc>
            </w:tr>
            <w:tr w:rsidR="009C6940" w:rsidRPr="00EF7969" w14:paraId="33F4F28E" w14:textId="77777777" w:rsidTr="009C6940">
              <w:tc>
                <w:tcPr>
                  <w:tcW w:w="6377" w:type="dxa"/>
                  <w:shd w:val="clear" w:color="auto" w:fill="auto"/>
                </w:tcPr>
                <w:p w14:paraId="0238C285" w14:textId="77777777" w:rsidR="009C6940" w:rsidRPr="00EF7969" w:rsidRDefault="009C6940" w:rsidP="009C6940">
                  <w:pPr>
                    <w:pStyle w:val="TableBodyText"/>
                    <w:jc w:val="left"/>
                  </w:pPr>
                  <w:r w:rsidRPr="00EF7969">
                    <w:t xml:space="preserve">Mental Health Coalition </w:t>
                  </w:r>
                  <w:r>
                    <w:t xml:space="preserve">of </w:t>
                  </w:r>
                  <w:r w:rsidRPr="00EF7969">
                    <w:t>South Australia (MHCSA)</w:t>
                  </w:r>
                </w:p>
              </w:tc>
              <w:tc>
                <w:tcPr>
                  <w:tcW w:w="2126" w:type="dxa"/>
                  <w:shd w:val="clear" w:color="auto" w:fill="auto"/>
                </w:tcPr>
                <w:p w14:paraId="568B2AC7" w14:textId="77777777" w:rsidR="009C6940" w:rsidRPr="00EF7969" w:rsidRDefault="009C6940" w:rsidP="009C6940">
                  <w:pPr>
                    <w:pStyle w:val="TableBodyText"/>
                  </w:pPr>
                  <w:r w:rsidRPr="00EF7969">
                    <w:t>794</w:t>
                  </w:r>
                </w:p>
              </w:tc>
            </w:tr>
            <w:tr w:rsidR="009C6940" w:rsidRPr="00EF7969" w14:paraId="130DEAAA" w14:textId="77777777" w:rsidTr="009C6940">
              <w:tc>
                <w:tcPr>
                  <w:tcW w:w="6377" w:type="dxa"/>
                  <w:shd w:val="clear" w:color="auto" w:fill="auto"/>
                </w:tcPr>
                <w:p w14:paraId="570A0F65" w14:textId="77777777" w:rsidR="009C6940" w:rsidRPr="00EF7969" w:rsidRDefault="009C6940" w:rsidP="009C6940">
                  <w:pPr>
                    <w:pStyle w:val="TableBodyText"/>
                    <w:jc w:val="left"/>
                  </w:pPr>
                  <w:r w:rsidRPr="00EF7969">
                    <w:t xml:space="preserve">Mental Health Coalition </w:t>
                  </w:r>
                  <w:r>
                    <w:t xml:space="preserve">of </w:t>
                  </w:r>
                  <w:r w:rsidRPr="00EF7969">
                    <w:t xml:space="preserve">South Australia (MHCSA) and the Lived Experience Leadership </w:t>
                  </w:r>
                  <w:r>
                    <w:t>and</w:t>
                  </w:r>
                  <w:r w:rsidRPr="00EF7969">
                    <w:t xml:space="preserve"> Advocacy Network (LELAN)</w:t>
                  </w:r>
                </w:p>
              </w:tc>
              <w:tc>
                <w:tcPr>
                  <w:tcW w:w="2126" w:type="dxa"/>
                  <w:shd w:val="clear" w:color="auto" w:fill="auto"/>
                </w:tcPr>
                <w:p w14:paraId="37FD7F6B" w14:textId="77777777" w:rsidR="009C6940" w:rsidRPr="00EF7969" w:rsidRDefault="009C6940" w:rsidP="009C6940">
                  <w:pPr>
                    <w:pStyle w:val="TableBodyText"/>
                  </w:pPr>
                  <w:r w:rsidRPr="00EF7969">
                    <w:t>360, 771</w:t>
                  </w:r>
                </w:p>
              </w:tc>
            </w:tr>
            <w:tr w:rsidR="009C6940" w:rsidRPr="00EF7969" w14:paraId="404E6EF5" w14:textId="77777777" w:rsidTr="009C6940">
              <w:tc>
                <w:tcPr>
                  <w:tcW w:w="6377" w:type="dxa"/>
                  <w:shd w:val="clear" w:color="auto" w:fill="auto"/>
                </w:tcPr>
                <w:p w14:paraId="17F0377A" w14:textId="77777777" w:rsidR="009C6940" w:rsidRPr="00EF7969" w:rsidRDefault="009C6940" w:rsidP="009C6940">
                  <w:pPr>
                    <w:pStyle w:val="TableBodyText"/>
                    <w:jc w:val="left"/>
                  </w:pPr>
                  <w:r w:rsidRPr="00EF7969">
                    <w:t>Mental Health Commission of New South Wales</w:t>
                  </w:r>
                </w:p>
              </w:tc>
              <w:tc>
                <w:tcPr>
                  <w:tcW w:w="2126" w:type="dxa"/>
                  <w:shd w:val="clear" w:color="auto" w:fill="auto"/>
                </w:tcPr>
                <w:p w14:paraId="758D143D" w14:textId="77777777" w:rsidR="009C6940" w:rsidRPr="00EF7969" w:rsidRDefault="009C6940" w:rsidP="009C6940">
                  <w:pPr>
                    <w:pStyle w:val="TableBodyText"/>
                  </w:pPr>
                  <w:r w:rsidRPr="00EF7969">
                    <w:t>486, 948</w:t>
                  </w:r>
                </w:p>
              </w:tc>
            </w:tr>
            <w:tr w:rsidR="009C6940" w:rsidRPr="00EF7969" w14:paraId="4A66E926" w14:textId="77777777" w:rsidTr="009C6940">
              <w:tc>
                <w:tcPr>
                  <w:tcW w:w="6377" w:type="dxa"/>
                  <w:shd w:val="clear" w:color="auto" w:fill="auto"/>
                </w:tcPr>
                <w:p w14:paraId="1C037E27" w14:textId="77777777" w:rsidR="009C6940" w:rsidRPr="00EF7969" w:rsidRDefault="009C6940" w:rsidP="009C6940">
                  <w:pPr>
                    <w:pStyle w:val="TableBodyText"/>
                    <w:jc w:val="left"/>
                  </w:pPr>
                  <w:r w:rsidRPr="00EF7969">
                    <w:t>Mental Health Community Coalition of the ACT (MHCC ACT)</w:t>
                  </w:r>
                </w:p>
              </w:tc>
              <w:tc>
                <w:tcPr>
                  <w:tcW w:w="2126" w:type="dxa"/>
                  <w:shd w:val="clear" w:color="auto" w:fill="auto"/>
                </w:tcPr>
                <w:p w14:paraId="4D0B6D24" w14:textId="77777777" w:rsidR="009C6940" w:rsidRPr="00EF7969" w:rsidRDefault="009C6940" w:rsidP="009C6940">
                  <w:pPr>
                    <w:pStyle w:val="TableBodyText"/>
                  </w:pPr>
                  <w:r w:rsidRPr="00EF7969">
                    <w:t>517, 950</w:t>
                  </w:r>
                </w:p>
              </w:tc>
            </w:tr>
            <w:tr w:rsidR="009C6940" w:rsidRPr="00EF7969" w14:paraId="142019D4" w14:textId="77777777" w:rsidTr="009C6940">
              <w:tc>
                <w:tcPr>
                  <w:tcW w:w="6377" w:type="dxa"/>
                  <w:shd w:val="clear" w:color="auto" w:fill="auto"/>
                </w:tcPr>
                <w:p w14:paraId="690B464C" w14:textId="77777777" w:rsidR="009C6940" w:rsidRPr="00EF7969" w:rsidRDefault="009C6940" w:rsidP="009C6940">
                  <w:pPr>
                    <w:pStyle w:val="TableBodyText"/>
                    <w:jc w:val="left"/>
                  </w:pPr>
                  <w:r w:rsidRPr="00EF7969">
                    <w:t>Mental Health Complaints Commissioner (Victoria)</w:t>
                  </w:r>
                </w:p>
              </w:tc>
              <w:tc>
                <w:tcPr>
                  <w:tcW w:w="2126" w:type="dxa"/>
                  <w:shd w:val="clear" w:color="auto" w:fill="auto"/>
                </w:tcPr>
                <w:p w14:paraId="7094B63C" w14:textId="77777777" w:rsidR="009C6940" w:rsidRPr="00EF7969" w:rsidRDefault="009C6940" w:rsidP="009C6940">
                  <w:pPr>
                    <w:pStyle w:val="TableBodyText"/>
                  </w:pPr>
                  <w:r w:rsidRPr="00EF7969">
                    <w:t>321, 916</w:t>
                  </w:r>
                </w:p>
              </w:tc>
            </w:tr>
            <w:tr w:rsidR="009C6940" w:rsidRPr="00EF7969" w14:paraId="61958580" w14:textId="77777777" w:rsidTr="009C6940">
              <w:tc>
                <w:tcPr>
                  <w:tcW w:w="6377" w:type="dxa"/>
                  <w:shd w:val="clear" w:color="auto" w:fill="auto"/>
                </w:tcPr>
                <w:p w14:paraId="2E8BA193" w14:textId="77777777" w:rsidR="009C6940" w:rsidRPr="00EF7969" w:rsidRDefault="009C6940" w:rsidP="009C6940">
                  <w:pPr>
                    <w:pStyle w:val="TableBodyText"/>
                    <w:jc w:val="left"/>
                  </w:pPr>
                  <w:r w:rsidRPr="00EF7969">
                    <w:t>Mental Health Coordinating Council (MHCC)</w:t>
                  </w:r>
                </w:p>
              </w:tc>
              <w:tc>
                <w:tcPr>
                  <w:tcW w:w="2126" w:type="dxa"/>
                  <w:shd w:val="clear" w:color="auto" w:fill="auto"/>
                </w:tcPr>
                <w:p w14:paraId="3DC249C9" w14:textId="77777777" w:rsidR="009C6940" w:rsidRPr="00EF7969" w:rsidRDefault="009C6940" w:rsidP="009C6940">
                  <w:pPr>
                    <w:pStyle w:val="TableBodyText"/>
                  </w:pPr>
                  <w:r w:rsidRPr="00EF7969">
                    <w:t>214, 920</w:t>
                  </w:r>
                </w:p>
              </w:tc>
            </w:tr>
            <w:tr w:rsidR="009C6940" w:rsidRPr="00EF7969" w14:paraId="65288594" w14:textId="77777777" w:rsidTr="009C6940">
              <w:tc>
                <w:tcPr>
                  <w:tcW w:w="6377" w:type="dxa"/>
                  <w:shd w:val="clear" w:color="auto" w:fill="auto"/>
                </w:tcPr>
                <w:p w14:paraId="402F6567" w14:textId="77777777" w:rsidR="009C6940" w:rsidRPr="00EF7969" w:rsidRDefault="009C6940" w:rsidP="009C6940">
                  <w:pPr>
                    <w:pStyle w:val="TableBodyText"/>
                    <w:jc w:val="left"/>
                  </w:pPr>
                  <w:r w:rsidRPr="00EF7969">
                    <w:t>Mental Health Council of Tasmania (MHCT)</w:t>
                  </w:r>
                </w:p>
              </w:tc>
              <w:tc>
                <w:tcPr>
                  <w:tcW w:w="2126" w:type="dxa"/>
                  <w:shd w:val="clear" w:color="auto" w:fill="auto"/>
                </w:tcPr>
                <w:p w14:paraId="7551FB74" w14:textId="77777777" w:rsidR="009C6940" w:rsidRPr="00EF7969" w:rsidRDefault="009C6940" w:rsidP="009C6940">
                  <w:pPr>
                    <w:pStyle w:val="TableBodyText"/>
                  </w:pPr>
                  <w:r w:rsidRPr="00EF7969">
                    <w:t>314, 869</w:t>
                  </w:r>
                </w:p>
              </w:tc>
            </w:tr>
            <w:tr w:rsidR="009C6940" w:rsidRPr="00EF7969" w14:paraId="43CC7644" w14:textId="77777777" w:rsidTr="009C6940">
              <w:tc>
                <w:tcPr>
                  <w:tcW w:w="6377" w:type="dxa"/>
                  <w:shd w:val="clear" w:color="auto" w:fill="auto"/>
                </w:tcPr>
                <w:p w14:paraId="5E996318" w14:textId="77777777" w:rsidR="009C6940" w:rsidRPr="00EF7969" w:rsidRDefault="009C6940" w:rsidP="009C6940">
                  <w:pPr>
                    <w:pStyle w:val="TableBodyText"/>
                    <w:jc w:val="left"/>
                  </w:pPr>
                  <w:r w:rsidRPr="00EF7969">
                    <w:t>Mental Health Families and Friends Tasmania</w:t>
                  </w:r>
                  <w:r>
                    <w:t xml:space="preserve"> (MHFFTas)</w:t>
                  </w:r>
                </w:p>
              </w:tc>
              <w:tc>
                <w:tcPr>
                  <w:tcW w:w="2126" w:type="dxa"/>
                  <w:shd w:val="clear" w:color="auto" w:fill="auto"/>
                </w:tcPr>
                <w:p w14:paraId="3D7B71E0" w14:textId="77777777" w:rsidR="009C6940" w:rsidRPr="00EF7969" w:rsidRDefault="009C6940" w:rsidP="009C6940">
                  <w:pPr>
                    <w:pStyle w:val="TableBodyText"/>
                  </w:pPr>
                  <w:r>
                    <w:t>391,</w:t>
                  </w:r>
                  <w:r w:rsidRPr="00EF7969">
                    <w:t>648</w:t>
                  </w:r>
                </w:p>
              </w:tc>
            </w:tr>
            <w:tr w:rsidR="009C6940" w:rsidRPr="00EF7969" w14:paraId="3AAB6767" w14:textId="77777777" w:rsidTr="009C6940">
              <w:tc>
                <w:tcPr>
                  <w:tcW w:w="6377" w:type="dxa"/>
                  <w:shd w:val="clear" w:color="auto" w:fill="auto"/>
                </w:tcPr>
                <w:p w14:paraId="15E1EB05" w14:textId="77777777" w:rsidR="009C6940" w:rsidRPr="00EF7969" w:rsidRDefault="009C6940" w:rsidP="009C6940">
                  <w:pPr>
                    <w:pStyle w:val="TableBodyText"/>
                    <w:jc w:val="left"/>
                  </w:pPr>
                  <w:r w:rsidRPr="00EF7969">
                    <w:t>Mental Health First Aid Australia</w:t>
                  </w:r>
                </w:p>
              </w:tc>
              <w:tc>
                <w:tcPr>
                  <w:tcW w:w="2126" w:type="dxa"/>
                  <w:shd w:val="clear" w:color="auto" w:fill="auto"/>
                </w:tcPr>
                <w:p w14:paraId="1701C9E7" w14:textId="77777777" w:rsidR="009C6940" w:rsidRPr="00EF7969" w:rsidRDefault="009C6940" w:rsidP="009C6940">
                  <w:pPr>
                    <w:pStyle w:val="TableBodyText"/>
                  </w:pPr>
                  <w:r w:rsidRPr="00EF7969">
                    <w:t>224</w:t>
                  </w:r>
                </w:p>
              </w:tc>
            </w:tr>
            <w:tr w:rsidR="009C6940" w:rsidRPr="00EF7969" w14:paraId="34EEF19A" w14:textId="77777777" w:rsidTr="009C6940">
              <w:tc>
                <w:tcPr>
                  <w:tcW w:w="6377" w:type="dxa"/>
                  <w:shd w:val="clear" w:color="auto" w:fill="auto"/>
                </w:tcPr>
                <w:p w14:paraId="5CAAB501" w14:textId="77777777" w:rsidR="009C6940" w:rsidRPr="00EF7969" w:rsidRDefault="009C6940" w:rsidP="009C6940">
                  <w:pPr>
                    <w:pStyle w:val="TableBodyText"/>
                    <w:jc w:val="left"/>
                  </w:pPr>
                  <w:r w:rsidRPr="00EF7969">
                    <w:t>Mental Health for the Young and their Families (Victorian Group) (MHYF Vic)</w:t>
                  </w:r>
                </w:p>
              </w:tc>
              <w:tc>
                <w:tcPr>
                  <w:tcW w:w="2126" w:type="dxa"/>
                  <w:shd w:val="clear" w:color="auto" w:fill="auto"/>
                </w:tcPr>
                <w:p w14:paraId="1BEED85C" w14:textId="77777777" w:rsidR="009C6940" w:rsidRPr="00EF7969" w:rsidRDefault="009C6940" w:rsidP="009C6940">
                  <w:pPr>
                    <w:pStyle w:val="TableBodyText"/>
                  </w:pPr>
                  <w:r w:rsidRPr="00EF7969">
                    <w:t>628</w:t>
                  </w:r>
                </w:p>
              </w:tc>
            </w:tr>
            <w:tr w:rsidR="009C6940" w:rsidRPr="00EF7969" w14:paraId="1E9FEB2C" w14:textId="77777777" w:rsidTr="009C6940">
              <w:tc>
                <w:tcPr>
                  <w:tcW w:w="6377" w:type="dxa"/>
                  <w:shd w:val="clear" w:color="auto" w:fill="auto"/>
                </w:tcPr>
                <w:p w14:paraId="4DB772EB" w14:textId="77777777" w:rsidR="009C6940" w:rsidRPr="00EF7969" w:rsidRDefault="009C6940" w:rsidP="009C6940">
                  <w:pPr>
                    <w:pStyle w:val="TableBodyText"/>
                    <w:jc w:val="left"/>
                  </w:pPr>
                  <w:r w:rsidRPr="00EF7969">
                    <w:t>Mental Health Legal Centre (MHLC)</w:t>
                  </w:r>
                </w:p>
              </w:tc>
              <w:tc>
                <w:tcPr>
                  <w:tcW w:w="2126" w:type="dxa"/>
                  <w:shd w:val="clear" w:color="auto" w:fill="auto"/>
                </w:tcPr>
                <w:p w14:paraId="11C07046" w14:textId="77777777" w:rsidR="009C6940" w:rsidRPr="00EF7969" w:rsidRDefault="009C6940" w:rsidP="009C6940">
                  <w:pPr>
                    <w:pStyle w:val="TableBodyText"/>
                  </w:pPr>
                  <w:r w:rsidRPr="00EF7969">
                    <w:t>315, 1222</w:t>
                  </w:r>
                </w:p>
              </w:tc>
            </w:tr>
            <w:tr w:rsidR="009C6940" w:rsidRPr="00EF7969" w14:paraId="5A10CC0F" w14:textId="77777777" w:rsidTr="009C6940">
              <w:tc>
                <w:tcPr>
                  <w:tcW w:w="6377" w:type="dxa"/>
                  <w:shd w:val="clear" w:color="auto" w:fill="auto"/>
                </w:tcPr>
                <w:p w14:paraId="780DC43B" w14:textId="77777777" w:rsidR="009C6940" w:rsidRPr="00EF7969" w:rsidRDefault="009C6940" w:rsidP="009C6940">
                  <w:pPr>
                    <w:pStyle w:val="TableBodyText"/>
                    <w:jc w:val="left"/>
                  </w:pPr>
                  <w:r w:rsidRPr="00EF7969">
                    <w:t>Mental Health Professionals Network (MHPN)</w:t>
                  </w:r>
                </w:p>
              </w:tc>
              <w:tc>
                <w:tcPr>
                  <w:tcW w:w="2126" w:type="dxa"/>
                  <w:shd w:val="clear" w:color="auto" w:fill="auto"/>
                </w:tcPr>
                <w:p w14:paraId="432E160D" w14:textId="77777777" w:rsidR="009C6940" w:rsidRPr="00EF7969" w:rsidRDefault="009C6940" w:rsidP="009C6940">
                  <w:pPr>
                    <w:pStyle w:val="TableBodyText"/>
                  </w:pPr>
                  <w:r w:rsidRPr="00EF7969">
                    <w:t>304</w:t>
                  </w:r>
                </w:p>
              </w:tc>
            </w:tr>
            <w:tr w:rsidR="009C6940" w:rsidRPr="00EF7969" w14:paraId="2D67F478" w14:textId="77777777" w:rsidTr="009C6940">
              <w:tc>
                <w:tcPr>
                  <w:tcW w:w="6377" w:type="dxa"/>
                  <w:shd w:val="clear" w:color="auto" w:fill="auto"/>
                </w:tcPr>
                <w:p w14:paraId="51714566" w14:textId="77777777" w:rsidR="009C6940" w:rsidRPr="00EF7969" w:rsidRDefault="009C6940" w:rsidP="009C6940">
                  <w:pPr>
                    <w:pStyle w:val="TableBodyText"/>
                    <w:jc w:val="left"/>
                  </w:pPr>
                  <w:r w:rsidRPr="00EF7969">
                    <w:t>Mental Health Victoria (MHV)</w:t>
                  </w:r>
                </w:p>
              </w:tc>
              <w:tc>
                <w:tcPr>
                  <w:tcW w:w="2126" w:type="dxa"/>
                  <w:shd w:val="clear" w:color="auto" w:fill="auto"/>
                </w:tcPr>
                <w:p w14:paraId="01802DC1" w14:textId="77777777" w:rsidR="009C6940" w:rsidRPr="00EF7969" w:rsidRDefault="009C6940" w:rsidP="009C6940">
                  <w:pPr>
                    <w:pStyle w:val="TableBodyText"/>
                  </w:pPr>
                  <w:r w:rsidRPr="00EF7969">
                    <w:t>479, 580</w:t>
                  </w:r>
                  <w:r>
                    <w:t>, 942</w:t>
                  </w:r>
                </w:p>
              </w:tc>
            </w:tr>
            <w:tr w:rsidR="009C6940" w:rsidRPr="00EF7969" w14:paraId="38340F8C" w14:textId="77777777" w:rsidTr="009C6940">
              <w:tc>
                <w:tcPr>
                  <w:tcW w:w="6377" w:type="dxa"/>
                  <w:shd w:val="clear" w:color="auto" w:fill="auto"/>
                </w:tcPr>
                <w:p w14:paraId="081A71A5" w14:textId="77777777" w:rsidR="009C6940" w:rsidRPr="00EF7969" w:rsidRDefault="009C6940" w:rsidP="009C6940">
                  <w:pPr>
                    <w:pStyle w:val="TableBodyText"/>
                    <w:jc w:val="left"/>
                  </w:pPr>
                  <w:r w:rsidRPr="00EF7969">
                    <w:t>Mental Health Victoria (MHV) and Victorian Healthcare Association (VHA)</w:t>
                  </w:r>
                </w:p>
              </w:tc>
              <w:tc>
                <w:tcPr>
                  <w:tcW w:w="2126" w:type="dxa"/>
                  <w:shd w:val="clear" w:color="auto" w:fill="auto"/>
                </w:tcPr>
                <w:p w14:paraId="798681F2" w14:textId="77777777" w:rsidR="009C6940" w:rsidRPr="00EF7969" w:rsidRDefault="009C6940" w:rsidP="009C6940">
                  <w:pPr>
                    <w:pStyle w:val="TableBodyText"/>
                  </w:pPr>
                  <w:r w:rsidRPr="00EF7969">
                    <w:t>1184</w:t>
                  </w:r>
                </w:p>
              </w:tc>
            </w:tr>
            <w:tr w:rsidR="009C6940" w:rsidRPr="00EF7969" w14:paraId="3CCD7879" w14:textId="77777777" w:rsidTr="009C6940">
              <w:tc>
                <w:tcPr>
                  <w:tcW w:w="6377" w:type="dxa"/>
                  <w:shd w:val="clear" w:color="auto" w:fill="auto"/>
                </w:tcPr>
                <w:p w14:paraId="40453C03" w14:textId="77777777" w:rsidR="009C6940" w:rsidRPr="00EF7969" w:rsidRDefault="009C6940" w:rsidP="009C6940">
                  <w:pPr>
                    <w:pStyle w:val="TableBodyText"/>
                    <w:jc w:val="left"/>
                  </w:pPr>
                  <w:r w:rsidRPr="00EF7969">
                    <w:t>Mental Illness Fellowship of Australia (MIFA)</w:t>
                  </w:r>
                </w:p>
              </w:tc>
              <w:tc>
                <w:tcPr>
                  <w:tcW w:w="2126" w:type="dxa"/>
                  <w:shd w:val="clear" w:color="auto" w:fill="auto"/>
                </w:tcPr>
                <w:p w14:paraId="3B1C03E0" w14:textId="77777777" w:rsidR="009C6940" w:rsidRPr="00EF7969" w:rsidRDefault="009C6940" w:rsidP="009C6940">
                  <w:pPr>
                    <w:pStyle w:val="TableBodyText"/>
                  </w:pPr>
                  <w:r w:rsidRPr="00EF7969">
                    <w:t>343, 897</w:t>
                  </w:r>
                </w:p>
              </w:tc>
            </w:tr>
            <w:tr w:rsidR="009C6940" w:rsidRPr="00EF7969" w14:paraId="4E800450" w14:textId="77777777" w:rsidTr="009C6940">
              <w:tc>
                <w:tcPr>
                  <w:tcW w:w="6377" w:type="dxa"/>
                  <w:shd w:val="clear" w:color="auto" w:fill="auto"/>
                </w:tcPr>
                <w:p w14:paraId="31939A77" w14:textId="77777777" w:rsidR="009C6940" w:rsidRPr="00EF7969" w:rsidRDefault="009C6940" w:rsidP="009C6940">
                  <w:pPr>
                    <w:pStyle w:val="TableBodyText"/>
                    <w:jc w:val="left"/>
                  </w:pPr>
                  <w:r w:rsidRPr="00EF7969">
                    <w:t>Mentally Healthy Workplace Alliance</w:t>
                  </w:r>
                </w:p>
              </w:tc>
              <w:tc>
                <w:tcPr>
                  <w:tcW w:w="2126" w:type="dxa"/>
                  <w:shd w:val="clear" w:color="auto" w:fill="auto"/>
                </w:tcPr>
                <w:p w14:paraId="06999F46" w14:textId="77777777" w:rsidR="009C6940" w:rsidRPr="00EF7969" w:rsidRDefault="009C6940" w:rsidP="009C6940">
                  <w:pPr>
                    <w:pStyle w:val="TableBodyText"/>
                  </w:pPr>
                  <w:r w:rsidRPr="00EF7969">
                    <w:t>209, 876</w:t>
                  </w:r>
                </w:p>
              </w:tc>
            </w:tr>
            <w:tr w:rsidR="009C6940" w:rsidRPr="00EF7969" w14:paraId="0FBADB8A" w14:textId="77777777" w:rsidTr="009C6940">
              <w:tc>
                <w:tcPr>
                  <w:tcW w:w="6377" w:type="dxa"/>
                  <w:shd w:val="clear" w:color="auto" w:fill="auto"/>
                </w:tcPr>
                <w:p w14:paraId="203260A2" w14:textId="77777777" w:rsidR="009C6940" w:rsidRPr="00EF7969" w:rsidRDefault="009C6940" w:rsidP="009C6940">
                  <w:pPr>
                    <w:pStyle w:val="TableBodyText"/>
                    <w:jc w:val="left"/>
                  </w:pPr>
                  <w:r w:rsidRPr="00EF7969">
                    <w:t>Merri Health</w:t>
                  </w:r>
                </w:p>
              </w:tc>
              <w:tc>
                <w:tcPr>
                  <w:tcW w:w="2126" w:type="dxa"/>
                  <w:shd w:val="clear" w:color="auto" w:fill="auto"/>
                </w:tcPr>
                <w:p w14:paraId="47B1EC16" w14:textId="77777777" w:rsidR="009C6940" w:rsidRPr="00EF7969" w:rsidRDefault="009C6940" w:rsidP="009C6940">
                  <w:pPr>
                    <w:pStyle w:val="TableBodyText"/>
                  </w:pPr>
                  <w:r w:rsidRPr="00EF7969">
                    <w:t>120, 855</w:t>
                  </w:r>
                </w:p>
              </w:tc>
            </w:tr>
            <w:tr w:rsidR="009C6940" w:rsidRPr="00EF7969" w14:paraId="2EC6BBBB" w14:textId="77777777" w:rsidTr="009C6940">
              <w:tc>
                <w:tcPr>
                  <w:tcW w:w="6377" w:type="dxa"/>
                  <w:shd w:val="clear" w:color="auto" w:fill="auto"/>
                </w:tcPr>
                <w:p w14:paraId="0E8504EB" w14:textId="77777777" w:rsidR="009C6940" w:rsidRPr="00EF7969" w:rsidRDefault="009C6940" w:rsidP="009C6940">
                  <w:pPr>
                    <w:pStyle w:val="TableBodyText"/>
                    <w:jc w:val="left"/>
                  </w:pPr>
                  <w:r w:rsidRPr="00EF7969">
                    <w:t>Merridee &amp; Nicholas de Jong</w:t>
                  </w:r>
                </w:p>
              </w:tc>
              <w:tc>
                <w:tcPr>
                  <w:tcW w:w="2126" w:type="dxa"/>
                  <w:shd w:val="clear" w:color="auto" w:fill="auto"/>
                </w:tcPr>
                <w:p w14:paraId="201A5F4C" w14:textId="77777777" w:rsidR="009C6940" w:rsidRPr="00EF7969" w:rsidRDefault="009C6940" w:rsidP="009C6940">
                  <w:pPr>
                    <w:pStyle w:val="TableBodyText"/>
                  </w:pPr>
                  <w:r w:rsidRPr="00EF7969">
                    <w:t>34</w:t>
                  </w:r>
                </w:p>
              </w:tc>
            </w:tr>
            <w:tr w:rsidR="009C6940" w:rsidRPr="00EF7969" w14:paraId="396A1913" w14:textId="77777777" w:rsidTr="009C6940">
              <w:tc>
                <w:tcPr>
                  <w:tcW w:w="6377" w:type="dxa"/>
                  <w:shd w:val="clear" w:color="auto" w:fill="auto"/>
                </w:tcPr>
                <w:p w14:paraId="191CB599" w14:textId="77777777" w:rsidR="009C6940" w:rsidRPr="00EF7969" w:rsidRDefault="009C6940" w:rsidP="009C6940">
                  <w:pPr>
                    <w:pStyle w:val="TableBodyText"/>
                    <w:jc w:val="left"/>
                  </w:pPr>
                  <w:r w:rsidRPr="00EF7969">
                    <w:t>MetLife Insurance Limited (MetLife)</w:t>
                  </w:r>
                </w:p>
              </w:tc>
              <w:tc>
                <w:tcPr>
                  <w:tcW w:w="2126" w:type="dxa"/>
                  <w:shd w:val="clear" w:color="auto" w:fill="auto"/>
                </w:tcPr>
                <w:p w14:paraId="7D6F7F0D" w14:textId="77777777" w:rsidR="009C6940" w:rsidRPr="00EF7969" w:rsidRDefault="009C6940" w:rsidP="009C6940">
                  <w:pPr>
                    <w:pStyle w:val="TableBodyText"/>
                  </w:pPr>
                  <w:r w:rsidRPr="00EF7969">
                    <w:t>443</w:t>
                  </w:r>
                </w:p>
              </w:tc>
            </w:tr>
            <w:tr w:rsidR="009C6940" w:rsidRPr="00EF7969" w14:paraId="7D8363A2" w14:textId="77777777" w:rsidTr="009C6940">
              <w:tc>
                <w:tcPr>
                  <w:tcW w:w="6377" w:type="dxa"/>
                  <w:shd w:val="clear" w:color="auto" w:fill="auto"/>
                </w:tcPr>
                <w:p w14:paraId="3650B16A" w14:textId="77777777" w:rsidR="009C6940" w:rsidRPr="00EF7969" w:rsidRDefault="009C6940" w:rsidP="009C6940">
                  <w:pPr>
                    <w:pStyle w:val="TableBodyText"/>
                    <w:jc w:val="left"/>
                  </w:pPr>
                  <w:r w:rsidRPr="00EF7969">
                    <w:t>Michael Carman Consulting</w:t>
                  </w:r>
                </w:p>
              </w:tc>
              <w:tc>
                <w:tcPr>
                  <w:tcW w:w="2126" w:type="dxa"/>
                  <w:shd w:val="clear" w:color="auto" w:fill="auto"/>
                </w:tcPr>
                <w:p w14:paraId="50B2FC3C" w14:textId="77777777" w:rsidR="009C6940" w:rsidRPr="00EF7969" w:rsidRDefault="009C6940" w:rsidP="009C6940">
                  <w:pPr>
                    <w:pStyle w:val="TableBodyText"/>
                  </w:pPr>
                  <w:r w:rsidRPr="00EF7969">
                    <w:t>93</w:t>
                  </w:r>
                </w:p>
              </w:tc>
            </w:tr>
            <w:tr w:rsidR="009C6940" w:rsidRPr="00EF7969" w14:paraId="32F44587" w14:textId="77777777" w:rsidTr="009C6940">
              <w:tc>
                <w:tcPr>
                  <w:tcW w:w="6377" w:type="dxa"/>
                  <w:shd w:val="clear" w:color="auto" w:fill="auto"/>
                </w:tcPr>
                <w:p w14:paraId="349235E3" w14:textId="77777777" w:rsidR="009C6940" w:rsidRPr="00EF7969" w:rsidRDefault="009C6940" w:rsidP="009C6940">
                  <w:pPr>
                    <w:pStyle w:val="TableBodyText"/>
                    <w:jc w:val="left"/>
                  </w:pPr>
                  <w:r w:rsidRPr="00EF7969">
                    <w:t>Michael Dempsey</w:t>
                  </w:r>
                </w:p>
              </w:tc>
              <w:tc>
                <w:tcPr>
                  <w:tcW w:w="2126" w:type="dxa"/>
                  <w:shd w:val="clear" w:color="auto" w:fill="auto"/>
                </w:tcPr>
                <w:p w14:paraId="682A1F01" w14:textId="77777777" w:rsidR="009C6940" w:rsidRPr="00EF7969" w:rsidRDefault="009C6940" w:rsidP="009C6940">
                  <w:pPr>
                    <w:pStyle w:val="TableBodyText"/>
                  </w:pPr>
                  <w:r w:rsidRPr="00EF7969">
                    <w:t>1075</w:t>
                  </w:r>
                </w:p>
              </w:tc>
            </w:tr>
            <w:tr w:rsidR="009C6940" w:rsidRPr="00EF7969" w14:paraId="638CE1E6" w14:textId="77777777" w:rsidTr="009C6940">
              <w:tc>
                <w:tcPr>
                  <w:tcW w:w="6377" w:type="dxa"/>
                  <w:shd w:val="clear" w:color="auto" w:fill="auto"/>
                </w:tcPr>
                <w:p w14:paraId="601C0F8D" w14:textId="77777777" w:rsidR="009C6940" w:rsidRPr="00EF7969" w:rsidRDefault="009C6940" w:rsidP="009C6940">
                  <w:pPr>
                    <w:pStyle w:val="TableBodyText"/>
                    <w:jc w:val="left"/>
                  </w:pPr>
                  <w:r w:rsidRPr="00EF7969">
                    <w:t xml:space="preserve">Michael Derrick </w:t>
                  </w:r>
                </w:p>
              </w:tc>
              <w:tc>
                <w:tcPr>
                  <w:tcW w:w="2126" w:type="dxa"/>
                  <w:shd w:val="clear" w:color="auto" w:fill="auto"/>
                </w:tcPr>
                <w:p w14:paraId="2F8D8750" w14:textId="77777777" w:rsidR="009C6940" w:rsidRPr="00EF7969" w:rsidRDefault="009C6940" w:rsidP="009C6940">
                  <w:pPr>
                    <w:pStyle w:val="TableBodyText"/>
                  </w:pPr>
                  <w:r w:rsidRPr="00EF7969">
                    <w:t>528</w:t>
                  </w:r>
                </w:p>
              </w:tc>
            </w:tr>
            <w:tr w:rsidR="009C6940" w:rsidRPr="00EF7969" w14:paraId="5DCF1D1C" w14:textId="77777777" w:rsidTr="009C6940">
              <w:tc>
                <w:tcPr>
                  <w:tcW w:w="6377" w:type="dxa"/>
                  <w:shd w:val="clear" w:color="auto" w:fill="auto"/>
                </w:tcPr>
                <w:p w14:paraId="2EC32C97" w14:textId="77777777" w:rsidR="009C6940" w:rsidRPr="00EF7969" w:rsidRDefault="009C6940" w:rsidP="009C6940">
                  <w:pPr>
                    <w:pStyle w:val="TableBodyText"/>
                    <w:jc w:val="left"/>
                  </w:pPr>
                  <w:r w:rsidRPr="00EF7969">
                    <w:t>Michael Epstein</w:t>
                  </w:r>
                </w:p>
              </w:tc>
              <w:tc>
                <w:tcPr>
                  <w:tcW w:w="2126" w:type="dxa"/>
                  <w:shd w:val="clear" w:color="auto" w:fill="auto"/>
                </w:tcPr>
                <w:p w14:paraId="10927640" w14:textId="77777777" w:rsidR="009C6940" w:rsidRPr="00EF7969" w:rsidRDefault="009C6940" w:rsidP="009C6940">
                  <w:pPr>
                    <w:pStyle w:val="TableBodyText"/>
                  </w:pPr>
                  <w:r w:rsidRPr="00EF7969">
                    <w:t>656</w:t>
                  </w:r>
                </w:p>
              </w:tc>
            </w:tr>
            <w:tr w:rsidR="009C6940" w:rsidRPr="00EF7969" w14:paraId="4D23C7F4" w14:textId="77777777" w:rsidTr="009C6940">
              <w:tc>
                <w:tcPr>
                  <w:tcW w:w="6377" w:type="dxa"/>
                  <w:shd w:val="clear" w:color="auto" w:fill="auto"/>
                </w:tcPr>
                <w:p w14:paraId="6D9CAD49" w14:textId="77777777" w:rsidR="009C6940" w:rsidRPr="00EF7969" w:rsidRDefault="009C6940" w:rsidP="009C6940">
                  <w:pPr>
                    <w:pStyle w:val="TableBodyText"/>
                    <w:jc w:val="left"/>
                  </w:pPr>
                  <w:r w:rsidRPr="00EF7969">
                    <w:t>Michael Gane</w:t>
                  </w:r>
                </w:p>
              </w:tc>
              <w:tc>
                <w:tcPr>
                  <w:tcW w:w="2126" w:type="dxa"/>
                  <w:shd w:val="clear" w:color="auto" w:fill="auto"/>
                </w:tcPr>
                <w:p w14:paraId="2EB0BBDD" w14:textId="77777777" w:rsidR="009C6940" w:rsidRPr="00EF7969" w:rsidRDefault="009C6940" w:rsidP="009C6940">
                  <w:pPr>
                    <w:pStyle w:val="TableBodyText"/>
                  </w:pPr>
                  <w:r w:rsidRPr="00EF7969">
                    <w:t>1240</w:t>
                  </w:r>
                </w:p>
              </w:tc>
            </w:tr>
            <w:tr w:rsidR="009C6940" w:rsidRPr="00EF7969" w14:paraId="07CF6AF4" w14:textId="77777777" w:rsidTr="009C6940">
              <w:tc>
                <w:tcPr>
                  <w:tcW w:w="6377" w:type="dxa"/>
                  <w:shd w:val="clear" w:color="auto" w:fill="auto"/>
                </w:tcPr>
                <w:p w14:paraId="70BABE18" w14:textId="77777777" w:rsidR="009C6940" w:rsidRPr="00EF7969" w:rsidRDefault="009C6940" w:rsidP="009C6940">
                  <w:pPr>
                    <w:pStyle w:val="TableBodyText"/>
                    <w:jc w:val="left"/>
                  </w:pPr>
                  <w:r w:rsidRPr="00EF7969">
                    <w:t>Michael O’Donnell</w:t>
                  </w:r>
                </w:p>
              </w:tc>
              <w:tc>
                <w:tcPr>
                  <w:tcW w:w="2126" w:type="dxa"/>
                  <w:shd w:val="clear" w:color="auto" w:fill="auto"/>
                </w:tcPr>
                <w:p w14:paraId="471B927C" w14:textId="77777777" w:rsidR="009C6940" w:rsidRPr="00EF7969" w:rsidRDefault="009C6940" w:rsidP="009C6940">
                  <w:pPr>
                    <w:pStyle w:val="TableBodyText"/>
                  </w:pPr>
                  <w:r w:rsidRPr="00EF7969">
                    <w:t>20</w:t>
                  </w:r>
                </w:p>
              </w:tc>
            </w:tr>
            <w:tr w:rsidR="009C6940" w:rsidRPr="00EF7969" w14:paraId="7552AA51" w14:textId="77777777" w:rsidTr="009C6940">
              <w:tc>
                <w:tcPr>
                  <w:tcW w:w="6377" w:type="dxa"/>
                  <w:shd w:val="clear" w:color="auto" w:fill="auto"/>
                </w:tcPr>
                <w:p w14:paraId="3B46C631" w14:textId="77777777" w:rsidR="009C6940" w:rsidRPr="00EF7969" w:rsidRDefault="009C6940" w:rsidP="009C6940">
                  <w:pPr>
                    <w:pStyle w:val="TableBodyText"/>
                    <w:jc w:val="left"/>
                  </w:pPr>
                  <w:r w:rsidRPr="00EF7969">
                    <w:t>Michael Stone</w:t>
                  </w:r>
                </w:p>
              </w:tc>
              <w:tc>
                <w:tcPr>
                  <w:tcW w:w="2126" w:type="dxa"/>
                  <w:shd w:val="clear" w:color="auto" w:fill="auto"/>
                </w:tcPr>
                <w:p w14:paraId="252E1E71" w14:textId="77777777" w:rsidR="009C6940" w:rsidRPr="00EF7969" w:rsidRDefault="009C6940" w:rsidP="009C6940">
                  <w:pPr>
                    <w:pStyle w:val="TableBodyText"/>
                  </w:pPr>
                  <w:r w:rsidRPr="00EF7969">
                    <w:t>1104</w:t>
                  </w:r>
                </w:p>
              </w:tc>
            </w:tr>
            <w:tr w:rsidR="009C6940" w:rsidRPr="00EF7969" w14:paraId="462C89A1" w14:textId="77777777" w:rsidTr="009C6940">
              <w:tc>
                <w:tcPr>
                  <w:tcW w:w="6377" w:type="dxa"/>
                  <w:shd w:val="clear" w:color="auto" w:fill="auto"/>
                </w:tcPr>
                <w:p w14:paraId="7F5CDA63" w14:textId="77777777" w:rsidR="009C6940" w:rsidRPr="00EF7969" w:rsidRDefault="009C6940" w:rsidP="009C6940">
                  <w:pPr>
                    <w:pStyle w:val="TableBodyText"/>
                    <w:jc w:val="left"/>
                  </w:pPr>
                  <w:r w:rsidRPr="00EF7969">
                    <w:t>Michael Troy</w:t>
                  </w:r>
                </w:p>
              </w:tc>
              <w:tc>
                <w:tcPr>
                  <w:tcW w:w="2126" w:type="dxa"/>
                  <w:shd w:val="clear" w:color="auto" w:fill="auto"/>
                </w:tcPr>
                <w:p w14:paraId="2832F6A3" w14:textId="77777777" w:rsidR="009C6940" w:rsidRPr="00EF7969" w:rsidRDefault="009C6940" w:rsidP="009C6940">
                  <w:pPr>
                    <w:pStyle w:val="TableBodyText"/>
                  </w:pPr>
                  <w:r w:rsidRPr="00EF7969">
                    <w:t>5</w:t>
                  </w:r>
                </w:p>
              </w:tc>
            </w:tr>
            <w:tr w:rsidR="009C6940" w:rsidRPr="00EF7969" w14:paraId="116EBAAA" w14:textId="77777777" w:rsidTr="009C6940">
              <w:tc>
                <w:tcPr>
                  <w:tcW w:w="6377" w:type="dxa"/>
                  <w:shd w:val="clear" w:color="auto" w:fill="auto"/>
                </w:tcPr>
                <w:p w14:paraId="35A8CB18" w14:textId="77777777" w:rsidR="009C6940" w:rsidRPr="00EF7969" w:rsidRDefault="009C6940" w:rsidP="009C6940">
                  <w:pPr>
                    <w:pStyle w:val="TableBodyText"/>
                    <w:jc w:val="left"/>
                  </w:pPr>
                  <w:r w:rsidRPr="00EF7969">
                    <w:t>Michael Watson</w:t>
                  </w:r>
                </w:p>
              </w:tc>
              <w:tc>
                <w:tcPr>
                  <w:tcW w:w="2126" w:type="dxa"/>
                  <w:shd w:val="clear" w:color="auto" w:fill="auto"/>
                </w:tcPr>
                <w:p w14:paraId="278416E3" w14:textId="77777777" w:rsidR="009C6940" w:rsidRPr="00EF7969" w:rsidRDefault="009C6940" w:rsidP="009C6940">
                  <w:pPr>
                    <w:pStyle w:val="TableBodyText"/>
                  </w:pPr>
                  <w:r w:rsidRPr="00EF7969">
                    <w:t>1033</w:t>
                  </w:r>
                </w:p>
              </w:tc>
            </w:tr>
            <w:tr w:rsidR="009C6940" w:rsidRPr="00EF7969" w14:paraId="3CE5CE15" w14:textId="77777777" w:rsidTr="009C6940">
              <w:tc>
                <w:tcPr>
                  <w:tcW w:w="6377" w:type="dxa"/>
                  <w:shd w:val="clear" w:color="auto" w:fill="auto"/>
                </w:tcPr>
                <w:p w14:paraId="5FFBC813" w14:textId="77777777" w:rsidR="009C6940" w:rsidRPr="00EF7969" w:rsidRDefault="009C6940" w:rsidP="009C6940">
                  <w:pPr>
                    <w:pStyle w:val="TableBodyText"/>
                    <w:jc w:val="left"/>
                  </w:pPr>
                  <w:r w:rsidRPr="00EF7969">
                    <w:t>Michelle Hickman</w:t>
                  </w:r>
                </w:p>
              </w:tc>
              <w:tc>
                <w:tcPr>
                  <w:tcW w:w="2126" w:type="dxa"/>
                  <w:shd w:val="clear" w:color="auto" w:fill="auto"/>
                </w:tcPr>
                <w:p w14:paraId="59376335" w14:textId="77777777" w:rsidR="009C6940" w:rsidRPr="00EF7969" w:rsidRDefault="009C6940" w:rsidP="009C6940">
                  <w:pPr>
                    <w:pStyle w:val="TableBodyText"/>
                  </w:pPr>
                  <w:r w:rsidRPr="00EF7969">
                    <w:t>347</w:t>
                  </w:r>
                </w:p>
              </w:tc>
            </w:tr>
            <w:tr w:rsidR="009C6940" w:rsidRPr="00EF7969" w14:paraId="2FC6E683" w14:textId="77777777" w:rsidTr="009C6940">
              <w:tc>
                <w:tcPr>
                  <w:tcW w:w="6377" w:type="dxa"/>
                  <w:shd w:val="clear" w:color="auto" w:fill="auto"/>
                </w:tcPr>
                <w:p w14:paraId="571FCFB3" w14:textId="77777777" w:rsidR="009C6940" w:rsidRPr="00EF7969" w:rsidRDefault="009C6940" w:rsidP="009C6940">
                  <w:pPr>
                    <w:pStyle w:val="TableBodyText"/>
                    <w:jc w:val="left"/>
                  </w:pPr>
                  <w:r w:rsidRPr="00EF7969">
                    <w:t>Michelle Smith</w:t>
                  </w:r>
                </w:p>
              </w:tc>
              <w:tc>
                <w:tcPr>
                  <w:tcW w:w="2126" w:type="dxa"/>
                  <w:shd w:val="clear" w:color="auto" w:fill="auto"/>
                </w:tcPr>
                <w:p w14:paraId="7A6FD838" w14:textId="77777777" w:rsidR="009C6940" w:rsidRPr="00EF7969" w:rsidRDefault="009C6940" w:rsidP="009C6940">
                  <w:pPr>
                    <w:pStyle w:val="TableBodyText"/>
                  </w:pPr>
                  <w:r w:rsidRPr="00EF7969">
                    <w:t>126</w:t>
                  </w:r>
                </w:p>
              </w:tc>
            </w:tr>
            <w:tr w:rsidR="009C6940" w:rsidRPr="00EF7969" w14:paraId="2F669574" w14:textId="77777777" w:rsidTr="009C6940">
              <w:tc>
                <w:tcPr>
                  <w:tcW w:w="6377" w:type="dxa"/>
                  <w:shd w:val="clear" w:color="auto" w:fill="auto"/>
                </w:tcPr>
                <w:p w14:paraId="7C860754" w14:textId="77777777" w:rsidR="009C6940" w:rsidRPr="00EF7969" w:rsidRDefault="009C6940" w:rsidP="009C6940">
                  <w:pPr>
                    <w:pStyle w:val="TableBodyText"/>
                    <w:jc w:val="left"/>
                  </w:pPr>
                  <w:r w:rsidRPr="00EF7969">
                    <w:t>Mid-North Coast Community College Ltd</w:t>
                  </w:r>
                </w:p>
              </w:tc>
              <w:tc>
                <w:tcPr>
                  <w:tcW w:w="2126" w:type="dxa"/>
                  <w:shd w:val="clear" w:color="auto" w:fill="auto"/>
                </w:tcPr>
                <w:p w14:paraId="3CD41641" w14:textId="77777777" w:rsidR="009C6940" w:rsidRPr="00EF7969" w:rsidRDefault="009C6940" w:rsidP="009C6940">
                  <w:pPr>
                    <w:pStyle w:val="TableBodyText"/>
                  </w:pPr>
                  <w:r w:rsidRPr="00EF7969">
                    <w:t>574</w:t>
                  </w:r>
                </w:p>
              </w:tc>
            </w:tr>
            <w:tr w:rsidR="009C6940" w:rsidRPr="00EF7969" w14:paraId="068CC6DF" w14:textId="77777777" w:rsidTr="009C6940">
              <w:tc>
                <w:tcPr>
                  <w:tcW w:w="6377" w:type="dxa"/>
                  <w:shd w:val="clear" w:color="auto" w:fill="auto"/>
                </w:tcPr>
                <w:p w14:paraId="0D8054D1" w14:textId="77777777" w:rsidR="009C6940" w:rsidRPr="00EF7969" w:rsidRDefault="009C6940" w:rsidP="009C6940">
                  <w:pPr>
                    <w:pStyle w:val="TableBodyText"/>
                    <w:jc w:val="left"/>
                  </w:pPr>
                  <w:r w:rsidRPr="00EF7969">
                    <w:t>Mike Daube</w:t>
                  </w:r>
                </w:p>
              </w:tc>
              <w:tc>
                <w:tcPr>
                  <w:tcW w:w="2126" w:type="dxa"/>
                  <w:shd w:val="clear" w:color="auto" w:fill="auto"/>
                </w:tcPr>
                <w:p w14:paraId="0F4288F5" w14:textId="77777777" w:rsidR="009C6940" w:rsidRPr="00EF7969" w:rsidRDefault="009C6940" w:rsidP="009C6940">
                  <w:pPr>
                    <w:pStyle w:val="TableBodyText"/>
                  </w:pPr>
                  <w:r w:rsidRPr="00EF7969">
                    <w:t>606</w:t>
                  </w:r>
                </w:p>
              </w:tc>
            </w:tr>
            <w:tr w:rsidR="009C6940" w:rsidRPr="00EF7969" w14:paraId="3B89E093" w14:textId="77777777" w:rsidTr="009C6940">
              <w:tc>
                <w:tcPr>
                  <w:tcW w:w="6377" w:type="dxa"/>
                  <w:shd w:val="clear" w:color="auto" w:fill="auto"/>
                </w:tcPr>
                <w:p w14:paraId="61B5FE66" w14:textId="77777777" w:rsidR="009C6940" w:rsidRPr="00EF7969" w:rsidRDefault="009C6940" w:rsidP="009C6940">
                  <w:pPr>
                    <w:pStyle w:val="TableBodyText"/>
                    <w:jc w:val="left"/>
                  </w:pPr>
                  <w:r w:rsidRPr="00EF7969">
                    <w:t xml:space="preserve">Mind Australia </w:t>
                  </w:r>
                </w:p>
              </w:tc>
              <w:tc>
                <w:tcPr>
                  <w:tcW w:w="2126" w:type="dxa"/>
                  <w:shd w:val="clear" w:color="auto" w:fill="auto"/>
                </w:tcPr>
                <w:p w14:paraId="1DED8166" w14:textId="77777777" w:rsidR="009C6940" w:rsidRPr="00EF7969" w:rsidRDefault="009C6940" w:rsidP="009C6940">
                  <w:pPr>
                    <w:pStyle w:val="TableBodyText"/>
                  </w:pPr>
                  <w:r w:rsidRPr="00EF7969">
                    <w:t>380</w:t>
                  </w:r>
                </w:p>
              </w:tc>
            </w:tr>
            <w:tr w:rsidR="009C6940" w:rsidRPr="00EF7969" w14:paraId="12EE2E52" w14:textId="77777777" w:rsidTr="009C6940">
              <w:tc>
                <w:tcPr>
                  <w:tcW w:w="6377" w:type="dxa"/>
                  <w:tcBorders>
                    <w:bottom w:val="single" w:sz="4" w:space="0" w:color="BFBFBF" w:themeColor="background1" w:themeShade="BF"/>
                  </w:tcBorders>
                  <w:shd w:val="clear" w:color="auto" w:fill="auto"/>
                </w:tcPr>
                <w:p w14:paraId="33793BEC" w14:textId="77777777" w:rsidR="009C6940" w:rsidRPr="00EF7969" w:rsidRDefault="009C6940" w:rsidP="009C6940">
                  <w:pPr>
                    <w:pStyle w:val="TableBodyText"/>
                    <w:jc w:val="left"/>
                  </w:pPr>
                  <w:r w:rsidRPr="00EF7969">
                    <w:t>Mind Australia; Neami National; Wellways and SANE Australia</w:t>
                  </w:r>
                </w:p>
              </w:tc>
              <w:tc>
                <w:tcPr>
                  <w:tcW w:w="2126" w:type="dxa"/>
                  <w:tcBorders>
                    <w:bottom w:val="single" w:sz="4" w:space="0" w:color="BFBFBF" w:themeColor="background1" w:themeShade="BF"/>
                  </w:tcBorders>
                  <w:shd w:val="clear" w:color="auto" w:fill="auto"/>
                </w:tcPr>
                <w:p w14:paraId="4CFCA260" w14:textId="77777777" w:rsidR="009C6940" w:rsidRPr="00EF7969" w:rsidRDefault="009C6940" w:rsidP="009C6940">
                  <w:pPr>
                    <w:pStyle w:val="TableBodyText"/>
                  </w:pPr>
                  <w:r w:rsidRPr="00EF7969">
                    <w:t>1212</w:t>
                  </w:r>
                </w:p>
              </w:tc>
            </w:tr>
          </w:tbl>
          <w:p w14:paraId="5673B36A" w14:textId="77777777" w:rsidR="009C6940" w:rsidRPr="00EF7969" w:rsidRDefault="009C6940" w:rsidP="009C6940">
            <w:pPr>
              <w:pStyle w:val="Box"/>
            </w:pPr>
          </w:p>
        </w:tc>
      </w:tr>
      <w:tr w:rsidR="009C6940" w:rsidRPr="00EF7969" w14:paraId="62217C55" w14:textId="77777777" w:rsidTr="009C6940">
        <w:tc>
          <w:tcPr>
            <w:tcW w:w="8789" w:type="dxa"/>
            <w:tcBorders>
              <w:top w:val="nil"/>
              <w:left w:val="nil"/>
              <w:bottom w:val="nil"/>
              <w:right w:val="nil"/>
            </w:tcBorders>
            <w:shd w:val="clear" w:color="auto" w:fill="auto"/>
          </w:tcPr>
          <w:p w14:paraId="124E550D" w14:textId="77777777" w:rsidR="009C6940" w:rsidRPr="00EF7969" w:rsidRDefault="009C6940" w:rsidP="009C6940">
            <w:pPr>
              <w:pStyle w:val="Continued"/>
            </w:pPr>
            <w:r w:rsidRPr="00EF7969">
              <w:t>(continued next page)</w:t>
            </w:r>
          </w:p>
        </w:tc>
      </w:tr>
      <w:tr w:rsidR="009C6940" w:rsidRPr="00EF7969" w14:paraId="0B2360C6" w14:textId="77777777" w:rsidTr="009C6940">
        <w:tc>
          <w:tcPr>
            <w:tcW w:w="8789" w:type="dxa"/>
            <w:tcBorders>
              <w:top w:val="nil"/>
              <w:left w:val="nil"/>
              <w:bottom w:val="single" w:sz="6" w:space="0" w:color="78A22F"/>
              <w:right w:val="nil"/>
            </w:tcBorders>
            <w:shd w:val="clear" w:color="auto" w:fill="auto"/>
          </w:tcPr>
          <w:p w14:paraId="39ABB3F4" w14:textId="77777777" w:rsidR="009C6940" w:rsidRPr="00EF7969" w:rsidRDefault="009C6940" w:rsidP="009C6940">
            <w:pPr>
              <w:pStyle w:val="Box"/>
              <w:spacing w:before="0" w:line="120" w:lineRule="exact"/>
            </w:pPr>
          </w:p>
        </w:tc>
      </w:tr>
      <w:tr w:rsidR="009C6940" w:rsidRPr="00EF7969" w14:paraId="41DF37D5" w14:textId="77777777" w:rsidTr="009C6940">
        <w:tc>
          <w:tcPr>
            <w:tcW w:w="8789" w:type="dxa"/>
            <w:tcBorders>
              <w:top w:val="single" w:sz="6" w:space="0" w:color="78A22F"/>
              <w:left w:val="nil"/>
              <w:bottom w:val="nil"/>
              <w:right w:val="nil"/>
            </w:tcBorders>
          </w:tcPr>
          <w:p w14:paraId="67444A31" w14:textId="77777777" w:rsidR="009C6940" w:rsidRPr="00EF7969" w:rsidRDefault="009C6940" w:rsidP="009C6940">
            <w:pPr>
              <w:pStyle w:val="BoxSpaceBelow"/>
            </w:pPr>
          </w:p>
        </w:tc>
      </w:tr>
    </w:tbl>
    <w:p w14:paraId="2B6DADCA"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00080FBE" w14:textId="77777777" w:rsidTr="009C6940">
        <w:trPr>
          <w:tblHeader/>
        </w:trPr>
        <w:tc>
          <w:tcPr>
            <w:tcW w:w="8789" w:type="dxa"/>
            <w:tcBorders>
              <w:top w:val="single" w:sz="6" w:space="0" w:color="78A22F"/>
              <w:left w:val="nil"/>
              <w:bottom w:val="nil"/>
              <w:right w:val="nil"/>
            </w:tcBorders>
            <w:shd w:val="clear" w:color="auto" w:fill="auto"/>
          </w:tcPr>
          <w:p w14:paraId="29B0D5D5"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6CB53F53"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76EBCB7F"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5050AAD0"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41B5CFA5" w14:textId="77777777" w:rsidR="009C6940" w:rsidRPr="00EF7969" w:rsidRDefault="009C6940" w:rsidP="009C6940">
                  <w:pPr>
                    <w:pStyle w:val="TableColumnHeading"/>
                    <w:ind w:right="28"/>
                  </w:pPr>
                  <w:r w:rsidRPr="00EF7969">
                    <w:t>Submission no.</w:t>
                  </w:r>
                </w:p>
              </w:tc>
            </w:tr>
            <w:tr w:rsidR="009C6940" w:rsidRPr="00EF7969" w14:paraId="62B6FA26" w14:textId="77777777" w:rsidTr="009C6940">
              <w:tc>
                <w:tcPr>
                  <w:tcW w:w="6377" w:type="dxa"/>
                  <w:shd w:val="clear" w:color="auto" w:fill="auto"/>
                </w:tcPr>
                <w:p w14:paraId="4EEAD02E" w14:textId="77777777" w:rsidR="009C6940" w:rsidRPr="00EF7969" w:rsidRDefault="009C6940" w:rsidP="00536C2C">
                  <w:pPr>
                    <w:pStyle w:val="TableBodyText"/>
                    <w:spacing w:before="40"/>
                  </w:pPr>
                  <w:r w:rsidRPr="00EF7969">
                    <w:t>Mind Medicine Australia Limited</w:t>
                  </w:r>
                </w:p>
              </w:tc>
              <w:tc>
                <w:tcPr>
                  <w:tcW w:w="2126" w:type="dxa"/>
                  <w:shd w:val="clear" w:color="auto" w:fill="auto"/>
                </w:tcPr>
                <w:p w14:paraId="21415718" w14:textId="77777777" w:rsidR="009C6940" w:rsidRPr="00EF7969" w:rsidRDefault="009C6940" w:rsidP="00536C2C">
                  <w:pPr>
                    <w:pStyle w:val="TableBodyText"/>
                    <w:spacing w:before="40"/>
                  </w:pPr>
                  <w:r w:rsidRPr="00EF7969">
                    <w:t>1106</w:t>
                  </w:r>
                </w:p>
              </w:tc>
            </w:tr>
            <w:tr w:rsidR="009C6940" w:rsidRPr="00EF7969" w14:paraId="510012E0" w14:textId="77777777" w:rsidTr="009C6940">
              <w:tc>
                <w:tcPr>
                  <w:tcW w:w="6377" w:type="dxa"/>
                  <w:shd w:val="clear" w:color="auto" w:fill="auto"/>
                </w:tcPr>
                <w:p w14:paraId="20A77A1E" w14:textId="77777777" w:rsidR="009C6940" w:rsidRDefault="009C6940" w:rsidP="009C6940">
                  <w:pPr>
                    <w:pStyle w:val="TableBodyText"/>
                    <w:jc w:val="left"/>
                  </w:pPr>
                  <w:r w:rsidRPr="00EF7969">
                    <w:t>Mindgardens Neuroscience Network</w:t>
                  </w:r>
                </w:p>
              </w:tc>
              <w:tc>
                <w:tcPr>
                  <w:tcW w:w="2126" w:type="dxa"/>
                  <w:shd w:val="clear" w:color="auto" w:fill="auto"/>
                </w:tcPr>
                <w:p w14:paraId="5404A378" w14:textId="77777777" w:rsidR="009C6940" w:rsidRDefault="009C6940" w:rsidP="009C6940">
                  <w:pPr>
                    <w:pStyle w:val="TableBodyText"/>
                  </w:pPr>
                  <w:r w:rsidRPr="00EF7969">
                    <w:t>64</w:t>
                  </w:r>
                </w:p>
              </w:tc>
            </w:tr>
            <w:tr w:rsidR="009C6940" w:rsidRPr="00EF7969" w14:paraId="04042336" w14:textId="77777777" w:rsidTr="009C6940">
              <w:tc>
                <w:tcPr>
                  <w:tcW w:w="6377" w:type="dxa"/>
                  <w:shd w:val="clear" w:color="auto" w:fill="auto"/>
                </w:tcPr>
                <w:p w14:paraId="0AE104E1" w14:textId="77777777" w:rsidR="009C6940" w:rsidRPr="00EF7969" w:rsidRDefault="009C6940" w:rsidP="009C6940">
                  <w:pPr>
                    <w:pStyle w:val="TableBodyText"/>
                    <w:jc w:val="left"/>
                  </w:pPr>
                  <w:r w:rsidRPr="00EF7969">
                    <w:t>Mindseye Training and Consulting</w:t>
                  </w:r>
                </w:p>
              </w:tc>
              <w:tc>
                <w:tcPr>
                  <w:tcW w:w="2126" w:type="dxa"/>
                  <w:shd w:val="clear" w:color="auto" w:fill="auto"/>
                </w:tcPr>
                <w:p w14:paraId="7584D59F" w14:textId="77777777" w:rsidR="009C6940" w:rsidRPr="00EF7969" w:rsidRDefault="009C6940" w:rsidP="009C6940">
                  <w:pPr>
                    <w:pStyle w:val="TableBodyText"/>
                  </w:pPr>
                  <w:r w:rsidRPr="00EF7969">
                    <w:t>217</w:t>
                  </w:r>
                </w:p>
              </w:tc>
            </w:tr>
            <w:tr w:rsidR="009C6940" w:rsidRPr="00EF7969" w14:paraId="3E1ED027" w14:textId="77777777" w:rsidTr="009C6940">
              <w:tc>
                <w:tcPr>
                  <w:tcW w:w="6377" w:type="dxa"/>
                  <w:shd w:val="clear" w:color="auto" w:fill="auto"/>
                </w:tcPr>
                <w:p w14:paraId="2DC77834" w14:textId="77777777" w:rsidR="009C6940" w:rsidRPr="00EF7969" w:rsidRDefault="009C6940" w:rsidP="009C6940">
                  <w:pPr>
                    <w:pStyle w:val="TableBodyText"/>
                    <w:jc w:val="left"/>
                  </w:pPr>
                  <w:r w:rsidRPr="00EF7969">
                    <w:t>MindSpot</w:t>
                  </w:r>
                </w:p>
              </w:tc>
              <w:tc>
                <w:tcPr>
                  <w:tcW w:w="2126" w:type="dxa"/>
                  <w:shd w:val="clear" w:color="auto" w:fill="auto"/>
                </w:tcPr>
                <w:p w14:paraId="585B3576" w14:textId="77777777" w:rsidR="009C6940" w:rsidRPr="00EF7969" w:rsidRDefault="009C6940" w:rsidP="009C6940">
                  <w:pPr>
                    <w:pStyle w:val="TableBodyText"/>
                  </w:pPr>
                  <w:r w:rsidRPr="00EF7969">
                    <w:t>178, 666</w:t>
                  </w:r>
                </w:p>
              </w:tc>
            </w:tr>
            <w:tr w:rsidR="009C6940" w:rsidRPr="00EF7969" w14:paraId="722E8592" w14:textId="77777777" w:rsidTr="009C6940">
              <w:tc>
                <w:tcPr>
                  <w:tcW w:w="6377" w:type="dxa"/>
                  <w:shd w:val="clear" w:color="auto" w:fill="auto"/>
                </w:tcPr>
                <w:p w14:paraId="3F242B4E" w14:textId="77777777" w:rsidR="009C6940" w:rsidRPr="00EF7969" w:rsidRDefault="009C6940" w:rsidP="009C6940">
                  <w:pPr>
                    <w:pStyle w:val="TableBodyText"/>
                    <w:jc w:val="left"/>
                  </w:pPr>
                  <w:r w:rsidRPr="00EF7969">
                    <w:t>Mission Australia</w:t>
                  </w:r>
                </w:p>
              </w:tc>
              <w:tc>
                <w:tcPr>
                  <w:tcW w:w="2126" w:type="dxa"/>
                  <w:shd w:val="clear" w:color="auto" w:fill="auto"/>
                </w:tcPr>
                <w:p w14:paraId="699E1F95" w14:textId="77777777" w:rsidR="009C6940" w:rsidRPr="00EF7969" w:rsidRDefault="009C6940" w:rsidP="009C6940">
                  <w:pPr>
                    <w:pStyle w:val="TableBodyText"/>
                  </w:pPr>
                  <w:r w:rsidRPr="00EF7969">
                    <w:t>487, 684</w:t>
                  </w:r>
                </w:p>
              </w:tc>
            </w:tr>
            <w:tr w:rsidR="009C6940" w:rsidRPr="00EF7969" w14:paraId="20BC3827" w14:textId="77777777" w:rsidTr="009C6940">
              <w:tc>
                <w:tcPr>
                  <w:tcW w:w="6377" w:type="dxa"/>
                  <w:shd w:val="clear" w:color="auto" w:fill="auto"/>
                </w:tcPr>
                <w:p w14:paraId="7DC72833" w14:textId="77777777" w:rsidR="009C6940" w:rsidRPr="00EF7969" w:rsidRDefault="009C6940" w:rsidP="009C6940">
                  <w:pPr>
                    <w:pStyle w:val="TableBodyText"/>
                    <w:jc w:val="left"/>
                  </w:pPr>
                  <w:r w:rsidRPr="00EF7969">
                    <w:t>Mitchell Wright</w:t>
                  </w:r>
                </w:p>
              </w:tc>
              <w:tc>
                <w:tcPr>
                  <w:tcW w:w="2126" w:type="dxa"/>
                  <w:shd w:val="clear" w:color="auto" w:fill="auto"/>
                </w:tcPr>
                <w:p w14:paraId="5C5E1799" w14:textId="77777777" w:rsidR="009C6940" w:rsidRPr="00EF7969" w:rsidRDefault="009C6940" w:rsidP="009C6940">
                  <w:pPr>
                    <w:pStyle w:val="TableBodyText"/>
                  </w:pPr>
                  <w:r w:rsidRPr="00EF7969">
                    <w:t>967</w:t>
                  </w:r>
                </w:p>
              </w:tc>
            </w:tr>
            <w:tr w:rsidR="009C6940" w:rsidRPr="00EF7969" w14:paraId="20352297" w14:textId="77777777" w:rsidTr="009C6940">
              <w:tc>
                <w:tcPr>
                  <w:tcW w:w="6377" w:type="dxa"/>
                  <w:shd w:val="clear" w:color="auto" w:fill="auto"/>
                </w:tcPr>
                <w:p w14:paraId="6FC2F566" w14:textId="77777777" w:rsidR="009C6940" w:rsidRPr="00EF7969" w:rsidRDefault="009C6940" w:rsidP="009C6940">
                  <w:pPr>
                    <w:pStyle w:val="TableBodyText"/>
                    <w:jc w:val="left"/>
                  </w:pPr>
                  <w:r w:rsidRPr="00EF7969">
                    <w:t>Monash University</w:t>
                  </w:r>
                </w:p>
              </w:tc>
              <w:tc>
                <w:tcPr>
                  <w:tcW w:w="2126" w:type="dxa"/>
                  <w:shd w:val="clear" w:color="auto" w:fill="auto"/>
                </w:tcPr>
                <w:p w14:paraId="254D43F7" w14:textId="77777777" w:rsidR="009C6940" w:rsidRPr="00EF7969" w:rsidRDefault="009C6940" w:rsidP="009C6940">
                  <w:pPr>
                    <w:pStyle w:val="TableBodyText"/>
                  </w:pPr>
                  <w:r w:rsidRPr="00EF7969">
                    <w:t>698</w:t>
                  </w:r>
                </w:p>
              </w:tc>
            </w:tr>
            <w:tr w:rsidR="009C6940" w:rsidRPr="00EF7969" w14:paraId="1D1421CA" w14:textId="77777777" w:rsidTr="009C6940">
              <w:tc>
                <w:tcPr>
                  <w:tcW w:w="6377" w:type="dxa"/>
                  <w:shd w:val="clear" w:color="auto" w:fill="auto"/>
                </w:tcPr>
                <w:p w14:paraId="317CB5C0" w14:textId="77777777" w:rsidR="009C6940" w:rsidRPr="00EF7969" w:rsidRDefault="009C6940" w:rsidP="009C6940">
                  <w:pPr>
                    <w:pStyle w:val="TableBodyText"/>
                    <w:jc w:val="left"/>
                  </w:pPr>
                  <w:r w:rsidRPr="00EF7969">
                    <w:t>Montelukast (Singulair) Side Effects Support and Discussion Group</w:t>
                  </w:r>
                </w:p>
              </w:tc>
              <w:tc>
                <w:tcPr>
                  <w:tcW w:w="2126" w:type="dxa"/>
                  <w:shd w:val="clear" w:color="auto" w:fill="auto"/>
                </w:tcPr>
                <w:p w14:paraId="185557C0" w14:textId="77777777" w:rsidR="009C6940" w:rsidRPr="00EF7969" w:rsidRDefault="009C6940" w:rsidP="009C6940">
                  <w:pPr>
                    <w:pStyle w:val="TableBodyText"/>
                  </w:pPr>
                  <w:r w:rsidRPr="00EF7969">
                    <w:t>197</w:t>
                  </w:r>
                </w:p>
              </w:tc>
            </w:tr>
            <w:tr w:rsidR="009C6940" w:rsidRPr="00EF7969" w14:paraId="5021A56F" w14:textId="77777777" w:rsidTr="009C6940">
              <w:tc>
                <w:tcPr>
                  <w:tcW w:w="6377" w:type="dxa"/>
                  <w:shd w:val="clear" w:color="auto" w:fill="auto"/>
                </w:tcPr>
                <w:p w14:paraId="28610F56" w14:textId="77777777" w:rsidR="009C6940" w:rsidRPr="00EF7969" w:rsidRDefault="009C6940" w:rsidP="009C6940">
                  <w:pPr>
                    <w:pStyle w:val="TableBodyText"/>
                    <w:jc w:val="left"/>
                  </w:pPr>
                  <w:r w:rsidRPr="00EF7969">
                    <w:t>Moonee Valley City Council</w:t>
                  </w:r>
                </w:p>
              </w:tc>
              <w:tc>
                <w:tcPr>
                  <w:tcW w:w="2126" w:type="dxa"/>
                  <w:shd w:val="clear" w:color="auto" w:fill="auto"/>
                </w:tcPr>
                <w:p w14:paraId="2E961EA0" w14:textId="77777777" w:rsidR="009C6940" w:rsidRPr="00EF7969" w:rsidRDefault="009C6940" w:rsidP="009C6940">
                  <w:pPr>
                    <w:pStyle w:val="TableBodyText"/>
                  </w:pPr>
                  <w:r w:rsidRPr="00EF7969">
                    <w:t>106, 670</w:t>
                  </w:r>
                </w:p>
              </w:tc>
            </w:tr>
            <w:tr w:rsidR="009C6940" w:rsidRPr="00EF7969" w14:paraId="1305FDDF" w14:textId="77777777" w:rsidTr="009C6940">
              <w:tc>
                <w:tcPr>
                  <w:tcW w:w="6377" w:type="dxa"/>
                  <w:shd w:val="clear" w:color="auto" w:fill="auto"/>
                </w:tcPr>
                <w:p w14:paraId="35D46DD7" w14:textId="77777777" w:rsidR="009C6940" w:rsidRPr="00EF7969" w:rsidRDefault="009C6940" w:rsidP="009C6940">
                  <w:pPr>
                    <w:pStyle w:val="TableBodyText"/>
                    <w:jc w:val="left"/>
                  </w:pPr>
                  <w:r w:rsidRPr="00EF7969">
                    <w:t>Movember Foundation</w:t>
                  </w:r>
                </w:p>
              </w:tc>
              <w:tc>
                <w:tcPr>
                  <w:tcW w:w="2126" w:type="dxa"/>
                  <w:shd w:val="clear" w:color="auto" w:fill="auto"/>
                </w:tcPr>
                <w:p w14:paraId="318694C4" w14:textId="77777777" w:rsidR="009C6940" w:rsidRPr="00EF7969" w:rsidRDefault="009C6940" w:rsidP="009C6940">
                  <w:pPr>
                    <w:pStyle w:val="TableBodyText"/>
                  </w:pPr>
                  <w:r w:rsidRPr="00EF7969">
                    <w:t>930</w:t>
                  </w:r>
                </w:p>
              </w:tc>
            </w:tr>
            <w:tr w:rsidR="009C6940" w:rsidRPr="00EF7969" w14:paraId="1B54370C" w14:textId="77777777" w:rsidTr="009C6940">
              <w:tc>
                <w:tcPr>
                  <w:tcW w:w="6377" w:type="dxa"/>
                  <w:shd w:val="clear" w:color="auto" w:fill="auto"/>
                </w:tcPr>
                <w:p w14:paraId="67E8FF3E" w14:textId="77777777" w:rsidR="009C6940" w:rsidRPr="00EF7969" w:rsidRDefault="009C6940" w:rsidP="009C6940">
                  <w:pPr>
                    <w:pStyle w:val="TableBodyText"/>
                    <w:jc w:val="left"/>
                  </w:pPr>
                  <w:r w:rsidRPr="00EF7969">
                    <w:t>Initially No</w:t>
                  </w:r>
                </w:p>
              </w:tc>
              <w:tc>
                <w:tcPr>
                  <w:tcW w:w="2126" w:type="dxa"/>
                  <w:shd w:val="clear" w:color="auto" w:fill="auto"/>
                </w:tcPr>
                <w:p w14:paraId="7094E64E" w14:textId="77777777" w:rsidR="009C6940" w:rsidRPr="00EF7969" w:rsidRDefault="009C6940" w:rsidP="009C6940">
                  <w:pPr>
                    <w:pStyle w:val="TableBodyText"/>
                  </w:pPr>
                  <w:r w:rsidRPr="00EF7969">
                    <w:t>608</w:t>
                  </w:r>
                </w:p>
              </w:tc>
            </w:tr>
            <w:tr w:rsidR="009C6940" w:rsidRPr="00EF7969" w14:paraId="57E359E9" w14:textId="77777777" w:rsidTr="009C6940">
              <w:tc>
                <w:tcPr>
                  <w:tcW w:w="6377" w:type="dxa"/>
                  <w:shd w:val="clear" w:color="auto" w:fill="auto"/>
                </w:tcPr>
                <w:p w14:paraId="08D092D1" w14:textId="77777777" w:rsidR="009C6940" w:rsidRPr="00EF7969" w:rsidRDefault="009C6940" w:rsidP="009C6940">
                  <w:pPr>
                    <w:pStyle w:val="TableBodyText"/>
                    <w:jc w:val="left"/>
                  </w:pPr>
                  <w:r w:rsidRPr="00EF7969">
                    <w:t>Multicultural Youth Advocacy Network (MYAN)</w:t>
                  </w:r>
                </w:p>
              </w:tc>
              <w:tc>
                <w:tcPr>
                  <w:tcW w:w="2126" w:type="dxa"/>
                  <w:shd w:val="clear" w:color="auto" w:fill="auto"/>
                </w:tcPr>
                <w:p w14:paraId="449D0C08" w14:textId="77777777" w:rsidR="009C6940" w:rsidRPr="00EF7969" w:rsidRDefault="009C6940" w:rsidP="009C6940">
                  <w:pPr>
                    <w:pStyle w:val="TableBodyText"/>
                  </w:pPr>
                  <w:r w:rsidRPr="00EF7969">
                    <w:t>683</w:t>
                  </w:r>
                </w:p>
              </w:tc>
            </w:tr>
            <w:tr w:rsidR="009C6940" w:rsidRPr="00EF7969" w14:paraId="73DA772E" w14:textId="77777777" w:rsidTr="009C6940">
              <w:tc>
                <w:tcPr>
                  <w:tcW w:w="6377" w:type="dxa"/>
                  <w:shd w:val="clear" w:color="auto" w:fill="auto"/>
                </w:tcPr>
                <w:p w14:paraId="47FD12AA" w14:textId="77777777" w:rsidR="009C6940" w:rsidRPr="00EF7969" w:rsidRDefault="009C6940" w:rsidP="009C6940">
                  <w:pPr>
                    <w:pStyle w:val="TableBodyText"/>
                    <w:jc w:val="left"/>
                  </w:pPr>
                  <w:r w:rsidRPr="00EF7969">
                    <w:t>Murrumbidgee Primary Health Network</w:t>
                  </w:r>
                </w:p>
              </w:tc>
              <w:tc>
                <w:tcPr>
                  <w:tcW w:w="2126" w:type="dxa"/>
                  <w:shd w:val="clear" w:color="auto" w:fill="auto"/>
                </w:tcPr>
                <w:p w14:paraId="52C1E77D" w14:textId="77777777" w:rsidR="009C6940" w:rsidRPr="00EF7969" w:rsidRDefault="009C6940" w:rsidP="009C6940">
                  <w:pPr>
                    <w:pStyle w:val="TableBodyText"/>
                  </w:pPr>
                  <w:r w:rsidRPr="00EF7969">
                    <w:t>1199</w:t>
                  </w:r>
                </w:p>
              </w:tc>
            </w:tr>
            <w:tr w:rsidR="009C6940" w:rsidRPr="00EF7969" w14:paraId="7354B42F" w14:textId="77777777" w:rsidTr="009C6940">
              <w:tc>
                <w:tcPr>
                  <w:tcW w:w="6377" w:type="dxa"/>
                  <w:shd w:val="clear" w:color="auto" w:fill="auto"/>
                </w:tcPr>
                <w:p w14:paraId="1F1B1893" w14:textId="77777777" w:rsidR="009C6940" w:rsidRPr="00EF7969" w:rsidRDefault="009C6940" w:rsidP="009C6940">
                  <w:pPr>
                    <w:pStyle w:val="TableBodyText"/>
                    <w:jc w:val="left"/>
                  </w:pPr>
                  <w:r w:rsidRPr="00EF7969">
                    <w:t>Museum of Contemporary Art Australia</w:t>
                  </w:r>
                </w:p>
              </w:tc>
              <w:tc>
                <w:tcPr>
                  <w:tcW w:w="2126" w:type="dxa"/>
                  <w:shd w:val="clear" w:color="auto" w:fill="auto"/>
                </w:tcPr>
                <w:p w14:paraId="6D8A726D" w14:textId="77777777" w:rsidR="009C6940" w:rsidRPr="00EF7969" w:rsidRDefault="009C6940" w:rsidP="009C6940">
                  <w:pPr>
                    <w:pStyle w:val="TableBodyText"/>
                  </w:pPr>
                  <w:r w:rsidRPr="00EF7969">
                    <w:t>154</w:t>
                  </w:r>
                </w:p>
              </w:tc>
            </w:tr>
            <w:tr w:rsidR="009C6940" w:rsidRPr="00EF7969" w14:paraId="7F72730B" w14:textId="77777777" w:rsidTr="009C6940">
              <w:tc>
                <w:tcPr>
                  <w:tcW w:w="6377" w:type="dxa"/>
                  <w:shd w:val="clear" w:color="auto" w:fill="auto"/>
                </w:tcPr>
                <w:p w14:paraId="13916131" w14:textId="77777777" w:rsidR="009C6940" w:rsidRPr="00EF7969" w:rsidRDefault="009C6940" w:rsidP="009C6940">
                  <w:pPr>
                    <w:pStyle w:val="TableBodyText"/>
                    <w:jc w:val="left"/>
                  </w:pPr>
                  <w:r w:rsidRPr="00EF7969">
                    <w:t>MyDNA</w:t>
                  </w:r>
                </w:p>
              </w:tc>
              <w:tc>
                <w:tcPr>
                  <w:tcW w:w="2126" w:type="dxa"/>
                  <w:shd w:val="clear" w:color="auto" w:fill="auto"/>
                </w:tcPr>
                <w:p w14:paraId="4B4A60DA" w14:textId="77777777" w:rsidR="009C6940" w:rsidRPr="00EF7969" w:rsidRDefault="009C6940" w:rsidP="009C6940">
                  <w:pPr>
                    <w:pStyle w:val="TableBodyText"/>
                  </w:pPr>
                  <w:r w:rsidRPr="00EF7969">
                    <w:t>1219</w:t>
                  </w:r>
                </w:p>
              </w:tc>
            </w:tr>
            <w:tr w:rsidR="009C6940" w:rsidRPr="00EF7969" w14:paraId="4D84B290" w14:textId="77777777" w:rsidTr="009C6940">
              <w:tc>
                <w:tcPr>
                  <w:tcW w:w="6377" w:type="dxa"/>
                  <w:shd w:val="clear" w:color="auto" w:fill="auto"/>
                </w:tcPr>
                <w:p w14:paraId="64B463C1" w14:textId="77777777" w:rsidR="009C6940" w:rsidRPr="00EF7969" w:rsidRDefault="009C6940" w:rsidP="009C6940">
                  <w:pPr>
                    <w:pStyle w:val="TableBodyText"/>
                    <w:jc w:val="left"/>
                  </w:pPr>
                  <w:r w:rsidRPr="00EF7969">
                    <w:t>Name withheld</w:t>
                  </w:r>
                </w:p>
              </w:tc>
              <w:tc>
                <w:tcPr>
                  <w:tcW w:w="2126" w:type="dxa"/>
                  <w:shd w:val="clear" w:color="auto" w:fill="auto"/>
                </w:tcPr>
                <w:p w14:paraId="7763DF91" w14:textId="77777777" w:rsidR="009C6940" w:rsidRPr="00EF7969" w:rsidRDefault="009C6940" w:rsidP="009C6940">
                  <w:pPr>
                    <w:pStyle w:val="TableBodyText"/>
                  </w:pPr>
                  <w:r w:rsidRPr="00EF7969">
                    <w:t>7</w:t>
                  </w:r>
                </w:p>
              </w:tc>
            </w:tr>
            <w:tr w:rsidR="009C6940" w:rsidRPr="00EF7969" w14:paraId="288C6A87" w14:textId="77777777" w:rsidTr="009C6940">
              <w:tc>
                <w:tcPr>
                  <w:tcW w:w="6377" w:type="dxa"/>
                  <w:shd w:val="clear" w:color="auto" w:fill="auto"/>
                </w:tcPr>
                <w:p w14:paraId="76C325EF" w14:textId="77777777" w:rsidR="009C6940" w:rsidRPr="00EF7969" w:rsidRDefault="009C6940" w:rsidP="009C6940">
                  <w:pPr>
                    <w:pStyle w:val="TableBodyText"/>
                    <w:jc w:val="left"/>
                  </w:pPr>
                  <w:r w:rsidRPr="00EF7969">
                    <w:t>Name withheld</w:t>
                  </w:r>
                </w:p>
              </w:tc>
              <w:tc>
                <w:tcPr>
                  <w:tcW w:w="2126" w:type="dxa"/>
                  <w:shd w:val="clear" w:color="auto" w:fill="auto"/>
                </w:tcPr>
                <w:p w14:paraId="37934A0B" w14:textId="77777777" w:rsidR="009C6940" w:rsidRPr="00EF7969" w:rsidRDefault="009C6940" w:rsidP="009C6940">
                  <w:pPr>
                    <w:pStyle w:val="TableBodyText"/>
                  </w:pPr>
                  <w:r w:rsidRPr="00EF7969">
                    <w:t>8</w:t>
                  </w:r>
                </w:p>
              </w:tc>
            </w:tr>
            <w:tr w:rsidR="009C6940" w:rsidRPr="00EF7969" w14:paraId="7750AC4C" w14:textId="77777777" w:rsidTr="009C6940">
              <w:tc>
                <w:tcPr>
                  <w:tcW w:w="6377" w:type="dxa"/>
                  <w:shd w:val="clear" w:color="auto" w:fill="auto"/>
                </w:tcPr>
                <w:p w14:paraId="2DDF916A" w14:textId="77777777" w:rsidR="009C6940" w:rsidRPr="00EF7969" w:rsidRDefault="009C6940" w:rsidP="009C6940">
                  <w:pPr>
                    <w:pStyle w:val="TableBodyText"/>
                    <w:jc w:val="left"/>
                  </w:pPr>
                  <w:r w:rsidRPr="00EF7969">
                    <w:t>Name withheld</w:t>
                  </w:r>
                </w:p>
              </w:tc>
              <w:tc>
                <w:tcPr>
                  <w:tcW w:w="2126" w:type="dxa"/>
                  <w:shd w:val="clear" w:color="auto" w:fill="auto"/>
                </w:tcPr>
                <w:p w14:paraId="74DA5736" w14:textId="77777777" w:rsidR="009C6940" w:rsidRPr="00EF7969" w:rsidRDefault="009C6940" w:rsidP="009C6940">
                  <w:pPr>
                    <w:pStyle w:val="TableBodyText"/>
                  </w:pPr>
                  <w:r w:rsidRPr="00EF7969">
                    <w:t>9</w:t>
                  </w:r>
                </w:p>
              </w:tc>
            </w:tr>
            <w:tr w:rsidR="009C6940" w:rsidRPr="00EF7969" w14:paraId="529E6801" w14:textId="77777777" w:rsidTr="009C6940">
              <w:tc>
                <w:tcPr>
                  <w:tcW w:w="6377" w:type="dxa"/>
                  <w:shd w:val="clear" w:color="auto" w:fill="auto"/>
                </w:tcPr>
                <w:p w14:paraId="6CEEDF36" w14:textId="77777777" w:rsidR="009C6940" w:rsidRPr="00EF7969" w:rsidRDefault="009C6940" w:rsidP="009C6940">
                  <w:pPr>
                    <w:pStyle w:val="TableBodyText"/>
                    <w:jc w:val="left"/>
                  </w:pPr>
                  <w:r w:rsidRPr="00EF7969">
                    <w:t>Name withheld</w:t>
                  </w:r>
                </w:p>
              </w:tc>
              <w:tc>
                <w:tcPr>
                  <w:tcW w:w="2126" w:type="dxa"/>
                  <w:shd w:val="clear" w:color="auto" w:fill="auto"/>
                </w:tcPr>
                <w:p w14:paraId="22F60159" w14:textId="77777777" w:rsidR="009C6940" w:rsidRPr="00EF7969" w:rsidRDefault="009C6940" w:rsidP="009C6940">
                  <w:pPr>
                    <w:pStyle w:val="TableBodyText"/>
                  </w:pPr>
                  <w:r w:rsidRPr="00EF7969">
                    <w:t>10</w:t>
                  </w:r>
                </w:p>
              </w:tc>
            </w:tr>
            <w:tr w:rsidR="009C6940" w:rsidRPr="00EF7969" w14:paraId="58F8F8E3" w14:textId="77777777" w:rsidTr="009C6940">
              <w:tc>
                <w:tcPr>
                  <w:tcW w:w="6377" w:type="dxa"/>
                  <w:shd w:val="clear" w:color="auto" w:fill="auto"/>
                </w:tcPr>
                <w:p w14:paraId="2208E2CE" w14:textId="77777777" w:rsidR="009C6940" w:rsidRPr="00EF7969" w:rsidRDefault="009C6940" w:rsidP="009C6940">
                  <w:pPr>
                    <w:pStyle w:val="TableBodyText"/>
                    <w:jc w:val="left"/>
                  </w:pPr>
                  <w:r w:rsidRPr="00EF7969">
                    <w:t>Name withheld</w:t>
                  </w:r>
                </w:p>
              </w:tc>
              <w:tc>
                <w:tcPr>
                  <w:tcW w:w="2126" w:type="dxa"/>
                  <w:shd w:val="clear" w:color="auto" w:fill="auto"/>
                </w:tcPr>
                <w:p w14:paraId="49F1B6A7" w14:textId="77777777" w:rsidR="009C6940" w:rsidRPr="00EF7969" w:rsidRDefault="009C6940" w:rsidP="009C6940">
                  <w:pPr>
                    <w:pStyle w:val="TableBodyText"/>
                  </w:pPr>
                  <w:r w:rsidRPr="00EF7969">
                    <w:t>13</w:t>
                  </w:r>
                </w:p>
              </w:tc>
            </w:tr>
            <w:tr w:rsidR="009C6940" w:rsidRPr="00EF7969" w14:paraId="7FAA44EE" w14:textId="77777777" w:rsidTr="009C6940">
              <w:tc>
                <w:tcPr>
                  <w:tcW w:w="6377" w:type="dxa"/>
                  <w:shd w:val="clear" w:color="auto" w:fill="auto"/>
                </w:tcPr>
                <w:p w14:paraId="6270FC99" w14:textId="77777777" w:rsidR="009C6940" w:rsidRPr="00EF7969" w:rsidRDefault="009C6940" w:rsidP="009C6940">
                  <w:pPr>
                    <w:pStyle w:val="TableBodyText"/>
                    <w:jc w:val="left"/>
                  </w:pPr>
                  <w:r w:rsidRPr="00EF7969">
                    <w:t>Name withheld</w:t>
                  </w:r>
                </w:p>
              </w:tc>
              <w:tc>
                <w:tcPr>
                  <w:tcW w:w="2126" w:type="dxa"/>
                  <w:shd w:val="clear" w:color="auto" w:fill="auto"/>
                </w:tcPr>
                <w:p w14:paraId="23975525" w14:textId="77777777" w:rsidR="009C6940" w:rsidRPr="00EF7969" w:rsidRDefault="009C6940" w:rsidP="009C6940">
                  <w:pPr>
                    <w:pStyle w:val="TableBodyText"/>
                  </w:pPr>
                  <w:r w:rsidRPr="00EF7969">
                    <w:t>16</w:t>
                  </w:r>
                </w:p>
              </w:tc>
            </w:tr>
            <w:tr w:rsidR="009C6940" w:rsidRPr="00EF7969" w14:paraId="6D63375B" w14:textId="77777777" w:rsidTr="009C6940">
              <w:tc>
                <w:tcPr>
                  <w:tcW w:w="6377" w:type="dxa"/>
                  <w:shd w:val="clear" w:color="auto" w:fill="auto"/>
                </w:tcPr>
                <w:p w14:paraId="42234C28" w14:textId="77777777" w:rsidR="009C6940" w:rsidRPr="00EF7969" w:rsidRDefault="009C6940" w:rsidP="009C6940">
                  <w:pPr>
                    <w:pStyle w:val="TableBodyText"/>
                    <w:jc w:val="left"/>
                  </w:pPr>
                  <w:r w:rsidRPr="00EF7969">
                    <w:t>Name withheld</w:t>
                  </w:r>
                </w:p>
              </w:tc>
              <w:tc>
                <w:tcPr>
                  <w:tcW w:w="2126" w:type="dxa"/>
                  <w:shd w:val="clear" w:color="auto" w:fill="auto"/>
                </w:tcPr>
                <w:p w14:paraId="5F2D715F" w14:textId="77777777" w:rsidR="009C6940" w:rsidRPr="00EF7969" w:rsidRDefault="009C6940" w:rsidP="009C6940">
                  <w:pPr>
                    <w:pStyle w:val="TableBodyText"/>
                  </w:pPr>
                  <w:r w:rsidRPr="00EF7969">
                    <w:t>23</w:t>
                  </w:r>
                </w:p>
              </w:tc>
            </w:tr>
            <w:tr w:rsidR="009C6940" w:rsidRPr="00EF7969" w14:paraId="3883C25E" w14:textId="77777777" w:rsidTr="009C6940">
              <w:tc>
                <w:tcPr>
                  <w:tcW w:w="6377" w:type="dxa"/>
                  <w:shd w:val="clear" w:color="auto" w:fill="auto"/>
                </w:tcPr>
                <w:p w14:paraId="124F82D7" w14:textId="77777777" w:rsidR="009C6940" w:rsidRPr="00EF7969" w:rsidRDefault="009C6940" w:rsidP="009C6940">
                  <w:pPr>
                    <w:pStyle w:val="TableBodyText"/>
                    <w:jc w:val="left"/>
                  </w:pPr>
                  <w:r w:rsidRPr="00EF7969">
                    <w:t>Name withheld</w:t>
                  </w:r>
                </w:p>
              </w:tc>
              <w:tc>
                <w:tcPr>
                  <w:tcW w:w="2126" w:type="dxa"/>
                  <w:shd w:val="clear" w:color="auto" w:fill="auto"/>
                </w:tcPr>
                <w:p w14:paraId="0F5B316C" w14:textId="77777777" w:rsidR="009C6940" w:rsidRPr="00EF7969" w:rsidRDefault="009C6940" w:rsidP="009C6940">
                  <w:pPr>
                    <w:pStyle w:val="TableBodyText"/>
                  </w:pPr>
                  <w:r w:rsidRPr="00EF7969">
                    <w:t>24</w:t>
                  </w:r>
                </w:p>
              </w:tc>
            </w:tr>
            <w:tr w:rsidR="009C6940" w:rsidRPr="00EF7969" w14:paraId="6241DCA4" w14:textId="77777777" w:rsidTr="009C6940">
              <w:tc>
                <w:tcPr>
                  <w:tcW w:w="6377" w:type="dxa"/>
                  <w:shd w:val="clear" w:color="auto" w:fill="auto"/>
                </w:tcPr>
                <w:p w14:paraId="31C46A97" w14:textId="77777777" w:rsidR="009C6940" w:rsidRPr="00EF7969" w:rsidRDefault="009C6940" w:rsidP="009C6940">
                  <w:pPr>
                    <w:pStyle w:val="TableBodyText"/>
                    <w:jc w:val="left"/>
                  </w:pPr>
                  <w:r w:rsidRPr="00EF7969">
                    <w:t>Name withheld</w:t>
                  </w:r>
                </w:p>
              </w:tc>
              <w:tc>
                <w:tcPr>
                  <w:tcW w:w="2126" w:type="dxa"/>
                  <w:shd w:val="clear" w:color="auto" w:fill="auto"/>
                </w:tcPr>
                <w:p w14:paraId="5739DF8C" w14:textId="77777777" w:rsidR="009C6940" w:rsidRPr="00EF7969" w:rsidRDefault="009C6940" w:rsidP="009C6940">
                  <w:pPr>
                    <w:pStyle w:val="TableBodyText"/>
                  </w:pPr>
                  <w:r w:rsidRPr="00EF7969">
                    <w:t>31</w:t>
                  </w:r>
                </w:p>
              </w:tc>
            </w:tr>
            <w:tr w:rsidR="009C6940" w:rsidRPr="00EF7969" w14:paraId="382FF77B" w14:textId="77777777" w:rsidTr="009C6940">
              <w:tc>
                <w:tcPr>
                  <w:tcW w:w="6377" w:type="dxa"/>
                  <w:shd w:val="clear" w:color="auto" w:fill="auto"/>
                </w:tcPr>
                <w:p w14:paraId="13BA772B" w14:textId="77777777" w:rsidR="009C6940" w:rsidRPr="00EF7969" w:rsidRDefault="009C6940" w:rsidP="009C6940">
                  <w:pPr>
                    <w:pStyle w:val="TableBodyText"/>
                    <w:jc w:val="left"/>
                  </w:pPr>
                  <w:r w:rsidRPr="00EF7969">
                    <w:t>Name withheld</w:t>
                  </w:r>
                </w:p>
              </w:tc>
              <w:tc>
                <w:tcPr>
                  <w:tcW w:w="2126" w:type="dxa"/>
                  <w:shd w:val="clear" w:color="auto" w:fill="auto"/>
                </w:tcPr>
                <w:p w14:paraId="737A5C33" w14:textId="77777777" w:rsidR="009C6940" w:rsidRPr="00EF7969" w:rsidRDefault="009C6940" w:rsidP="009C6940">
                  <w:pPr>
                    <w:pStyle w:val="TableBodyText"/>
                  </w:pPr>
                  <w:r w:rsidRPr="00EF7969">
                    <w:t>32</w:t>
                  </w:r>
                </w:p>
              </w:tc>
            </w:tr>
            <w:tr w:rsidR="009C6940" w:rsidRPr="00EF7969" w14:paraId="0F67E6B4" w14:textId="77777777" w:rsidTr="009C6940">
              <w:tc>
                <w:tcPr>
                  <w:tcW w:w="6377" w:type="dxa"/>
                  <w:shd w:val="clear" w:color="auto" w:fill="auto"/>
                </w:tcPr>
                <w:p w14:paraId="2335F357" w14:textId="77777777" w:rsidR="009C6940" w:rsidRPr="00EF7969" w:rsidRDefault="009C6940" w:rsidP="009C6940">
                  <w:pPr>
                    <w:pStyle w:val="TableBodyText"/>
                    <w:jc w:val="left"/>
                  </w:pPr>
                  <w:r w:rsidRPr="00EF7969">
                    <w:t>Name withheld</w:t>
                  </w:r>
                </w:p>
              </w:tc>
              <w:tc>
                <w:tcPr>
                  <w:tcW w:w="2126" w:type="dxa"/>
                  <w:shd w:val="clear" w:color="auto" w:fill="auto"/>
                </w:tcPr>
                <w:p w14:paraId="67C51949" w14:textId="77777777" w:rsidR="009C6940" w:rsidRPr="00EF7969" w:rsidRDefault="009C6940" w:rsidP="009C6940">
                  <w:pPr>
                    <w:pStyle w:val="TableBodyText"/>
                  </w:pPr>
                  <w:r w:rsidRPr="00EF7969">
                    <w:t>38</w:t>
                  </w:r>
                </w:p>
              </w:tc>
            </w:tr>
            <w:tr w:rsidR="009C6940" w:rsidRPr="00EF7969" w14:paraId="75BF2C44" w14:textId="77777777" w:rsidTr="009C6940">
              <w:tc>
                <w:tcPr>
                  <w:tcW w:w="6377" w:type="dxa"/>
                  <w:shd w:val="clear" w:color="auto" w:fill="auto"/>
                </w:tcPr>
                <w:p w14:paraId="200A516C" w14:textId="77777777" w:rsidR="009C6940" w:rsidRPr="00EF7969" w:rsidRDefault="009C6940" w:rsidP="009C6940">
                  <w:pPr>
                    <w:pStyle w:val="TableBodyText"/>
                    <w:jc w:val="left"/>
                  </w:pPr>
                  <w:r w:rsidRPr="00EF7969">
                    <w:t>Name withheld</w:t>
                  </w:r>
                </w:p>
              </w:tc>
              <w:tc>
                <w:tcPr>
                  <w:tcW w:w="2126" w:type="dxa"/>
                  <w:shd w:val="clear" w:color="auto" w:fill="auto"/>
                </w:tcPr>
                <w:p w14:paraId="46E26165" w14:textId="77777777" w:rsidR="009C6940" w:rsidRPr="00EF7969" w:rsidRDefault="009C6940" w:rsidP="009C6940">
                  <w:pPr>
                    <w:pStyle w:val="TableBodyText"/>
                  </w:pPr>
                  <w:r w:rsidRPr="00EF7969">
                    <w:t>41</w:t>
                  </w:r>
                </w:p>
              </w:tc>
            </w:tr>
            <w:tr w:rsidR="009C6940" w:rsidRPr="00EF7969" w14:paraId="0B33073E" w14:textId="77777777" w:rsidTr="009C6940">
              <w:tc>
                <w:tcPr>
                  <w:tcW w:w="6377" w:type="dxa"/>
                  <w:shd w:val="clear" w:color="auto" w:fill="auto"/>
                </w:tcPr>
                <w:p w14:paraId="42121EF8" w14:textId="77777777" w:rsidR="009C6940" w:rsidRPr="00EF7969" w:rsidRDefault="009C6940" w:rsidP="009C6940">
                  <w:pPr>
                    <w:pStyle w:val="TableBodyText"/>
                    <w:jc w:val="left"/>
                  </w:pPr>
                  <w:r w:rsidRPr="00EF7969">
                    <w:t>Name withheld</w:t>
                  </w:r>
                </w:p>
              </w:tc>
              <w:tc>
                <w:tcPr>
                  <w:tcW w:w="2126" w:type="dxa"/>
                  <w:shd w:val="clear" w:color="auto" w:fill="auto"/>
                </w:tcPr>
                <w:p w14:paraId="4C3AEA15" w14:textId="77777777" w:rsidR="009C6940" w:rsidRPr="00EF7969" w:rsidRDefault="009C6940" w:rsidP="009C6940">
                  <w:pPr>
                    <w:pStyle w:val="TableBodyText"/>
                  </w:pPr>
                  <w:r w:rsidRPr="00EF7969">
                    <w:t>58</w:t>
                  </w:r>
                </w:p>
              </w:tc>
            </w:tr>
            <w:tr w:rsidR="009C6940" w:rsidRPr="00EF7969" w14:paraId="3B2E228F" w14:textId="77777777" w:rsidTr="009C6940">
              <w:tc>
                <w:tcPr>
                  <w:tcW w:w="6377" w:type="dxa"/>
                  <w:shd w:val="clear" w:color="auto" w:fill="auto"/>
                </w:tcPr>
                <w:p w14:paraId="3FA9804F" w14:textId="77777777" w:rsidR="009C6940" w:rsidRPr="00EF7969" w:rsidRDefault="009C6940" w:rsidP="009C6940">
                  <w:pPr>
                    <w:pStyle w:val="TableBodyText"/>
                    <w:jc w:val="left"/>
                  </w:pPr>
                  <w:r w:rsidRPr="00EF7969">
                    <w:t>Name withheld</w:t>
                  </w:r>
                </w:p>
              </w:tc>
              <w:tc>
                <w:tcPr>
                  <w:tcW w:w="2126" w:type="dxa"/>
                  <w:shd w:val="clear" w:color="auto" w:fill="auto"/>
                </w:tcPr>
                <w:p w14:paraId="64AC25AC" w14:textId="77777777" w:rsidR="009C6940" w:rsidRPr="00EF7969" w:rsidRDefault="009C6940" w:rsidP="009C6940">
                  <w:pPr>
                    <w:pStyle w:val="TableBodyText"/>
                  </w:pPr>
                  <w:r w:rsidRPr="00EF7969">
                    <w:t>63</w:t>
                  </w:r>
                </w:p>
              </w:tc>
            </w:tr>
            <w:tr w:rsidR="009C6940" w:rsidRPr="00EF7969" w14:paraId="1D9578EF" w14:textId="77777777" w:rsidTr="009C6940">
              <w:tc>
                <w:tcPr>
                  <w:tcW w:w="6377" w:type="dxa"/>
                  <w:shd w:val="clear" w:color="auto" w:fill="auto"/>
                </w:tcPr>
                <w:p w14:paraId="73F09114" w14:textId="77777777" w:rsidR="009C6940" w:rsidRPr="00EF7969" w:rsidRDefault="009C6940" w:rsidP="009C6940">
                  <w:pPr>
                    <w:pStyle w:val="TableBodyText"/>
                    <w:jc w:val="left"/>
                  </w:pPr>
                  <w:r w:rsidRPr="00EF7969">
                    <w:t>Name withheld</w:t>
                  </w:r>
                </w:p>
              </w:tc>
              <w:tc>
                <w:tcPr>
                  <w:tcW w:w="2126" w:type="dxa"/>
                  <w:shd w:val="clear" w:color="auto" w:fill="auto"/>
                </w:tcPr>
                <w:p w14:paraId="6EFA90E4" w14:textId="77777777" w:rsidR="009C6940" w:rsidRPr="00EF7969" w:rsidRDefault="009C6940" w:rsidP="009C6940">
                  <w:pPr>
                    <w:pStyle w:val="TableBodyText"/>
                  </w:pPr>
                  <w:r w:rsidRPr="00EF7969">
                    <w:t>66</w:t>
                  </w:r>
                </w:p>
              </w:tc>
            </w:tr>
            <w:tr w:rsidR="009C6940" w:rsidRPr="00EF7969" w14:paraId="0BBC86F9" w14:textId="77777777" w:rsidTr="009C6940">
              <w:tc>
                <w:tcPr>
                  <w:tcW w:w="6377" w:type="dxa"/>
                  <w:shd w:val="clear" w:color="auto" w:fill="auto"/>
                </w:tcPr>
                <w:p w14:paraId="0A4D3747" w14:textId="77777777" w:rsidR="009C6940" w:rsidRPr="00EF7969" w:rsidRDefault="009C6940" w:rsidP="009C6940">
                  <w:pPr>
                    <w:pStyle w:val="TableBodyText"/>
                    <w:jc w:val="left"/>
                  </w:pPr>
                  <w:r w:rsidRPr="00EF7969">
                    <w:t>Name withheld</w:t>
                  </w:r>
                </w:p>
              </w:tc>
              <w:tc>
                <w:tcPr>
                  <w:tcW w:w="2126" w:type="dxa"/>
                  <w:shd w:val="clear" w:color="auto" w:fill="auto"/>
                </w:tcPr>
                <w:p w14:paraId="4F4E5916" w14:textId="77777777" w:rsidR="009C6940" w:rsidRPr="00EF7969" w:rsidRDefault="009C6940" w:rsidP="009C6940">
                  <w:pPr>
                    <w:pStyle w:val="TableBodyText"/>
                  </w:pPr>
                  <w:r w:rsidRPr="00EF7969">
                    <w:t>67</w:t>
                  </w:r>
                </w:p>
              </w:tc>
            </w:tr>
            <w:tr w:rsidR="009C6940" w:rsidRPr="00EF7969" w14:paraId="20ABCA9C" w14:textId="77777777" w:rsidTr="009C6940">
              <w:tc>
                <w:tcPr>
                  <w:tcW w:w="6377" w:type="dxa"/>
                  <w:shd w:val="clear" w:color="auto" w:fill="auto"/>
                </w:tcPr>
                <w:p w14:paraId="5A92BA19" w14:textId="77777777" w:rsidR="009C6940" w:rsidRPr="00EF7969" w:rsidRDefault="009C6940" w:rsidP="009C6940">
                  <w:pPr>
                    <w:pStyle w:val="TableBodyText"/>
                    <w:jc w:val="left"/>
                  </w:pPr>
                  <w:r w:rsidRPr="00EF7969">
                    <w:t>Name withheld</w:t>
                  </w:r>
                </w:p>
              </w:tc>
              <w:tc>
                <w:tcPr>
                  <w:tcW w:w="2126" w:type="dxa"/>
                  <w:shd w:val="clear" w:color="auto" w:fill="auto"/>
                </w:tcPr>
                <w:p w14:paraId="49FA4166" w14:textId="77777777" w:rsidR="009C6940" w:rsidRPr="00EF7969" w:rsidRDefault="009C6940" w:rsidP="009C6940">
                  <w:pPr>
                    <w:pStyle w:val="TableBodyText"/>
                  </w:pPr>
                  <w:r w:rsidRPr="00EF7969">
                    <w:t>79</w:t>
                  </w:r>
                </w:p>
              </w:tc>
            </w:tr>
            <w:tr w:rsidR="009C6940" w:rsidRPr="00EF7969" w14:paraId="64D2B011" w14:textId="77777777" w:rsidTr="009C6940">
              <w:tc>
                <w:tcPr>
                  <w:tcW w:w="6377" w:type="dxa"/>
                  <w:shd w:val="clear" w:color="auto" w:fill="auto"/>
                </w:tcPr>
                <w:p w14:paraId="7988935E" w14:textId="77777777" w:rsidR="009C6940" w:rsidRPr="00EF7969" w:rsidRDefault="009C6940" w:rsidP="009C6940">
                  <w:pPr>
                    <w:pStyle w:val="TableBodyText"/>
                    <w:jc w:val="left"/>
                  </w:pPr>
                  <w:r w:rsidRPr="00EF7969">
                    <w:t>Name withheld</w:t>
                  </w:r>
                </w:p>
              </w:tc>
              <w:tc>
                <w:tcPr>
                  <w:tcW w:w="2126" w:type="dxa"/>
                  <w:shd w:val="clear" w:color="auto" w:fill="auto"/>
                </w:tcPr>
                <w:p w14:paraId="078A6F0B" w14:textId="77777777" w:rsidR="009C6940" w:rsidRPr="00EF7969" w:rsidRDefault="009C6940" w:rsidP="009C6940">
                  <w:pPr>
                    <w:pStyle w:val="TableBodyText"/>
                  </w:pPr>
                  <w:r w:rsidRPr="00EF7969">
                    <w:t>81</w:t>
                  </w:r>
                </w:p>
              </w:tc>
            </w:tr>
            <w:tr w:rsidR="009C6940" w:rsidRPr="00EF7969" w14:paraId="57132BB3" w14:textId="77777777" w:rsidTr="009C6940">
              <w:tc>
                <w:tcPr>
                  <w:tcW w:w="6377" w:type="dxa"/>
                  <w:shd w:val="clear" w:color="auto" w:fill="auto"/>
                </w:tcPr>
                <w:p w14:paraId="01B9696D" w14:textId="77777777" w:rsidR="009C6940" w:rsidRPr="00EF7969" w:rsidRDefault="009C6940" w:rsidP="009C6940">
                  <w:pPr>
                    <w:pStyle w:val="TableBodyText"/>
                    <w:jc w:val="left"/>
                  </w:pPr>
                  <w:r w:rsidRPr="00EF7969">
                    <w:t>Name withheld</w:t>
                  </w:r>
                </w:p>
              </w:tc>
              <w:tc>
                <w:tcPr>
                  <w:tcW w:w="2126" w:type="dxa"/>
                  <w:shd w:val="clear" w:color="auto" w:fill="auto"/>
                </w:tcPr>
                <w:p w14:paraId="410E27A1" w14:textId="77777777" w:rsidR="009C6940" w:rsidRPr="00EF7969" w:rsidRDefault="009C6940" w:rsidP="009C6940">
                  <w:pPr>
                    <w:pStyle w:val="TableBodyText"/>
                  </w:pPr>
                  <w:r w:rsidRPr="00EF7969">
                    <w:t>98</w:t>
                  </w:r>
                </w:p>
              </w:tc>
            </w:tr>
            <w:tr w:rsidR="009C6940" w:rsidRPr="00EF7969" w14:paraId="09BA33EA" w14:textId="77777777" w:rsidTr="009C6940">
              <w:tc>
                <w:tcPr>
                  <w:tcW w:w="6377" w:type="dxa"/>
                  <w:shd w:val="clear" w:color="auto" w:fill="auto"/>
                </w:tcPr>
                <w:p w14:paraId="15804533" w14:textId="77777777" w:rsidR="009C6940" w:rsidRPr="00EF7969" w:rsidRDefault="009C6940" w:rsidP="009C6940">
                  <w:pPr>
                    <w:pStyle w:val="TableBodyText"/>
                    <w:jc w:val="left"/>
                  </w:pPr>
                  <w:r w:rsidRPr="00EF7969">
                    <w:t>Name withheld</w:t>
                  </w:r>
                </w:p>
              </w:tc>
              <w:tc>
                <w:tcPr>
                  <w:tcW w:w="2126" w:type="dxa"/>
                  <w:shd w:val="clear" w:color="auto" w:fill="auto"/>
                </w:tcPr>
                <w:p w14:paraId="74EB80D4" w14:textId="77777777" w:rsidR="009C6940" w:rsidRPr="00EF7969" w:rsidRDefault="009C6940" w:rsidP="009C6940">
                  <w:pPr>
                    <w:pStyle w:val="TableBodyText"/>
                  </w:pPr>
                  <w:r w:rsidRPr="00EF7969">
                    <w:t>104</w:t>
                  </w:r>
                </w:p>
              </w:tc>
            </w:tr>
            <w:tr w:rsidR="009C6940" w:rsidRPr="00EF7969" w14:paraId="402FF6DB" w14:textId="77777777" w:rsidTr="009C6940">
              <w:tc>
                <w:tcPr>
                  <w:tcW w:w="6377" w:type="dxa"/>
                  <w:shd w:val="clear" w:color="auto" w:fill="auto"/>
                </w:tcPr>
                <w:p w14:paraId="476644E4" w14:textId="77777777" w:rsidR="009C6940" w:rsidRPr="00EF7969" w:rsidRDefault="009C6940" w:rsidP="009C6940">
                  <w:pPr>
                    <w:pStyle w:val="TableBodyText"/>
                    <w:jc w:val="left"/>
                  </w:pPr>
                  <w:r w:rsidRPr="00EF7969">
                    <w:t>Name withheld</w:t>
                  </w:r>
                </w:p>
              </w:tc>
              <w:tc>
                <w:tcPr>
                  <w:tcW w:w="2126" w:type="dxa"/>
                  <w:shd w:val="clear" w:color="auto" w:fill="auto"/>
                </w:tcPr>
                <w:p w14:paraId="396DB11A" w14:textId="77777777" w:rsidR="009C6940" w:rsidRPr="00EF7969" w:rsidRDefault="009C6940" w:rsidP="009C6940">
                  <w:pPr>
                    <w:pStyle w:val="TableBodyText"/>
                  </w:pPr>
                  <w:r w:rsidRPr="00EF7969">
                    <w:t>109</w:t>
                  </w:r>
                </w:p>
              </w:tc>
            </w:tr>
            <w:tr w:rsidR="009C6940" w:rsidRPr="00EF7969" w14:paraId="7D9FE708" w14:textId="77777777" w:rsidTr="009C6940">
              <w:tc>
                <w:tcPr>
                  <w:tcW w:w="6377" w:type="dxa"/>
                  <w:shd w:val="clear" w:color="auto" w:fill="auto"/>
                </w:tcPr>
                <w:p w14:paraId="0B1E032F" w14:textId="77777777" w:rsidR="009C6940" w:rsidRPr="00EF7969" w:rsidRDefault="009C6940" w:rsidP="009C6940">
                  <w:pPr>
                    <w:pStyle w:val="TableBodyText"/>
                    <w:jc w:val="left"/>
                  </w:pPr>
                  <w:r w:rsidRPr="00EF7969">
                    <w:t>Name withheld</w:t>
                  </w:r>
                </w:p>
              </w:tc>
              <w:tc>
                <w:tcPr>
                  <w:tcW w:w="2126" w:type="dxa"/>
                  <w:shd w:val="clear" w:color="auto" w:fill="auto"/>
                </w:tcPr>
                <w:p w14:paraId="196CCA77" w14:textId="77777777" w:rsidR="009C6940" w:rsidRPr="00EF7969" w:rsidRDefault="009C6940" w:rsidP="009C6940">
                  <w:pPr>
                    <w:pStyle w:val="TableBodyText"/>
                  </w:pPr>
                  <w:r w:rsidRPr="00EF7969">
                    <w:t>122</w:t>
                  </w:r>
                </w:p>
              </w:tc>
            </w:tr>
            <w:tr w:rsidR="009C6940" w:rsidRPr="00EF7969" w14:paraId="0740BF26" w14:textId="77777777" w:rsidTr="009C6940">
              <w:tc>
                <w:tcPr>
                  <w:tcW w:w="6377" w:type="dxa"/>
                  <w:shd w:val="clear" w:color="auto" w:fill="auto"/>
                </w:tcPr>
                <w:p w14:paraId="7A6F19C2" w14:textId="77777777" w:rsidR="009C6940" w:rsidRPr="00EF7969" w:rsidRDefault="009C6940" w:rsidP="009C6940">
                  <w:pPr>
                    <w:pStyle w:val="TableBodyText"/>
                    <w:jc w:val="left"/>
                  </w:pPr>
                  <w:r w:rsidRPr="00EF7969">
                    <w:t>Name withheld</w:t>
                  </w:r>
                </w:p>
              </w:tc>
              <w:tc>
                <w:tcPr>
                  <w:tcW w:w="2126" w:type="dxa"/>
                  <w:shd w:val="clear" w:color="auto" w:fill="auto"/>
                </w:tcPr>
                <w:p w14:paraId="133C316C" w14:textId="77777777" w:rsidR="009C6940" w:rsidRPr="00EF7969" w:rsidRDefault="009C6940" w:rsidP="009C6940">
                  <w:pPr>
                    <w:pStyle w:val="TableBodyText"/>
                  </w:pPr>
                  <w:r w:rsidRPr="00EF7969">
                    <w:t>136</w:t>
                  </w:r>
                </w:p>
              </w:tc>
            </w:tr>
            <w:tr w:rsidR="009C6940" w:rsidRPr="00EF7969" w14:paraId="062163EE" w14:textId="77777777" w:rsidTr="009C6940">
              <w:tc>
                <w:tcPr>
                  <w:tcW w:w="6377" w:type="dxa"/>
                  <w:shd w:val="clear" w:color="auto" w:fill="auto"/>
                </w:tcPr>
                <w:p w14:paraId="59F1D026" w14:textId="77777777" w:rsidR="009C6940" w:rsidRPr="00EF7969" w:rsidRDefault="009C6940" w:rsidP="009C6940">
                  <w:pPr>
                    <w:pStyle w:val="TableBodyText"/>
                    <w:jc w:val="left"/>
                  </w:pPr>
                  <w:r w:rsidRPr="00EF7969">
                    <w:t>Name withheld</w:t>
                  </w:r>
                </w:p>
              </w:tc>
              <w:tc>
                <w:tcPr>
                  <w:tcW w:w="2126" w:type="dxa"/>
                  <w:shd w:val="clear" w:color="auto" w:fill="auto"/>
                </w:tcPr>
                <w:p w14:paraId="2CCB1640" w14:textId="77777777" w:rsidR="009C6940" w:rsidRPr="00EF7969" w:rsidRDefault="009C6940" w:rsidP="009C6940">
                  <w:pPr>
                    <w:pStyle w:val="TableBodyText"/>
                  </w:pPr>
                  <w:r w:rsidRPr="00EF7969">
                    <w:t>163</w:t>
                  </w:r>
                </w:p>
              </w:tc>
            </w:tr>
            <w:tr w:rsidR="009C6940" w:rsidRPr="00EF7969" w14:paraId="4C28B0D6" w14:textId="77777777" w:rsidTr="009C6940">
              <w:tc>
                <w:tcPr>
                  <w:tcW w:w="6377" w:type="dxa"/>
                  <w:shd w:val="clear" w:color="auto" w:fill="auto"/>
                </w:tcPr>
                <w:p w14:paraId="4A034A4C" w14:textId="77777777" w:rsidR="009C6940" w:rsidRPr="00EF7969" w:rsidRDefault="009C6940" w:rsidP="009C6940">
                  <w:pPr>
                    <w:pStyle w:val="TableBodyText"/>
                    <w:jc w:val="left"/>
                  </w:pPr>
                  <w:r w:rsidRPr="00EF7969">
                    <w:t>Name withheld</w:t>
                  </w:r>
                </w:p>
              </w:tc>
              <w:tc>
                <w:tcPr>
                  <w:tcW w:w="2126" w:type="dxa"/>
                  <w:shd w:val="clear" w:color="auto" w:fill="auto"/>
                </w:tcPr>
                <w:p w14:paraId="7B461F38" w14:textId="77777777" w:rsidR="009C6940" w:rsidRPr="00EF7969" w:rsidRDefault="009C6940" w:rsidP="009C6940">
                  <w:pPr>
                    <w:pStyle w:val="TableBodyText"/>
                  </w:pPr>
                  <w:r w:rsidRPr="00EF7969">
                    <w:t>180</w:t>
                  </w:r>
                </w:p>
              </w:tc>
            </w:tr>
            <w:tr w:rsidR="009C6940" w:rsidRPr="00EF7969" w14:paraId="457F245E" w14:textId="77777777" w:rsidTr="009C6940">
              <w:tc>
                <w:tcPr>
                  <w:tcW w:w="6377" w:type="dxa"/>
                  <w:shd w:val="clear" w:color="auto" w:fill="auto"/>
                </w:tcPr>
                <w:p w14:paraId="5014E792" w14:textId="77777777" w:rsidR="009C6940" w:rsidRPr="00EF7969" w:rsidRDefault="009C6940" w:rsidP="009C6940">
                  <w:pPr>
                    <w:pStyle w:val="TableBodyText"/>
                    <w:jc w:val="left"/>
                  </w:pPr>
                  <w:r w:rsidRPr="00EF7969">
                    <w:t>Name withheld</w:t>
                  </w:r>
                </w:p>
              </w:tc>
              <w:tc>
                <w:tcPr>
                  <w:tcW w:w="2126" w:type="dxa"/>
                  <w:shd w:val="clear" w:color="auto" w:fill="auto"/>
                </w:tcPr>
                <w:p w14:paraId="4D04A01C" w14:textId="77777777" w:rsidR="009C6940" w:rsidRPr="00EF7969" w:rsidRDefault="009C6940" w:rsidP="009C6940">
                  <w:pPr>
                    <w:pStyle w:val="TableBodyText"/>
                  </w:pPr>
                  <w:r w:rsidRPr="00EF7969">
                    <w:t>207</w:t>
                  </w:r>
                </w:p>
              </w:tc>
            </w:tr>
            <w:tr w:rsidR="009C6940" w:rsidRPr="00EF7969" w14:paraId="261C7AFA" w14:textId="77777777" w:rsidTr="009C6940">
              <w:tc>
                <w:tcPr>
                  <w:tcW w:w="6377" w:type="dxa"/>
                  <w:tcBorders>
                    <w:bottom w:val="single" w:sz="4" w:space="0" w:color="BFBFBF" w:themeColor="background1" w:themeShade="BF"/>
                  </w:tcBorders>
                  <w:shd w:val="clear" w:color="auto" w:fill="auto"/>
                </w:tcPr>
                <w:p w14:paraId="39A30DF4" w14:textId="77777777" w:rsidR="009C6940" w:rsidRPr="00EF7969" w:rsidRDefault="009C6940" w:rsidP="009C6940">
                  <w:pPr>
                    <w:pStyle w:val="TableBodyText"/>
                    <w:jc w:val="left"/>
                  </w:pPr>
                  <w:r w:rsidRPr="00EF7969">
                    <w:t>Name withheld</w:t>
                  </w:r>
                </w:p>
              </w:tc>
              <w:tc>
                <w:tcPr>
                  <w:tcW w:w="2126" w:type="dxa"/>
                  <w:tcBorders>
                    <w:bottom w:val="single" w:sz="4" w:space="0" w:color="BFBFBF" w:themeColor="background1" w:themeShade="BF"/>
                  </w:tcBorders>
                  <w:shd w:val="clear" w:color="auto" w:fill="auto"/>
                </w:tcPr>
                <w:p w14:paraId="3F5B2162" w14:textId="77777777" w:rsidR="009C6940" w:rsidRPr="00EF7969" w:rsidRDefault="009C6940" w:rsidP="009C6940">
                  <w:pPr>
                    <w:pStyle w:val="TableBodyText"/>
                  </w:pPr>
                  <w:r w:rsidRPr="00EF7969">
                    <w:t>285</w:t>
                  </w:r>
                </w:p>
              </w:tc>
            </w:tr>
          </w:tbl>
          <w:p w14:paraId="2DA6A283" w14:textId="77777777" w:rsidR="009C6940" w:rsidRPr="00EF7969" w:rsidRDefault="009C6940" w:rsidP="009C6940">
            <w:pPr>
              <w:pStyle w:val="Box"/>
            </w:pPr>
          </w:p>
        </w:tc>
      </w:tr>
      <w:tr w:rsidR="009C6940" w:rsidRPr="00EF7969" w14:paraId="6034D092" w14:textId="77777777" w:rsidTr="009C6940">
        <w:tc>
          <w:tcPr>
            <w:tcW w:w="8789" w:type="dxa"/>
            <w:tcBorders>
              <w:top w:val="nil"/>
              <w:left w:val="nil"/>
              <w:bottom w:val="nil"/>
              <w:right w:val="nil"/>
            </w:tcBorders>
            <w:shd w:val="clear" w:color="auto" w:fill="auto"/>
          </w:tcPr>
          <w:p w14:paraId="004B34CA" w14:textId="77777777" w:rsidR="009C6940" w:rsidRPr="00EF7969" w:rsidRDefault="009C6940" w:rsidP="009C6940">
            <w:pPr>
              <w:pStyle w:val="Continued"/>
            </w:pPr>
            <w:r w:rsidRPr="00EF7969">
              <w:t>(continued next page)</w:t>
            </w:r>
          </w:p>
        </w:tc>
      </w:tr>
      <w:tr w:rsidR="009C6940" w:rsidRPr="00EF7969" w14:paraId="556C99ED" w14:textId="77777777" w:rsidTr="009C6940">
        <w:tc>
          <w:tcPr>
            <w:tcW w:w="8789" w:type="dxa"/>
            <w:tcBorders>
              <w:top w:val="nil"/>
              <w:left w:val="nil"/>
              <w:bottom w:val="single" w:sz="6" w:space="0" w:color="78A22F"/>
              <w:right w:val="nil"/>
            </w:tcBorders>
            <w:shd w:val="clear" w:color="auto" w:fill="auto"/>
          </w:tcPr>
          <w:p w14:paraId="65324ACD" w14:textId="77777777" w:rsidR="009C6940" w:rsidRPr="00EF7969" w:rsidRDefault="009C6940" w:rsidP="009C6940">
            <w:pPr>
              <w:pStyle w:val="Box"/>
              <w:spacing w:before="0" w:line="120" w:lineRule="exact"/>
            </w:pPr>
          </w:p>
        </w:tc>
      </w:tr>
      <w:tr w:rsidR="009C6940" w:rsidRPr="00EF7969" w14:paraId="0F9E94CD" w14:textId="77777777" w:rsidTr="009C6940">
        <w:tc>
          <w:tcPr>
            <w:tcW w:w="8789" w:type="dxa"/>
            <w:tcBorders>
              <w:top w:val="single" w:sz="6" w:space="0" w:color="78A22F"/>
              <w:left w:val="nil"/>
              <w:bottom w:val="nil"/>
              <w:right w:val="nil"/>
            </w:tcBorders>
          </w:tcPr>
          <w:p w14:paraId="4259F1D0" w14:textId="77777777" w:rsidR="009C6940" w:rsidRPr="00EF7969" w:rsidRDefault="009C6940" w:rsidP="009C6940">
            <w:pPr>
              <w:pStyle w:val="BoxSpaceBelow"/>
            </w:pPr>
          </w:p>
        </w:tc>
      </w:tr>
    </w:tbl>
    <w:p w14:paraId="51BF46F3"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6F159619" w14:textId="77777777" w:rsidTr="009C6940">
        <w:trPr>
          <w:tblHeader/>
        </w:trPr>
        <w:tc>
          <w:tcPr>
            <w:tcW w:w="8789" w:type="dxa"/>
            <w:tcBorders>
              <w:top w:val="single" w:sz="6" w:space="0" w:color="78A22F"/>
              <w:left w:val="nil"/>
              <w:bottom w:val="nil"/>
              <w:right w:val="nil"/>
            </w:tcBorders>
            <w:shd w:val="clear" w:color="auto" w:fill="auto"/>
          </w:tcPr>
          <w:p w14:paraId="3211C73F"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6D5C134D"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0F60E91F"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2A2C3199"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7C777F70" w14:textId="77777777" w:rsidR="009C6940" w:rsidRPr="00EF7969" w:rsidRDefault="009C6940" w:rsidP="009C6940">
                  <w:pPr>
                    <w:pStyle w:val="TableColumnHeading"/>
                    <w:ind w:right="28"/>
                  </w:pPr>
                  <w:r w:rsidRPr="00EF7969">
                    <w:t>Submission no.</w:t>
                  </w:r>
                </w:p>
              </w:tc>
            </w:tr>
            <w:tr w:rsidR="009C6940" w:rsidRPr="00EF7969" w14:paraId="5ACD3355" w14:textId="77777777" w:rsidTr="009C6940">
              <w:tc>
                <w:tcPr>
                  <w:tcW w:w="6377" w:type="dxa"/>
                  <w:shd w:val="clear" w:color="auto" w:fill="auto"/>
                </w:tcPr>
                <w:p w14:paraId="13DC0070" w14:textId="77777777" w:rsidR="009C6940" w:rsidRPr="00EF7969" w:rsidRDefault="009C6940" w:rsidP="009C6940">
                  <w:pPr>
                    <w:pStyle w:val="TableBodyText"/>
                    <w:jc w:val="left"/>
                  </w:pPr>
                  <w:r w:rsidRPr="00EF7969">
                    <w:t>Name withheld</w:t>
                  </w:r>
                </w:p>
              </w:tc>
              <w:tc>
                <w:tcPr>
                  <w:tcW w:w="2126" w:type="dxa"/>
                  <w:shd w:val="clear" w:color="auto" w:fill="auto"/>
                </w:tcPr>
                <w:p w14:paraId="7A0988AC" w14:textId="77777777" w:rsidR="009C6940" w:rsidRPr="00EF7969" w:rsidRDefault="009C6940" w:rsidP="00536C2C">
                  <w:pPr>
                    <w:pStyle w:val="TableBodyText"/>
                    <w:spacing w:before="40"/>
                  </w:pPr>
                  <w:r w:rsidRPr="00EF7969">
                    <w:t>371</w:t>
                  </w:r>
                </w:p>
              </w:tc>
            </w:tr>
            <w:tr w:rsidR="009C6940" w:rsidRPr="00EF7969" w14:paraId="5E7A7B80" w14:textId="77777777" w:rsidTr="009C6940">
              <w:tc>
                <w:tcPr>
                  <w:tcW w:w="6377" w:type="dxa"/>
                  <w:shd w:val="clear" w:color="auto" w:fill="auto"/>
                </w:tcPr>
                <w:p w14:paraId="0D371FAB" w14:textId="77777777" w:rsidR="009C6940" w:rsidRDefault="009C6940" w:rsidP="009C6940">
                  <w:pPr>
                    <w:pStyle w:val="TableBodyText"/>
                    <w:jc w:val="left"/>
                  </w:pPr>
                  <w:r w:rsidRPr="00EF7969">
                    <w:t>Name withheld</w:t>
                  </w:r>
                </w:p>
              </w:tc>
              <w:tc>
                <w:tcPr>
                  <w:tcW w:w="2126" w:type="dxa"/>
                  <w:shd w:val="clear" w:color="auto" w:fill="auto"/>
                </w:tcPr>
                <w:p w14:paraId="16C6AA28" w14:textId="77777777" w:rsidR="009C6940" w:rsidRDefault="009C6940" w:rsidP="009C6940">
                  <w:pPr>
                    <w:pStyle w:val="TableBodyText"/>
                  </w:pPr>
                  <w:r w:rsidRPr="00EF7969">
                    <w:t>355</w:t>
                  </w:r>
                </w:p>
              </w:tc>
            </w:tr>
            <w:tr w:rsidR="009C6940" w:rsidRPr="00EF7969" w14:paraId="58A863EA" w14:textId="77777777" w:rsidTr="009C6940">
              <w:tc>
                <w:tcPr>
                  <w:tcW w:w="6377" w:type="dxa"/>
                  <w:shd w:val="clear" w:color="auto" w:fill="auto"/>
                </w:tcPr>
                <w:p w14:paraId="1BE0B578" w14:textId="77777777" w:rsidR="009C6940" w:rsidRPr="00EF7969" w:rsidRDefault="009C6940" w:rsidP="009C6940">
                  <w:pPr>
                    <w:pStyle w:val="TableBodyText"/>
                    <w:jc w:val="left"/>
                  </w:pPr>
                  <w:r w:rsidRPr="00EF7969">
                    <w:t>Name withheld</w:t>
                  </w:r>
                </w:p>
              </w:tc>
              <w:tc>
                <w:tcPr>
                  <w:tcW w:w="2126" w:type="dxa"/>
                  <w:shd w:val="clear" w:color="auto" w:fill="auto"/>
                </w:tcPr>
                <w:p w14:paraId="169E7983" w14:textId="77777777" w:rsidR="009C6940" w:rsidRPr="00EF7969" w:rsidRDefault="009C6940" w:rsidP="009C6940">
                  <w:pPr>
                    <w:pStyle w:val="TableBodyText"/>
                  </w:pPr>
                  <w:r w:rsidRPr="00EF7969">
                    <w:t>357</w:t>
                  </w:r>
                </w:p>
              </w:tc>
            </w:tr>
            <w:tr w:rsidR="009C6940" w:rsidRPr="00EF7969" w14:paraId="552F0BE3" w14:textId="77777777" w:rsidTr="009C6940">
              <w:tc>
                <w:tcPr>
                  <w:tcW w:w="6377" w:type="dxa"/>
                  <w:shd w:val="clear" w:color="auto" w:fill="auto"/>
                </w:tcPr>
                <w:p w14:paraId="4F0DF33B" w14:textId="77777777" w:rsidR="009C6940" w:rsidRPr="00EF7969" w:rsidRDefault="009C6940" w:rsidP="009C6940">
                  <w:pPr>
                    <w:pStyle w:val="TableBodyText"/>
                    <w:jc w:val="left"/>
                  </w:pPr>
                  <w:r w:rsidRPr="00EF7969">
                    <w:t>Name withheld</w:t>
                  </w:r>
                </w:p>
              </w:tc>
              <w:tc>
                <w:tcPr>
                  <w:tcW w:w="2126" w:type="dxa"/>
                  <w:shd w:val="clear" w:color="auto" w:fill="auto"/>
                </w:tcPr>
                <w:p w14:paraId="6538F580" w14:textId="77777777" w:rsidR="009C6940" w:rsidRPr="00EF7969" w:rsidRDefault="009C6940" w:rsidP="009C6940">
                  <w:pPr>
                    <w:pStyle w:val="TableBodyText"/>
                  </w:pPr>
                  <w:r w:rsidRPr="00EF7969">
                    <w:t>392</w:t>
                  </w:r>
                </w:p>
              </w:tc>
            </w:tr>
            <w:tr w:rsidR="009C6940" w:rsidRPr="00EF7969" w14:paraId="763C0931" w14:textId="77777777" w:rsidTr="009C6940">
              <w:tc>
                <w:tcPr>
                  <w:tcW w:w="6377" w:type="dxa"/>
                  <w:shd w:val="clear" w:color="auto" w:fill="auto"/>
                </w:tcPr>
                <w:p w14:paraId="08E7DBE2" w14:textId="77777777" w:rsidR="009C6940" w:rsidRPr="00EF7969" w:rsidRDefault="009C6940" w:rsidP="009C6940">
                  <w:pPr>
                    <w:pStyle w:val="TableBodyText"/>
                    <w:jc w:val="left"/>
                  </w:pPr>
                  <w:r w:rsidRPr="00EF7969">
                    <w:t>Name withheld</w:t>
                  </w:r>
                </w:p>
              </w:tc>
              <w:tc>
                <w:tcPr>
                  <w:tcW w:w="2126" w:type="dxa"/>
                  <w:shd w:val="clear" w:color="auto" w:fill="auto"/>
                </w:tcPr>
                <w:p w14:paraId="41EB2D77" w14:textId="77777777" w:rsidR="009C6940" w:rsidRPr="00EF7969" w:rsidRDefault="009C6940" w:rsidP="009C6940">
                  <w:pPr>
                    <w:pStyle w:val="TableBodyText"/>
                  </w:pPr>
                  <w:r w:rsidRPr="00EF7969">
                    <w:t>397</w:t>
                  </w:r>
                </w:p>
              </w:tc>
            </w:tr>
            <w:tr w:rsidR="009C6940" w:rsidRPr="00EF7969" w14:paraId="3BF906F0" w14:textId="77777777" w:rsidTr="009C6940">
              <w:tc>
                <w:tcPr>
                  <w:tcW w:w="6377" w:type="dxa"/>
                  <w:shd w:val="clear" w:color="auto" w:fill="auto"/>
                </w:tcPr>
                <w:p w14:paraId="78398A45" w14:textId="77777777" w:rsidR="009C6940" w:rsidRPr="00EF7969" w:rsidRDefault="009C6940" w:rsidP="009C6940">
                  <w:pPr>
                    <w:pStyle w:val="TableBodyText"/>
                    <w:jc w:val="left"/>
                  </w:pPr>
                  <w:r w:rsidRPr="00EF7969">
                    <w:t>Name withheld</w:t>
                  </w:r>
                </w:p>
              </w:tc>
              <w:tc>
                <w:tcPr>
                  <w:tcW w:w="2126" w:type="dxa"/>
                  <w:shd w:val="clear" w:color="auto" w:fill="auto"/>
                </w:tcPr>
                <w:p w14:paraId="527A6171" w14:textId="77777777" w:rsidR="009C6940" w:rsidRPr="00EF7969" w:rsidRDefault="009C6940" w:rsidP="009C6940">
                  <w:pPr>
                    <w:pStyle w:val="TableBodyText"/>
                  </w:pPr>
                  <w:r w:rsidRPr="00EF7969">
                    <w:t>425</w:t>
                  </w:r>
                </w:p>
              </w:tc>
            </w:tr>
            <w:tr w:rsidR="009C6940" w:rsidRPr="00EF7969" w14:paraId="47BCDBE4" w14:textId="77777777" w:rsidTr="009C6940">
              <w:tc>
                <w:tcPr>
                  <w:tcW w:w="6377" w:type="dxa"/>
                  <w:shd w:val="clear" w:color="auto" w:fill="auto"/>
                </w:tcPr>
                <w:p w14:paraId="5B8C0BB0" w14:textId="77777777" w:rsidR="009C6940" w:rsidRPr="00EF7969" w:rsidRDefault="009C6940" w:rsidP="009C6940">
                  <w:pPr>
                    <w:pStyle w:val="TableBodyText"/>
                    <w:jc w:val="left"/>
                  </w:pPr>
                  <w:r w:rsidRPr="00EF7969">
                    <w:t>Name withheld</w:t>
                  </w:r>
                </w:p>
              </w:tc>
              <w:tc>
                <w:tcPr>
                  <w:tcW w:w="2126" w:type="dxa"/>
                  <w:shd w:val="clear" w:color="auto" w:fill="auto"/>
                </w:tcPr>
                <w:p w14:paraId="26A94B5C" w14:textId="77777777" w:rsidR="009C6940" w:rsidRPr="00EF7969" w:rsidRDefault="009C6940" w:rsidP="009C6940">
                  <w:pPr>
                    <w:pStyle w:val="TableBodyText"/>
                  </w:pPr>
                  <w:r w:rsidRPr="00EF7969">
                    <w:t>466</w:t>
                  </w:r>
                </w:p>
              </w:tc>
            </w:tr>
            <w:tr w:rsidR="009C6940" w:rsidRPr="00EF7969" w14:paraId="56845DAC" w14:textId="77777777" w:rsidTr="009C6940">
              <w:tc>
                <w:tcPr>
                  <w:tcW w:w="6377" w:type="dxa"/>
                  <w:shd w:val="clear" w:color="auto" w:fill="auto"/>
                </w:tcPr>
                <w:p w14:paraId="334CA101" w14:textId="77777777" w:rsidR="009C6940" w:rsidRPr="00EF7969" w:rsidRDefault="009C6940" w:rsidP="009C6940">
                  <w:pPr>
                    <w:pStyle w:val="TableBodyText"/>
                    <w:jc w:val="left"/>
                  </w:pPr>
                  <w:r w:rsidRPr="00EF7969">
                    <w:t>Name withheld</w:t>
                  </w:r>
                </w:p>
              </w:tc>
              <w:tc>
                <w:tcPr>
                  <w:tcW w:w="2126" w:type="dxa"/>
                  <w:shd w:val="clear" w:color="auto" w:fill="auto"/>
                </w:tcPr>
                <w:p w14:paraId="1DC981C6" w14:textId="77777777" w:rsidR="009C6940" w:rsidRPr="00EF7969" w:rsidRDefault="009C6940" w:rsidP="009C6940">
                  <w:pPr>
                    <w:pStyle w:val="TableBodyText"/>
                  </w:pPr>
                  <w:r w:rsidRPr="00EF7969">
                    <w:t>482</w:t>
                  </w:r>
                </w:p>
              </w:tc>
            </w:tr>
            <w:tr w:rsidR="009C6940" w:rsidRPr="00EF7969" w14:paraId="3806C3A9" w14:textId="77777777" w:rsidTr="009C6940">
              <w:tc>
                <w:tcPr>
                  <w:tcW w:w="6377" w:type="dxa"/>
                  <w:shd w:val="clear" w:color="auto" w:fill="auto"/>
                </w:tcPr>
                <w:p w14:paraId="2F0A7A09" w14:textId="77777777" w:rsidR="009C6940" w:rsidRPr="00EF7969" w:rsidRDefault="009C6940" w:rsidP="009C6940">
                  <w:pPr>
                    <w:pStyle w:val="TableBodyText"/>
                    <w:jc w:val="left"/>
                  </w:pPr>
                  <w:r w:rsidRPr="00EF7969">
                    <w:t>Name withheld</w:t>
                  </w:r>
                </w:p>
              </w:tc>
              <w:tc>
                <w:tcPr>
                  <w:tcW w:w="2126" w:type="dxa"/>
                  <w:shd w:val="clear" w:color="auto" w:fill="auto"/>
                </w:tcPr>
                <w:p w14:paraId="3FF869FC" w14:textId="77777777" w:rsidR="009C6940" w:rsidRPr="00EF7969" w:rsidRDefault="009C6940" w:rsidP="009C6940">
                  <w:pPr>
                    <w:pStyle w:val="TableBodyText"/>
                  </w:pPr>
                  <w:r w:rsidRPr="00EF7969">
                    <w:t>510</w:t>
                  </w:r>
                </w:p>
              </w:tc>
            </w:tr>
            <w:tr w:rsidR="009C6940" w:rsidRPr="00EF7969" w14:paraId="49D6B321" w14:textId="77777777" w:rsidTr="009C6940">
              <w:tc>
                <w:tcPr>
                  <w:tcW w:w="6377" w:type="dxa"/>
                  <w:shd w:val="clear" w:color="auto" w:fill="auto"/>
                </w:tcPr>
                <w:p w14:paraId="768CFF6F" w14:textId="77777777" w:rsidR="009C6940" w:rsidRPr="00EF7969" w:rsidRDefault="009C6940" w:rsidP="009C6940">
                  <w:pPr>
                    <w:pStyle w:val="TableBodyText"/>
                    <w:jc w:val="left"/>
                  </w:pPr>
                  <w:r w:rsidRPr="00EF7969">
                    <w:t>Name withheld</w:t>
                  </w:r>
                </w:p>
              </w:tc>
              <w:tc>
                <w:tcPr>
                  <w:tcW w:w="2126" w:type="dxa"/>
                  <w:shd w:val="clear" w:color="auto" w:fill="auto"/>
                </w:tcPr>
                <w:p w14:paraId="1A304BC0" w14:textId="77777777" w:rsidR="009C6940" w:rsidRPr="00EF7969" w:rsidRDefault="009C6940" w:rsidP="009C6940">
                  <w:pPr>
                    <w:pStyle w:val="TableBodyText"/>
                  </w:pPr>
                  <w:r w:rsidRPr="00EF7969">
                    <w:t>513</w:t>
                  </w:r>
                </w:p>
              </w:tc>
            </w:tr>
            <w:tr w:rsidR="009C6940" w:rsidRPr="00EF7969" w14:paraId="36D4D6F2" w14:textId="77777777" w:rsidTr="009C6940">
              <w:tc>
                <w:tcPr>
                  <w:tcW w:w="6377" w:type="dxa"/>
                  <w:shd w:val="clear" w:color="auto" w:fill="auto"/>
                </w:tcPr>
                <w:p w14:paraId="4CA2E389" w14:textId="77777777" w:rsidR="009C6940" w:rsidRPr="00EF7969" w:rsidRDefault="009C6940" w:rsidP="009C6940">
                  <w:pPr>
                    <w:pStyle w:val="TableBodyText"/>
                    <w:jc w:val="left"/>
                  </w:pPr>
                  <w:r w:rsidRPr="00EF7969">
                    <w:t xml:space="preserve">Name withheld </w:t>
                  </w:r>
                </w:p>
              </w:tc>
              <w:tc>
                <w:tcPr>
                  <w:tcW w:w="2126" w:type="dxa"/>
                  <w:shd w:val="clear" w:color="auto" w:fill="auto"/>
                </w:tcPr>
                <w:p w14:paraId="1FFFE3DA" w14:textId="77777777" w:rsidR="009C6940" w:rsidRPr="00EF7969" w:rsidRDefault="009C6940" w:rsidP="009C6940">
                  <w:pPr>
                    <w:pStyle w:val="TableBodyText"/>
                  </w:pPr>
                  <w:r w:rsidRPr="00EF7969">
                    <w:t>521</w:t>
                  </w:r>
                </w:p>
              </w:tc>
            </w:tr>
            <w:tr w:rsidR="009C6940" w:rsidRPr="00EF7969" w14:paraId="14191B69" w14:textId="77777777" w:rsidTr="009C6940">
              <w:tc>
                <w:tcPr>
                  <w:tcW w:w="6377" w:type="dxa"/>
                  <w:shd w:val="clear" w:color="auto" w:fill="auto"/>
                </w:tcPr>
                <w:p w14:paraId="1E46D6F6" w14:textId="77777777" w:rsidR="009C6940" w:rsidRPr="00EF7969" w:rsidRDefault="009C6940" w:rsidP="009C6940">
                  <w:pPr>
                    <w:pStyle w:val="TableBodyText"/>
                    <w:jc w:val="left"/>
                  </w:pPr>
                  <w:r w:rsidRPr="00EF7969">
                    <w:t>Name withheld</w:t>
                  </w:r>
                </w:p>
              </w:tc>
              <w:tc>
                <w:tcPr>
                  <w:tcW w:w="2126" w:type="dxa"/>
                  <w:shd w:val="clear" w:color="auto" w:fill="auto"/>
                </w:tcPr>
                <w:p w14:paraId="1EB15510" w14:textId="77777777" w:rsidR="009C6940" w:rsidRPr="00EF7969" w:rsidRDefault="009C6940" w:rsidP="009C6940">
                  <w:pPr>
                    <w:pStyle w:val="TableBodyText"/>
                  </w:pPr>
                  <w:r w:rsidRPr="00EF7969">
                    <w:t>562</w:t>
                  </w:r>
                </w:p>
              </w:tc>
            </w:tr>
            <w:tr w:rsidR="009C6940" w:rsidRPr="00EF7969" w14:paraId="32F468AB" w14:textId="77777777" w:rsidTr="009C6940">
              <w:tc>
                <w:tcPr>
                  <w:tcW w:w="6377" w:type="dxa"/>
                  <w:shd w:val="clear" w:color="auto" w:fill="auto"/>
                </w:tcPr>
                <w:p w14:paraId="223D4165" w14:textId="77777777" w:rsidR="009C6940" w:rsidRPr="00EF7969" w:rsidRDefault="009C6940" w:rsidP="009C6940">
                  <w:pPr>
                    <w:pStyle w:val="TableBodyText"/>
                    <w:jc w:val="left"/>
                  </w:pPr>
                  <w:r w:rsidRPr="00EF7969">
                    <w:t>Name withheld</w:t>
                  </w:r>
                </w:p>
              </w:tc>
              <w:tc>
                <w:tcPr>
                  <w:tcW w:w="2126" w:type="dxa"/>
                  <w:shd w:val="clear" w:color="auto" w:fill="auto"/>
                </w:tcPr>
                <w:p w14:paraId="230286A7" w14:textId="77777777" w:rsidR="009C6940" w:rsidRPr="00EF7969" w:rsidRDefault="009C6940" w:rsidP="009C6940">
                  <w:pPr>
                    <w:pStyle w:val="TableBodyText"/>
                  </w:pPr>
                  <w:r w:rsidRPr="00EF7969">
                    <w:t>563</w:t>
                  </w:r>
                </w:p>
              </w:tc>
            </w:tr>
            <w:tr w:rsidR="009C6940" w:rsidRPr="00EF7969" w14:paraId="6FE55DBD" w14:textId="77777777" w:rsidTr="009C6940">
              <w:tc>
                <w:tcPr>
                  <w:tcW w:w="6377" w:type="dxa"/>
                  <w:shd w:val="clear" w:color="auto" w:fill="auto"/>
                </w:tcPr>
                <w:p w14:paraId="65604435" w14:textId="77777777" w:rsidR="009C6940" w:rsidRPr="00EF7969" w:rsidRDefault="009C6940" w:rsidP="009C6940">
                  <w:pPr>
                    <w:pStyle w:val="TableBodyText"/>
                    <w:jc w:val="left"/>
                  </w:pPr>
                  <w:r w:rsidRPr="00EF7969">
                    <w:t>Name withheld</w:t>
                  </w:r>
                </w:p>
              </w:tc>
              <w:tc>
                <w:tcPr>
                  <w:tcW w:w="2126" w:type="dxa"/>
                  <w:shd w:val="clear" w:color="auto" w:fill="auto"/>
                </w:tcPr>
                <w:p w14:paraId="39258829" w14:textId="77777777" w:rsidR="009C6940" w:rsidRPr="00EF7969" w:rsidRDefault="009C6940" w:rsidP="009C6940">
                  <w:pPr>
                    <w:pStyle w:val="TableBodyText"/>
                  </w:pPr>
                  <w:r w:rsidRPr="00EF7969">
                    <w:t>564</w:t>
                  </w:r>
                </w:p>
              </w:tc>
            </w:tr>
            <w:tr w:rsidR="009C6940" w:rsidRPr="00EF7969" w14:paraId="2F1F44AF" w14:textId="77777777" w:rsidTr="009C6940">
              <w:tc>
                <w:tcPr>
                  <w:tcW w:w="6377" w:type="dxa"/>
                  <w:shd w:val="clear" w:color="auto" w:fill="auto"/>
                </w:tcPr>
                <w:p w14:paraId="4D4A1B7D" w14:textId="77777777" w:rsidR="009C6940" w:rsidRPr="00EF7969" w:rsidRDefault="009C6940" w:rsidP="009C6940">
                  <w:pPr>
                    <w:pStyle w:val="TableBodyText"/>
                    <w:jc w:val="left"/>
                  </w:pPr>
                  <w:r w:rsidRPr="00EF7969">
                    <w:t>Name withheld</w:t>
                  </w:r>
                </w:p>
              </w:tc>
              <w:tc>
                <w:tcPr>
                  <w:tcW w:w="2126" w:type="dxa"/>
                  <w:shd w:val="clear" w:color="auto" w:fill="auto"/>
                </w:tcPr>
                <w:p w14:paraId="2F0D5FC1" w14:textId="77777777" w:rsidR="009C6940" w:rsidRPr="00EF7969" w:rsidRDefault="009C6940" w:rsidP="009C6940">
                  <w:pPr>
                    <w:pStyle w:val="TableBodyText"/>
                  </w:pPr>
                  <w:r w:rsidRPr="00EF7969">
                    <w:t>575</w:t>
                  </w:r>
                </w:p>
              </w:tc>
            </w:tr>
            <w:tr w:rsidR="009C6940" w:rsidRPr="00EF7969" w14:paraId="07E66CD0" w14:textId="77777777" w:rsidTr="009C6940">
              <w:tc>
                <w:tcPr>
                  <w:tcW w:w="6377" w:type="dxa"/>
                  <w:shd w:val="clear" w:color="auto" w:fill="auto"/>
                </w:tcPr>
                <w:p w14:paraId="5D9AB1AF" w14:textId="77777777" w:rsidR="009C6940" w:rsidRPr="00EF7969" w:rsidRDefault="009C6940" w:rsidP="009C6940">
                  <w:pPr>
                    <w:pStyle w:val="TableBodyText"/>
                    <w:jc w:val="left"/>
                  </w:pPr>
                  <w:r w:rsidRPr="00EF7969">
                    <w:t>Name withheld</w:t>
                  </w:r>
                </w:p>
              </w:tc>
              <w:tc>
                <w:tcPr>
                  <w:tcW w:w="2126" w:type="dxa"/>
                  <w:shd w:val="clear" w:color="auto" w:fill="auto"/>
                </w:tcPr>
                <w:p w14:paraId="129F64B0" w14:textId="77777777" w:rsidR="009C6940" w:rsidRPr="00EF7969" w:rsidRDefault="009C6940" w:rsidP="009C6940">
                  <w:pPr>
                    <w:pStyle w:val="TableBodyText"/>
                  </w:pPr>
                  <w:r w:rsidRPr="00EF7969">
                    <w:t>581</w:t>
                  </w:r>
                </w:p>
              </w:tc>
            </w:tr>
            <w:tr w:rsidR="009C6940" w:rsidRPr="00EF7969" w14:paraId="204C9F46" w14:textId="77777777" w:rsidTr="009C6940">
              <w:tc>
                <w:tcPr>
                  <w:tcW w:w="6377" w:type="dxa"/>
                  <w:shd w:val="clear" w:color="auto" w:fill="auto"/>
                </w:tcPr>
                <w:p w14:paraId="2DE915DF" w14:textId="77777777" w:rsidR="009C6940" w:rsidRPr="00EF7969" w:rsidRDefault="009C6940" w:rsidP="009C6940">
                  <w:pPr>
                    <w:pStyle w:val="TableBodyText"/>
                    <w:jc w:val="left"/>
                  </w:pPr>
                  <w:r w:rsidRPr="00EF7969">
                    <w:t>Name withheld</w:t>
                  </w:r>
                </w:p>
              </w:tc>
              <w:tc>
                <w:tcPr>
                  <w:tcW w:w="2126" w:type="dxa"/>
                  <w:shd w:val="clear" w:color="auto" w:fill="auto"/>
                </w:tcPr>
                <w:p w14:paraId="61F8C93A" w14:textId="77777777" w:rsidR="009C6940" w:rsidRPr="00EF7969" w:rsidRDefault="009C6940" w:rsidP="009C6940">
                  <w:pPr>
                    <w:pStyle w:val="TableBodyText"/>
                  </w:pPr>
                  <w:r w:rsidRPr="00EF7969">
                    <w:t>587</w:t>
                  </w:r>
                </w:p>
              </w:tc>
            </w:tr>
            <w:tr w:rsidR="009C6940" w:rsidRPr="00EF7969" w14:paraId="75414CB7" w14:textId="77777777" w:rsidTr="009C6940">
              <w:tc>
                <w:tcPr>
                  <w:tcW w:w="6377" w:type="dxa"/>
                  <w:shd w:val="clear" w:color="auto" w:fill="auto"/>
                </w:tcPr>
                <w:p w14:paraId="3686F4CE" w14:textId="77777777" w:rsidR="009C6940" w:rsidRPr="00EF7969" w:rsidRDefault="009C6940" w:rsidP="009C6940">
                  <w:pPr>
                    <w:pStyle w:val="TableBodyText"/>
                    <w:jc w:val="left"/>
                  </w:pPr>
                  <w:r w:rsidRPr="00EF7969">
                    <w:t>Name withheld</w:t>
                  </w:r>
                </w:p>
              </w:tc>
              <w:tc>
                <w:tcPr>
                  <w:tcW w:w="2126" w:type="dxa"/>
                  <w:shd w:val="clear" w:color="auto" w:fill="auto"/>
                </w:tcPr>
                <w:p w14:paraId="726A5B66" w14:textId="77777777" w:rsidR="009C6940" w:rsidRPr="00EF7969" w:rsidRDefault="009C6940" w:rsidP="009C6940">
                  <w:pPr>
                    <w:pStyle w:val="TableBodyText"/>
                  </w:pPr>
                  <w:r w:rsidRPr="00EF7969">
                    <w:t>592</w:t>
                  </w:r>
                </w:p>
              </w:tc>
            </w:tr>
            <w:tr w:rsidR="009C6940" w:rsidRPr="00EF7969" w14:paraId="762E8F6C" w14:textId="77777777" w:rsidTr="009C6940">
              <w:tc>
                <w:tcPr>
                  <w:tcW w:w="6377" w:type="dxa"/>
                  <w:shd w:val="clear" w:color="auto" w:fill="auto"/>
                </w:tcPr>
                <w:p w14:paraId="652901A3" w14:textId="77777777" w:rsidR="009C6940" w:rsidRPr="00EF7969" w:rsidRDefault="009C6940" w:rsidP="009C6940">
                  <w:pPr>
                    <w:pStyle w:val="TableBodyText"/>
                    <w:jc w:val="left"/>
                  </w:pPr>
                  <w:r w:rsidRPr="00EF7969">
                    <w:t>Name withheld</w:t>
                  </w:r>
                </w:p>
              </w:tc>
              <w:tc>
                <w:tcPr>
                  <w:tcW w:w="2126" w:type="dxa"/>
                  <w:shd w:val="clear" w:color="auto" w:fill="auto"/>
                </w:tcPr>
                <w:p w14:paraId="7130BF7A" w14:textId="77777777" w:rsidR="009C6940" w:rsidRPr="00EF7969" w:rsidRDefault="009C6940" w:rsidP="009C6940">
                  <w:pPr>
                    <w:pStyle w:val="TableBodyText"/>
                  </w:pPr>
                  <w:r w:rsidRPr="00EF7969">
                    <w:t>600</w:t>
                  </w:r>
                </w:p>
              </w:tc>
            </w:tr>
            <w:tr w:rsidR="009C6940" w:rsidRPr="00EF7969" w14:paraId="6DC2A920" w14:textId="77777777" w:rsidTr="009C6940">
              <w:tc>
                <w:tcPr>
                  <w:tcW w:w="6377" w:type="dxa"/>
                  <w:shd w:val="clear" w:color="auto" w:fill="auto"/>
                </w:tcPr>
                <w:p w14:paraId="734115D9" w14:textId="77777777" w:rsidR="009C6940" w:rsidRPr="00EF7969" w:rsidRDefault="009C6940" w:rsidP="009C6940">
                  <w:pPr>
                    <w:pStyle w:val="TableBodyText"/>
                    <w:jc w:val="left"/>
                  </w:pPr>
                  <w:r w:rsidRPr="00EF7969">
                    <w:t>Name withheld</w:t>
                  </w:r>
                </w:p>
              </w:tc>
              <w:tc>
                <w:tcPr>
                  <w:tcW w:w="2126" w:type="dxa"/>
                  <w:shd w:val="clear" w:color="auto" w:fill="auto"/>
                </w:tcPr>
                <w:p w14:paraId="22F00A2A" w14:textId="77777777" w:rsidR="009C6940" w:rsidRPr="00EF7969" w:rsidRDefault="009C6940" w:rsidP="009C6940">
                  <w:pPr>
                    <w:pStyle w:val="TableBodyText"/>
                  </w:pPr>
                  <w:r w:rsidRPr="00EF7969">
                    <w:t>627</w:t>
                  </w:r>
                </w:p>
              </w:tc>
            </w:tr>
            <w:tr w:rsidR="009C6940" w:rsidRPr="00EF7969" w14:paraId="44EA15B9" w14:textId="77777777" w:rsidTr="009C6940">
              <w:tc>
                <w:tcPr>
                  <w:tcW w:w="6377" w:type="dxa"/>
                  <w:shd w:val="clear" w:color="auto" w:fill="auto"/>
                </w:tcPr>
                <w:p w14:paraId="5FDF0F7C" w14:textId="77777777" w:rsidR="009C6940" w:rsidRPr="00EF7969" w:rsidRDefault="009C6940" w:rsidP="009C6940">
                  <w:pPr>
                    <w:pStyle w:val="TableBodyText"/>
                    <w:jc w:val="left"/>
                  </w:pPr>
                  <w:r w:rsidRPr="00EF7969">
                    <w:t>Name withheld</w:t>
                  </w:r>
                </w:p>
              </w:tc>
              <w:tc>
                <w:tcPr>
                  <w:tcW w:w="2126" w:type="dxa"/>
                  <w:shd w:val="clear" w:color="auto" w:fill="auto"/>
                </w:tcPr>
                <w:p w14:paraId="0B61E064" w14:textId="77777777" w:rsidR="009C6940" w:rsidRPr="00EF7969" w:rsidRDefault="009C6940" w:rsidP="009C6940">
                  <w:pPr>
                    <w:pStyle w:val="TableBodyText"/>
                  </w:pPr>
                  <w:r w:rsidRPr="00EF7969">
                    <w:t>630</w:t>
                  </w:r>
                </w:p>
              </w:tc>
            </w:tr>
            <w:tr w:rsidR="009C6940" w:rsidRPr="00EF7969" w14:paraId="3E6F3AA4" w14:textId="77777777" w:rsidTr="009C6940">
              <w:tc>
                <w:tcPr>
                  <w:tcW w:w="6377" w:type="dxa"/>
                  <w:shd w:val="clear" w:color="auto" w:fill="auto"/>
                </w:tcPr>
                <w:p w14:paraId="6350394A" w14:textId="77777777" w:rsidR="009C6940" w:rsidRPr="00EF7969" w:rsidRDefault="009C6940" w:rsidP="009C6940">
                  <w:pPr>
                    <w:pStyle w:val="TableBodyText"/>
                    <w:jc w:val="left"/>
                  </w:pPr>
                  <w:r w:rsidRPr="00EF7969">
                    <w:t>Name withheld</w:t>
                  </w:r>
                </w:p>
              </w:tc>
              <w:tc>
                <w:tcPr>
                  <w:tcW w:w="2126" w:type="dxa"/>
                  <w:shd w:val="clear" w:color="auto" w:fill="auto"/>
                </w:tcPr>
                <w:p w14:paraId="17B2B8FB" w14:textId="77777777" w:rsidR="009C6940" w:rsidRPr="00EF7969" w:rsidRDefault="009C6940" w:rsidP="009C6940">
                  <w:pPr>
                    <w:pStyle w:val="TableBodyText"/>
                  </w:pPr>
                  <w:r w:rsidRPr="00EF7969">
                    <w:t>802</w:t>
                  </w:r>
                </w:p>
              </w:tc>
            </w:tr>
            <w:tr w:rsidR="009C6940" w:rsidRPr="00EF7969" w14:paraId="6CF33F90" w14:textId="77777777" w:rsidTr="009C6940">
              <w:tc>
                <w:tcPr>
                  <w:tcW w:w="6377" w:type="dxa"/>
                  <w:shd w:val="clear" w:color="auto" w:fill="auto"/>
                </w:tcPr>
                <w:p w14:paraId="4C298E07" w14:textId="77777777" w:rsidR="009C6940" w:rsidRPr="00EF7969" w:rsidRDefault="009C6940" w:rsidP="009C6940">
                  <w:pPr>
                    <w:pStyle w:val="TableBodyText"/>
                    <w:jc w:val="left"/>
                  </w:pPr>
                  <w:r w:rsidRPr="00EF7969">
                    <w:t>Name withheld</w:t>
                  </w:r>
                </w:p>
              </w:tc>
              <w:tc>
                <w:tcPr>
                  <w:tcW w:w="2126" w:type="dxa"/>
                  <w:shd w:val="clear" w:color="auto" w:fill="auto"/>
                </w:tcPr>
                <w:p w14:paraId="713A8452" w14:textId="77777777" w:rsidR="009C6940" w:rsidRPr="00EF7969" w:rsidRDefault="009C6940" w:rsidP="009C6940">
                  <w:pPr>
                    <w:pStyle w:val="TableBodyText"/>
                  </w:pPr>
                  <w:r w:rsidRPr="00EF7969">
                    <w:t>908</w:t>
                  </w:r>
                </w:p>
              </w:tc>
            </w:tr>
            <w:tr w:rsidR="009C6940" w:rsidRPr="00EF7969" w14:paraId="44FB55B1" w14:textId="77777777" w:rsidTr="009C6940">
              <w:tc>
                <w:tcPr>
                  <w:tcW w:w="6377" w:type="dxa"/>
                  <w:shd w:val="clear" w:color="auto" w:fill="auto"/>
                </w:tcPr>
                <w:p w14:paraId="4ADA683B" w14:textId="77777777" w:rsidR="009C6940" w:rsidRPr="00EF7969" w:rsidRDefault="009C6940" w:rsidP="009C6940">
                  <w:pPr>
                    <w:pStyle w:val="TableBodyText"/>
                    <w:jc w:val="left"/>
                  </w:pPr>
                  <w:r w:rsidRPr="00EF7969">
                    <w:t>Name withheld</w:t>
                  </w:r>
                </w:p>
              </w:tc>
              <w:tc>
                <w:tcPr>
                  <w:tcW w:w="2126" w:type="dxa"/>
                  <w:shd w:val="clear" w:color="auto" w:fill="auto"/>
                </w:tcPr>
                <w:p w14:paraId="37DD6F15" w14:textId="77777777" w:rsidR="009C6940" w:rsidRPr="00EF7969" w:rsidRDefault="009C6940" w:rsidP="009C6940">
                  <w:pPr>
                    <w:pStyle w:val="TableBodyText"/>
                  </w:pPr>
                  <w:r w:rsidRPr="00EF7969">
                    <w:t>1012</w:t>
                  </w:r>
                </w:p>
              </w:tc>
            </w:tr>
            <w:tr w:rsidR="009C6940" w:rsidRPr="00EF7969" w14:paraId="2E3D10AA" w14:textId="77777777" w:rsidTr="009C6940">
              <w:tc>
                <w:tcPr>
                  <w:tcW w:w="6377" w:type="dxa"/>
                  <w:shd w:val="clear" w:color="auto" w:fill="auto"/>
                </w:tcPr>
                <w:p w14:paraId="791331B4" w14:textId="77777777" w:rsidR="009C6940" w:rsidRPr="00EF7969" w:rsidRDefault="009C6940" w:rsidP="009C6940">
                  <w:pPr>
                    <w:pStyle w:val="TableBodyText"/>
                    <w:jc w:val="left"/>
                  </w:pPr>
                  <w:r w:rsidRPr="00EF7969">
                    <w:t>Name withheld</w:t>
                  </w:r>
                </w:p>
              </w:tc>
              <w:tc>
                <w:tcPr>
                  <w:tcW w:w="2126" w:type="dxa"/>
                  <w:shd w:val="clear" w:color="auto" w:fill="auto"/>
                </w:tcPr>
                <w:p w14:paraId="7066AE63" w14:textId="77777777" w:rsidR="009C6940" w:rsidRPr="00EF7969" w:rsidRDefault="009C6940" w:rsidP="009C6940">
                  <w:pPr>
                    <w:pStyle w:val="TableBodyText"/>
                  </w:pPr>
                  <w:r w:rsidRPr="00EF7969">
                    <w:t>1107</w:t>
                  </w:r>
                </w:p>
              </w:tc>
            </w:tr>
            <w:tr w:rsidR="009C6940" w:rsidRPr="00EF7969" w14:paraId="2E7A46A6" w14:textId="77777777" w:rsidTr="009C6940">
              <w:tc>
                <w:tcPr>
                  <w:tcW w:w="6377" w:type="dxa"/>
                  <w:shd w:val="clear" w:color="auto" w:fill="auto"/>
                </w:tcPr>
                <w:p w14:paraId="77B5179B" w14:textId="77777777" w:rsidR="009C6940" w:rsidRPr="00EF7969" w:rsidRDefault="009C6940" w:rsidP="009C6940">
                  <w:pPr>
                    <w:pStyle w:val="TableBodyText"/>
                    <w:jc w:val="left"/>
                  </w:pPr>
                  <w:r w:rsidRPr="00EF7969">
                    <w:t>Name withheld</w:t>
                  </w:r>
                </w:p>
              </w:tc>
              <w:tc>
                <w:tcPr>
                  <w:tcW w:w="2126" w:type="dxa"/>
                  <w:shd w:val="clear" w:color="auto" w:fill="auto"/>
                </w:tcPr>
                <w:p w14:paraId="79578AF1" w14:textId="77777777" w:rsidR="009C6940" w:rsidRPr="00EF7969" w:rsidRDefault="009C6940" w:rsidP="009C6940">
                  <w:pPr>
                    <w:pStyle w:val="TableBodyText"/>
                  </w:pPr>
                  <w:r w:rsidRPr="00EF7969">
                    <w:t>1109</w:t>
                  </w:r>
                </w:p>
              </w:tc>
            </w:tr>
            <w:tr w:rsidR="009C6940" w:rsidRPr="00EF7969" w14:paraId="76257EE9" w14:textId="77777777" w:rsidTr="009C6940">
              <w:tc>
                <w:tcPr>
                  <w:tcW w:w="6377" w:type="dxa"/>
                  <w:shd w:val="clear" w:color="auto" w:fill="auto"/>
                </w:tcPr>
                <w:p w14:paraId="23F514F7" w14:textId="77777777" w:rsidR="009C6940" w:rsidRPr="00EF7969" w:rsidRDefault="009C6940" w:rsidP="009C6940">
                  <w:pPr>
                    <w:pStyle w:val="TableBodyText"/>
                    <w:jc w:val="left"/>
                  </w:pPr>
                  <w:r w:rsidRPr="00EF7969">
                    <w:t>Name withheld</w:t>
                  </w:r>
                </w:p>
              </w:tc>
              <w:tc>
                <w:tcPr>
                  <w:tcW w:w="2126" w:type="dxa"/>
                  <w:shd w:val="clear" w:color="auto" w:fill="auto"/>
                </w:tcPr>
                <w:p w14:paraId="0C320639" w14:textId="77777777" w:rsidR="009C6940" w:rsidRPr="00EF7969" w:rsidRDefault="009C6940" w:rsidP="009C6940">
                  <w:pPr>
                    <w:pStyle w:val="TableBodyText"/>
                  </w:pPr>
                  <w:r w:rsidRPr="00EF7969">
                    <w:t>1180</w:t>
                  </w:r>
                </w:p>
              </w:tc>
            </w:tr>
            <w:tr w:rsidR="009C6940" w:rsidRPr="00EF7969" w14:paraId="78B06335" w14:textId="77777777" w:rsidTr="009C6940">
              <w:tc>
                <w:tcPr>
                  <w:tcW w:w="6377" w:type="dxa"/>
                  <w:shd w:val="clear" w:color="auto" w:fill="auto"/>
                </w:tcPr>
                <w:p w14:paraId="1782B86B" w14:textId="77777777" w:rsidR="009C6940" w:rsidRPr="00EF7969" w:rsidRDefault="009C6940" w:rsidP="009C6940">
                  <w:pPr>
                    <w:pStyle w:val="TableBodyText"/>
                    <w:jc w:val="left"/>
                  </w:pPr>
                  <w:r w:rsidRPr="00EF7969">
                    <w:t>Name withheld</w:t>
                  </w:r>
                </w:p>
              </w:tc>
              <w:tc>
                <w:tcPr>
                  <w:tcW w:w="2126" w:type="dxa"/>
                  <w:shd w:val="clear" w:color="auto" w:fill="auto"/>
                </w:tcPr>
                <w:p w14:paraId="0CE99972" w14:textId="77777777" w:rsidR="009C6940" w:rsidRPr="00EF7969" w:rsidRDefault="009C6940" w:rsidP="009C6940">
                  <w:pPr>
                    <w:pStyle w:val="TableBodyText"/>
                  </w:pPr>
                  <w:r w:rsidRPr="00EF7969">
                    <w:t>1181</w:t>
                  </w:r>
                </w:p>
              </w:tc>
            </w:tr>
            <w:tr w:rsidR="009C6940" w:rsidRPr="00EF7969" w14:paraId="78124F51" w14:textId="77777777" w:rsidTr="009C6940">
              <w:tc>
                <w:tcPr>
                  <w:tcW w:w="6377" w:type="dxa"/>
                  <w:shd w:val="clear" w:color="auto" w:fill="auto"/>
                </w:tcPr>
                <w:p w14:paraId="21DADC52" w14:textId="77777777" w:rsidR="009C6940" w:rsidRPr="00EF7969" w:rsidRDefault="009C6940" w:rsidP="009C6940">
                  <w:pPr>
                    <w:pStyle w:val="TableBodyText"/>
                    <w:jc w:val="left"/>
                  </w:pPr>
                  <w:r w:rsidRPr="00EF7969">
                    <w:t>Name withheld</w:t>
                  </w:r>
                </w:p>
              </w:tc>
              <w:tc>
                <w:tcPr>
                  <w:tcW w:w="2126" w:type="dxa"/>
                  <w:shd w:val="clear" w:color="auto" w:fill="auto"/>
                </w:tcPr>
                <w:p w14:paraId="6442F733" w14:textId="77777777" w:rsidR="009C6940" w:rsidRPr="00EF7969" w:rsidRDefault="009C6940" w:rsidP="009C6940">
                  <w:pPr>
                    <w:pStyle w:val="TableBodyText"/>
                  </w:pPr>
                  <w:r w:rsidRPr="00EF7969">
                    <w:t>1182</w:t>
                  </w:r>
                </w:p>
              </w:tc>
            </w:tr>
            <w:tr w:rsidR="009C6940" w:rsidRPr="00EF7969" w14:paraId="622E75CA" w14:textId="77777777" w:rsidTr="009C6940">
              <w:tc>
                <w:tcPr>
                  <w:tcW w:w="6377" w:type="dxa"/>
                  <w:shd w:val="clear" w:color="auto" w:fill="auto"/>
                </w:tcPr>
                <w:p w14:paraId="7179D6ED" w14:textId="77777777" w:rsidR="009C6940" w:rsidRPr="00EF7969" w:rsidRDefault="009C6940" w:rsidP="009C6940">
                  <w:pPr>
                    <w:pStyle w:val="TableBodyText"/>
                    <w:jc w:val="left"/>
                  </w:pPr>
                  <w:r>
                    <w:t>Name withheld</w:t>
                  </w:r>
                </w:p>
              </w:tc>
              <w:tc>
                <w:tcPr>
                  <w:tcW w:w="2126" w:type="dxa"/>
                  <w:shd w:val="clear" w:color="auto" w:fill="auto"/>
                </w:tcPr>
                <w:p w14:paraId="6A372FB7" w14:textId="77777777" w:rsidR="009C6940" w:rsidRPr="00EF7969" w:rsidRDefault="009C6940" w:rsidP="009C6940">
                  <w:pPr>
                    <w:pStyle w:val="TableBodyText"/>
                  </w:pPr>
                  <w:r w:rsidRPr="00EF7969">
                    <w:t>1224</w:t>
                  </w:r>
                </w:p>
              </w:tc>
            </w:tr>
            <w:tr w:rsidR="009C6940" w:rsidRPr="00EF7969" w14:paraId="52BA1741" w14:textId="77777777" w:rsidTr="009C6940">
              <w:tc>
                <w:tcPr>
                  <w:tcW w:w="6377" w:type="dxa"/>
                  <w:shd w:val="clear" w:color="auto" w:fill="auto"/>
                </w:tcPr>
                <w:p w14:paraId="2B69BF52" w14:textId="77777777" w:rsidR="009C6940" w:rsidRPr="00EF7969" w:rsidRDefault="009C6940" w:rsidP="009C6940">
                  <w:pPr>
                    <w:pStyle w:val="TableBodyText"/>
                    <w:jc w:val="left"/>
                  </w:pPr>
                  <w:r w:rsidRPr="00EF7969">
                    <w:t>Name withheld</w:t>
                  </w:r>
                </w:p>
              </w:tc>
              <w:tc>
                <w:tcPr>
                  <w:tcW w:w="2126" w:type="dxa"/>
                  <w:shd w:val="clear" w:color="auto" w:fill="auto"/>
                </w:tcPr>
                <w:p w14:paraId="12DD66B6" w14:textId="77777777" w:rsidR="009C6940" w:rsidRPr="00EF7969" w:rsidRDefault="009C6940" w:rsidP="009C6940">
                  <w:pPr>
                    <w:pStyle w:val="TableBodyText"/>
                  </w:pPr>
                  <w:r w:rsidRPr="00EF7969">
                    <w:t>1239</w:t>
                  </w:r>
                </w:p>
              </w:tc>
            </w:tr>
            <w:tr w:rsidR="009C6940" w:rsidRPr="00EF7969" w14:paraId="5D539BF2" w14:textId="77777777" w:rsidTr="009C6940">
              <w:tc>
                <w:tcPr>
                  <w:tcW w:w="6377" w:type="dxa"/>
                  <w:shd w:val="clear" w:color="auto" w:fill="auto"/>
                </w:tcPr>
                <w:p w14:paraId="481AE8DC" w14:textId="77777777" w:rsidR="009C6940" w:rsidRPr="00EF7969" w:rsidRDefault="009C6940" w:rsidP="009C6940">
                  <w:pPr>
                    <w:pStyle w:val="TableBodyText"/>
                    <w:jc w:val="left"/>
                  </w:pPr>
                  <w:r w:rsidRPr="00EF7969">
                    <w:t>National Aboriginal and Torres Strait Islander Leadership in Mental Health (NATSILMH), Indigenous Allied Health Australia (IAHA) and Australian Indigenous Psychologists Association (AIPA)</w:t>
                  </w:r>
                </w:p>
              </w:tc>
              <w:tc>
                <w:tcPr>
                  <w:tcW w:w="2126" w:type="dxa"/>
                  <w:shd w:val="clear" w:color="auto" w:fill="auto"/>
                </w:tcPr>
                <w:p w14:paraId="4B642E5E" w14:textId="77777777" w:rsidR="009C6940" w:rsidRPr="00EF7969" w:rsidRDefault="009C6940" w:rsidP="009C6940">
                  <w:pPr>
                    <w:pStyle w:val="TableBodyText"/>
                  </w:pPr>
                  <w:r w:rsidRPr="00EF7969">
                    <w:t>418</w:t>
                  </w:r>
                </w:p>
              </w:tc>
            </w:tr>
            <w:tr w:rsidR="009C6940" w:rsidRPr="00EF7969" w14:paraId="74122671" w14:textId="77777777" w:rsidTr="009C6940">
              <w:tc>
                <w:tcPr>
                  <w:tcW w:w="6377" w:type="dxa"/>
                  <w:shd w:val="clear" w:color="auto" w:fill="auto"/>
                </w:tcPr>
                <w:p w14:paraId="6B927DE9" w14:textId="77777777" w:rsidR="009C6940" w:rsidRPr="00EF7969" w:rsidRDefault="009C6940" w:rsidP="009C6940">
                  <w:pPr>
                    <w:pStyle w:val="TableBodyText"/>
                    <w:jc w:val="left"/>
                  </w:pPr>
                  <w:r w:rsidRPr="00EF7969">
                    <w:t>National Aboriginal Community Controlled Health Organisation (NACCHO)</w:t>
                  </w:r>
                </w:p>
              </w:tc>
              <w:tc>
                <w:tcPr>
                  <w:tcW w:w="2126" w:type="dxa"/>
                  <w:shd w:val="clear" w:color="auto" w:fill="auto"/>
                </w:tcPr>
                <w:p w14:paraId="6DF53C2B" w14:textId="77777777" w:rsidR="009C6940" w:rsidRPr="00EF7969" w:rsidRDefault="009C6940" w:rsidP="009C6940">
                  <w:pPr>
                    <w:pStyle w:val="TableBodyText"/>
                  </w:pPr>
                  <w:r w:rsidRPr="00EF7969">
                    <w:t>507, 1226</w:t>
                  </w:r>
                </w:p>
              </w:tc>
            </w:tr>
            <w:tr w:rsidR="009C6940" w:rsidRPr="00EF7969" w14:paraId="1D05D34C" w14:textId="77777777" w:rsidTr="009C6940">
              <w:tc>
                <w:tcPr>
                  <w:tcW w:w="6377" w:type="dxa"/>
                  <w:shd w:val="clear" w:color="auto" w:fill="auto"/>
                </w:tcPr>
                <w:p w14:paraId="7759C1BF" w14:textId="77777777" w:rsidR="009C6940" w:rsidRPr="00EF7969" w:rsidRDefault="009C6940" w:rsidP="009C6940">
                  <w:pPr>
                    <w:pStyle w:val="TableBodyText"/>
                    <w:jc w:val="left"/>
                  </w:pPr>
                  <w:r w:rsidRPr="00EF7969">
                    <w:t>National Association of Practising Psychiatrists (NAPP)</w:t>
                  </w:r>
                </w:p>
              </w:tc>
              <w:tc>
                <w:tcPr>
                  <w:tcW w:w="2126" w:type="dxa"/>
                  <w:shd w:val="clear" w:color="auto" w:fill="auto"/>
                </w:tcPr>
                <w:p w14:paraId="496AB09A" w14:textId="77777777" w:rsidR="009C6940" w:rsidRPr="00EF7969" w:rsidRDefault="009C6940" w:rsidP="009C6940">
                  <w:pPr>
                    <w:pStyle w:val="TableBodyText"/>
                  </w:pPr>
                  <w:r w:rsidRPr="00EF7969">
                    <w:t>495</w:t>
                  </w:r>
                </w:p>
              </w:tc>
            </w:tr>
            <w:tr w:rsidR="009C6940" w:rsidRPr="00EF7969" w14:paraId="677EBC23" w14:textId="77777777" w:rsidTr="009C6940">
              <w:tc>
                <w:tcPr>
                  <w:tcW w:w="6377" w:type="dxa"/>
                  <w:shd w:val="clear" w:color="auto" w:fill="auto"/>
                </w:tcPr>
                <w:p w14:paraId="0387CBCD" w14:textId="77777777" w:rsidR="009C6940" w:rsidRPr="00EF7969" w:rsidRDefault="009C6940" w:rsidP="009C6940">
                  <w:pPr>
                    <w:pStyle w:val="TableBodyText"/>
                    <w:jc w:val="left"/>
                  </w:pPr>
                  <w:r w:rsidRPr="00EF7969">
                    <w:t>National Centre for Epidemiology and Population Health (NCEPH)</w:t>
                  </w:r>
                </w:p>
              </w:tc>
              <w:tc>
                <w:tcPr>
                  <w:tcW w:w="2126" w:type="dxa"/>
                  <w:shd w:val="clear" w:color="auto" w:fill="auto"/>
                </w:tcPr>
                <w:p w14:paraId="0BA22C00" w14:textId="77777777" w:rsidR="009C6940" w:rsidRPr="00EF7969" w:rsidRDefault="009C6940" w:rsidP="009C6940">
                  <w:pPr>
                    <w:pStyle w:val="TableBodyText"/>
                  </w:pPr>
                  <w:r w:rsidRPr="00EF7969">
                    <w:t>157</w:t>
                  </w:r>
                </w:p>
              </w:tc>
            </w:tr>
            <w:tr w:rsidR="009C6940" w:rsidRPr="00EF7969" w14:paraId="5BACEB40" w14:textId="77777777" w:rsidTr="009C6940">
              <w:tc>
                <w:tcPr>
                  <w:tcW w:w="6377" w:type="dxa"/>
                  <w:shd w:val="clear" w:color="auto" w:fill="auto"/>
                </w:tcPr>
                <w:p w14:paraId="04047724" w14:textId="77777777" w:rsidR="009C6940" w:rsidRPr="00EF7969" w:rsidRDefault="009C6940" w:rsidP="009C6940">
                  <w:pPr>
                    <w:pStyle w:val="TableBodyText"/>
                    <w:jc w:val="left"/>
                  </w:pPr>
                  <w:r w:rsidRPr="00EF7969">
                    <w:t>National Disability Services (NDS)</w:t>
                  </w:r>
                </w:p>
              </w:tc>
              <w:tc>
                <w:tcPr>
                  <w:tcW w:w="2126" w:type="dxa"/>
                  <w:shd w:val="clear" w:color="auto" w:fill="auto"/>
                </w:tcPr>
                <w:p w14:paraId="3A5B4D30" w14:textId="77777777" w:rsidR="009C6940" w:rsidRPr="00EF7969" w:rsidRDefault="009C6940" w:rsidP="009C6940">
                  <w:pPr>
                    <w:pStyle w:val="TableBodyText"/>
                  </w:pPr>
                  <w:r w:rsidRPr="00EF7969">
                    <w:t>252, 777</w:t>
                  </w:r>
                </w:p>
              </w:tc>
            </w:tr>
            <w:tr w:rsidR="009C6940" w:rsidRPr="00EF7969" w14:paraId="58DA2543" w14:textId="77777777" w:rsidTr="009C6940">
              <w:tc>
                <w:tcPr>
                  <w:tcW w:w="6377" w:type="dxa"/>
                  <w:shd w:val="clear" w:color="auto" w:fill="auto"/>
                </w:tcPr>
                <w:p w14:paraId="13C9D4AA" w14:textId="77777777" w:rsidR="009C6940" w:rsidRPr="00EF7969" w:rsidRDefault="009C6940" w:rsidP="009C6940">
                  <w:pPr>
                    <w:pStyle w:val="TableBodyText"/>
                    <w:jc w:val="left"/>
                  </w:pPr>
                  <w:r w:rsidRPr="00EF7969">
                    <w:t>National LGBTI Health Alliance</w:t>
                  </w:r>
                </w:p>
              </w:tc>
              <w:tc>
                <w:tcPr>
                  <w:tcW w:w="2126" w:type="dxa"/>
                  <w:shd w:val="clear" w:color="auto" w:fill="auto"/>
                </w:tcPr>
                <w:p w14:paraId="40F02C24" w14:textId="77777777" w:rsidR="009C6940" w:rsidRPr="00EF7969" w:rsidRDefault="009C6940" w:rsidP="009C6940">
                  <w:pPr>
                    <w:pStyle w:val="TableBodyText"/>
                  </w:pPr>
                  <w:r w:rsidRPr="00EF7969">
                    <w:t>494, 888</w:t>
                  </w:r>
                </w:p>
              </w:tc>
            </w:tr>
            <w:tr w:rsidR="009C6940" w:rsidRPr="00EF7969" w14:paraId="6B026F97" w14:textId="77777777" w:rsidTr="009C6940">
              <w:tc>
                <w:tcPr>
                  <w:tcW w:w="6377" w:type="dxa"/>
                  <w:shd w:val="clear" w:color="auto" w:fill="auto"/>
                </w:tcPr>
                <w:p w14:paraId="43D4606B" w14:textId="77777777" w:rsidR="009C6940" w:rsidRPr="00EF7969" w:rsidRDefault="009C6940" w:rsidP="009C6940">
                  <w:pPr>
                    <w:pStyle w:val="TableBodyText"/>
                    <w:jc w:val="left"/>
                  </w:pPr>
                  <w:r w:rsidRPr="00EF7969">
                    <w:t>National Mental Health Commission (NMHC)</w:t>
                  </w:r>
                </w:p>
              </w:tc>
              <w:tc>
                <w:tcPr>
                  <w:tcW w:w="2126" w:type="dxa"/>
                  <w:shd w:val="clear" w:color="auto" w:fill="auto"/>
                </w:tcPr>
                <w:p w14:paraId="4583C3FC" w14:textId="77777777" w:rsidR="009C6940" w:rsidRPr="00EF7969" w:rsidRDefault="009C6940" w:rsidP="009C6940">
                  <w:pPr>
                    <w:pStyle w:val="TableBodyText"/>
                  </w:pPr>
                  <w:r w:rsidRPr="00EF7969">
                    <w:t>118, 949</w:t>
                  </w:r>
                </w:p>
              </w:tc>
            </w:tr>
            <w:tr w:rsidR="009C6940" w:rsidRPr="00EF7969" w14:paraId="16B18C4D" w14:textId="77777777" w:rsidTr="009C6940">
              <w:tc>
                <w:tcPr>
                  <w:tcW w:w="6377" w:type="dxa"/>
                  <w:shd w:val="clear" w:color="auto" w:fill="auto"/>
                </w:tcPr>
                <w:p w14:paraId="577FD3EA" w14:textId="77777777" w:rsidR="009C6940" w:rsidRPr="00EF7969" w:rsidRDefault="009C6940" w:rsidP="009C6940">
                  <w:pPr>
                    <w:pStyle w:val="TableBodyText"/>
                    <w:jc w:val="left"/>
                  </w:pPr>
                  <w:r w:rsidRPr="00EF7969">
                    <w:t>National Mental Health Consumer and Carer Forum (NMHCCF)</w:t>
                  </w:r>
                </w:p>
              </w:tc>
              <w:tc>
                <w:tcPr>
                  <w:tcW w:w="2126" w:type="dxa"/>
                  <w:shd w:val="clear" w:color="auto" w:fill="auto"/>
                </w:tcPr>
                <w:p w14:paraId="5DF18CC0" w14:textId="77777777" w:rsidR="009C6940" w:rsidRPr="00EF7969" w:rsidRDefault="009C6940" w:rsidP="009C6940">
                  <w:pPr>
                    <w:pStyle w:val="TableBodyText"/>
                  </w:pPr>
                  <w:r w:rsidRPr="00EF7969">
                    <w:t>476, 708</w:t>
                  </w:r>
                </w:p>
              </w:tc>
            </w:tr>
            <w:tr w:rsidR="009C6940" w:rsidRPr="00EF7969" w14:paraId="41217AC4" w14:textId="77777777" w:rsidTr="009C6940">
              <w:tc>
                <w:tcPr>
                  <w:tcW w:w="6377" w:type="dxa"/>
                  <w:shd w:val="clear" w:color="auto" w:fill="auto"/>
                </w:tcPr>
                <w:p w14:paraId="346024B0" w14:textId="77777777" w:rsidR="009C6940" w:rsidRPr="00EF7969" w:rsidRDefault="009C6940" w:rsidP="009C6940">
                  <w:pPr>
                    <w:pStyle w:val="TableBodyText"/>
                    <w:jc w:val="left"/>
                  </w:pPr>
                  <w:r w:rsidRPr="00EF7969">
                    <w:t>National Rural Health Alliance</w:t>
                  </w:r>
                </w:p>
              </w:tc>
              <w:tc>
                <w:tcPr>
                  <w:tcW w:w="2126" w:type="dxa"/>
                  <w:shd w:val="clear" w:color="auto" w:fill="auto"/>
                </w:tcPr>
                <w:p w14:paraId="676C4F0C" w14:textId="77777777" w:rsidR="009C6940" w:rsidRPr="00EF7969" w:rsidRDefault="009C6940" w:rsidP="009C6940">
                  <w:pPr>
                    <w:pStyle w:val="TableBodyText"/>
                  </w:pPr>
                  <w:r w:rsidRPr="00EF7969">
                    <w:t>353, 1192</w:t>
                  </w:r>
                </w:p>
              </w:tc>
            </w:tr>
            <w:tr w:rsidR="009C6940" w:rsidRPr="00EF7969" w14:paraId="58192C6F" w14:textId="77777777" w:rsidTr="009C6940">
              <w:tc>
                <w:tcPr>
                  <w:tcW w:w="6377" w:type="dxa"/>
                  <w:tcBorders>
                    <w:bottom w:val="single" w:sz="4" w:space="0" w:color="BFBFBF" w:themeColor="background1" w:themeShade="BF"/>
                  </w:tcBorders>
                  <w:shd w:val="clear" w:color="auto" w:fill="auto"/>
                </w:tcPr>
                <w:p w14:paraId="3C6F9143" w14:textId="77777777" w:rsidR="009C6940" w:rsidRPr="00EF7969" w:rsidRDefault="009C6940" w:rsidP="009C6940">
                  <w:pPr>
                    <w:pStyle w:val="TableBodyText"/>
                    <w:jc w:val="left"/>
                  </w:pPr>
                  <w:r w:rsidRPr="00EF7969">
                    <w:t>National Rural Health Commissioner</w:t>
                  </w:r>
                </w:p>
              </w:tc>
              <w:tc>
                <w:tcPr>
                  <w:tcW w:w="2126" w:type="dxa"/>
                  <w:tcBorders>
                    <w:bottom w:val="single" w:sz="4" w:space="0" w:color="BFBFBF" w:themeColor="background1" w:themeShade="BF"/>
                  </w:tcBorders>
                  <w:shd w:val="clear" w:color="auto" w:fill="auto"/>
                </w:tcPr>
                <w:p w14:paraId="1F248BF0" w14:textId="77777777" w:rsidR="009C6940" w:rsidRPr="00EF7969" w:rsidRDefault="009C6940" w:rsidP="009C6940">
                  <w:pPr>
                    <w:pStyle w:val="TableBodyText"/>
                  </w:pPr>
                  <w:r w:rsidRPr="00EF7969">
                    <w:t>1185</w:t>
                  </w:r>
                </w:p>
              </w:tc>
            </w:tr>
          </w:tbl>
          <w:p w14:paraId="58CA8BA5" w14:textId="77777777" w:rsidR="009C6940" w:rsidRPr="00EF7969" w:rsidRDefault="009C6940" w:rsidP="009C6940">
            <w:pPr>
              <w:pStyle w:val="Box"/>
            </w:pPr>
          </w:p>
        </w:tc>
      </w:tr>
      <w:tr w:rsidR="009C6940" w:rsidRPr="00EF7969" w14:paraId="1C21D938" w14:textId="77777777" w:rsidTr="009C6940">
        <w:tc>
          <w:tcPr>
            <w:tcW w:w="8789" w:type="dxa"/>
            <w:tcBorders>
              <w:top w:val="nil"/>
              <w:left w:val="nil"/>
              <w:bottom w:val="nil"/>
              <w:right w:val="nil"/>
            </w:tcBorders>
            <w:shd w:val="clear" w:color="auto" w:fill="auto"/>
          </w:tcPr>
          <w:p w14:paraId="005D736D" w14:textId="77777777" w:rsidR="009C6940" w:rsidRPr="00EF7969" w:rsidRDefault="009C6940" w:rsidP="009C6940">
            <w:pPr>
              <w:pStyle w:val="Continued"/>
            </w:pPr>
            <w:r w:rsidRPr="00EF7969">
              <w:t>(continued next page)</w:t>
            </w:r>
          </w:p>
        </w:tc>
      </w:tr>
      <w:tr w:rsidR="009C6940" w:rsidRPr="00EF7969" w14:paraId="0DBA77D8" w14:textId="77777777" w:rsidTr="009C6940">
        <w:tc>
          <w:tcPr>
            <w:tcW w:w="8789" w:type="dxa"/>
            <w:tcBorders>
              <w:top w:val="nil"/>
              <w:left w:val="nil"/>
              <w:bottom w:val="single" w:sz="6" w:space="0" w:color="78A22F"/>
              <w:right w:val="nil"/>
            </w:tcBorders>
            <w:shd w:val="clear" w:color="auto" w:fill="auto"/>
          </w:tcPr>
          <w:p w14:paraId="5996EACC" w14:textId="77777777" w:rsidR="009C6940" w:rsidRPr="00EF7969" w:rsidRDefault="009C6940" w:rsidP="009C6940">
            <w:pPr>
              <w:pStyle w:val="Box"/>
              <w:spacing w:before="0" w:line="120" w:lineRule="exact"/>
            </w:pPr>
          </w:p>
        </w:tc>
      </w:tr>
      <w:tr w:rsidR="009C6940" w:rsidRPr="00EF7969" w14:paraId="63FCE13C" w14:textId="77777777" w:rsidTr="009C6940">
        <w:tc>
          <w:tcPr>
            <w:tcW w:w="8789" w:type="dxa"/>
            <w:tcBorders>
              <w:top w:val="single" w:sz="6" w:space="0" w:color="78A22F"/>
              <w:left w:val="nil"/>
              <w:bottom w:val="nil"/>
              <w:right w:val="nil"/>
            </w:tcBorders>
          </w:tcPr>
          <w:p w14:paraId="459443E1" w14:textId="77777777" w:rsidR="009C6940" w:rsidRPr="00EF7969" w:rsidRDefault="009C6940" w:rsidP="009C6940">
            <w:pPr>
              <w:pStyle w:val="BoxSpaceBelow"/>
            </w:pPr>
          </w:p>
        </w:tc>
      </w:tr>
    </w:tbl>
    <w:p w14:paraId="7759941C"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3E96B2B2" w14:textId="77777777" w:rsidTr="009C6940">
        <w:trPr>
          <w:tblHeader/>
        </w:trPr>
        <w:tc>
          <w:tcPr>
            <w:tcW w:w="8789" w:type="dxa"/>
            <w:tcBorders>
              <w:top w:val="single" w:sz="6" w:space="0" w:color="78A22F"/>
              <w:left w:val="nil"/>
              <w:bottom w:val="nil"/>
              <w:right w:val="nil"/>
            </w:tcBorders>
            <w:shd w:val="clear" w:color="auto" w:fill="auto"/>
          </w:tcPr>
          <w:p w14:paraId="4293E3CB"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570F05F5"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16BCBFC4"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3652293C" w14:textId="77777777" w:rsidR="009C6940" w:rsidRPr="00EF7969" w:rsidRDefault="009C6940" w:rsidP="009C6940">
                  <w:pPr>
                    <w:pStyle w:val="TableColumnHeading"/>
                    <w:spacing w:before="60" w:after="60"/>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0904C315" w14:textId="77777777" w:rsidR="009C6940" w:rsidRPr="00EF7969" w:rsidRDefault="009C6940" w:rsidP="009C6940">
                  <w:pPr>
                    <w:pStyle w:val="TableColumnHeading"/>
                    <w:spacing w:before="60" w:after="60"/>
                    <w:ind w:right="28"/>
                  </w:pPr>
                  <w:r w:rsidRPr="00EF7969">
                    <w:t>Submission no.</w:t>
                  </w:r>
                </w:p>
              </w:tc>
            </w:tr>
            <w:tr w:rsidR="009C6940" w:rsidRPr="00EF7969" w14:paraId="4D003E81" w14:textId="77777777" w:rsidTr="009C6940">
              <w:trPr>
                <w:tblHeader/>
              </w:trPr>
              <w:tc>
                <w:tcPr>
                  <w:tcW w:w="6377" w:type="dxa"/>
                  <w:tcBorders>
                    <w:top w:val="single" w:sz="6" w:space="0" w:color="BFBFBF"/>
                  </w:tcBorders>
                  <w:shd w:val="clear" w:color="auto" w:fill="auto"/>
                  <w:tcMar>
                    <w:top w:w="28" w:type="dxa"/>
                  </w:tcMar>
                </w:tcPr>
                <w:p w14:paraId="62159273" w14:textId="77777777" w:rsidR="009C6940" w:rsidRPr="00EF7969" w:rsidRDefault="009C6940" w:rsidP="009C6940">
                  <w:pPr>
                    <w:pStyle w:val="TableBodyText"/>
                    <w:spacing w:before="40"/>
                    <w:jc w:val="left"/>
                  </w:pPr>
                  <w:r w:rsidRPr="00EF7969">
                    <w:t>National Social Security Rights Network (NSSRN)</w:t>
                  </w:r>
                </w:p>
              </w:tc>
              <w:tc>
                <w:tcPr>
                  <w:tcW w:w="2126" w:type="dxa"/>
                  <w:tcBorders>
                    <w:top w:val="single" w:sz="6" w:space="0" w:color="BFBFBF"/>
                  </w:tcBorders>
                  <w:shd w:val="clear" w:color="auto" w:fill="auto"/>
                  <w:tcMar>
                    <w:top w:w="28" w:type="dxa"/>
                  </w:tcMar>
                </w:tcPr>
                <w:p w14:paraId="70A03438" w14:textId="77777777" w:rsidR="009C6940" w:rsidRPr="00EF7969" w:rsidRDefault="009C6940" w:rsidP="009C6940">
                  <w:pPr>
                    <w:pStyle w:val="TableBodyText"/>
                    <w:spacing w:before="40"/>
                  </w:pPr>
                  <w:r w:rsidRPr="00EF7969">
                    <w:t>283</w:t>
                  </w:r>
                </w:p>
              </w:tc>
            </w:tr>
            <w:tr w:rsidR="009C6940" w:rsidRPr="00EF7969" w14:paraId="1F94750F" w14:textId="77777777" w:rsidTr="009C6940">
              <w:trPr>
                <w:tblHeader/>
              </w:trPr>
              <w:tc>
                <w:tcPr>
                  <w:tcW w:w="6377" w:type="dxa"/>
                  <w:shd w:val="clear" w:color="auto" w:fill="auto"/>
                  <w:tcMar>
                    <w:top w:w="28" w:type="dxa"/>
                  </w:tcMar>
                </w:tcPr>
                <w:p w14:paraId="1D6AC5F0" w14:textId="77777777" w:rsidR="009C6940" w:rsidRPr="00EF7969" w:rsidRDefault="009C6940" w:rsidP="009C6940">
                  <w:pPr>
                    <w:pStyle w:val="TableBodyText"/>
                    <w:jc w:val="left"/>
                  </w:pPr>
                  <w:r w:rsidRPr="00EF7969">
                    <w:t>National, State and Territory Mental Health Commissions</w:t>
                  </w:r>
                </w:p>
              </w:tc>
              <w:tc>
                <w:tcPr>
                  <w:tcW w:w="2126" w:type="dxa"/>
                  <w:shd w:val="clear" w:color="auto" w:fill="auto"/>
                  <w:tcMar>
                    <w:top w:w="28" w:type="dxa"/>
                  </w:tcMar>
                </w:tcPr>
                <w:p w14:paraId="24385152" w14:textId="77777777" w:rsidR="009C6940" w:rsidRPr="00EF7969" w:rsidRDefault="009C6940" w:rsidP="009C6940">
                  <w:pPr>
                    <w:pStyle w:val="TableBodyText"/>
                  </w:pPr>
                  <w:r w:rsidRPr="00EF7969">
                    <w:t>731</w:t>
                  </w:r>
                </w:p>
              </w:tc>
            </w:tr>
            <w:tr w:rsidR="009C6940" w:rsidRPr="00EF7969" w14:paraId="08118C21" w14:textId="77777777" w:rsidTr="009C6940">
              <w:trPr>
                <w:tblHeader/>
              </w:trPr>
              <w:tc>
                <w:tcPr>
                  <w:tcW w:w="6377" w:type="dxa"/>
                  <w:shd w:val="clear" w:color="auto" w:fill="auto"/>
                  <w:tcMar>
                    <w:top w:w="28" w:type="dxa"/>
                  </w:tcMar>
                </w:tcPr>
                <w:p w14:paraId="1D5B71C1" w14:textId="77777777" w:rsidR="009C6940" w:rsidRDefault="009C6940" w:rsidP="009C6940">
                  <w:pPr>
                    <w:pStyle w:val="TableBodyText"/>
                    <w:jc w:val="left"/>
                  </w:pPr>
                  <w:r w:rsidRPr="00EF7969">
                    <w:t>Navitas</w:t>
                  </w:r>
                </w:p>
              </w:tc>
              <w:tc>
                <w:tcPr>
                  <w:tcW w:w="2126" w:type="dxa"/>
                  <w:shd w:val="clear" w:color="auto" w:fill="auto"/>
                  <w:tcMar>
                    <w:top w:w="28" w:type="dxa"/>
                  </w:tcMar>
                </w:tcPr>
                <w:p w14:paraId="5827C085" w14:textId="77777777" w:rsidR="009C6940" w:rsidRDefault="009C6940" w:rsidP="009C6940">
                  <w:pPr>
                    <w:pStyle w:val="TableBodyText"/>
                  </w:pPr>
                  <w:r w:rsidRPr="00EF7969">
                    <w:t>212</w:t>
                  </w:r>
                </w:p>
              </w:tc>
            </w:tr>
            <w:tr w:rsidR="009C6940" w:rsidRPr="00EF7969" w14:paraId="78A8BF20" w14:textId="77777777" w:rsidTr="009C6940">
              <w:tc>
                <w:tcPr>
                  <w:tcW w:w="6377" w:type="dxa"/>
                  <w:shd w:val="clear" w:color="auto" w:fill="auto"/>
                </w:tcPr>
                <w:p w14:paraId="2439915A" w14:textId="77777777" w:rsidR="009C6940" w:rsidRPr="00EF7969" w:rsidRDefault="009C6940" w:rsidP="009C6940">
                  <w:pPr>
                    <w:pStyle w:val="TableBodyText"/>
                    <w:jc w:val="left"/>
                  </w:pPr>
                  <w:r w:rsidRPr="00EF7969">
                    <w:t>Neami National</w:t>
                  </w:r>
                </w:p>
              </w:tc>
              <w:tc>
                <w:tcPr>
                  <w:tcW w:w="2126" w:type="dxa"/>
                  <w:shd w:val="clear" w:color="auto" w:fill="auto"/>
                </w:tcPr>
                <w:p w14:paraId="4F89E87C" w14:textId="77777777" w:rsidR="009C6940" w:rsidRPr="00EF7969" w:rsidRDefault="009C6940" w:rsidP="009C6940">
                  <w:pPr>
                    <w:pStyle w:val="TableBodyText"/>
                  </w:pPr>
                  <w:r w:rsidRPr="00EF7969">
                    <w:t>254</w:t>
                  </w:r>
                </w:p>
              </w:tc>
            </w:tr>
            <w:tr w:rsidR="009C6940" w:rsidRPr="00EF7969" w14:paraId="4C3D9C6A" w14:textId="77777777" w:rsidTr="009C6940">
              <w:tc>
                <w:tcPr>
                  <w:tcW w:w="6377" w:type="dxa"/>
                  <w:shd w:val="clear" w:color="auto" w:fill="auto"/>
                </w:tcPr>
                <w:p w14:paraId="7CB925E8" w14:textId="77777777" w:rsidR="009C6940" w:rsidRPr="00EF7969" w:rsidRDefault="009C6940" w:rsidP="009C6940">
                  <w:pPr>
                    <w:pStyle w:val="TableBodyText"/>
                    <w:jc w:val="left"/>
                  </w:pPr>
                  <w:r w:rsidRPr="00EF7969">
                    <w:t>Neighbourhood Houses Victoria</w:t>
                  </w:r>
                </w:p>
              </w:tc>
              <w:tc>
                <w:tcPr>
                  <w:tcW w:w="2126" w:type="dxa"/>
                  <w:shd w:val="clear" w:color="auto" w:fill="auto"/>
                </w:tcPr>
                <w:p w14:paraId="65F03C13" w14:textId="77777777" w:rsidR="009C6940" w:rsidRPr="00EF7969" w:rsidRDefault="009C6940" w:rsidP="009C6940">
                  <w:pPr>
                    <w:pStyle w:val="TableBodyText"/>
                  </w:pPr>
                  <w:r w:rsidRPr="00EF7969">
                    <w:t>203</w:t>
                  </w:r>
                </w:p>
              </w:tc>
            </w:tr>
            <w:tr w:rsidR="009C6940" w:rsidRPr="00EF7969" w14:paraId="570B35AE" w14:textId="77777777" w:rsidTr="009C6940">
              <w:tc>
                <w:tcPr>
                  <w:tcW w:w="6377" w:type="dxa"/>
                  <w:shd w:val="clear" w:color="auto" w:fill="auto"/>
                </w:tcPr>
                <w:p w14:paraId="72A65D7B" w14:textId="77777777" w:rsidR="009C6940" w:rsidRPr="00EF7969" w:rsidRDefault="009C6940" w:rsidP="009C6940">
                  <w:pPr>
                    <w:pStyle w:val="TableBodyText"/>
                    <w:jc w:val="left"/>
                  </w:pPr>
                  <w:r w:rsidRPr="00EF7969">
                    <w:t xml:space="preserve">NeuralDx Ltd </w:t>
                  </w:r>
                </w:p>
              </w:tc>
              <w:tc>
                <w:tcPr>
                  <w:tcW w:w="2126" w:type="dxa"/>
                  <w:shd w:val="clear" w:color="auto" w:fill="auto"/>
                </w:tcPr>
                <w:p w14:paraId="735D22C1" w14:textId="77777777" w:rsidR="009C6940" w:rsidRPr="00EF7969" w:rsidRDefault="009C6940" w:rsidP="009C6940">
                  <w:pPr>
                    <w:pStyle w:val="TableBodyText"/>
                  </w:pPr>
                  <w:r w:rsidRPr="00EF7969">
                    <w:t>536, 546</w:t>
                  </w:r>
                </w:p>
              </w:tc>
            </w:tr>
            <w:tr w:rsidR="009C6940" w:rsidRPr="00EF7969" w14:paraId="2B30C00F" w14:textId="77777777" w:rsidTr="009C6940">
              <w:tc>
                <w:tcPr>
                  <w:tcW w:w="6377" w:type="dxa"/>
                  <w:shd w:val="clear" w:color="auto" w:fill="auto"/>
                </w:tcPr>
                <w:p w14:paraId="64173FE2" w14:textId="77777777" w:rsidR="009C6940" w:rsidRPr="00EF7969" w:rsidRDefault="009C6940" w:rsidP="009C6940">
                  <w:pPr>
                    <w:pStyle w:val="TableBodyText"/>
                    <w:jc w:val="left"/>
                  </w:pPr>
                  <w:r w:rsidRPr="00EF7969">
                    <w:t>Neville Hills</w:t>
                  </w:r>
                </w:p>
              </w:tc>
              <w:tc>
                <w:tcPr>
                  <w:tcW w:w="2126" w:type="dxa"/>
                  <w:shd w:val="clear" w:color="auto" w:fill="auto"/>
                </w:tcPr>
                <w:p w14:paraId="6AFA9B9D" w14:textId="77777777" w:rsidR="009C6940" w:rsidRPr="00EF7969" w:rsidRDefault="009C6940" w:rsidP="009C6940">
                  <w:pPr>
                    <w:pStyle w:val="TableBodyText"/>
                  </w:pPr>
                  <w:r w:rsidRPr="00EF7969">
                    <w:t>886</w:t>
                  </w:r>
                </w:p>
              </w:tc>
            </w:tr>
            <w:tr w:rsidR="009C6940" w:rsidRPr="00EF7969" w14:paraId="63D1C0A9" w14:textId="77777777" w:rsidTr="009C6940">
              <w:tc>
                <w:tcPr>
                  <w:tcW w:w="6377" w:type="dxa"/>
                  <w:shd w:val="clear" w:color="auto" w:fill="auto"/>
                </w:tcPr>
                <w:p w14:paraId="0844DA31" w14:textId="77777777" w:rsidR="009C6940" w:rsidRPr="00EF7969" w:rsidRDefault="009C6940" w:rsidP="009C6940">
                  <w:pPr>
                    <w:pStyle w:val="TableBodyText"/>
                    <w:jc w:val="left"/>
                  </w:pPr>
                  <w:r w:rsidRPr="00EF7969">
                    <w:t>Newman Harris</w:t>
                  </w:r>
                </w:p>
              </w:tc>
              <w:tc>
                <w:tcPr>
                  <w:tcW w:w="2126" w:type="dxa"/>
                  <w:shd w:val="clear" w:color="auto" w:fill="auto"/>
                </w:tcPr>
                <w:p w14:paraId="54733C00" w14:textId="77777777" w:rsidR="009C6940" w:rsidRPr="00EF7969" w:rsidRDefault="009C6940" w:rsidP="009C6940">
                  <w:pPr>
                    <w:pStyle w:val="TableBodyText"/>
                  </w:pPr>
                  <w:r w:rsidRPr="00EF7969">
                    <w:t>638</w:t>
                  </w:r>
                </w:p>
              </w:tc>
            </w:tr>
            <w:tr w:rsidR="009C6940" w:rsidRPr="00EF7969" w14:paraId="73C29963" w14:textId="77777777" w:rsidTr="009C6940">
              <w:tc>
                <w:tcPr>
                  <w:tcW w:w="6377" w:type="dxa"/>
                  <w:shd w:val="clear" w:color="auto" w:fill="auto"/>
                </w:tcPr>
                <w:p w14:paraId="00D90C7C" w14:textId="77777777" w:rsidR="009C6940" w:rsidRPr="00EF7969" w:rsidRDefault="009C6940" w:rsidP="009C6940">
                  <w:pPr>
                    <w:pStyle w:val="TableBodyText"/>
                    <w:jc w:val="left"/>
                  </w:pPr>
                  <w:r w:rsidRPr="00EF7969">
                    <w:t>Niall McLaren</w:t>
                  </w:r>
                </w:p>
              </w:tc>
              <w:tc>
                <w:tcPr>
                  <w:tcW w:w="2126" w:type="dxa"/>
                  <w:shd w:val="clear" w:color="auto" w:fill="auto"/>
                </w:tcPr>
                <w:p w14:paraId="21C0928B" w14:textId="77777777" w:rsidR="009C6940" w:rsidRPr="00EF7969" w:rsidRDefault="009C6940" w:rsidP="009C6940">
                  <w:pPr>
                    <w:pStyle w:val="TableBodyText"/>
                  </w:pPr>
                  <w:r w:rsidRPr="00EF7969">
                    <w:t>44</w:t>
                  </w:r>
                </w:p>
              </w:tc>
            </w:tr>
            <w:tr w:rsidR="009C6940" w:rsidRPr="00EF7969" w14:paraId="7CFF6F8F" w14:textId="77777777" w:rsidTr="009C6940">
              <w:tc>
                <w:tcPr>
                  <w:tcW w:w="6377" w:type="dxa"/>
                  <w:shd w:val="clear" w:color="auto" w:fill="auto"/>
                </w:tcPr>
                <w:p w14:paraId="0B836DD5" w14:textId="77777777" w:rsidR="009C6940" w:rsidRPr="00EF7969" w:rsidRDefault="009C6940" w:rsidP="009C6940">
                  <w:pPr>
                    <w:pStyle w:val="TableBodyText"/>
                    <w:jc w:val="left"/>
                  </w:pPr>
                  <w:r w:rsidRPr="00EF7969">
                    <w:t>Nicolas Broadhurst</w:t>
                  </w:r>
                </w:p>
              </w:tc>
              <w:tc>
                <w:tcPr>
                  <w:tcW w:w="2126" w:type="dxa"/>
                  <w:shd w:val="clear" w:color="auto" w:fill="auto"/>
                </w:tcPr>
                <w:p w14:paraId="4C192DD0" w14:textId="77777777" w:rsidR="009C6940" w:rsidRPr="00EF7969" w:rsidRDefault="009C6940" w:rsidP="009C6940">
                  <w:pPr>
                    <w:pStyle w:val="TableBodyText"/>
                  </w:pPr>
                  <w:r w:rsidRPr="00EF7969">
                    <w:t>981</w:t>
                  </w:r>
                </w:p>
              </w:tc>
            </w:tr>
            <w:tr w:rsidR="009C6940" w:rsidRPr="00EF7969" w14:paraId="5F1629FD" w14:textId="77777777" w:rsidTr="009C6940">
              <w:tc>
                <w:tcPr>
                  <w:tcW w:w="6377" w:type="dxa"/>
                  <w:shd w:val="clear" w:color="auto" w:fill="auto"/>
                </w:tcPr>
                <w:p w14:paraId="6E67A979" w14:textId="77777777" w:rsidR="009C6940" w:rsidRPr="00EF7969" w:rsidRDefault="009C6940" w:rsidP="009C6940">
                  <w:pPr>
                    <w:pStyle w:val="TableBodyText"/>
                    <w:jc w:val="left"/>
                  </w:pPr>
                  <w:r w:rsidRPr="00EF7969">
                    <w:t>Nicolas Costello</w:t>
                  </w:r>
                </w:p>
              </w:tc>
              <w:tc>
                <w:tcPr>
                  <w:tcW w:w="2126" w:type="dxa"/>
                  <w:shd w:val="clear" w:color="auto" w:fill="auto"/>
                </w:tcPr>
                <w:p w14:paraId="19DD6FC9" w14:textId="77777777" w:rsidR="009C6940" w:rsidRPr="00EF7969" w:rsidRDefault="009C6940" w:rsidP="009C6940">
                  <w:pPr>
                    <w:pStyle w:val="TableBodyText"/>
                  </w:pPr>
                  <w:r w:rsidRPr="00EF7969">
                    <w:t>1145</w:t>
                  </w:r>
                </w:p>
              </w:tc>
            </w:tr>
            <w:tr w:rsidR="009C6940" w:rsidRPr="00EF7969" w14:paraId="2076FB53" w14:textId="77777777" w:rsidTr="009C6940">
              <w:tc>
                <w:tcPr>
                  <w:tcW w:w="6377" w:type="dxa"/>
                  <w:shd w:val="clear" w:color="auto" w:fill="auto"/>
                </w:tcPr>
                <w:p w14:paraId="7055C30C" w14:textId="77777777" w:rsidR="009C6940" w:rsidRPr="00EF7969" w:rsidRDefault="009C6940" w:rsidP="009C6940">
                  <w:pPr>
                    <w:pStyle w:val="TableBodyText"/>
                    <w:jc w:val="left"/>
                  </w:pPr>
                  <w:r w:rsidRPr="00EF7969">
                    <w:t>Nicole Leonard</w:t>
                  </w:r>
                </w:p>
              </w:tc>
              <w:tc>
                <w:tcPr>
                  <w:tcW w:w="2126" w:type="dxa"/>
                  <w:shd w:val="clear" w:color="auto" w:fill="auto"/>
                </w:tcPr>
                <w:p w14:paraId="25289208" w14:textId="77777777" w:rsidR="009C6940" w:rsidRPr="00EF7969" w:rsidRDefault="009C6940" w:rsidP="009C6940">
                  <w:pPr>
                    <w:pStyle w:val="TableBodyText"/>
                  </w:pPr>
                  <w:r w:rsidRPr="00EF7969">
                    <w:t>976</w:t>
                  </w:r>
                </w:p>
              </w:tc>
            </w:tr>
            <w:tr w:rsidR="009C6940" w:rsidRPr="00EF7969" w14:paraId="7E983B1D" w14:textId="77777777" w:rsidTr="009C6940">
              <w:tc>
                <w:tcPr>
                  <w:tcW w:w="6377" w:type="dxa"/>
                  <w:shd w:val="clear" w:color="auto" w:fill="auto"/>
                </w:tcPr>
                <w:p w14:paraId="0F945E65" w14:textId="77777777" w:rsidR="009C6940" w:rsidRPr="00EF7969" w:rsidRDefault="009C6940" w:rsidP="009C6940">
                  <w:pPr>
                    <w:pStyle w:val="TableBodyText"/>
                    <w:jc w:val="left"/>
                  </w:pPr>
                  <w:r w:rsidRPr="00EF7969">
                    <w:t>Nina Fairlie</w:t>
                  </w:r>
                </w:p>
              </w:tc>
              <w:tc>
                <w:tcPr>
                  <w:tcW w:w="2126" w:type="dxa"/>
                  <w:shd w:val="clear" w:color="auto" w:fill="auto"/>
                </w:tcPr>
                <w:p w14:paraId="49F607DB" w14:textId="77777777" w:rsidR="009C6940" w:rsidRPr="00EF7969" w:rsidRDefault="009C6940" w:rsidP="009C6940">
                  <w:pPr>
                    <w:pStyle w:val="TableBodyText"/>
                  </w:pPr>
                  <w:r w:rsidRPr="00EF7969">
                    <w:t>986</w:t>
                  </w:r>
                </w:p>
              </w:tc>
            </w:tr>
            <w:tr w:rsidR="009C6940" w:rsidRPr="00EF7969" w14:paraId="2782983D" w14:textId="77777777" w:rsidTr="009C6940">
              <w:tc>
                <w:tcPr>
                  <w:tcW w:w="6377" w:type="dxa"/>
                  <w:shd w:val="clear" w:color="auto" w:fill="auto"/>
                </w:tcPr>
                <w:p w14:paraId="3120D095" w14:textId="77777777" w:rsidR="009C6940" w:rsidRPr="00EF7969" w:rsidRDefault="009C6940" w:rsidP="009C6940">
                  <w:pPr>
                    <w:pStyle w:val="TableBodyText"/>
                    <w:jc w:val="left"/>
                  </w:pPr>
                  <w:r w:rsidRPr="00EF7969">
                    <w:t>Noona Hinterland Psychology</w:t>
                  </w:r>
                </w:p>
              </w:tc>
              <w:tc>
                <w:tcPr>
                  <w:tcW w:w="2126" w:type="dxa"/>
                  <w:shd w:val="clear" w:color="auto" w:fill="auto"/>
                </w:tcPr>
                <w:p w14:paraId="52EEA025" w14:textId="77777777" w:rsidR="009C6940" w:rsidRPr="00EF7969" w:rsidRDefault="009C6940" w:rsidP="009C6940">
                  <w:pPr>
                    <w:pStyle w:val="TableBodyText"/>
                  </w:pPr>
                  <w:r w:rsidRPr="00EF7969">
                    <w:t>350</w:t>
                  </w:r>
                </w:p>
              </w:tc>
            </w:tr>
            <w:tr w:rsidR="009C6940" w:rsidRPr="00EF7969" w14:paraId="109D594F" w14:textId="77777777" w:rsidTr="009C6940">
              <w:tc>
                <w:tcPr>
                  <w:tcW w:w="6377" w:type="dxa"/>
                  <w:shd w:val="clear" w:color="auto" w:fill="auto"/>
                </w:tcPr>
                <w:p w14:paraId="58172C1C" w14:textId="77777777" w:rsidR="009C6940" w:rsidRPr="00EF7969" w:rsidRDefault="009C6940" w:rsidP="009C6940">
                  <w:pPr>
                    <w:pStyle w:val="TableBodyText"/>
                    <w:jc w:val="left"/>
                  </w:pPr>
                  <w:r w:rsidRPr="00EF7969">
                    <w:t>Norman O’Leary</w:t>
                  </w:r>
                </w:p>
              </w:tc>
              <w:tc>
                <w:tcPr>
                  <w:tcW w:w="2126" w:type="dxa"/>
                  <w:shd w:val="clear" w:color="auto" w:fill="auto"/>
                </w:tcPr>
                <w:p w14:paraId="0C0400BF" w14:textId="77777777" w:rsidR="009C6940" w:rsidRPr="00EF7969" w:rsidRDefault="009C6940" w:rsidP="009C6940">
                  <w:pPr>
                    <w:pStyle w:val="TableBodyText"/>
                  </w:pPr>
                  <w:r w:rsidRPr="00EF7969">
                    <w:t>1068</w:t>
                  </w:r>
                </w:p>
              </w:tc>
            </w:tr>
            <w:tr w:rsidR="009C6940" w:rsidRPr="00EF7969" w14:paraId="55C6736E" w14:textId="77777777" w:rsidTr="009C6940">
              <w:tc>
                <w:tcPr>
                  <w:tcW w:w="6377" w:type="dxa"/>
                  <w:shd w:val="clear" w:color="auto" w:fill="auto"/>
                </w:tcPr>
                <w:p w14:paraId="7F77EED5" w14:textId="77777777" w:rsidR="009C6940" w:rsidRPr="00EF7969" w:rsidRDefault="009C6940" w:rsidP="009C6940">
                  <w:pPr>
                    <w:pStyle w:val="TableBodyText"/>
                    <w:jc w:val="left"/>
                  </w:pPr>
                  <w:r w:rsidRPr="00EF7969">
                    <w:t>Northern Community Legal Centre (NCLC)</w:t>
                  </w:r>
                </w:p>
              </w:tc>
              <w:tc>
                <w:tcPr>
                  <w:tcW w:w="2126" w:type="dxa"/>
                  <w:shd w:val="clear" w:color="auto" w:fill="auto"/>
                </w:tcPr>
                <w:p w14:paraId="371257FE" w14:textId="77777777" w:rsidR="009C6940" w:rsidRPr="00EF7969" w:rsidRDefault="009C6940" w:rsidP="009C6940">
                  <w:pPr>
                    <w:pStyle w:val="TableBodyText"/>
                  </w:pPr>
                  <w:r w:rsidRPr="00EF7969">
                    <w:t>279</w:t>
                  </w:r>
                </w:p>
              </w:tc>
            </w:tr>
            <w:tr w:rsidR="009C6940" w:rsidRPr="00EF7969" w14:paraId="23998D51" w14:textId="77777777" w:rsidTr="009C6940">
              <w:tc>
                <w:tcPr>
                  <w:tcW w:w="6377" w:type="dxa"/>
                  <w:shd w:val="clear" w:color="auto" w:fill="auto"/>
                </w:tcPr>
                <w:p w14:paraId="394719BB" w14:textId="77777777" w:rsidR="009C6940" w:rsidRPr="00EF7969" w:rsidRDefault="009C6940" w:rsidP="009C6940">
                  <w:pPr>
                    <w:pStyle w:val="TableBodyText"/>
                    <w:jc w:val="left"/>
                  </w:pPr>
                  <w:r w:rsidRPr="00EF7969">
                    <w:t xml:space="preserve">Northern Territory Mental Health Coalition </w:t>
                  </w:r>
                </w:p>
              </w:tc>
              <w:tc>
                <w:tcPr>
                  <w:tcW w:w="2126" w:type="dxa"/>
                  <w:shd w:val="clear" w:color="auto" w:fill="auto"/>
                </w:tcPr>
                <w:p w14:paraId="77B2DB72" w14:textId="77777777" w:rsidR="009C6940" w:rsidRPr="00EF7969" w:rsidRDefault="009C6940" w:rsidP="009C6940">
                  <w:pPr>
                    <w:pStyle w:val="TableBodyText"/>
                  </w:pPr>
                  <w:r w:rsidRPr="00EF7969">
                    <w:t>430, 741</w:t>
                  </w:r>
                </w:p>
              </w:tc>
            </w:tr>
            <w:tr w:rsidR="009C6940" w:rsidRPr="00EF7969" w14:paraId="254D73A1" w14:textId="77777777" w:rsidTr="009C6940">
              <w:tc>
                <w:tcPr>
                  <w:tcW w:w="6377" w:type="dxa"/>
                  <w:shd w:val="clear" w:color="auto" w:fill="auto"/>
                </w:tcPr>
                <w:p w14:paraId="54CF1B4A" w14:textId="77777777" w:rsidR="009C6940" w:rsidRPr="00EF7969" w:rsidRDefault="009C6940" w:rsidP="009C6940">
                  <w:pPr>
                    <w:pStyle w:val="TableBodyText"/>
                    <w:jc w:val="left"/>
                  </w:pPr>
                  <w:r w:rsidRPr="00EF7969">
                    <w:t>Northern Territory Primary Health Network (NT PHN)</w:t>
                  </w:r>
                </w:p>
              </w:tc>
              <w:tc>
                <w:tcPr>
                  <w:tcW w:w="2126" w:type="dxa"/>
                  <w:shd w:val="clear" w:color="auto" w:fill="auto"/>
                </w:tcPr>
                <w:p w14:paraId="2856CEEF" w14:textId="77777777" w:rsidR="009C6940" w:rsidRPr="00EF7969" w:rsidRDefault="009C6940" w:rsidP="009C6940">
                  <w:pPr>
                    <w:pStyle w:val="TableBodyText"/>
                  </w:pPr>
                  <w:r w:rsidRPr="00EF7969">
                    <w:t>457, 1213</w:t>
                  </w:r>
                </w:p>
              </w:tc>
            </w:tr>
            <w:tr w:rsidR="009C6940" w:rsidRPr="00EF7969" w14:paraId="63750BA3" w14:textId="77777777" w:rsidTr="009C6940">
              <w:tc>
                <w:tcPr>
                  <w:tcW w:w="6377" w:type="dxa"/>
                  <w:shd w:val="clear" w:color="auto" w:fill="auto"/>
                </w:tcPr>
                <w:p w14:paraId="2759A1EF" w14:textId="77777777" w:rsidR="009C6940" w:rsidRPr="00EF7969" w:rsidRDefault="009C6940" w:rsidP="009C6940">
                  <w:pPr>
                    <w:pStyle w:val="TableBodyText"/>
                    <w:jc w:val="left"/>
                  </w:pPr>
                  <w:r w:rsidRPr="00EF7969">
                    <w:t>NorthWest Area Mental Health Services</w:t>
                  </w:r>
                </w:p>
              </w:tc>
              <w:tc>
                <w:tcPr>
                  <w:tcW w:w="2126" w:type="dxa"/>
                  <w:shd w:val="clear" w:color="auto" w:fill="auto"/>
                </w:tcPr>
                <w:p w14:paraId="34A61B60" w14:textId="77777777" w:rsidR="009C6940" w:rsidRPr="00EF7969" w:rsidRDefault="009C6940" w:rsidP="009C6940">
                  <w:pPr>
                    <w:pStyle w:val="TableBodyText"/>
                  </w:pPr>
                  <w:r w:rsidRPr="00EF7969">
                    <w:t>22</w:t>
                  </w:r>
                </w:p>
              </w:tc>
            </w:tr>
            <w:tr w:rsidR="009C6940" w:rsidRPr="00EF7969" w14:paraId="71261DF8" w14:textId="77777777" w:rsidTr="009C6940">
              <w:tc>
                <w:tcPr>
                  <w:tcW w:w="6377" w:type="dxa"/>
                  <w:shd w:val="clear" w:color="auto" w:fill="auto"/>
                </w:tcPr>
                <w:p w14:paraId="1C4C5D49" w14:textId="77777777" w:rsidR="009C6940" w:rsidRPr="00EF7969" w:rsidRDefault="009C6940" w:rsidP="009C6940">
                  <w:pPr>
                    <w:pStyle w:val="TableBodyText"/>
                    <w:jc w:val="left"/>
                  </w:pPr>
                  <w:r w:rsidRPr="00EF7969">
                    <w:t>NovoPsych Pty Ltd</w:t>
                  </w:r>
                </w:p>
              </w:tc>
              <w:tc>
                <w:tcPr>
                  <w:tcW w:w="2126" w:type="dxa"/>
                  <w:shd w:val="clear" w:color="auto" w:fill="auto"/>
                </w:tcPr>
                <w:p w14:paraId="38A370AB" w14:textId="77777777" w:rsidR="009C6940" w:rsidRPr="00EF7969" w:rsidRDefault="009C6940" w:rsidP="009C6940">
                  <w:pPr>
                    <w:pStyle w:val="TableBodyText"/>
                  </w:pPr>
                  <w:r w:rsidRPr="00EF7969">
                    <w:t>423, 645</w:t>
                  </w:r>
                </w:p>
              </w:tc>
            </w:tr>
            <w:tr w:rsidR="009C6940" w:rsidRPr="00EF7969" w14:paraId="6AC9DCB4" w14:textId="77777777" w:rsidTr="009C6940">
              <w:tc>
                <w:tcPr>
                  <w:tcW w:w="6377" w:type="dxa"/>
                  <w:shd w:val="clear" w:color="auto" w:fill="auto"/>
                </w:tcPr>
                <w:p w14:paraId="5E58A8BB" w14:textId="77777777" w:rsidR="009C6940" w:rsidRPr="00EF7969" w:rsidRDefault="009C6940" w:rsidP="009C6940">
                  <w:pPr>
                    <w:pStyle w:val="TableBodyText"/>
                    <w:jc w:val="left"/>
                  </w:pPr>
                  <w:r w:rsidRPr="00EF7969">
                    <w:t>NPS MedicineWise</w:t>
                  </w:r>
                </w:p>
              </w:tc>
              <w:tc>
                <w:tcPr>
                  <w:tcW w:w="2126" w:type="dxa"/>
                  <w:shd w:val="clear" w:color="auto" w:fill="auto"/>
                </w:tcPr>
                <w:p w14:paraId="0A4DEEAB" w14:textId="77777777" w:rsidR="009C6940" w:rsidRPr="00EF7969" w:rsidRDefault="009C6940" w:rsidP="009C6940">
                  <w:pPr>
                    <w:pStyle w:val="TableBodyText"/>
                  </w:pPr>
                  <w:r w:rsidRPr="00EF7969">
                    <w:t>175</w:t>
                  </w:r>
                </w:p>
              </w:tc>
            </w:tr>
            <w:tr w:rsidR="009C6940" w:rsidRPr="00EF7969" w14:paraId="2FBF772A" w14:textId="77777777" w:rsidTr="009C6940">
              <w:tc>
                <w:tcPr>
                  <w:tcW w:w="6377" w:type="dxa"/>
                  <w:shd w:val="clear" w:color="auto" w:fill="auto"/>
                </w:tcPr>
                <w:p w14:paraId="5D24C346" w14:textId="77777777" w:rsidR="009C6940" w:rsidRPr="00EF7969" w:rsidRDefault="009C6940" w:rsidP="009C6940">
                  <w:pPr>
                    <w:pStyle w:val="TableBodyText"/>
                    <w:jc w:val="left"/>
                  </w:pPr>
                  <w:r w:rsidRPr="00EF7969">
                    <w:t>NSW Council for Civil Liberties (CCL)</w:t>
                  </w:r>
                </w:p>
              </w:tc>
              <w:tc>
                <w:tcPr>
                  <w:tcW w:w="2126" w:type="dxa"/>
                  <w:shd w:val="clear" w:color="auto" w:fill="auto"/>
                </w:tcPr>
                <w:p w14:paraId="66644532" w14:textId="77777777" w:rsidR="009C6940" w:rsidRPr="00EF7969" w:rsidRDefault="009C6940" w:rsidP="009C6940">
                  <w:pPr>
                    <w:pStyle w:val="TableBodyText"/>
                  </w:pPr>
                  <w:r w:rsidRPr="00EF7969">
                    <w:t>484</w:t>
                  </w:r>
                </w:p>
              </w:tc>
            </w:tr>
            <w:tr w:rsidR="009C6940" w:rsidRPr="00EF7969" w14:paraId="561D46F1" w14:textId="77777777" w:rsidTr="009C6940">
              <w:tc>
                <w:tcPr>
                  <w:tcW w:w="6377" w:type="dxa"/>
                  <w:shd w:val="clear" w:color="auto" w:fill="auto"/>
                </w:tcPr>
                <w:p w14:paraId="5F4B6497" w14:textId="77777777" w:rsidR="009C6940" w:rsidRPr="00EF7969" w:rsidRDefault="009C6940" w:rsidP="009C6940">
                  <w:pPr>
                    <w:pStyle w:val="TableBodyText"/>
                    <w:jc w:val="left"/>
                  </w:pPr>
                  <w:r w:rsidRPr="00EF7969">
                    <w:t>NSW Council of Social Service (NCOSS)</w:t>
                  </w:r>
                </w:p>
              </w:tc>
              <w:tc>
                <w:tcPr>
                  <w:tcW w:w="2126" w:type="dxa"/>
                  <w:shd w:val="clear" w:color="auto" w:fill="auto"/>
                </w:tcPr>
                <w:p w14:paraId="6A5EE8FE" w14:textId="77777777" w:rsidR="009C6940" w:rsidRPr="00EF7969" w:rsidRDefault="009C6940" w:rsidP="009C6940">
                  <w:pPr>
                    <w:pStyle w:val="TableBodyText"/>
                  </w:pPr>
                  <w:r w:rsidRPr="00EF7969">
                    <w:t>143, 659</w:t>
                  </w:r>
                </w:p>
              </w:tc>
            </w:tr>
            <w:tr w:rsidR="009C6940" w:rsidRPr="00EF7969" w14:paraId="12ABF68A" w14:textId="77777777" w:rsidTr="009C6940">
              <w:tc>
                <w:tcPr>
                  <w:tcW w:w="6377" w:type="dxa"/>
                  <w:shd w:val="clear" w:color="auto" w:fill="auto"/>
                </w:tcPr>
                <w:p w14:paraId="3C377041" w14:textId="77777777" w:rsidR="009C6940" w:rsidRPr="00EF7969" w:rsidRDefault="009C6940" w:rsidP="009C6940">
                  <w:pPr>
                    <w:pStyle w:val="TableBodyText"/>
                    <w:jc w:val="left"/>
                  </w:pPr>
                  <w:r w:rsidRPr="00EF7969">
                    <w:t>NSW Government</w:t>
                  </w:r>
                </w:p>
              </w:tc>
              <w:tc>
                <w:tcPr>
                  <w:tcW w:w="2126" w:type="dxa"/>
                  <w:shd w:val="clear" w:color="auto" w:fill="auto"/>
                </w:tcPr>
                <w:p w14:paraId="35DA4C40" w14:textId="77777777" w:rsidR="009C6940" w:rsidRPr="00EF7969" w:rsidRDefault="009C6940" w:rsidP="009C6940">
                  <w:pPr>
                    <w:pStyle w:val="TableBodyText"/>
                  </w:pPr>
                  <w:r w:rsidRPr="00EF7969">
                    <w:t>551, 1243</w:t>
                  </w:r>
                </w:p>
              </w:tc>
            </w:tr>
            <w:tr w:rsidR="009C6940" w:rsidRPr="00EF7969" w14:paraId="1AFE2805" w14:textId="77777777" w:rsidTr="009C6940">
              <w:tc>
                <w:tcPr>
                  <w:tcW w:w="6377" w:type="dxa"/>
                  <w:shd w:val="clear" w:color="auto" w:fill="auto"/>
                </w:tcPr>
                <w:p w14:paraId="6A1DC3F4" w14:textId="77777777" w:rsidR="009C6940" w:rsidRPr="00EF7969" w:rsidRDefault="009C6940" w:rsidP="009C6940">
                  <w:pPr>
                    <w:pStyle w:val="TableBodyText"/>
                    <w:jc w:val="left"/>
                  </w:pPr>
                  <w:r w:rsidRPr="00EF7969">
                    <w:t>NSW Mental Health Review Tribunal</w:t>
                  </w:r>
                </w:p>
              </w:tc>
              <w:tc>
                <w:tcPr>
                  <w:tcW w:w="2126" w:type="dxa"/>
                  <w:shd w:val="clear" w:color="auto" w:fill="auto"/>
                </w:tcPr>
                <w:p w14:paraId="12F34DD9" w14:textId="77777777" w:rsidR="009C6940" w:rsidRPr="00EF7969" w:rsidRDefault="009C6940" w:rsidP="009C6940">
                  <w:pPr>
                    <w:pStyle w:val="TableBodyText"/>
                  </w:pPr>
                  <w:r w:rsidRPr="00EF7969">
                    <w:t>409</w:t>
                  </w:r>
                </w:p>
              </w:tc>
            </w:tr>
            <w:tr w:rsidR="009C6940" w:rsidRPr="00EF7969" w14:paraId="32D01100" w14:textId="77777777" w:rsidTr="009C6940">
              <w:tc>
                <w:tcPr>
                  <w:tcW w:w="6377" w:type="dxa"/>
                  <w:shd w:val="clear" w:color="auto" w:fill="auto"/>
                </w:tcPr>
                <w:p w14:paraId="23520569" w14:textId="77777777" w:rsidR="009C6940" w:rsidRPr="00EF7969" w:rsidRDefault="009C6940" w:rsidP="009C6940">
                  <w:pPr>
                    <w:pStyle w:val="TableBodyText"/>
                    <w:jc w:val="left"/>
                  </w:pPr>
                  <w:r w:rsidRPr="00EF7969">
                    <w:t>NSW Nurses and Midwives’ Association (NSWNMA)</w:t>
                  </w:r>
                </w:p>
              </w:tc>
              <w:tc>
                <w:tcPr>
                  <w:tcW w:w="2126" w:type="dxa"/>
                  <w:shd w:val="clear" w:color="auto" w:fill="auto"/>
                </w:tcPr>
                <w:p w14:paraId="1CA64C76" w14:textId="77777777" w:rsidR="009C6940" w:rsidRPr="00EF7969" w:rsidRDefault="009C6940" w:rsidP="009C6940">
                  <w:pPr>
                    <w:pStyle w:val="TableBodyText"/>
                  </w:pPr>
                  <w:r w:rsidRPr="00EF7969">
                    <w:t>246</w:t>
                  </w:r>
                </w:p>
              </w:tc>
            </w:tr>
            <w:tr w:rsidR="009C6940" w:rsidRPr="00EF7969" w14:paraId="4AB3F5F5" w14:textId="77777777" w:rsidTr="009C6940">
              <w:tc>
                <w:tcPr>
                  <w:tcW w:w="6377" w:type="dxa"/>
                  <w:shd w:val="clear" w:color="auto" w:fill="auto"/>
                </w:tcPr>
                <w:p w14:paraId="73290770" w14:textId="77777777" w:rsidR="009C6940" w:rsidRPr="00EF7969" w:rsidRDefault="009C6940" w:rsidP="009C6940">
                  <w:pPr>
                    <w:pStyle w:val="TableBodyText"/>
                    <w:jc w:val="left"/>
                  </w:pPr>
                  <w:r w:rsidRPr="00EF7969">
                    <w:t>NSW Small Business Commissioner (NSWSBC)</w:t>
                  </w:r>
                </w:p>
              </w:tc>
              <w:tc>
                <w:tcPr>
                  <w:tcW w:w="2126" w:type="dxa"/>
                  <w:shd w:val="clear" w:color="auto" w:fill="auto"/>
                </w:tcPr>
                <w:p w14:paraId="080F36BF" w14:textId="77777777" w:rsidR="009C6940" w:rsidRPr="00EF7969" w:rsidRDefault="009C6940" w:rsidP="009C6940">
                  <w:pPr>
                    <w:pStyle w:val="TableBodyText"/>
                  </w:pPr>
                  <w:r w:rsidRPr="00EF7969">
                    <w:t>405</w:t>
                  </w:r>
                </w:p>
              </w:tc>
            </w:tr>
            <w:tr w:rsidR="009C6940" w:rsidRPr="00EF7969" w14:paraId="2249E5C8" w14:textId="77777777" w:rsidTr="009C6940">
              <w:tc>
                <w:tcPr>
                  <w:tcW w:w="6377" w:type="dxa"/>
                  <w:shd w:val="clear" w:color="auto" w:fill="auto"/>
                </w:tcPr>
                <w:p w14:paraId="74EF9729" w14:textId="77777777" w:rsidR="009C6940" w:rsidRPr="00EF7969" w:rsidRDefault="009C6940" w:rsidP="009C6940">
                  <w:pPr>
                    <w:pStyle w:val="TableBodyText"/>
                    <w:jc w:val="left"/>
                  </w:pPr>
                  <w:r w:rsidRPr="00EF7969">
                    <w:t>NSW Young Lawyers Human Rights Committee</w:t>
                  </w:r>
                </w:p>
              </w:tc>
              <w:tc>
                <w:tcPr>
                  <w:tcW w:w="2126" w:type="dxa"/>
                  <w:shd w:val="clear" w:color="auto" w:fill="auto"/>
                </w:tcPr>
                <w:p w14:paraId="2686F3F6" w14:textId="77777777" w:rsidR="009C6940" w:rsidRPr="00EF7969" w:rsidRDefault="009C6940" w:rsidP="009C6940">
                  <w:pPr>
                    <w:pStyle w:val="TableBodyText"/>
                  </w:pPr>
                  <w:r w:rsidRPr="00EF7969">
                    <w:t>456</w:t>
                  </w:r>
                </w:p>
              </w:tc>
            </w:tr>
            <w:tr w:rsidR="009C6940" w:rsidRPr="00EF7969" w14:paraId="1EB97889" w14:textId="77777777" w:rsidTr="009C6940">
              <w:tc>
                <w:tcPr>
                  <w:tcW w:w="6377" w:type="dxa"/>
                  <w:shd w:val="clear" w:color="auto" w:fill="auto"/>
                </w:tcPr>
                <w:p w14:paraId="0800F317" w14:textId="77777777" w:rsidR="009C6940" w:rsidRPr="00EF7969" w:rsidRDefault="009C6940" w:rsidP="009C6940">
                  <w:pPr>
                    <w:pStyle w:val="TableBodyText"/>
                    <w:jc w:val="left"/>
                  </w:pPr>
                  <w:r w:rsidRPr="00EF7969">
                    <w:t>NT Community Visitor Program (CVP)</w:t>
                  </w:r>
                </w:p>
              </w:tc>
              <w:tc>
                <w:tcPr>
                  <w:tcW w:w="2126" w:type="dxa"/>
                  <w:shd w:val="clear" w:color="auto" w:fill="auto"/>
                </w:tcPr>
                <w:p w14:paraId="277A6D22" w14:textId="77777777" w:rsidR="009C6940" w:rsidRPr="00EF7969" w:rsidRDefault="009C6940" w:rsidP="009C6940">
                  <w:pPr>
                    <w:pStyle w:val="TableBodyText"/>
                  </w:pPr>
                  <w:r w:rsidRPr="00EF7969">
                    <w:t>1209</w:t>
                  </w:r>
                </w:p>
              </w:tc>
            </w:tr>
            <w:tr w:rsidR="009C6940" w:rsidRPr="00EF7969" w14:paraId="34B43912" w14:textId="77777777" w:rsidTr="009C6940">
              <w:tc>
                <w:tcPr>
                  <w:tcW w:w="6377" w:type="dxa"/>
                  <w:shd w:val="clear" w:color="auto" w:fill="auto"/>
                </w:tcPr>
                <w:p w14:paraId="4C51E8AD" w14:textId="77777777" w:rsidR="009C6940" w:rsidRPr="00EF7969" w:rsidRDefault="009C6940" w:rsidP="009C6940">
                  <w:pPr>
                    <w:pStyle w:val="TableBodyText"/>
                    <w:jc w:val="left"/>
                  </w:pPr>
                  <w:r w:rsidRPr="00EF7969">
                    <w:t>NT Council of Social Service (NTCOSS)</w:t>
                  </w:r>
                </w:p>
              </w:tc>
              <w:tc>
                <w:tcPr>
                  <w:tcW w:w="2126" w:type="dxa"/>
                  <w:shd w:val="clear" w:color="auto" w:fill="auto"/>
                </w:tcPr>
                <w:p w14:paraId="7D580491" w14:textId="77777777" w:rsidR="009C6940" w:rsidRPr="00EF7969" w:rsidRDefault="009C6940" w:rsidP="009C6940">
                  <w:pPr>
                    <w:pStyle w:val="TableBodyText"/>
                  </w:pPr>
                  <w:r w:rsidRPr="00EF7969">
                    <w:t>408</w:t>
                  </w:r>
                </w:p>
              </w:tc>
            </w:tr>
            <w:tr w:rsidR="009C6940" w:rsidRPr="00EF7969" w14:paraId="0095F378" w14:textId="77777777" w:rsidTr="009C6940">
              <w:tc>
                <w:tcPr>
                  <w:tcW w:w="6377" w:type="dxa"/>
                  <w:shd w:val="clear" w:color="auto" w:fill="auto"/>
                </w:tcPr>
                <w:p w14:paraId="00FE2DE7" w14:textId="77777777" w:rsidR="009C6940" w:rsidRPr="00EF7969" w:rsidRDefault="009C6940" w:rsidP="009C6940">
                  <w:pPr>
                    <w:pStyle w:val="TableBodyText"/>
                    <w:jc w:val="left"/>
                  </w:pPr>
                  <w:r w:rsidRPr="00EF7969">
                    <w:t>NT Government</w:t>
                  </w:r>
                </w:p>
              </w:tc>
              <w:tc>
                <w:tcPr>
                  <w:tcW w:w="2126" w:type="dxa"/>
                  <w:shd w:val="clear" w:color="auto" w:fill="auto"/>
                </w:tcPr>
                <w:p w14:paraId="32339989" w14:textId="77777777" w:rsidR="009C6940" w:rsidRPr="00EF7969" w:rsidRDefault="009C6940" w:rsidP="009C6940">
                  <w:pPr>
                    <w:pStyle w:val="TableBodyText"/>
                  </w:pPr>
                  <w:r w:rsidRPr="00EF7969">
                    <w:t>1220</w:t>
                  </w:r>
                </w:p>
              </w:tc>
            </w:tr>
            <w:tr w:rsidR="009C6940" w:rsidRPr="00EF7969" w14:paraId="290C4DDA" w14:textId="77777777" w:rsidTr="009C6940">
              <w:tc>
                <w:tcPr>
                  <w:tcW w:w="6377" w:type="dxa"/>
                  <w:shd w:val="clear" w:color="auto" w:fill="auto"/>
                </w:tcPr>
                <w:p w14:paraId="13A9E148" w14:textId="77777777" w:rsidR="009C6940" w:rsidRPr="00485B1F" w:rsidRDefault="009C6940" w:rsidP="009C6940">
                  <w:pPr>
                    <w:pStyle w:val="TableBodyText"/>
                    <w:jc w:val="left"/>
                  </w:pPr>
                  <w:r w:rsidRPr="00485B1F">
                    <w:t>NT Legal Aid Commission (NTLAC)</w:t>
                  </w:r>
                </w:p>
              </w:tc>
              <w:tc>
                <w:tcPr>
                  <w:tcW w:w="2126" w:type="dxa"/>
                  <w:shd w:val="clear" w:color="auto" w:fill="auto"/>
                </w:tcPr>
                <w:p w14:paraId="77343619" w14:textId="77777777" w:rsidR="009C6940" w:rsidRPr="00EF7969" w:rsidRDefault="009C6940" w:rsidP="009C6940">
                  <w:pPr>
                    <w:pStyle w:val="TableBodyText"/>
                  </w:pPr>
                  <w:r w:rsidRPr="00EF7969">
                    <w:t>410</w:t>
                  </w:r>
                </w:p>
              </w:tc>
            </w:tr>
            <w:tr w:rsidR="009C6940" w:rsidRPr="00EF7969" w14:paraId="6254F625" w14:textId="77777777" w:rsidTr="009C6940">
              <w:tc>
                <w:tcPr>
                  <w:tcW w:w="6377" w:type="dxa"/>
                  <w:shd w:val="clear" w:color="auto" w:fill="auto"/>
                </w:tcPr>
                <w:p w14:paraId="581365E8" w14:textId="77777777" w:rsidR="009C6940" w:rsidRPr="00485B1F" w:rsidRDefault="009C6940" w:rsidP="009C6940">
                  <w:pPr>
                    <w:pStyle w:val="TableBodyText"/>
                    <w:jc w:val="left"/>
                  </w:pPr>
                  <w:r w:rsidRPr="00485B1F">
                    <w:t xml:space="preserve">NT Shelter </w:t>
                  </w:r>
                </w:p>
              </w:tc>
              <w:tc>
                <w:tcPr>
                  <w:tcW w:w="2126" w:type="dxa"/>
                  <w:shd w:val="clear" w:color="auto" w:fill="auto"/>
                </w:tcPr>
                <w:p w14:paraId="7B395A95" w14:textId="77777777" w:rsidR="009C6940" w:rsidRPr="00EF7969" w:rsidRDefault="009C6940" w:rsidP="009C6940">
                  <w:pPr>
                    <w:pStyle w:val="TableBodyText"/>
                  </w:pPr>
                  <w:r w:rsidRPr="00EF7969">
                    <w:t>333, 879</w:t>
                  </w:r>
                </w:p>
              </w:tc>
            </w:tr>
            <w:tr w:rsidR="009C6940" w:rsidRPr="00EF7969" w14:paraId="08BA8182" w14:textId="77777777" w:rsidTr="009C6940">
              <w:tc>
                <w:tcPr>
                  <w:tcW w:w="6377" w:type="dxa"/>
                  <w:shd w:val="clear" w:color="auto" w:fill="auto"/>
                </w:tcPr>
                <w:p w14:paraId="7073D88F" w14:textId="77777777" w:rsidR="009C6940" w:rsidRPr="00485B1F" w:rsidRDefault="009C6940" w:rsidP="009C6940">
                  <w:pPr>
                    <w:pStyle w:val="TableBodyText"/>
                    <w:jc w:val="left"/>
                  </w:pPr>
                  <w:r w:rsidRPr="00485B1F">
                    <w:t>Nunkuwarrin Yunti of South Australia</w:t>
                  </w:r>
                </w:p>
              </w:tc>
              <w:tc>
                <w:tcPr>
                  <w:tcW w:w="2126" w:type="dxa"/>
                  <w:shd w:val="clear" w:color="auto" w:fill="auto"/>
                </w:tcPr>
                <w:p w14:paraId="2747CE1A" w14:textId="77777777" w:rsidR="009C6940" w:rsidRPr="00EF7969" w:rsidRDefault="009C6940" w:rsidP="009C6940">
                  <w:pPr>
                    <w:pStyle w:val="TableBodyText"/>
                  </w:pPr>
                  <w:r w:rsidRPr="00EF7969">
                    <w:t>798</w:t>
                  </w:r>
                </w:p>
              </w:tc>
            </w:tr>
            <w:tr w:rsidR="009C6940" w:rsidRPr="00EF7969" w14:paraId="56EB7892" w14:textId="77777777" w:rsidTr="009C6940">
              <w:tc>
                <w:tcPr>
                  <w:tcW w:w="6377" w:type="dxa"/>
                  <w:shd w:val="clear" w:color="auto" w:fill="auto"/>
                </w:tcPr>
                <w:p w14:paraId="76070555" w14:textId="77777777" w:rsidR="009C6940" w:rsidRPr="00EF7969" w:rsidRDefault="009C6940" w:rsidP="009C6940">
                  <w:pPr>
                    <w:pStyle w:val="TableBodyText"/>
                    <w:jc w:val="left"/>
                  </w:pPr>
                  <w:r w:rsidRPr="00EF7969">
                    <w:t>Nursing and Midwifery Board of Australia (NMBA), Australian Nursing and Midwifery Accreditation Council (ANMAC) and Australian Health Practitioner Regulation Agency (Ahpra)</w:t>
                  </w:r>
                </w:p>
              </w:tc>
              <w:tc>
                <w:tcPr>
                  <w:tcW w:w="2126" w:type="dxa"/>
                  <w:shd w:val="clear" w:color="auto" w:fill="auto"/>
                </w:tcPr>
                <w:p w14:paraId="0664750F" w14:textId="77777777" w:rsidR="009C6940" w:rsidRPr="00EF7969" w:rsidRDefault="009C6940" w:rsidP="009C6940">
                  <w:pPr>
                    <w:pStyle w:val="TableBodyText"/>
                  </w:pPr>
                  <w:r w:rsidRPr="00EF7969">
                    <w:t>800</w:t>
                  </w:r>
                </w:p>
              </w:tc>
            </w:tr>
            <w:tr w:rsidR="009C6940" w:rsidRPr="00EF7969" w14:paraId="702A13CC" w14:textId="77777777" w:rsidTr="009C6940">
              <w:tc>
                <w:tcPr>
                  <w:tcW w:w="6377" w:type="dxa"/>
                  <w:shd w:val="clear" w:color="auto" w:fill="auto"/>
                </w:tcPr>
                <w:p w14:paraId="227D54C1" w14:textId="77777777" w:rsidR="009C6940" w:rsidRPr="00EF7969" w:rsidRDefault="009C6940" w:rsidP="009C6940">
                  <w:pPr>
                    <w:pStyle w:val="TableBodyText"/>
                    <w:jc w:val="left"/>
                  </w:pPr>
                  <w:r w:rsidRPr="00EF7969">
                    <w:t>Occupational Therapy Australia (OTA)</w:t>
                  </w:r>
                </w:p>
              </w:tc>
              <w:tc>
                <w:tcPr>
                  <w:tcW w:w="2126" w:type="dxa"/>
                  <w:shd w:val="clear" w:color="auto" w:fill="auto"/>
                </w:tcPr>
                <w:p w14:paraId="3D29302D" w14:textId="77777777" w:rsidR="009C6940" w:rsidRPr="00EF7969" w:rsidRDefault="009C6940" w:rsidP="009C6940">
                  <w:pPr>
                    <w:pStyle w:val="TableBodyText"/>
                  </w:pPr>
                  <w:r w:rsidRPr="00EF7969">
                    <w:t>141, 706</w:t>
                  </w:r>
                </w:p>
              </w:tc>
            </w:tr>
            <w:tr w:rsidR="009C6940" w:rsidRPr="00EF7969" w14:paraId="5C2C53D6" w14:textId="77777777" w:rsidTr="009C6940">
              <w:tc>
                <w:tcPr>
                  <w:tcW w:w="6377" w:type="dxa"/>
                  <w:shd w:val="clear" w:color="auto" w:fill="auto"/>
                </w:tcPr>
                <w:p w14:paraId="19467711" w14:textId="77777777" w:rsidR="009C6940" w:rsidRPr="00EF7969" w:rsidRDefault="009C6940" w:rsidP="009C6940">
                  <w:pPr>
                    <w:pStyle w:val="TableBodyText"/>
                    <w:jc w:val="left"/>
                  </w:pPr>
                  <w:r w:rsidRPr="00EF7969">
                    <w:t>Olav Nielssen</w:t>
                  </w:r>
                </w:p>
              </w:tc>
              <w:tc>
                <w:tcPr>
                  <w:tcW w:w="2126" w:type="dxa"/>
                  <w:shd w:val="clear" w:color="auto" w:fill="auto"/>
                </w:tcPr>
                <w:p w14:paraId="3F5287B0" w14:textId="77777777" w:rsidR="009C6940" w:rsidRPr="00EF7969" w:rsidRDefault="009C6940" w:rsidP="009C6940">
                  <w:pPr>
                    <w:pStyle w:val="TableBodyText"/>
                  </w:pPr>
                  <w:r w:rsidRPr="00EF7969">
                    <w:t>37</w:t>
                  </w:r>
                </w:p>
              </w:tc>
            </w:tr>
            <w:tr w:rsidR="009C6940" w:rsidRPr="00EF7969" w14:paraId="53B6043E" w14:textId="77777777" w:rsidTr="009C6940">
              <w:tc>
                <w:tcPr>
                  <w:tcW w:w="6377" w:type="dxa"/>
                  <w:shd w:val="clear" w:color="auto" w:fill="auto"/>
                </w:tcPr>
                <w:p w14:paraId="2B991DF9" w14:textId="77777777" w:rsidR="009C6940" w:rsidRPr="00EF7969" w:rsidRDefault="009C6940" w:rsidP="009C6940">
                  <w:pPr>
                    <w:pStyle w:val="TableBodyText"/>
                    <w:jc w:val="left"/>
                  </w:pPr>
                  <w:r w:rsidRPr="00EF7969">
                    <w:t>Oliver Shead</w:t>
                  </w:r>
                </w:p>
              </w:tc>
              <w:tc>
                <w:tcPr>
                  <w:tcW w:w="2126" w:type="dxa"/>
                  <w:shd w:val="clear" w:color="auto" w:fill="auto"/>
                </w:tcPr>
                <w:p w14:paraId="2C1F9C25" w14:textId="77777777" w:rsidR="009C6940" w:rsidRPr="00EF7969" w:rsidRDefault="009C6940" w:rsidP="009C6940">
                  <w:pPr>
                    <w:pStyle w:val="TableBodyText"/>
                  </w:pPr>
                  <w:r w:rsidRPr="00EF7969">
                    <w:t>1236</w:t>
                  </w:r>
                </w:p>
              </w:tc>
            </w:tr>
            <w:tr w:rsidR="009C6940" w:rsidRPr="00EF7969" w14:paraId="16B54EBA" w14:textId="77777777" w:rsidTr="009C6940">
              <w:tc>
                <w:tcPr>
                  <w:tcW w:w="6377" w:type="dxa"/>
                  <w:shd w:val="clear" w:color="auto" w:fill="auto"/>
                </w:tcPr>
                <w:p w14:paraId="08CD9F56" w14:textId="77777777" w:rsidR="009C6940" w:rsidRPr="00EF7969" w:rsidRDefault="009C6940" w:rsidP="009C6940">
                  <w:pPr>
                    <w:pStyle w:val="TableBodyText"/>
                    <w:jc w:val="left"/>
                  </w:pPr>
                  <w:r w:rsidRPr="00EF7969">
                    <w:t>Olivia Rackham</w:t>
                  </w:r>
                </w:p>
              </w:tc>
              <w:tc>
                <w:tcPr>
                  <w:tcW w:w="2126" w:type="dxa"/>
                  <w:shd w:val="clear" w:color="auto" w:fill="auto"/>
                </w:tcPr>
                <w:p w14:paraId="53664D6E" w14:textId="77777777" w:rsidR="009C6940" w:rsidRPr="00EF7969" w:rsidRDefault="009C6940" w:rsidP="009C6940">
                  <w:pPr>
                    <w:pStyle w:val="TableBodyText"/>
                  </w:pPr>
                  <w:r w:rsidRPr="00EF7969">
                    <w:t>751</w:t>
                  </w:r>
                </w:p>
              </w:tc>
            </w:tr>
            <w:tr w:rsidR="009C6940" w:rsidRPr="00EF7969" w14:paraId="78F29D66" w14:textId="77777777" w:rsidTr="009C6940">
              <w:tc>
                <w:tcPr>
                  <w:tcW w:w="6377" w:type="dxa"/>
                  <w:shd w:val="clear" w:color="auto" w:fill="auto"/>
                </w:tcPr>
                <w:p w14:paraId="449A0046" w14:textId="77777777" w:rsidR="009C6940" w:rsidRPr="00EF7969" w:rsidRDefault="009C6940" w:rsidP="009C6940">
                  <w:pPr>
                    <w:pStyle w:val="TableBodyText"/>
                    <w:jc w:val="left"/>
                  </w:pPr>
                  <w:r w:rsidRPr="00EF7969">
                    <w:t>On the Line</w:t>
                  </w:r>
                </w:p>
              </w:tc>
              <w:tc>
                <w:tcPr>
                  <w:tcW w:w="2126" w:type="dxa"/>
                  <w:shd w:val="clear" w:color="auto" w:fill="auto"/>
                </w:tcPr>
                <w:p w14:paraId="63095AF0" w14:textId="77777777" w:rsidR="009C6940" w:rsidRPr="00EF7969" w:rsidRDefault="009C6940" w:rsidP="009C6940">
                  <w:pPr>
                    <w:pStyle w:val="TableBodyText"/>
                  </w:pPr>
                  <w:r w:rsidRPr="00EF7969">
                    <w:t>258</w:t>
                  </w:r>
                </w:p>
              </w:tc>
            </w:tr>
            <w:tr w:rsidR="009C6940" w:rsidRPr="00EF7969" w14:paraId="050049DB" w14:textId="77777777" w:rsidTr="009C6940">
              <w:tc>
                <w:tcPr>
                  <w:tcW w:w="6377" w:type="dxa"/>
                  <w:tcBorders>
                    <w:bottom w:val="single" w:sz="4" w:space="0" w:color="BFBFBF" w:themeColor="background1" w:themeShade="BF"/>
                  </w:tcBorders>
                  <w:shd w:val="clear" w:color="auto" w:fill="auto"/>
                </w:tcPr>
                <w:p w14:paraId="0E8D47B2" w14:textId="77777777" w:rsidR="009C6940" w:rsidRPr="00EF7969" w:rsidRDefault="009C6940" w:rsidP="009C6940">
                  <w:pPr>
                    <w:pStyle w:val="TableBodyText"/>
                    <w:jc w:val="left"/>
                  </w:pPr>
                  <w:r w:rsidRPr="00EF7969">
                    <w:t>One Door Mental Health</w:t>
                  </w:r>
                </w:p>
              </w:tc>
              <w:tc>
                <w:tcPr>
                  <w:tcW w:w="2126" w:type="dxa"/>
                  <w:tcBorders>
                    <w:bottom w:val="single" w:sz="4" w:space="0" w:color="BFBFBF" w:themeColor="background1" w:themeShade="BF"/>
                  </w:tcBorders>
                  <w:shd w:val="clear" w:color="auto" w:fill="auto"/>
                </w:tcPr>
                <w:p w14:paraId="5D043208" w14:textId="77777777" w:rsidR="009C6940" w:rsidRPr="00EF7969" w:rsidRDefault="009C6940" w:rsidP="009C6940">
                  <w:pPr>
                    <w:pStyle w:val="TableBodyText"/>
                  </w:pPr>
                  <w:r w:rsidRPr="00EF7969">
                    <w:t>108, 856</w:t>
                  </w:r>
                </w:p>
              </w:tc>
            </w:tr>
          </w:tbl>
          <w:p w14:paraId="771E0E14" w14:textId="77777777" w:rsidR="009C6940" w:rsidRPr="00EF7969" w:rsidRDefault="009C6940" w:rsidP="009C6940">
            <w:pPr>
              <w:pStyle w:val="Box"/>
            </w:pPr>
          </w:p>
        </w:tc>
      </w:tr>
      <w:tr w:rsidR="009C6940" w:rsidRPr="00EF7969" w14:paraId="051E60BB" w14:textId="77777777" w:rsidTr="009C6940">
        <w:tc>
          <w:tcPr>
            <w:tcW w:w="8789" w:type="dxa"/>
            <w:tcBorders>
              <w:top w:val="nil"/>
              <w:left w:val="nil"/>
              <w:bottom w:val="nil"/>
              <w:right w:val="nil"/>
            </w:tcBorders>
            <w:shd w:val="clear" w:color="auto" w:fill="auto"/>
          </w:tcPr>
          <w:p w14:paraId="76646908" w14:textId="77777777" w:rsidR="009C6940" w:rsidRPr="00EF7969" w:rsidRDefault="009C6940" w:rsidP="009C6940">
            <w:pPr>
              <w:pStyle w:val="Continued"/>
            </w:pPr>
            <w:r w:rsidRPr="00EF7969">
              <w:t>(continued next page)</w:t>
            </w:r>
          </w:p>
        </w:tc>
      </w:tr>
      <w:tr w:rsidR="009C6940" w:rsidRPr="00EF7969" w14:paraId="143FB807" w14:textId="77777777" w:rsidTr="009C6940">
        <w:tc>
          <w:tcPr>
            <w:tcW w:w="8789" w:type="dxa"/>
            <w:tcBorders>
              <w:top w:val="nil"/>
              <w:left w:val="nil"/>
              <w:bottom w:val="single" w:sz="6" w:space="0" w:color="78A22F"/>
              <w:right w:val="nil"/>
            </w:tcBorders>
            <w:shd w:val="clear" w:color="auto" w:fill="auto"/>
          </w:tcPr>
          <w:p w14:paraId="79718D1E" w14:textId="77777777" w:rsidR="009C6940" w:rsidRPr="00EF7969" w:rsidRDefault="009C6940" w:rsidP="009C6940">
            <w:pPr>
              <w:pStyle w:val="Box"/>
              <w:spacing w:before="0" w:line="120" w:lineRule="exact"/>
            </w:pPr>
          </w:p>
        </w:tc>
      </w:tr>
      <w:tr w:rsidR="009C6940" w:rsidRPr="00EF7969" w14:paraId="35ECA124" w14:textId="77777777" w:rsidTr="009C6940">
        <w:tc>
          <w:tcPr>
            <w:tcW w:w="8789" w:type="dxa"/>
            <w:tcBorders>
              <w:top w:val="single" w:sz="6" w:space="0" w:color="78A22F"/>
              <w:left w:val="nil"/>
              <w:bottom w:val="nil"/>
              <w:right w:val="nil"/>
            </w:tcBorders>
          </w:tcPr>
          <w:p w14:paraId="6B83AF65" w14:textId="77777777" w:rsidR="009C6940" w:rsidRPr="00EF7969" w:rsidRDefault="009C6940" w:rsidP="009C6940">
            <w:pPr>
              <w:pStyle w:val="BoxSpaceBelow"/>
            </w:pPr>
          </w:p>
        </w:tc>
      </w:tr>
    </w:tbl>
    <w:p w14:paraId="51EEA7D6"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44A0BCB0" w14:textId="77777777" w:rsidTr="009C6940">
        <w:trPr>
          <w:tblHeader/>
        </w:trPr>
        <w:tc>
          <w:tcPr>
            <w:tcW w:w="8789" w:type="dxa"/>
            <w:tcBorders>
              <w:top w:val="single" w:sz="6" w:space="0" w:color="78A22F"/>
              <w:left w:val="nil"/>
              <w:bottom w:val="nil"/>
              <w:right w:val="nil"/>
            </w:tcBorders>
            <w:shd w:val="clear" w:color="auto" w:fill="auto"/>
          </w:tcPr>
          <w:p w14:paraId="4BA99AB4"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5385442F"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230C76A4"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657388D9"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1C55CFAA" w14:textId="77777777" w:rsidR="009C6940" w:rsidRPr="00EF7969" w:rsidRDefault="009C6940" w:rsidP="009C6940">
                  <w:pPr>
                    <w:pStyle w:val="TableColumnHeading"/>
                    <w:ind w:right="28"/>
                  </w:pPr>
                  <w:r w:rsidRPr="00EF7969">
                    <w:t>Submission no.</w:t>
                  </w:r>
                </w:p>
              </w:tc>
            </w:tr>
            <w:tr w:rsidR="009C6940" w:rsidRPr="00EF7969" w14:paraId="2C2FA967" w14:textId="77777777" w:rsidTr="009C6940">
              <w:trPr>
                <w:tblHeader/>
              </w:trPr>
              <w:tc>
                <w:tcPr>
                  <w:tcW w:w="6377" w:type="dxa"/>
                  <w:tcBorders>
                    <w:top w:val="single" w:sz="6" w:space="0" w:color="BFBFBF"/>
                  </w:tcBorders>
                  <w:shd w:val="clear" w:color="auto" w:fill="auto"/>
                  <w:tcMar>
                    <w:top w:w="28" w:type="dxa"/>
                  </w:tcMar>
                </w:tcPr>
                <w:p w14:paraId="303028CD" w14:textId="77777777" w:rsidR="009C6940" w:rsidRPr="00EF7969" w:rsidRDefault="009C6940" w:rsidP="009C6940">
                  <w:pPr>
                    <w:pStyle w:val="TableBodyText"/>
                    <w:spacing w:before="40"/>
                    <w:jc w:val="left"/>
                  </w:pPr>
                  <w:r w:rsidRPr="00EF7969">
                    <w:t>Open Minds Australia</w:t>
                  </w:r>
                </w:p>
              </w:tc>
              <w:tc>
                <w:tcPr>
                  <w:tcW w:w="2126" w:type="dxa"/>
                  <w:tcBorders>
                    <w:top w:val="single" w:sz="6" w:space="0" w:color="BFBFBF"/>
                  </w:tcBorders>
                  <w:shd w:val="clear" w:color="auto" w:fill="auto"/>
                  <w:tcMar>
                    <w:top w:w="28" w:type="dxa"/>
                  </w:tcMar>
                </w:tcPr>
                <w:p w14:paraId="429A154B" w14:textId="77777777" w:rsidR="009C6940" w:rsidRPr="00EF7969" w:rsidRDefault="009C6940" w:rsidP="009C6940">
                  <w:pPr>
                    <w:pStyle w:val="TableBodyText"/>
                    <w:spacing w:before="40"/>
                  </w:pPr>
                  <w:r w:rsidRPr="00EF7969">
                    <w:t>900</w:t>
                  </w:r>
                </w:p>
              </w:tc>
            </w:tr>
            <w:tr w:rsidR="009C6940" w:rsidRPr="00EF7969" w14:paraId="36A19C4A" w14:textId="77777777" w:rsidTr="009C6940">
              <w:trPr>
                <w:tblHeader/>
              </w:trPr>
              <w:tc>
                <w:tcPr>
                  <w:tcW w:w="6377" w:type="dxa"/>
                  <w:shd w:val="clear" w:color="auto" w:fill="auto"/>
                  <w:tcMar>
                    <w:top w:w="28" w:type="dxa"/>
                  </w:tcMar>
                </w:tcPr>
                <w:p w14:paraId="3B828F03" w14:textId="77777777" w:rsidR="009C6940" w:rsidRPr="00EF7969" w:rsidRDefault="009C6940" w:rsidP="009C6940">
                  <w:pPr>
                    <w:pStyle w:val="TableBodyText"/>
                    <w:jc w:val="left"/>
                  </w:pPr>
                  <w:r w:rsidRPr="00EF7969">
                    <w:t>Orygen</w:t>
                  </w:r>
                </w:p>
              </w:tc>
              <w:tc>
                <w:tcPr>
                  <w:tcW w:w="2126" w:type="dxa"/>
                  <w:shd w:val="clear" w:color="auto" w:fill="auto"/>
                  <w:tcMar>
                    <w:top w:w="28" w:type="dxa"/>
                  </w:tcMar>
                </w:tcPr>
                <w:p w14:paraId="1AB54194" w14:textId="77777777" w:rsidR="009C6940" w:rsidRPr="00EF7969" w:rsidRDefault="009C6940" w:rsidP="009C6940">
                  <w:pPr>
                    <w:pStyle w:val="TableBodyText"/>
                  </w:pPr>
                  <w:r w:rsidRPr="00EF7969">
                    <w:t>1110</w:t>
                  </w:r>
                </w:p>
              </w:tc>
            </w:tr>
            <w:tr w:rsidR="009C6940" w:rsidRPr="00EF7969" w14:paraId="3198C445" w14:textId="77777777" w:rsidTr="009C6940">
              <w:tc>
                <w:tcPr>
                  <w:tcW w:w="6377" w:type="dxa"/>
                  <w:shd w:val="clear" w:color="auto" w:fill="auto"/>
                </w:tcPr>
                <w:p w14:paraId="70F58E55" w14:textId="77777777" w:rsidR="009C6940" w:rsidRPr="00EF7969" w:rsidRDefault="009C6940" w:rsidP="009C6940">
                  <w:pPr>
                    <w:pStyle w:val="TableBodyText"/>
                    <w:jc w:val="left"/>
                  </w:pPr>
                  <w:r w:rsidRPr="00EF7969">
                    <w:t>Orygen, The National Centre for Excellence in Youth Mental Health and headspace, National Youth Mental Health Foundation (Joint submission)</w:t>
                  </w:r>
                </w:p>
              </w:tc>
              <w:tc>
                <w:tcPr>
                  <w:tcW w:w="2126" w:type="dxa"/>
                  <w:shd w:val="clear" w:color="auto" w:fill="auto"/>
                </w:tcPr>
                <w:p w14:paraId="17624FB6" w14:textId="77777777" w:rsidR="009C6940" w:rsidRPr="00EF7969" w:rsidRDefault="009C6940" w:rsidP="009C6940">
                  <w:pPr>
                    <w:pStyle w:val="TableBodyText"/>
                  </w:pPr>
                  <w:r w:rsidRPr="00EF7969">
                    <w:t>204</w:t>
                  </w:r>
                </w:p>
              </w:tc>
            </w:tr>
            <w:tr w:rsidR="009C6940" w:rsidRPr="00EF7969" w14:paraId="087A5AA6" w14:textId="77777777" w:rsidTr="009C6940">
              <w:tc>
                <w:tcPr>
                  <w:tcW w:w="6377" w:type="dxa"/>
                  <w:shd w:val="clear" w:color="auto" w:fill="auto"/>
                </w:tcPr>
                <w:p w14:paraId="4CAE6C06" w14:textId="77777777" w:rsidR="009C6940" w:rsidRPr="00EF7969" w:rsidRDefault="009C6940" w:rsidP="009C6940">
                  <w:pPr>
                    <w:pStyle w:val="TableBodyText"/>
                    <w:jc w:val="left"/>
                  </w:pPr>
                  <w:r w:rsidRPr="00EF7969">
                    <w:t>Outback Futures</w:t>
                  </w:r>
                </w:p>
              </w:tc>
              <w:tc>
                <w:tcPr>
                  <w:tcW w:w="2126" w:type="dxa"/>
                  <w:shd w:val="clear" w:color="auto" w:fill="auto"/>
                </w:tcPr>
                <w:p w14:paraId="5A72FDAA" w14:textId="77777777" w:rsidR="009C6940" w:rsidRPr="00EF7969" w:rsidRDefault="009C6940" w:rsidP="009C6940">
                  <w:pPr>
                    <w:pStyle w:val="TableBodyText"/>
                  </w:pPr>
                  <w:r w:rsidRPr="00EF7969">
                    <w:t>107</w:t>
                  </w:r>
                </w:p>
              </w:tc>
            </w:tr>
            <w:tr w:rsidR="009C6940" w:rsidRPr="00EF7969" w14:paraId="488C93E6" w14:textId="77777777" w:rsidTr="009C6940">
              <w:tc>
                <w:tcPr>
                  <w:tcW w:w="6377" w:type="dxa"/>
                  <w:shd w:val="clear" w:color="auto" w:fill="auto"/>
                </w:tcPr>
                <w:p w14:paraId="58F43765" w14:textId="77777777" w:rsidR="009C6940" w:rsidRPr="00EF7969" w:rsidRDefault="009C6940" w:rsidP="009C6940">
                  <w:pPr>
                    <w:pStyle w:val="TableBodyText"/>
                    <w:jc w:val="left"/>
                  </w:pPr>
                  <w:r w:rsidRPr="00EF7969">
                    <w:t>OzHelp Foundation</w:t>
                  </w:r>
                </w:p>
              </w:tc>
              <w:tc>
                <w:tcPr>
                  <w:tcW w:w="2126" w:type="dxa"/>
                  <w:shd w:val="clear" w:color="auto" w:fill="auto"/>
                </w:tcPr>
                <w:p w14:paraId="2BFDF429" w14:textId="77777777" w:rsidR="009C6940" w:rsidRPr="00EF7969" w:rsidRDefault="009C6940" w:rsidP="009C6940">
                  <w:pPr>
                    <w:pStyle w:val="TableBodyText"/>
                  </w:pPr>
                  <w:r w:rsidRPr="00EF7969">
                    <w:t>294</w:t>
                  </w:r>
                </w:p>
              </w:tc>
            </w:tr>
            <w:tr w:rsidR="009C6940" w:rsidRPr="00EF7969" w14:paraId="03FD4121" w14:textId="77777777" w:rsidTr="009C6940">
              <w:tc>
                <w:tcPr>
                  <w:tcW w:w="6377" w:type="dxa"/>
                  <w:shd w:val="clear" w:color="auto" w:fill="auto"/>
                </w:tcPr>
                <w:p w14:paraId="5412B193" w14:textId="77777777" w:rsidR="009C6940" w:rsidRPr="00EF7969" w:rsidRDefault="009C6940" w:rsidP="009C6940">
                  <w:pPr>
                    <w:pStyle w:val="TableBodyText"/>
                    <w:jc w:val="left"/>
                  </w:pPr>
                  <w:r w:rsidRPr="00EF7969">
                    <w:t>P Barkus</w:t>
                  </w:r>
                </w:p>
              </w:tc>
              <w:tc>
                <w:tcPr>
                  <w:tcW w:w="2126" w:type="dxa"/>
                  <w:shd w:val="clear" w:color="auto" w:fill="auto"/>
                </w:tcPr>
                <w:p w14:paraId="6C333821" w14:textId="77777777" w:rsidR="009C6940" w:rsidRPr="00EF7969" w:rsidRDefault="009C6940" w:rsidP="009C6940">
                  <w:pPr>
                    <w:pStyle w:val="TableBodyText"/>
                  </w:pPr>
                  <w:r w:rsidRPr="00EF7969">
                    <w:t>1164</w:t>
                  </w:r>
                </w:p>
              </w:tc>
            </w:tr>
            <w:tr w:rsidR="009C6940" w:rsidRPr="00EF7969" w14:paraId="0BF3E1CF" w14:textId="77777777" w:rsidTr="009C6940">
              <w:tc>
                <w:tcPr>
                  <w:tcW w:w="6377" w:type="dxa"/>
                  <w:shd w:val="clear" w:color="auto" w:fill="auto"/>
                </w:tcPr>
                <w:p w14:paraId="25B83B46" w14:textId="77777777" w:rsidR="009C6940" w:rsidRPr="00EF7969" w:rsidRDefault="009C6940" w:rsidP="009C6940">
                  <w:pPr>
                    <w:pStyle w:val="TableBodyText"/>
                    <w:jc w:val="left"/>
                  </w:pPr>
                  <w:r w:rsidRPr="00EF7969">
                    <w:t>Pain NT</w:t>
                  </w:r>
                </w:p>
              </w:tc>
              <w:tc>
                <w:tcPr>
                  <w:tcW w:w="2126" w:type="dxa"/>
                  <w:shd w:val="clear" w:color="auto" w:fill="auto"/>
                </w:tcPr>
                <w:p w14:paraId="27C6AD52" w14:textId="77777777" w:rsidR="009C6940" w:rsidRPr="00EF7969" w:rsidRDefault="009C6940" w:rsidP="009C6940">
                  <w:pPr>
                    <w:pStyle w:val="TableBodyText"/>
                  </w:pPr>
                  <w:r w:rsidRPr="00EF7969">
                    <w:t>189</w:t>
                  </w:r>
                </w:p>
              </w:tc>
            </w:tr>
            <w:tr w:rsidR="009C6940" w:rsidRPr="00EF7969" w14:paraId="5749CA27" w14:textId="77777777" w:rsidTr="009C6940">
              <w:tc>
                <w:tcPr>
                  <w:tcW w:w="6377" w:type="dxa"/>
                  <w:shd w:val="clear" w:color="auto" w:fill="auto"/>
                </w:tcPr>
                <w:p w14:paraId="262A6C76" w14:textId="77777777" w:rsidR="009C6940" w:rsidRPr="00EF7969" w:rsidRDefault="009C6940" w:rsidP="009C6940">
                  <w:pPr>
                    <w:pStyle w:val="TableBodyText"/>
                    <w:jc w:val="left"/>
                  </w:pPr>
                  <w:r w:rsidRPr="00EF7969">
                    <w:t>Painaustralia</w:t>
                  </w:r>
                </w:p>
              </w:tc>
              <w:tc>
                <w:tcPr>
                  <w:tcW w:w="2126" w:type="dxa"/>
                  <w:shd w:val="clear" w:color="auto" w:fill="auto"/>
                </w:tcPr>
                <w:p w14:paraId="448FAF6D" w14:textId="77777777" w:rsidR="009C6940" w:rsidRPr="00EF7969" w:rsidRDefault="009C6940" w:rsidP="009C6940">
                  <w:pPr>
                    <w:pStyle w:val="TableBodyText"/>
                  </w:pPr>
                  <w:r w:rsidRPr="00EF7969">
                    <w:t>172, 680</w:t>
                  </w:r>
                </w:p>
              </w:tc>
            </w:tr>
            <w:tr w:rsidR="009C6940" w:rsidRPr="00EF7969" w14:paraId="0089CCAD" w14:textId="77777777" w:rsidTr="009C6940">
              <w:tc>
                <w:tcPr>
                  <w:tcW w:w="6377" w:type="dxa"/>
                  <w:shd w:val="clear" w:color="auto" w:fill="auto"/>
                </w:tcPr>
                <w:p w14:paraId="44DD270A" w14:textId="77777777" w:rsidR="009C6940" w:rsidRPr="00EF7969" w:rsidRDefault="009C6940" w:rsidP="009C6940">
                  <w:pPr>
                    <w:pStyle w:val="TableBodyText"/>
                    <w:jc w:val="left"/>
                  </w:pPr>
                  <w:r w:rsidRPr="00EF7969">
                    <w:t>Pamela Bird</w:t>
                  </w:r>
                </w:p>
              </w:tc>
              <w:tc>
                <w:tcPr>
                  <w:tcW w:w="2126" w:type="dxa"/>
                  <w:shd w:val="clear" w:color="auto" w:fill="auto"/>
                </w:tcPr>
                <w:p w14:paraId="732F818C" w14:textId="77777777" w:rsidR="009C6940" w:rsidRPr="00EF7969" w:rsidRDefault="009C6940" w:rsidP="009C6940">
                  <w:pPr>
                    <w:pStyle w:val="TableBodyText"/>
                  </w:pPr>
                  <w:r w:rsidRPr="00EF7969">
                    <w:t>576</w:t>
                  </w:r>
                </w:p>
              </w:tc>
            </w:tr>
            <w:tr w:rsidR="009C6940" w:rsidRPr="00EF7969" w14:paraId="57D1CA72" w14:textId="77777777" w:rsidTr="009C6940">
              <w:tc>
                <w:tcPr>
                  <w:tcW w:w="6377" w:type="dxa"/>
                  <w:shd w:val="clear" w:color="auto" w:fill="auto"/>
                </w:tcPr>
                <w:p w14:paraId="417DC338" w14:textId="77777777" w:rsidR="009C6940" w:rsidRPr="00EF7969" w:rsidRDefault="009C6940" w:rsidP="009C6940">
                  <w:pPr>
                    <w:pStyle w:val="TableBodyText"/>
                    <w:jc w:val="left"/>
                  </w:pPr>
                  <w:r w:rsidRPr="00EF7969">
                    <w:t>Parents Living with Suicide Australia (PLWSA)</w:t>
                  </w:r>
                </w:p>
              </w:tc>
              <w:tc>
                <w:tcPr>
                  <w:tcW w:w="2126" w:type="dxa"/>
                  <w:shd w:val="clear" w:color="auto" w:fill="auto"/>
                </w:tcPr>
                <w:p w14:paraId="10B701EE" w14:textId="77777777" w:rsidR="009C6940" w:rsidRPr="00EF7969" w:rsidRDefault="009C6940" w:rsidP="009C6940">
                  <w:pPr>
                    <w:pStyle w:val="TableBodyText"/>
                  </w:pPr>
                  <w:r w:rsidRPr="00EF7969">
                    <w:t>609</w:t>
                  </w:r>
                </w:p>
              </w:tc>
            </w:tr>
            <w:tr w:rsidR="009C6940" w:rsidRPr="00EF7969" w14:paraId="65D63C42" w14:textId="77777777" w:rsidTr="009C6940">
              <w:tc>
                <w:tcPr>
                  <w:tcW w:w="6377" w:type="dxa"/>
                  <w:shd w:val="clear" w:color="auto" w:fill="auto"/>
                </w:tcPr>
                <w:p w14:paraId="26506017" w14:textId="77777777" w:rsidR="009C6940" w:rsidRPr="00EF7969" w:rsidRDefault="009C6940" w:rsidP="009C6940">
                  <w:pPr>
                    <w:pStyle w:val="TableBodyText"/>
                    <w:jc w:val="left"/>
                  </w:pPr>
                  <w:r w:rsidRPr="00EF7969">
                    <w:t>Parks Clinics</w:t>
                  </w:r>
                </w:p>
              </w:tc>
              <w:tc>
                <w:tcPr>
                  <w:tcW w:w="2126" w:type="dxa"/>
                  <w:shd w:val="clear" w:color="auto" w:fill="auto"/>
                </w:tcPr>
                <w:p w14:paraId="748322AD" w14:textId="77777777" w:rsidR="009C6940" w:rsidRPr="00EF7969" w:rsidRDefault="009C6940" w:rsidP="009C6940">
                  <w:pPr>
                    <w:pStyle w:val="TableBodyText"/>
                  </w:pPr>
                  <w:r w:rsidRPr="00EF7969">
                    <w:t>263</w:t>
                  </w:r>
                </w:p>
              </w:tc>
            </w:tr>
            <w:tr w:rsidR="009C6940" w:rsidRPr="00EF7969" w14:paraId="79EF138B" w14:textId="77777777" w:rsidTr="009C6940">
              <w:tc>
                <w:tcPr>
                  <w:tcW w:w="6377" w:type="dxa"/>
                  <w:shd w:val="clear" w:color="auto" w:fill="auto"/>
                </w:tcPr>
                <w:p w14:paraId="66D2A217" w14:textId="77777777" w:rsidR="009C6940" w:rsidRPr="00EF7969" w:rsidRDefault="009C6940" w:rsidP="009C6940">
                  <w:pPr>
                    <w:pStyle w:val="TableBodyText"/>
                    <w:jc w:val="left"/>
                  </w:pPr>
                  <w:r w:rsidRPr="00EF7969">
                    <w:t>Patricia Baird</w:t>
                  </w:r>
                </w:p>
              </w:tc>
              <w:tc>
                <w:tcPr>
                  <w:tcW w:w="2126" w:type="dxa"/>
                  <w:shd w:val="clear" w:color="auto" w:fill="auto"/>
                </w:tcPr>
                <w:p w14:paraId="39A13EB2" w14:textId="77777777" w:rsidR="009C6940" w:rsidRPr="00EF7969" w:rsidRDefault="009C6940" w:rsidP="009C6940">
                  <w:pPr>
                    <w:pStyle w:val="TableBodyText"/>
                  </w:pPr>
                  <w:r w:rsidRPr="00EF7969">
                    <w:t>188</w:t>
                  </w:r>
                </w:p>
              </w:tc>
            </w:tr>
            <w:tr w:rsidR="009C6940" w:rsidRPr="00EF7969" w14:paraId="09F5B52F" w14:textId="77777777" w:rsidTr="009C6940">
              <w:tc>
                <w:tcPr>
                  <w:tcW w:w="6377" w:type="dxa"/>
                  <w:shd w:val="clear" w:color="auto" w:fill="auto"/>
                </w:tcPr>
                <w:p w14:paraId="63CDB660" w14:textId="77777777" w:rsidR="009C6940" w:rsidRPr="00EF7969" w:rsidRDefault="009C6940" w:rsidP="009C6940">
                  <w:pPr>
                    <w:pStyle w:val="TableBodyText"/>
                    <w:jc w:val="left"/>
                  </w:pPr>
                  <w:r w:rsidRPr="00EF7969">
                    <w:t>Patricia Sutton</w:t>
                  </w:r>
                </w:p>
              </w:tc>
              <w:tc>
                <w:tcPr>
                  <w:tcW w:w="2126" w:type="dxa"/>
                  <w:shd w:val="clear" w:color="auto" w:fill="auto"/>
                </w:tcPr>
                <w:p w14:paraId="65DA7CE1" w14:textId="77777777" w:rsidR="009C6940" w:rsidRPr="00EF7969" w:rsidRDefault="009C6940" w:rsidP="009C6940">
                  <w:pPr>
                    <w:pStyle w:val="TableBodyText"/>
                  </w:pPr>
                  <w:r w:rsidRPr="00EF7969">
                    <w:t>173</w:t>
                  </w:r>
                </w:p>
              </w:tc>
            </w:tr>
            <w:tr w:rsidR="009C6940" w:rsidRPr="00EF7969" w14:paraId="4AF79F5D" w14:textId="77777777" w:rsidTr="009C6940">
              <w:tc>
                <w:tcPr>
                  <w:tcW w:w="6377" w:type="dxa"/>
                  <w:shd w:val="clear" w:color="auto" w:fill="auto"/>
                </w:tcPr>
                <w:p w14:paraId="32347FB3" w14:textId="77777777" w:rsidR="009C6940" w:rsidRPr="00EF7969" w:rsidRDefault="009C6940" w:rsidP="009C6940">
                  <w:pPr>
                    <w:pStyle w:val="TableBodyText"/>
                    <w:jc w:val="left"/>
                  </w:pPr>
                  <w:r w:rsidRPr="00EF7969">
                    <w:t>Patrick Jarvis</w:t>
                  </w:r>
                </w:p>
              </w:tc>
              <w:tc>
                <w:tcPr>
                  <w:tcW w:w="2126" w:type="dxa"/>
                  <w:shd w:val="clear" w:color="auto" w:fill="auto"/>
                </w:tcPr>
                <w:p w14:paraId="2313D5A3" w14:textId="77777777" w:rsidR="009C6940" w:rsidRPr="00EF7969" w:rsidRDefault="009C6940" w:rsidP="009C6940">
                  <w:pPr>
                    <w:pStyle w:val="TableBodyText"/>
                  </w:pPr>
                  <w:r w:rsidRPr="00EF7969">
                    <w:t>1030</w:t>
                  </w:r>
                </w:p>
              </w:tc>
            </w:tr>
            <w:tr w:rsidR="009C6940" w:rsidRPr="00EF7969" w14:paraId="75441C5A" w14:textId="77777777" w:rsidTr="009C6940">
              <w:tc>
                <w:tcPr>
                  <w:tcW w:w="6377" w:type="dxa"/>
                  <w:shd w:val="clear" w:color="auto" w:fill="auto"/>
                </w:tcPr>
                <w:p w14:paraId="18A981C3" w14:textId="77777777" w:rsidR="009C6940" w:rsidRPr="00EF7969" w:rsidRDefault="009C6940" w:rsidP="009C6940">
                  <w:pPr>
                    <w:pStyle w:val="TableBodyText"/>
                    <w:jc w:val="left"/>
                  </w:pPr>
                  <w:r w:rsidRPr="00EF7969">
                    <w:t>Patrick O’Connor</w:t>
                  </w:r>
                </w:p>
              </w:tc>
              <w:tc>
                <w:tcPr>
                  <w:tcW w:w="2126" w:type="dxa"/>
                  <w:shd w:val="clear" w:color="auto" w:fill="auto"/>
                </w:tcPr>
                <w:p w14:paraId="39E3DA8D" w14:textId="77777777" w:rsidR="009C6940" w:rsidRPr="00EF7969" w:rsidRDefault="009C6940" w:rsidP="009C6940">
                  <w:pPr>
                    <w:pStyle w:val="TableBodyText"/>
                  </w:pPr>
                  <w:r w:rsidRPr="00EF7969">
                    <w:t>497</w:t>
                  </w:r>
                </w:p>
              </w:tc>
            </w:tr>
            <w:tr w:rsidR="009C6940" w:rsidRPr="00EF7969" w14:paraId="686F9F90" w14:textId="77777777" w:rsidTr="009C6940">
              <w:tc>
                <w:tcPr>
                  <w:tcW w:w="6377" w:type="dxa"/>
                  <w:shd w:val="clear" w:color="auto" w:fill="auto"/>
                </w:tcPr>
                <w:p w14:paraId="51008D53" w14:textId="77777777" w:rsidR="009C6940" w:rsidRPr="00EF7969" w:rsidRDefault="009C6940" w:rsidP="009C6940">
                  <w:pPr>
                    <w:pStyle w:val="TableBodyText"/>
                    <w:jc w:val="left"/>
                  </w:pPr>
                  <w:r w:rsidRPr="00EF7969">
                    <w:t>Paul Chapman</w:t>
                  </w:r>
                </w:p>
              </w:tc>
              <w:tc>
                <w:tcPr>
                  <w:tcW w:w="2126" w:type="dxa"/>
                  <w:shd w:val="clear" w:color="auto" w:fill="auto"/>
                </w:tcPr>
                <w:p w14:paraId="1D3A80E5" w14:textId="77777777" w:rsidR="009C6940" w:rsidRPr="00EF7969" w:rsidRDefault="009C6940" w:rsidP="009C6940">
                  <w:pPr>
                    <w:pStyle w:val="TableBodyText"/>
                  </w:pPr>
                  <w:r w:rsidRPr="00EF7969">
                    <w:t>1094</w:t>
                  </w:r>
                </w:p>
              </w:tc>
            </w:tr>
            <w:tr w:rsidR="009C6940" w:rsidRPr="00EF7969" w14:paraId="7CF5E3BB" w14:textId="77777777" w:rsidTr="009C6940">
              <w:tc>
                <w:tcPr>
                  <w:tcW w:w="6377" w:type="dxa"/>
                  <w:shd w:val="clear" w:color="auto" w:fill="auto"/>
                </w:tcPr>
                <w:p w14:paraId="1D49575E" w14:textId="77777777" w:rsidR="009C6940" w:rsidRPr="00EF7969" w:rsidRDefault="009C6940" w:rsidP="009C6940">
                  <w:pPr>
                    <w:pStyle w:val="TableBodyText"/>
                    <w:jc w:val="left"/>
                  </w:pPr>
                  <w:r w:rsidRPr="00EF7969">
                    <w:t>Paul Gray</w:t>
                  </w:r>
                </w:p>
              </w:tc>
              <w:tc>
                <w:tcPr>
                  <w:tcW w:w="2126" w:type="dxa"/>
                  <w:shd w:val="clear" w:color="auto" w:fill="auto"/>
                </w:tcPr>
                <w:p w14:paraId="21A974E3" w14:textId="77777777" w:rsidR="009C6940" w:rsidRPr="00EF7969" w:rsidRDefault="009C6940" w:rsidP="009C6940">
                  <w:pPr>
                    <w:pStyle w:val="TableBodyText"/>
                  </w:pPr>
                  <w:r w:rsidRPr="00EF7969">
                    <w:t>86</w:t>
                  </w:r>
                </w:p>
              </w:tc>
            </w:tr>
            <w:tr w:rsidR="009C6940" w:rsidRPr="00EF7969" w14:paraId="45782423" w14:textId="77777777" w:rsidTr="009C6940">
              <w:tc>
                <w:tcPr>
                  <w:tcW w:w="6377" w:type="dxa"/>
                  <w:shd w:val="clear" w:color="auto" w:fill="auto"/>
                </w:tcPr>
                <w:p w14:paraId="002E70C7" w14:textId="77777777" w:rsidR="009C6940" w:rsidRPr="00EF7969" w:rsidRDefault="009C6940" w:rsidP="009C6940">
                  <w:pPr>
                    <w:pStyle w:val="TableBodyText"/>
                    <w:jc w:val="left"/>
                  </w:pPr>
                  <w:r w:rsidRPr="00EF7969">
                    <w:t>Paul Haber and Katherine Conigrave</w:t>
                  </w:r>
                </w:p>
              </w:tc>
              <w:tc>
                <w:tcPr>
                  <w:tcW w:w="2126" w:type="dxa"/>
                  <w:shd w:val="clear" w:color="auto" w:fill="auto"/>
                </w:tcPr>
                <w:p w14:paraId="10A92EE1" w14:textId="77777777" w:rsidR="009C6940" w:rsidRPr="00EF7969" w:rsidRDefault="009C6940" w:rsidP="009C6940">
                  <w:pPr>
                    <w:pStyle w:val="TableBodyText"/>
                  </w:pPr>
                  <w:r w:rsidRPr="00EF7969">
                    <w:t>655</w:t>
                  </w:r>
                </w:p>
              </w:tc>
            </w:tr>
            <w:tr w:rsidR="009C6940" w:rsidRPr="00EF7969" w14:paraId="19AC9A16" w14:textId="77777777" w:rsidTr="009C6940">
              <w:tc>
                <w:tcPr>
                  <w:tcW w:w="6377" w:type="dxa"/>
                  <w:shd w:val="clear" w:color="auto" w:fill="auto"/>
                </w:tcPr>
                <w:p w14:paraId="2D0F35FA" w14:textId="77777777" w:rsidR="009C6940" w:rsidRPr="00EF7969" w:rsidRDefault="009C6940" w:rsidP="009C6940">
                  <w:pPr>
                    <w:pStyle w:val="TableBodyText"/>
                    <w:jc w:val="left"/>
                  </w:pPr>
                  <w:r w:rsidRPr="00EF7969">
                    <w:t>Paul Raftery</w:t>
                  </w:r>
                </w:p>
              </w:tc>
              <w:tc>
                <w:tcPr>
                  <w:tcW w:w="2126" w:type="dxa"/>
                  <w:shd w:val="clear" w:color="auto" w:fill="auto"/>
                </w:tcPr>
                <w:p w14:paraId="3B968D04" w14:textId="77777777" w:rsidR="009C6940" w:rsidRPr="00EF7969" w:rsidRDefault="009C6940" w:rsidP="009C6940">
                  <w:pPr>
                    <w:pStyle w:val="TableBodyText"/>
                  </w:pPr>
                  <w:r w:rsidRPr="00EF7969">
                    <w:t>962, 1019</w:t>
                  </w:r>
                </w:p>
              </w:tc>
            </w:tr>
            <w:tr w:rsidR="009C6940" w:rsidRPr="00EF7969" w14:paraId="21880FCC" w14:textId="77777777" w:rsidTr="009C6940">
              <w:tc>
                <w:tcPr>
                  <w:tcW w:w="6377" w:type="dxa"/>
                  <w:shd w:val="clear" w:color="auto" w:fill="auto"/>
                </w:tcPr>
                <w:p w14:paraId="0DA00A59" w14:textId="77777777" w:rsidR="009C6940" w:rsidRPr="00EF7969" w:rsidRDefault="009C6940" w:rsidP="009C6940">
                  <w:pPr>
                    <w:pStyle w:val="TableBodyText"/>
                    <w:jc w:val="left"/>
                  </w:pPr>
                  <w:r w:rsidRPr="00EF7969">
                    <w:t>Paul Reid</w:t>
                  </w:r>
                </w:p>
              </w:tc>
              <w:tc>
                <w:tcPr>
                  <w:tcW w:w="2126" w:type="dxa"/>
                  <w:shd w:val="clear" w:color="auto" w:fill="auto"/>
                </w:tcPr>
                <w:p w14:paraId="4FB9AF54" w14:textId="77777777" w:rsidR="009C6940" w:rsidRPr="00EF7969" w:rsidRDefault="009C6940" w:rsidP="009C6940">
                  <w:pPr>
                    <w:pStyle w:val="TableBodyText"/>
                  </w:pPr>
                  <w:r w:rsidRPr="00EF7969">
                    <w:t>990</w:t>
                  </w:r>
                </w:p>
              </w:tc>
            </w:tr>
            <w:tr w:rsidR="009C6940" w:rsidRPr="00EF7969" w14:paraId="6BF1661C" w14:textId="77777777" w:rsidTr="009C6940">
              <w:tc>
                <w:tcPr>
                  <w:tcW w:w="6377" w:type="dxa"/>
                  <w:shd w:val="clear" w:color="auto" w:fill="auto"/>
                </w:tcPr>
                <w:p w14:paraId="7BD2B642" w14:textId="77777777" w:rsidR="009C6940" w:rsidRPr="00EF7969" w:rsidRDefault="009C6940" w:rsidP="009C6940">
                  <w:pPr>
                    <w:pStyle w:val="TableBodyText"/>
                    <w:jc w:val="left"/>
                  </w:pPr>
                  <w:r w:rsidRPr="00EF7969">
                    <w:t>Paul Salsano</w:t>
                  </w:r>
                </w:p>
              </w:tc>
              <w:tc>
                <w:tcPr>
                  <w:tcW w:w="2126" w:type="dxa"/>
                  <w:shd w:val="clear" w:color="auto" w:fill="auto"/>
                </w:tcPr>
                <w:p w14:paraId="5DA7082C" w14:textId="77777777" w:rsidR="009C6940" w:rsidRPr="00EF7969" w:rsidRDefault="009C6940" w:rsidP="009C6940">
                  <w:pPr>
                    <w:pStyle w:val="TableBodyText"/>
                  </w:pPr>
                  <w:r w:rsidRPr="00EF7969">
                    <w:t>545</w:t>
                  </w:r>
                </w:p>
              </w:tc>
            </w:tr>
            <w:tr w:rsidR="009C6940" w:rsidRPr="00EF7969" w14:paraId="09E2F5B8" w14:textId="77777777" w:rsidTr="009C6940">
              <w:tc>
                <w:tcPr>
                  <w:tcW w:w="6377" w:type="dxa"/>
                  <w:shd w:val="clear" w:color="auto" w:fill="auto"/>
                </w:tcPr>
                <w:p w14:paraId="26E7301E" w14:textId="77777777" w:rsidR="009C6940" w:rsidRPr="00EF7969" w:rsidRDefault="009C6940" w:rsidP="009C6940">
                  <w:pPr>
                    <w:pStyle w:val="TableBodyText"/>
                    <w:jc w:val="left"/>
                  </w:pPr>
                  <w:r w:rsidRPr="00EF7969">
                    <w:t>Paul Shiel</w:t>
                  </w:r>
                </w:p>
              </w:tc>
              <w:tc>
                <w:tcPr>
                  <w:tcW w:w="2126" w:type="dxa"/>
                  <w:shd w:val="clear" w:color="auto" w:fill="auto"/>
                </w:tcPr>
                <w:p w14:paraId="0E2DB0C4" w14:textId="77777777" w:rsidR="009C6940" w:rsidRPr="00EF7969" w:rsidRDefault="009C6940" w:rsidP="009C6940">
                  <w:pPr>
                    <w:pStyle w:val="TableBodyText"/>
                  </w:pPr>
                  <w:r w:rsidRPr="00EF7969">
                    <w:t>1077</w:t>
                  </w:r>
                </w:p>
              </w:tc>
            </w:tr>
            <w:tr w:rsidR="009C6940" w:rsidRPr="00EF7969" w14:paraId="048C05ED" w14:textId="77777777" w:rsidTr="009C6940">
              <w:tc>
                <w:tcPr>
                  <w:tcW w:w="6377" w:type="dxa"/>
                  <w:shd w:val="clear" w:color="auto" w:fill="auto"/>
                </w:tcPr>
                <w:p w14:paraId="62F95541" w14:textId="77777777" w:rsidR="009C6940" w:rsidRPr="00EF7969" w:rsidRDefault="009C6940" w:rsidP="009C6940">
                  <w:pPr>
                    <w:pStyle w:val="TableBodyText"/>
                    <w:jc w:val="left"/>
                  </w:pPr>
                  <w:r w:rsidRPr="00EF7969">
                    <w:t>Paul Vittles</w:t>
                  </w:r>
                </w:p>
              </w:tc>
              <w:tc>
                <w:tcPr>
                  <w:tcW w:w="2126" w:type="dxa"/>
                  <w:shd w:val="clear" w:color="auto" w:fill="auto"/>
                </w:tcPr>
                <w:p w14:paraId="12488E69" w14:textId="77777777" w:rsidR="009C6940" w:rsidRPr="00EF7969" w:rsidRDefault="009C6940" w:rsidP="009C6940">
                  <w:pPr>
                    <w:pStyle w:val="TableBodyText"/>
                  </w:pPr>
                  <w:r w:rsidRPr="00EF7969">
                    <w:t>262</w:t>
                  </w:r>
                </w:p>
              </w:tc>
            </w:tr>
            <w:tr w:rsidR="009C6940" w:rsidRPr="00EF7969" w14:paraId="748BD084" w14:textId="77777777" w:rsidTr="009C6940">
              <w:tc>
                <w:tcPr>
                  <w:tcW w:w="6377" w:type="dxa"/>
                  <w:shd w:val="clear" w:color="auto" w:fill="auto"/>
                </w:tcPr>
                <w:p w14:paraId="0ACBF5EB" w14:textId="77777777" w:rsidR="009C6940" w:rsidRPr="00EF7969" w:rsidRDefault="009C6940" w:rsidP="009C6940">
                  <w:pPr>
                    <w:pStyle w:val="TableBodyText"/>
                    <w:jc w:val="left"/>
                  </w:pPr>
                  <w:r w:rsidRPr="00EF7969">
                    <w:t>Paula McLennan</w:t>
                  </w:r>
                </w:p>
              </w:tc>
              <w:tc>
                <w:tcPr>
                  <w:tcW w:w="2126" w:type="dxa"/>
                  <w:shd w:val="clear" w:color="auto" w:fill="auto"/>
                </w:tcPr>
                <w:p w14:paraId="4DA60147" w14:textId="77777777" w:rsidR="009C6940" w:rsidRPr="00EF7969" w:rsidRDefault="009C6940" w:rsidP="009C6940">
                  <w:pPr>
                    <w:pStyle w:val="TableBodyText"/>
                  </w:pPr>
                  <w:r w:rsidRPr="00EF7969">
                    <w:t>1101</w:t>
                  </w:r>
                </w:p>
              </w:tc>
            </w:tr>
            <w:tr w:rsidR="009C6940" w:rsidRPr="00EF7969" w14:paraId="6E01A542" w14:textId="77777777" w:rsidTr="009C6940">
              <w:tc>
                <w:tcPr>
                  <w:tcW w:w="6377" w:type="dxa"/>
                  <w:shd w:val="clear" w:color="auto" w:fill="auto"/>
                </w:tcPr>
                <w:p w14:paraId="32CB3BFC" w14:textId="77777777" w:rsidR="009C6940" w:rsidRPr="00EF7969" w:rsidRDefault="009C6940" w:rsidP="009C6940">
                  <w:pPr>
                    <w:pStyle w:val="TableBodyText"/>
                    <w:jc w:val="left"/>
                  </w:pPr>
                  <w:r w:rsidRPr="00EF7969">
                    <w:t>Pauline Maszlagi</w:t>
                  </w:r>
                </w:p>
              </w:tc>
              <w:tc>
                <w:tcPr>
                  <w:tcW w:w="2126" w:type="dxa"/>
                  <w:shd w:val="clear" w:color="auto" w:fill="auto"/>
                </w:tcPr>
                <w:p w14:paraId="39C8F8E8" w14:textId="77777777" w:rsidR="009C6940" w:rsidRPr="00EF7969" w:rsidRDefault="009C6940" w:rsidP="009C6940">
                  <w:pPr>
                    <w:pStyle w:val="TableBodyText"/>
                  </w:pPr>
                  <w:r w:rsidRPr="00EF7969">
                    <w:t>994</w:t>
                  </w:r>
                </w:p>
              </w:tc>
            </w:tr>
            <w:tr w:rsidR="009C6940" w:rsidRPr="00EF7969" w14:paraId="7BFB6473" w14:textId="77777777" w:rsidTr="009C6940">
              <w:tc>
                <w:tcPr>
                  <w:tcW w:w="6377" w:type="dxa"/>
                  <w:shd w:val="clear" w:color="auto" w:fill="auto"/>
                </w:tcPr>
                <w:p w14:paraId="502DD208" w14:textId="77777777" w:rsidR="009C6940" w:rsidRPr="00EF7969" w:rsidRDefault="009C6940" w:rsidP="009C6940">
                  <w:pPr>
                    <w:pStyle w:val="TableBodyText"/>
                    <w:jc w:val="left"/>
                  </w:pPr>
                  <w:r w:rsidRPr="00EF7969">
                    <w:t>Peer Participation in Mental Health Services Network (PPIMS)</w:t>
                  </w:r>
                </w:p>
              </w:tc>
              <w:tc>
                <w:tcPr>
                  <w:tcW w:w="2126" w:type="dxa"/>
                  <w:shd w:val="clear" w:color="auto" w:fill="auto"/>
                </w:tcPr>
                <w:p w14:paraId="08DF5CE5" w14:textId="77777777" w:rsidR="009C6940" w:rsidRPr="00EF7969" w:rsidRDefault="009C6940" w:rsidP="009C6940">
                  <w:pPr>
                    <w:pStyle w:val="TableBodyText"/>
                  </w:pPr>
                  <w:r w:rsidRPr="00EF7969">
                    <w:t>179, 699</w:t>
                  </w:r>
                </w:p>
              </w:tc>
            </w:tr>
            <w:tr w:rsidR="009C6940" w:rsidRPr="00EF7969" w14:paraId="7978D5D5" w14:textId="77777777" w:rsidTr="009C6940">
              <w:tc>
                <w:tcPr>
                  <w:tcW w:w="6377" w:type="dxa"/>
                  <w:shd w:val="clear" w:color="auto" w:fill="auto"/>
                </w:tcPr>
                <w:p w14:paraId="764996DF" w14:textId="77777777" w:rsidR="009C6940" w:rsidRPr="00EF7969" w:rsidRDefault="009C6940" w:rsidP="009C6940">
                  <w:pPr>
                    <w:pStyle w:val="TableBodyText"/>
                    <w:jc w:val="left"/>
                  </w:pPr>
                  <w:r w:rsidRPr="00EF7969">
                    <w:t>Penelope Knoff</w:t>
                  </w:r>
                </w:p>
              </w:tc>
              <w:tc>
                <w:tcPr>
                  <w:tcW w:w="2126" w:type="dxa"/>
                  <w:shd w:val="clear" w:color="auto" w:fill="auto"/>
                </w:tcPr>
                <w:p w14:paraId="002DD609" w14:textId="77777777" w:rsidR="009C6940" w:rsidRPr="00EF7969" w:rsidRDefault="009C6940" w:rsidP="009C6940">
                  <w:pPr>
                    <w:pStyle w:val="TableBodyText"/>
                  </w:pPr>
                  <w:r w:rsidRPr="00EF7969">
                    <w:t>28</w:t>
                  </w:r>
                </w:p>
              </w:tc>
            </w:tr>
            <w:tr w:rsidR="009C6940" w:rsidRPr="00EF7969" w14:paraId="0DA1AE83" w14:textId="77777777" w:rsidTr="009C6940">
              <w:tc>
                <w:tcPr>
                  <w:tcW w:w="6377" w:type="dxa"/>
                  <w:shd w:val="clear" w:color="auto" w:fill="auto"/>
                </w:tcPr>
                <w:p w14:paraId="2BB03FEC" w14:textId="77777777" w:rsidR="009C6940" w:rsidRPr="00EF7969" w:rsidRDefault="009C6940" w:rsidP="009C6940">
                  <w:pPr>
                    <w:pStyle w:val="TableBodyText"/>
                    <w:jc w:val="left"/>
                  </w:pPr>
                  <w:r w:rsidRPr="00EF7969">
                    <w:t>Penington Institute</w:t>
                  </w:r>
                </w:p>
              </w:tc>
              <w:tc>
                <w:tcPr>
                  <w:tcW w:w="2126" w:type="dxa"/>
                  <w:shd w:val="clear" w:color="auto" w:fill="auto"/>
                </w:tcPr>
                <w:p w14:paraId="2391060C" w14:textId="77777777" w:rsidR="009C6940" w:rsidRPr="00EF7969" w:rsidRDefault="009C6940" w:rsidP="009C6940">
                  <w:pPr>
                    <w:pStyle w:val="TableBodyText"/>
                  </w:pPr>
                  <w:r w:rsidRPr="00EF7969">
                    <w:t>264, 703</w:t>
                  </w:r>
                </w:p>
              </w:tc>
            </w:tr>
            <w:tr w:rsidR="009C6940" w:rsidRPr="00EF7969" w14:paraId="5735A29B" w14:textId="77777777" w:rsidTr="009C6940">
              <w:tc>
                <w:tcPr>
                  <w:tcW w:w="6377" w:type="dxa"/>
                  <w:shd w:val="clear" w:color="auto" w:fill="auto"/>
                </w:tcPr>
                <w:p w14:paraId="0EB09B41" w14:textId="77777777" w:rsidR="009C6940" w:rsidRPr="00EF7969" w:rsidRDefault="009C6940" w:rsidP="009C6940">
                  <w:pPr>
                    <w:pStyle w:val="TableBodyText"/>
                    <w:jc w:val="left"/>
                  </w:pPr>
                  <w:r w:rsidRPr="00EF7969">
                    <w:t>Peninsula Health</w:t>
                  </w:r>
                </w:p>
              </w:tc>
              <w:tc>
                <w:tcPr>
                  <w:tcW w:w="2126" w:type="dxa"/>
                  <w:shd w:val="clear" w:color="auto" w:fill="auto"/>
                </w:tcPr>
                <w:p w14:paraId="2840C0EA" w14:textId="77777777" w:rsidR="009C6940" w:rsidRPr="00EF7969" w:rsidRDefault="009C6940" w:rsidP="009C6940">
                  <w:pPr>
                    <w:pStyle w:val="TableBodyText"/>
                  </w:pPr>
                  <w:r w:rsidRPr="00EF7969">
                    <w:t>822</w:t>
                  </w:r>
                </w:p>
              </w:tc>
            </w:tr>
            <w:tr w:rsidR="009C6940" w:rsidRPr="00EF7969" w14:paraId="09C3A38A" w14:textId="77777777" w:rsidTr="009C6940">
              <w:tc>
                <w:tcPr>
                  <w:tcW w:w="6377" w:type="dxa"/>
                  <w:shd w:val="clear" w:color="auto" w:fill="auto"/>
                </w:tcPr>
                <w:p w14:paraId="3FABE6BB" w14:textId="77777777" w:rsidR="009C6940" w:rsidRPr="00EF7969" w:rsidRDefault="009C6940" w:rsidP="009C6940">
                  <w:pPr>
                    <w:pStyle w:val="TableBodyText"/>
                    <w:jc w:val="left"/>
                  </w:pPr>
                  <w:r w:rsidRPr="00EF7969">
                    <w:t>People Power International Pty Ltd</w:t>
                  </w:r>
                </w:p>
              </w:tc>
              <w:tc>
                <w:tcPr>
                  <w:tcW w:w="2126" w:type="dxa"/>
                  <w:shd w:val="clear" w:color="auto" w:fill="auto"/>
                </w:tcPr>
                <w:p w14:paraId="40BF6648" w14:textId="77777777" w:rsidR="009C6940" w:rsidRPr="00EF7969" w:rsidRDefault="009C6940" w:rsidP="009C6940">
                  <w:pPr>
                    <w:pStyle w:val="TableBodyText"/>
                  </w:pPr>
                  <w:r w:rsidRPr="00EF7969">
                    <w:t>690</w:t>
                  </w:r>
                </w:p>
              </w:tc>
            </w:tr>
            <w:tr w:rsidR="009C6940" w:rsidRPr="00EF7969" w14:paraId="16B37673" w14:textId="77777777" w:rsidTr="009C6940">
              <w:tc>
                <w:tcPr>
                  <w:tcW w:w="6377" w:type="dxa"/>
                  <w:shd w:val="clear" w:color="auto" w:fill="auto"/>
                </w:tcPr>
                <w:p w14:paraId="31658E45" w14:textId="77777777" w:rsidR="009C6940" w:rsidRPr="00EF7969" w:rsidRDefault="009C6940" w:rsidP="009C6940">
                  <w:pPr>
                    <w:pStyle w:val="TableBodyText"/>
                    <w:jc w:val="left"/>
                  </w:pPr>
                  <w:r w:rsidRPr="00EF7969">
                    <w:t>Perinatal Anxiety &amp; Depression Australia (PANDA)</w:t>
                  </w:r>
                </w:p>
              </w:tc>
              <w:tc>
                <w:tcPr>
                  <w:tcW w:w="2126" w:type="dxa"/>
                  <w:shd w:val="clear" w:color="auto" w:fill="auto"/>
                </w:tcPr>
                <w:p w14:paraId="200FBC31" w14:textId="77777777" w:rsidR="009C6940" w:rsidRPr="00EF7969" w:rsidRDefault="009C6940" w:rsidP="009C6940">
                  <w:pPr>
                    <w:pStyle w:val="TableBodyText"/>
                  </w:pPr>
                  <w:r w:rsidRPr="00EF7969">
                    <w:t>344</w:t>
                  </w:r>
                </w:p>
              </w:tc>
            </w:tr>
            <w:tr w:rsidR="009C6940" w:rsidRPr="00EF7969" w14:paraId="0364BC6B" w14:textId="77777777" w:rsidTr="009C6940">
              <w:tc>
                <w:tcPr>
                  <w:tcW w:w="6377" w:type="dxa"/>
                  <w:shd w:val="clear" w:color="auto" w:fill="auto"/>
                </w:tcPr>
                <w:p w14:paraId="7DD3DAA9" w14:textId="77777777" w:rsidR="009C6940" w:rsidRPr="00EF7969" w:rsidRDefault="009C6940" w:rsidP="009C6940">
                  <w:pPr>
                    <w:pStyle w:val="TableBodyText"/>
                    <w:jc w:val="left"/>
                  </w:pPr>
                  <w:r w:rsidRPr="00EF7969">
                    <w:t>Perinatal Wellbeing Centre</w:t>
                  </w:r>
                </w:p>
              </w:tc>
              <w:tc>
                <w:tcPr>
                  <w:tcW w:w="2126" w:type="dxa"/>
                  <w:shd w:val="clear" w:color="auto" w:fill="auto"/>
                </w:tcPr>
                <w:p w14:paraId="43789123" w14:textId="77777777" w:rsidR="009C6940" w:rsidRPr="00EF7969" w:rsidRDefault="009C6940" w:rsidP="009C6940">
                  <w:pPr>
                    <w:pStyle w:val="TableBodyText"/>
                  </w:pPr>
                  <w:r w:rsidRPr="00EF7969">
                    <w:t>752</w:t>
                  </w:r>
                </w:p>
              </w:tc>
            </w:tr>
            <w:tr w:rsidR="009C6940" w:rsidRPr="00EF7969" w14:paraId="0B27CEA4" w14:textId="77777777" w:rsidTr="009C6940">
              <w:tc>
                <w:tcPr>
                  <w:tcW w:w="6377" w:type="dxa"/>
                  <w:shd w:val="clear" w:color="auto" w:fill="auto"/>
                </w:tcPr>
                <w:p w14:paraId="4A9CFA09" w14:textId="77777777" w:rsidR="009C6940" w:rsidRPr="00EF7969" w:rsidRDefault="009C6940" w:rsidP="009C6940">
                  <w:pPr>
                    <w:pStyle w:val="TableBodyText"/>
                    <w:jc w:val="left"/>
                  </w:pPr>
                  <w:r w:rsidRPr="00EF7969">
                    <w:t>Perth Clinic</w:t>
                  </w:r>
                </w:p>
              </w:tc>
              <w:tc>
                <w:tcPr>
                  <w:tcW w:w="2126" w:type="dxa"/>
                  <w:shd w:val="clear" w:color="auto" w:fill="auto"/>
                </w:tcPr>
                <w:p w14:paraId="033108B6" w14:textId="77777777" w:rsidR="009C6940" w:rsidRPr="00EF7969" w:rsidRDefault="009C6940" w:rsidP="009C6940">
                  <w:pPr>
                    <w:pStyle w:val="TableBodyText"/>
                  </w:pPr>
                  <w:r w:rsidRPr="00EF7969">
                    <w:t>618</w:t>
                  </w:r>
                </w:p>
              </w:tc>
            </w:tr>
            <w:tr w:rsidR="009C6940" w:rsidRPr="00EF7969" w14:paraId="07823C98" w14:textId="77777777" w:rsidTr="009C6940">
              <w:tc>
                <w:tcPr>
                  <w:tcW w:w="6377" w:type="dxa"/>
                  <w:shd w:val="clear" w:color="auto" w:fill="auto"/>
                </w:tcPr>
                <w:p w14:paraId="112F169E" w14:textId="77777777" w:rsidR="009C6940" w:rsidRPr="00EF7969" w:rsidRDefault="009C6940" w:rsidP="009C6940">
                  <w:pPr>
                    <w:pStyle w:val="TableBodyText"/>
                    <w:jc w:val="left"/>
                  </w:pPr>
                  <w:r w:rsidRPr="00EF7969">
                    <w:t>Peter Altmeier-Mort</w:t>
                  </w:r>
                </w:p>
              </w:tc>
              <w:tc>
                <w:tcPr>
                  <w:tcW w:w="2126" w:type="dxa"/>
                  <w:shd w:val="clear" w:color="auto" w:fill="auto"/>
                </w:tcPr>
                <w:p w14:paraId="568355DF" w14:textId="77777777" w:rsidR="009C6940" w:rsidRPr="00EF7969" w:rsidRDefault="009C6940" w:rsidP="009C6940">
                  <w:pPr>
                    <w:pStyle w:val="TableBodyText"/>
                  </w:pPr>
                  <w:r w:rsidRPr="00EF7969">
                    <w:t>1079</w:t>
                  </w:r>
                </w:p>
              </w:tc>
            </w:tr>
            <w:tr w:rsidR="009C6940" w:rsidRPr="00EF7969" w14:paraId="74149357" w14:textId="77777777" w:rsidTr="009C6940">
              <w:tc>
                <w:tcPr>
                  <w:tcW w:w="6377" w:type="dxa"/>
                  <w:shd w:val="clear" w:color="auto" w:fill="auto"/>
                </w:tcPr>
                <w:p w14:paraId="2A5B56A8" w14:textId="77777777" w:rsidR="009C6940" w:rsidRPr="00EF7969" w:rsidRDefault="009C6940" w:rsidP="009C6940">
                  <w:pPr>
                    <w:pStyle w:val="TableBodyText"/>
                    <w:jc w:val="left"/>
                  </w:pPr>
                  <w:r w:rsidRPr="00EF7969">
                    <w:t>Peter Baker</w:t>
                  </w:r>
                </w:p>
              </w:tc>
              <w:tc>
                <w:tcPr>
                  <w:tcW w:w="2126" w:type="dxa"/>
                  <w:shd w:val="clear" w:color="auto" w:fill="auto"/>
                </w:tcPr>
                <w:p w14:paraId="0D1830CB" w14:textId="77777777" w:rsidR="009C6940" w:rsidRPr="00EF7969" w:rsidRDefault="009C6940" w:rsidP="009C6940">
                  <w:pPr>
                    <w:pStyle w:val="TableBodyText"/>
                  </w:pPr>
                  <w:r w:rsidRPr="00EF7969">
                    <w:t>1022</w:t>
                  </w:r>
                </w:p>
              </w:tc>
            </w:tr>
            <w:tr w:rsidR="009C6940" w:rsidRPr="00EF7969" w14:paraId="17DBAABD" w14:textId="77777777" w:rsidTr="009C6940">
              <w:tc>
                <w:tcPr>
                  <w:tcW w:w="6377" w:type="dxa"/>
                  <w:shd w:val="clear" w:color="auto" w:fill="auto"/>
                </w:tcPr>
                <w:p w14:paraId="54656844" w14:textId="77777777" w:rsidR="009C6940" w:rsidRPr="00EF7969" w:rsidRDefault="009C6940" w:rsidP="009C6940">
                  <w:pPr>
                    <w:pStyle w:val="TableBodyText"/>
                    <w:jc w:val="left"/>
                  </w:pPr>
                  <w:r w:rsidRPr="00EF7969">
                    <w:t>Peter Blackwell</w:t>
                  </w:r>
                </w:p>
              </w:tc>
              <w:tc>
                <w:tcPr>
                  <w:tcW w:w="2126" w:type="dxa"/>
                  <w:shd w:val="clear" w:color="auto" w:fill="auto"/>
                </w:tcPr>
                <w:p w14:paraId="515DD5B0" w14:textId="77777777" w:rsidR="009C6940" w:rsidRPr="00EF7969" w:rsidRDefault="009C6940" w:rsidP="009C6940">
                  <w:pPr>
                    <w:pStyle w:val="TableBodyText"/>
                  </w:pPr>
                  <w:r w:rsidRPr="00EF7969">
                    <w:t>167</w:t>
                  </w:r>
                </w:p>
              </w:tc>
            </w:tr>
            <w:tr w:rsidR="009C6940" w:rsidRPr="00EF7969" w14:paraId="02E674AE" w14:textId="77777777" w:rsidTr="009C6940">
              <w:tc>
                <w:tcPr>
                  <w:tcW w:w="6377" w:type="dxa"/>
                  <w:shd w:val="clear" w:color="auto" w:fill="auto"/>
                </w:tcPr>
                <w:p w14:paraId="6131DA6B" w14:textId="77777777" w:rsidR="009C6940" w:rsidRPr="00EF7969" w:rsidRDefault="009C6940" w:rsidP="009C6940">
                  <w:pPr>
                    <w:pStyle w:val="TableBodyText"/>
                    <w:jc w:val="left"/>
                  </w:pPr>
                  <w:r w:rsidRPr="00EF7969">
                    <w:t>Peter Clement</w:t>
                  </w:r>
                </w:p>
              </w:tc>
              <w:tc>
                <w:tcPr>
                  <w:tcW w:w="2126" w:type="dxa"/>
                  <w:shd w:val="clear" w:color="auto" w:fill="auto"/>
                </w:tcPr>
                <w:p w14:paraId="509518D5" w14:textId="77777777" w:rsidR="009C6940" w:rsidRPr="00EF7969" w:rsidRDefault="009C6940" w:rsidP="009C6940">
                  <w:pPr>
                    <w:pStyle w:val="TableBodyText"/>
                  </w:pPr>
                  <w:r w:rsidRPr="00EF7969">
                    <w:t>974, 1003</w:t>
                  </w:r>
                </w:p>
              </w:tc>
            </w:tr>
            <w:tr w:rsidR="009C6940" w:rsidRPr="00EF7969" w14:paraId="53ADCD95" w14:textId="77777777" w:rsidTr="009C6940">
              <w:tc>
                <w:tcPr>
                  <w:tcW w:w="6377" w:type="dxa"/>
                  <w:shd w:val="clear" w:color="auto" w:fill="auto"/>
                </w:tcPr>
                <w:p w14:paraId="5E16EDC2" w14:textId="77777777" w:rsidR="009C6940" w:rsidRPr="00EF7969" w:rsidRDefault="009C6940" w:rsidP="009C6940">
                  <w:pPr>
                    <w:pStyle w:val="TableBodyText"/>
                    <w:jc w:val="left"/>
                  </w:pPr>
                  <w:r w:rsidRPr="00EF7969">
                    <w:t>Peter Davies</w:t>
                  </w:r>
                </w:p>
              </w:tc>
              <w:tc>
                <w:tcPr>
                  <w:tcW w:w="2126" w:type="dxa"/>
                  <w:shd w:val="clear" w:color="auto" w:fill="auto"/>
                </w:tcPr>
                <w:p w14:paraId="30AC0E50" w14:textId="77777777" w:rsidR="009C6940" w:rsidRPr="00EF7969" w:rsidRDefault="009C6940" w:rsidP="009C6940">
                  <w:pPr>
                    <w:pStyle w:val="TableBodyText"/>
                  </w:pPr>
                  <w:r w:rsidRPr="00EF7969">
                    <w:t>1046</w:t>
                  </w:r>
                </w:p>
              </w:tc>
            </w:tr>
            <w:tr w:rsidR="009C6940" w:rsidRPr="00EF7969" w14:paraId="0D715F5C" w14:textId="77777777" w:rsidTr="009C6940">
              <w:tc>
                <w:tcPr>
                  <w:tcW w:w="6377" w:type="dxa"/>
                  <w:shd w:val="clear" w:color="auto" w:fill="auto"/>
                </w:tcPr>
                <w:p w14:paraId="4DB4A1A6" w14:textId="77777777" w:rsidR="009C6940" w:rsidRPr="00EF7969" w:rsidRDefault="009C6940" w:rsidP="009C6940">
                  <w:pPr>
                    <w:pStyle w:val="TableBodyText"/>
                    <w:jc w:val="left"/>
                  </w:pPr>
                  <w:r w:rsidRPr="00EF7969">
                    <w:t>Peter Griffiths</w:t>
                  </w:r>
                </w:p>
              </w:tc>
              <w:tc>
                <w:tcPr>
                  <w:tcW w:w="2126" w:type="dxa"/>
                  <w:shd w:val="clear" w:color="auto" w:fill="auto"/>
                </w:tcPr>
                <w:p w14:paraId="25AA32F3" w14:textId="77777777" w:rsidR="009C6940" w:rsidRPr="00EF7969" w:rsidRDefault="009C6940" w:rsidP="009C6940">
                  <w:pPr>
                    <w:pStyle w:val="TableBodyText"/>
                  </w:pPr>
                  <w:r w:rsidRPr="00EF7969">
                    <w:t>621</w:t>
                  </w:r>
                </w:p>
              </w:tc>
            </w:tr>
            <w:tr w:rsidR="009C6940" w:rsidRPr="00EF7969" w14:paraId="586C1A3D" w14:textId="77777777" w:rsidTr="009C6940">
              <w:tc>
                <w:tcPr>
                  <w:tcW w:w="6377" w:type="dxa"/>
                  <w:shd w:val="clear" w:color="auto" w:fill="auto"/>
                </w:tcPr>
                <w:p w14:paraId="5164000C" w14:textId="77777777" w:rsidR="009C6940" w:rsidRPr="00EF7969" w:rsidRDefault="009C6940" w:rsidP="009C6940">
                  <w:pPr>
                    <w:pStyle w:val="TableBodyText"/>
                    <w:jc w:val="left"/>
                  </w:pPr>
                  <w:r w:rsidRPr="00EF7969">
                    <w:t>Peter Heggie</w:t>
                  </w:r>
                </w:p>
              </w:tc>
              <w:tc>
                <w:tcPr>
                  <w:tcW w:w="2126" w:type="dxa"/>
                  <w:shd w:val="clear" w:color="auto" w:fill="auto"/>
                </w:tcPr>
                <w:p w14:paraId="0462ABF9" w14:textId="77777777" w:rsidR="009C6940" w:rsidRPr="00EF7969" w:rsidRDefault="009C6940" w:rsidP="009C6940">
                  <w:pPr>
                    <w:pStyle w:val="TableBodyText"/>
                  </w:pPr>
                  <w:r w:rsidRPr="00EF7969">
                    <w:t>72</w:t>
                  </w:r>
                </w:p>
              </w:tc>
            </w:tr>
            <w:tr w:rsidR="009C6940" w:rsidRPr="00EF7969" w14:paraId="0BFD4AC0" w14:textId="77777777" w:rsidTr="009C6940">
              <w:tc>
                <w:tcPr>
                  <w:tcW w:w="6377" w:type="dxa"/>
                  <w:shd w:val="clear" w:color="auto" w:fill="auto"/>
                </w:tcPr>
                <w:p w14:paraId="46378B7F" w14:textId="77777777" w:rsidR="009C6940" w:rsidRPr="00EF7969" w:rsidRDefault="009C6940" w:rsidP="009C6940">
                  <w:pPr>
                    <w:pStyle w:val="TableBodyText"/>
                    <w:jc w:val="left"/>
                  </w:pPr>
                  <w:r w:rsidRPr="00EF7969">
                    <w:t>Peter Kearns</w:t>
                  </w:r>
                </w:p>
              </w:tc>
              <w:tc>
                <w:tcPr>
                  <w:tcW w:w="2126" w:type="dxa"/>
                  <w:shd w:val="clear" w:color="auto" w:fill="auto"/>
                </w:tcPr>
                <w:p w14:paraId="5BEF7235" w14:textId="77777777" w:rsidR="009C6940" w:rsidRPr="00EF7969" w:rsidRDefault="009C6940" w:rsidP="009C6940">
                  <w:pPr>
                    <w:pStyle w:val="TableBodyText"/>
                  </w:pPr>
                  <w:r w:rsidRPr="00EF7969">
                    <w:t>632</w:t>
                  </w:r>
                </w:p>
              </w:tc>
            </w:tr>
            <w:tr w:rsidR="009C6940" w:rsidRPr="00EF7969" w14:paraId="7F888FAA" w14:textId="77777777" w:rsidTr="009C6940">
              <w:trPr>
                <w:trHeight w:val="190"/>
              </w:trPr>
              <w:tc>
                <w:tcPr>
                  <w:tcW w:w="6377" w:type="dxa"/>
                  <w:tcBorders>
                    <w:bottom w:val="single" w:sz="4" w:space="0" w:color="BFBFBF" w:themeColor="background1" w:themeShade="BF"/>
                  </w:tcBorders>
                  <w:shd w:val="clear" w:color="auto" w:fill="auto"/>
                </w:tcPr>
                <w:p w14:paraId="0F296605" w14:textId="77777777" w:rsidR="009C6940" w:rsidRPr="00EF7969" w:rsidRDefault="009C6940" w:rsidP="009C6940">
                  <w:pPr>
                    <w:pStyle w:val="TableBodyText"/>
                    <w:jc w:val="left"/>
                  </w:pPr>
                  <w:r w:rsidRPr="00EF7969">
                    <w:t>Peter Kent</w:t>
                  </w:r>
                </w:p>
              </w:tc>
              <w:tc>
                <w:tcPr>
                  <w:tcW w:w="2126" w:type="dxa"/>
                  <w:tcBorders>
                    <w:bottom w:val="single" w:sz="4" w:space="0" w:color="BFBFBF" w:themeColor="background1" w:themeShade="BF"/>
                  </w:tcBorders>
                  <w:shd w:val="clear" w:color="auto" w:fill="auto"/>
                </w:tcPr>
                <w:p w14:paraId="423B7F1F" w14:textId="77777777" w:rsidR="009C6940" w:rsidRPr="00EF7969" w:rsidRDefault="009C6940" w:rsidP="009C6940">
                  <w:pPr>
                    <w:pStyle w:val="TableBodyText"/>
                  </w:pPr>
                  <w:r w:rsidRPr="00EF7969">
                    <w:t>352</w:t>
                  </w:r>
                </w:p>
              </w:tc>
            </w:tr>
          </w:tbl>
          <w:p w14:paraId="34FC70EF" w14:textId="77777777" w:rsidR="009C6940" w:rsidRPr="00EF7969" w:rsidRDefault="009C6940" w:rsidP="009C6940">
            <w:pPr>
              <w:pStyle w:val="Box"/>
            </w:pPr>
          </w:p>
        </w:tc>
      </w:tr>
      <w:tr w:rsidR="009C6940" w:rsidRPr="00EF7969" w14:paraId="19CA2727" w14:textId="77777777" w:rsidTr="009C6940">
        <w:tc>
          <w:tcPr>
            <w:tcW w:w="8789" w:type="dxa"/>
            <w:tcBorders>
              <w:top w:val="nil"/>
              <w:left w:val="nil"/>
              <w:bottom w:val="nil"/>
              <w:right w:val="nil"/>
            </w:tcBorders>
            <w:shd w:val="clear" w:color="auto" w:fill="auto"/>
          </w:tcPr>
          <w:p w14:paraId="3A95A43A" w14:textId="77777777" w:rsidR="009C6940" w:rsidRPr="00EF7969" w:rsidRDefault="009C6940" w:rsidP="009C6940">
            <w:pPr>
              <w:pStyle w:val="Continued"/>
              <w:spacing w:before="120"/>
            </w:pPr>
            <w:r w:rsidRPr="00EF7969">
              <w:t>(continued next page)</w:t>
            </w:r>
          </w:p>
        </w:tc>
      </w:tr>
      <w:tr w:rsidR="009C6940" w:rsidRPr="00EF7969" w14:paraId="4D7156CA" w14:textId="77777777" w:rsidTr="009C6940">
        <w:tc>
          <w:tcPr>
            <w:tcW w:w="8789" w:type="dxa"/>
            <w:tcBorders>
              <w:top w:val="nil"/>
              <w:left w:val="nil"/>
              <w:bottom w:val="single" w:sz="6" w:space="0" w:color="78A22F"/>
              <w:right w:val="nil"/>
            </w:tcBorders>
            <w:shd w:val="clear" w:color="auto" w:fill="auto"/>
          </w:tcPr>
          <w:p w14:paraId="7B4CD416" w14:textId="77777777" w:rsidR="009C6940" w:rsidRPr="00EF7969" w:rsidRDefault="009C6940" w:rsidP="009C6940">
            <w:pPr>
              <w:pStyle w:val="Box"/>
              <w:keepNext w:val="0"/>
              <w:spacing w:before="0" w:line="120" w:lineRule="exact"/>
            </w:pPr>
          </w:p>
        </w:tc>
      </w:tr>
    </w:tbl>
    <w:p w14:paraId="101B5489"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61C2D84F" w14:textId="77777777" w:rsidTr="009C6940">
        <w:trPr>
          <w:tblHeader/>
        </w:trPr>
        <w:tc>
          <w:tcPr>
            <w:tcW w:w="8789" w:type="dxa"/>
            <w:tcBorders>
              <w:top w:val="single" w:sz="6" w:space="0" w:color="78A22F"/>
              <w:left w:val="nil"/>
              <w:bottom w:val="nil"/>
              <w:right w:val="nil"/>
            </w:tcBorders>
            <w:shd w:val="clear" w:color="auto" w:fill="auto"/>
          </w:tcPr>
          <w:p w14:paraId="0386B462"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59D91CDA"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668ECDA0"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0AF13E32"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63EBC26D" w14:textId="77777777" w:rsidR="009C6940" w:rsidRPr="00EF7969" w:rsidRDefault="009C6940" w:rsidP="009C6940">
                  <w:pPr>
                    <w:pStyle w:val="TableColumnHeading"/>
                    <w:ind w:right="28"/>
                  </w:pPr>
                  <w:r w:rsidRPr="00EF7969">
                    <w:t>Submission no.</w:t>
                  </w:r>
                </w:p>
              </w:tc>
            </w:tr>
            <w:tr w:rsidR="009C6940" w:rsidRPr="00EF7969" w14:paraId="6BA15CB9" w14:textId="77777777" w:rsidTr="009C6940">
              <w:tc>
                <w:tcPr>
                  <w:tcW w:w="6377" w:type="dxa"/>
                  <w:shd w:val="clear" w:color="auto" w:fill="auto"/>
                </w:tcPr>
                <w:p w14:paraId="0F7360E6" w14:textId="77777777" w:rsidR="009C6940" w:rsidRPr="00EF7969" w:rsidRDefault="009C6940" w:rsidP="009C6940">
                  <w:pPr>
                    <w:pStyle w:val="TableBodyText"/>
                    <w:spacing w:before="40"/>
                    <w:jc w:val="left"/>
                  </w:pPr>
                  <w:r w:rsidRPr="00EF7969">
                    <w:t>Peter Miranda</w:t>
                  </w:r>
                </w:p>
              </w:tc>
              <w:tc>
                <w:tcPr>
                  <w:tcW w:w="2126" w:type="dxa"/>
                  <w:shd w:val="clear" w:color="auto" w:fill="auto"/>
                </w:tcPr>
                <w:p w14:paraId="58590F00" w14:textId="77777777" w:rsidR="009C6940" w:rsidRPr="00EF7969" w:rsidRDefault="009C6940" w:rsidP="009C6940">
                  <w:pPr>
                    <w:pStyle w:val="TableBodyText"/>
                    <w:spacing w:before="40"/>
                  </w:pPr>
                  <w:r w:rsidRPr="00EF7969">
                    <w:t>1045</w:t>
                  </w:r>
                </w:p>
              </w:tc>
            </w:tr>
            <w:tr w:rsidR="009C6940" w:rsidRPr="00EF7969" w14:paraId="18C8DE88" w14:textId="77777777" w:rsidTr="009C6940">
              <w:tc>
                <w:tcPr>
                  <w:tcW w:w="6377" w:type="dxa"/>
                  <w:shd w:val="clear" w:color="auto" w:fill="auto"/>
                </w:tcPr>
                <w:p w14:paraId="286F0A5D" w14:textId="77777777" w:rsidR="009C6940" w:rsidRPr="00EF7969" w:rsidRDefault="009C6940" w:rsidP="009C6940">
                  <w:pPr>
                    <w:pStyle w:val="TableBodyText"/>
                    <w:jc w:val="left"/>
                  </w:pPr>
                  <w:r w:rsidRPr="00EF7969">
                    <w:t>Peter Morris</w:t>
                  </w:r>
                </w:p>
              </w:tc>
              <w:tc>
                <w:tcPr>
                  <w:tcW w:w="2126" w:type="dxa"/>
                  <w:shd w:val="clear" w:color="auto" w:fill="auto"/>
                </w:tcPr>
                <w:p w14:paraId="46ED4DA7" w14:textId="77777777" w:rsidR="009C6940" w:rsidRPr="00EF7969" w:rsidRDefault="009C6940" w:rsidP="009C6940">
                  <w:pPr>
                    <w:pStyle w:val="TableBodyText"/>
                  </w:pPr>
                  <w:r w:rsidRPr="00EF7969">
                    <w:t>774</w:t>
                  </w:r>
                </w:p>
              </w:tc>
            </w:tr>
            <w:tr w:rsidR="009C6940" w:rsidRPr="00EF7969" w14:paraId="772608B9" w14:textId="77777777" w:rsidTr="009C6940">
              <w:tc>
                <w:tcPr>
                  <w:tcW w:w="6377" w:type="dxa"/>
                  <w:shd w:val="clear" w:color="auto" w:fill="auto"/>
                </w:tcPr>
                <w:p w14:paraId="6D0DB93B" w14:textId="77777777" w:rsidR="009C6940" w:rsidRPr="00EF7969" w:rsidRDefault="009C6940" w:rsidP="009C6940">
                  <w:pPr>
                    <w:pStyle w:val="TableBodyText"/>
                    <w:jc w:val="left"/>
                  </w:pPr>
                  <w:r w:rsidRPr="00EF7969">
                    <w:t>Peter Shead</w:t>
                  </w:r>
                </w:p>
              </w:tc>
              <w:tc>
                <w:tcPr>
                  <w:tcW w:w="2126" w:type="dxa"/>
                  <w:shd w:val="clear" w:color="auto" w:fill="auto"/>
                </w:tcPr>
                <w:p w14:paraId="4288049E" w14:textId="77777777" w:rsidR="009C6940" w:rsidRPr="00EF7969" w:rsidRDefault="009C6940" w:rsidP="009C6940">
                  <w:pPr>
                    <w:pStyle w:val="TableBodyText"/>
                  </w:pPr>
                  <w:r w:rsidRPr="00EF7969">
                    <w:t>956</w:t>
                  </w:r>
                </w:p>
              </w:tc>
            </w:tr>
            <w:tr w:rsidR="009C6940" w:rsidRPr="00EF7969" w14:paraId="1727F009" w14:textId="77777777" w:rsidTr="009C6940">
              <w:tc>
                <w:tcPr>
                  <w:tcW w:w="6377" w:type="dxa"/>
                  <w:shd w:val="clear" w:color="auto" w:fill="auto"/>
                </w:tcPr>
                <w:p w14:paraId="09298D8F" w14:textId="77777777" w:rsidR="009C6940" w:rsidRPr="00EF7969" w:rsidRDefault="009C6940" w:rsidP="009C6940">
                  <w:pPr>
                    <w:pStyle w:val="TableBodyText"/>
                    <w:jc w:val="left"/>
                  </w:pPr>
                  <w:r w:rsidRPr="00EF7969">
                    <w:t>Peter Tregear</w:t>
                  </w:r>
                </w:p>
              </w:tc>
              <w:tc>
                <w:tcPr>
                  <w:tcW w:w="2126" w:type="dxa"/>
                  <w:shd w:val="clear" w:color="auto" w:fill="auto"/>
                </w:tcPr>
                <w:p w14:paraId="1A284D3D" w14:textId="77777777" w:rsidR="009C6940" w:rsidRPr="00EF7969" w:rsidRDefault="009C6940" w:rsidP="009C6940">
                  <w:pPr>
                    <w:pStyle w:val="TableBodyText"/>
                  </w:pPr>
                  <w:r w:rsidRPr="00EF7969">
                    <w:t>169</w:t>
                  </w:r>
                </w:p>
              </w:tc>
            </w:tr>
            <w:tr w:rsidR="009C6940" w:rsidRPr="00EF7969" w14:paraId="6533EBBE" w14:textId="77777777" w:rsidTr="009C6940">
              <w:tc>
                <w:tcPr>
                  <w:tcW w:w="6377" w:type="dxa"/>
                  <w:shd w:val="clear" w:color="auto" w:fill="auto"/>
                </w:tcPr>
                <w:p w14:paraId="723038B2" w14:textId="77777777" w:rsidR="009C6940" w:rsidRPr="00EF7969" w:rsidRDefault="009C6940" w:rsidP="009C6940">
                  <w:pPr>
                    <w:pStyle w:val="TableBodyText"/>
                    <w:jc w:val="left"/>
                  </w:pPr>
                  <w:r w:rsidRPr="00EF7969">
                    <w:t>Peter Viney</w:t>
                  </w:r>
                </w:p>
              </w:tc>
              <w:tc>
                <w:tcPr>
                  <w:tcW w:w="2126" w:type="dxa"/>
                  <w:shd w:val="clear" w:color="auto" w:fill="auto"/>
                </w:tcPr>
                <w:p w14:paraId="3EFC040B" w14:textId="77777777" w:rsidR="009C6940" w:rsidRPr="00EF7969" w:rsidRDefault="009C6940" w:rsidP="009C6940">
                  <w:pPr>
                    <w:pStyle w:val="TableBodyText"/>
                  </w:pPr>
                  <w:r w:rsidRPr="00EF7969">
                    <w:t>149</w:t>
                  </w:r>
                </w:p>
              </w:tc>
            </w:tr>
            <w:tr w:rsidR="009C6940" w:rsidRPr="00EF7969" w14:paraId="03E058E3" w14:textId="77777777" w:rsidTr="009C6940">
              <w:tc>
                <w:tcPr>
                  <w:tcW w:w="6377" w:type="dxa"/>
                  <w:shd w:val="clear" w:color="auto" w:fill="auto"/>
                </w:tcPr>
                <w:p w14:paraId="13E7B862" w14:textId="77777777" w:rsidR="009C6940" w:rsidRPr="00EF7969" w:rsidRDefault="009C6940" w:rsidP="009C6940">
                  <w:pPr>
                    <w:pStyle w:val="TableBodyText"/>
                    <w:jc w:val="left"/>
                  </w:pPr>
                  <w:r w:rsidRPr="00EF7969">
                    <w:t>Petra van den Berg</w:t>
                  </w:r>
                </w:p>
              </w:tc>
              <w:tc>
                <w:tcPr>
                  <w:tcW w:w="2126" w:type="dxa"/>
                  <w:shd w:val="clear" w:color="auto" w:fill="auto"/>
                </w:tcPr>
                <w:p w14:paraId="3B9951B5" w14:textId="77777777" w:rsidR="009C6940" w:rsidRPr="00EF7969" w:rsidRDefault="009C6940" w:rsidP="009C6940">
                  <w:pPr>
                    <w:pStyle w:val="TableBodyText"/>
                  </w:pPr>
                  <w:r w:rsidRPr="00EF7969">
                    <w:t>286</w:t>
                  </w:r>
                </w:p>
              </w:tc>
            </w:tr>
            <w:tr w:rsidR="009C6940" w:rsidRPr="00EF7969" w14:paraId="0D70A777" w14:textId="77777777" w:rsidTr="009C6940">
              <w:tc>
                <w:tcPr>
                  <w:tcW w:w="6377" w:type="dxa"/>
                  <w:shd w:val="clear" w:color="auto" w:fill="auto"/>
                </w:tcPr>
                <w:p w14:paraId="50BE9E8E" w14:textId="77777777" w:rsidR="009C6940" w:rsidRPr="00EF7969" w:rsidRDefault="009C6940" w:rsidP="009C6940">
                  <w:pPr>
                    <w:pStyle w:val="TableBodyText"/>
                    <w:jc w:val="left"/>
                  </w:pPr>
                  <w:r w:rsidRPr="00EF7969">
                    <w:t>PH Counselling and Hypnotherapy</w:t>
                  </w:r>
                </w:p>
              </w:tc>
              <w:tc>
                <w:tcPr>
                  <w:tcW w:w="2126" w:type="dxa"/>
                  <w:shd w:val="clear" w:color="auto" w:fill="auto"/>
                </w:tcPr>
                <w:p w14:paraId="3BD5A03A" w14:textId="77777777" w:rsidR="009C6940" w:rsidRPr="00EF7969" w:rsidRDefault="009C6940" w:rsidP="009C6940">
                  <w:pPr>
                    <w:pStyle w:val="TableBodyText"/>
                  </w:pPr>
                  <w:r w:rsidRPr="00EF7969">
                    <w:t>590</w:t>
                  </w:r>
                </w:p>
              </w:tc>
            </w:tr>
            <w:tr w:rsidR="009C6940" w:rsidRPr="00EF7969" w14:paraId="513B30D3" w14:textId="77777777" w:rsidTr="009C6940">
              <w:tc>
                <w:tcPr>
                  <w:tcW w:w="6377" w:type="dxa"/>
                  <w:shd w:val="clear" w:color="auto" w:fill="auto"/>
                </w:tcPr>
                <w:p w14:paraId="35D54444" w14:textId="77777777" w:rsidR="009C6940" w:rsidRPr="00EF7969" w:rsidRDefault="009C6940" w:rsidP="009C6940">
                  <w:pPr>
                    <w:pStyle w:val="TableBodyText"/>
                    <w:jc w:val="left"/>
                  </w:pPr>
                  <w:r w:rsidRPr="00EF7969">
                    <w:t>Pharhyn Edwards</w:t>
                  </w:r>
                </w:p>
              </w:tc>
              <w:tc>
                <w:tcPr>
                  <w:tcW w:w="2126" w:type="dxa"/>
                  <w:shd w:val="clear" w:color="auto" w:fill="auto"/>
                </w:tcPr>
                <w:p w14:paraId="51A8BBD8" w14:textId="77777777" w:rsidR="009C6940" w:rsidRPr="00EF7969" w:rsidRDefault="009C6940" w:rsidP="009C6940">
                  <w:pPr>
                    <w:pStyle w:val="TableBodyText"/>
                  </w:pPr>
                  <w:r w:rsidRPr="00EF7969">
                    <w:t>1134</w:t>
                  </w:r>
                </w:p>
              </w:tc>
            </w:tr>
            <w:tr w:rsidR="009C6940" w:rsidRPr="00EF7969" w14:paraId="600381E5" w14:textId="77777777" w:rsidTr="009C6940">
              <w:tc>
                <w:tcPr>
                  <w:tcW w:w="6377" w:type="dxa"/>
                  <w:shd w:val="clear" w:color="auto" w:fill="auto"/>
                </w:tcPr>
                <w:p w14:paraId="66CCE2F2" w14:textId="77777777" w:rsidR="009C6940" w:rsidRPr="00EF7969" w:rsidRDefault="009C6940" w:rsidP="009C6940">
                  <w:pPr>
                    <w:pStyle w:val="TableBodyText"/>
                    <w:jc w:val="left"/>
                  </w:pPr>
                  <w:r w:rsidRPr="00EF7969">
                    <w:t>Piers Gooding and Yvette Maker</w:t>
                  </w:r>
                </w:p>
              </w:tc>
              <w:tc>
                <w:tcPr>
                  <w:tcW w:w="2126" w:type="dxa"/>
                  <w:shd w:val="clear" w:color="auto" w:fill="auto"/>
                </w:tcPr>
                <w:p w14:paraId="5D2B4504" w14:textId="77777777" w:rsidR="009C6940" w:rsidRPr="00EF7969" w:rsidRDefault="009C6940" w:rsidP="009C6940">
                  <w:pPr>
                    <w:pStyle w:val="TableBodyText"/>
                  </w:pPr>
                  <w:r w:rsidRPr="00EF7969">
                    <w:t>933</w:t>
                  </w:r>
                </w:p>
              </w:tc>
            </w:tr>
            <w:tr w:rsidR="009C6940" w:rsidRPr="00EF7969" w14:paraId="19E06295" w14:textId="77777777" w:rsidTr="009C6940">
              <w:tc>
                <w:tcPr>
                  <w:tcW w:w="6377" w:type="dxa"/>
                  <w:shd w:val="clear" w:color="auto" w:fill="auto"/>
                </w:tcPr>
                <w:p w14:paraId="019B070F" w14:textId="77777777" w:rsidR="009C6940" w:rsidRPr="00EF7969" w:rsidRDefault="009C6940" w:rsidP="009C6940">
                  <w:pPr>
                    <w:pStyle w:val="TableBodyText"/>
                    <w:jc w:val="left"/>
                  </w:pPr>
                  <w:r w:rsidRPr="00EF7969">
                    <w:t>Pippa Ross</w:t>
                  </w:r>
                </w:p>
              </w:tc>
              <w:tc>
                <w:tcPr>
                  <w:tcW w:w="2126" w:type="dxa"/>
                  <w:shd w:val="clear" w:color="auto" w:fill="auto"/>
                </w:tcPr>
                <w:p w14:paraId="336A8E43" w14:textId="77777777" w:rsidR="009C6940" w:rsidRPr="00EF7969" w:rsidRDefault="009C6940" w:rsidP="009C6940">
                  <w:pPr>
                    <w:pStyle w:val="TableBodyText"/>
                  </w:pPr>
                  <w:r w:rsidRPr="00EF7969">
                    <w:t>340</w:t>
                  </w:r>
                </w:p>
              </w:tc>
            </w:tr>
            <w:tr w:rsidR="009C6940" w:rsidRPr="00EF7969" w14:paraId="233F5CCF" w14:textId="77777777" w:rsidTr="009C6940">
              <w:tc>
                <w:tcPr>
                  <w:tcW w:w="6377" w:type="dxa"/>
                  <w:shd w:val="clear" w:color="auto" w:fill="auto"/>
                </w:tcPr>
                <w:p w14:paraId="50329C9F" w14:textId="77777777" w:rsidR="009C6940" w:rsidRPr="00EF7969" w:rsidRDefault="009C6940" w:rsidP="009C6940">
                  <w:pPr>
                    <w:pStyle w:val="TableBodyText"/>
                    <w:jc w:val="left"/>
                  </w:pPr>
                  <w:r w:rsidRPr="00EF7969">
                    <w:t>Play Australia</w:t>
                  </w:r>
                </w:p>
              </w:tc>
              <w:tc>
                <w:tcPr>
                  <w:tcW w:w="2126" w:type="dxa"/>
                  <w:shd w:val="clear" w:color="auto" w:fill="auto"/>
                </w:tcPr>
                <w:p w14:paraId="40AF6195" w14:textId="77777777" w:rsidR="009C6940" w:rsidRPr="00EF7969" w:rsidRDefault="009C6940" w:rsidP="009C6940">
                  <w:pPr>
                    <w:pStyle w:val="TableBodyText"/>
                  </w:pPr>
                  <w:r w:rsidRPr="00EF7969">
                    <w:t>624</w:t>
                  </w:r>
                </w:p>
              </w:tc>
            </w:tr>
            <w:tr w:rsidR="009C6940" w:rsidRPr="00EF7969" w14:paraId="6D0CDC1E" w14:textId="77777777" w:rsidTr="009C6940">
              <w:tc>
                <w:tcPr>
                  <w:tcW w:w="6377" w:type="dxa"/>
                  <w:shd w:val="clear" w:color="auto" w:fill="auto"/>
                </w:tcPr>
                <w:p w14:paraId="50D83635" w14:textId="77777777" w:rsidR="009C6940" w:rsidRPr="00EF7969" w:rsidRDefault="009C6940" w:rsidP="009C6940">
                  <w:pPr>
                    <w:pStyle w:val="TableBodyText"/>
                    <w:jc w:val="left"/>
                  </w:pPr>
                  <w:r w:rsidRPr="00EF7969">
                    <w:t xml:space="preserve">Plumtree Children’s Services </w:t>
                  </w:r>
                </w:p>
              </w:tc>
              <w:tc>
                <w:tcPr>
                  <w:tcW w:w="2126" w:type="dxa"/>
                  <w:shd w:val="clear" w:color="auto" w:fill="auto"/>
                </w:tcPr>
                <w:p w14:paraId="11A47443" w14:textId="77777777" w:rsidR="009C6940" w:rsidRPr="00EF7969" w:rsidRDefault="009C6940" w:rsidP="009C6940">
                  <w:pPr>
                    <w:pStyle w:val="TableBodyText"/>
                  </w:pPr>
                  <w:r w:rsidRPr="00EF7969">
                    <w:t>300</w:t>
                  </w:r>
                </w:p>
              </w:tc>
            </w:tr>
            <w:tr w:rsidR="009C6940" w:rsidRPr="00EF7969" w14:paraId="7879DD03" w14:textId="77777777" w:rsidTr="009C6940">
              <w:tc>
                <w:tcPr>
                  <w:tcW w:w="6377" w:type="dxa"/>
                  <w:shd w:val="clear" w:color="auto" w:fill="auto"/>
                </w:tcPr>
                <w:p w14:paraId="21656A6E" w14:textId="77777777" w:rsidR="009C6940" w:rsidRPr="00EF7969" w:rsidRDefault="009C6940" w:rsidP="009C6940">
                  <w:pPr>
                    <w:pStyle w:val="TableBodyText"/>
                    <w:jc w:val="left"/>
                  </w:pPr>
                  <w:r w:rsidRPr="00EF7969">
                    <w:t>Police Federation of Australian (PFA)</w:t>
                  </w:r>
                </w:p>
              </w:tc>
              <w:tc>
                <w:tcPr>
                  <w:tcW w:w="2126" w:type="dxa"/>
                  <w:shd w:val="clear" w:color="auto" w:fill="auto"/>
                </w:tcPr>
                <w:p w14:paraId="4AB0B76E" w14:textId="77777777" w:rsidR="009C6940" w:rsidRPr="00EF7969" w:rsidRDefault="009C6940" w:rsidP="009C6940">
                  <w:pPr>
                    <w:pStyle w:val="TableBodyText"/>
                  </w:pPr>
                  <w:r w:rsidRPr="00EF7969">
                    <w:t>248, 761</w:t>
                  </w:r>
                </w:p>
              </w:tc>
            </w:tr>
            <w:tr w:rsidR="009C6940" w:rsidRPr="00EF7969" w14:paraId="2A3F689A" w14:textId="77777777" w:rsidTr="009C6940">
              <w:tc>
                <w:tcPr>
                  <w:tcW w:w="6377" w:type="dxa"/>
                  <w:shd w:val="clear" w:color="auto" w:fill="auto"/>
                </w:tcPr>
                <w:p w14:paraId="7620A510" w14:textId="77777777" w:rsidR="009C6940" w:rsidRPr="00EF7969" w:rsidRDefault="009C6940" w:rsidP="009C6940">
                  <w:pPr>
                    <w:pStyle w:val="TableBodyText"/>
                    <w:jc w:val="left"/>
                  </w:pPr>
                  <w:r w:rsidRPr="00EF7969">
                    <w:t>Port Macquarie Community College</w:t>
                  </w:r>
                </w:p>
              </w:tc>
              <w:tc>
                <w:tcPr>
                  <w:tcW w:w="2126" w:type="dxa"/>
                  <w:shd w:val="clear" w:color="auto" w:fill="auto"/>
                </w:tcPr>
                <w:p w14:paraId="5D694315" w14:textId="77777777" w:rsidR="009C6940" w:rsidRPr="00EF7969" w:rsidRDefault="009C6940" w:rsidP="009C6940">
                  <w:pPr>
                    <w:pStyle w:val="TableBodyText"/>
                  </w:pPr>
                  <w:r w:rsidRPr="00EF7969">
                    <w:t>4</w:t>
                  </w:r>
                </w:p>
              </w:tc>
            </w:tr>
            <w:tr w:rsidR="009C6940" w:rsidRPr="00EF7969" w14:paraId="28037D04" w14:textId="77777777" w:rsidTr="009C6940">
              <w:tc>
                <w:tcPr>
                  <w:tcW w:w="6377" w:type="dxa"/>
                  <w:shd w:val="clear" w:color="auto" w:fill="auto"/>
                </w:tcPr>
                <w:p w14:paraId="5D9CABF8" w14:textId="77777777" w:rsidR="009C6940" w:rsidRPr="00EF7969" w:rsidRDefault="009C6940" w:rsidP="009C6940">
                  <w:pPr>
                    <w:pStyle w:val="TableBodyText"/>
                    <w:jc w:val="left"/>
                  </w:pPr>
                  <w:r w:rsidRPr="00EF7969">
                    <w:t>Positive Life NSW</w:t>
                  </w:r>
                </w:p>
              </w:tc>
              <w:tc>
                <w:tcPr>
                  <w:tcW w:w="2126" w:type="dxa"/>
                  <w:shd w:val="clear" w:color="auto" w:fill="auto"/>
                </w:tcPr>
                <w:p w14:paraId="5E7E22A2" w14:textId="77777777" w:rsidR="009C6940" w:rsidRPr="00EF7969" w:rsidRDefault="009C6940" w:rsidP="009C6940">
                  <w:pPr>
                    <w:pStyle w:val="TableBodyText"/>
                  </w:pPr>
                  <w:r w:rsidRPr="00EF7969">
                    <w:t>271</w:t>
                  </w:r>
                </w:p>
              </w:tc>
            </w:tr>
            <w:tr w:rsidR="009C6940" w:rsidRPr="00EF7969" w14:paraId="28399F58" w14:textId="77777777" w:rsidTr="009C6940">
              <w:tc>
                <w:tcPr>
                  <w:tcW w:w="6377" w:type="dxa"/>
                  <w:shd w:val="clear" w:color="auto" w:fill="auto"/>
                </w:tcPr>
                <w:p w14:paraId="28DFC5F7" w14:textId="77777777" w:rsidR="009C6940" w:rsidRPr="00EF7969" w:rsidRDefault="009C6940" w:rsidP="009C6940">
                  <w:pPr>
                    <w:pStyle w:val="TableBodyText"/>
                    <w:jc w:val="left"/>
                  </w:pPr>
                  <w:r w:rsidRPr="00EF7969">
                    <w:t>Prevention United</w:t>
                  </w:r>
                </w:p>
              </w:tc>
              <w:tc>
                <w:tcPr>
                  <w:tcW w:w="2126" w:type="dxa"/>
                  <w:shd w:val="clear" w:color="auto" w:fill="auto"/>
                </w:tcPr>
                <w:p w14:paraId="2BBA6175" w14:textId="77777777" w:rsidR="009C6940" w:rsidRPr="00EF7969" w:rsidRDefault="009C6940" w:rsidP="009C6940">
                  <w:pPr>
                    <w:pStyle w:val="TableBodyText"/>
                  </w:pPr>
                  <w:r w:rsidRPr="00EF7969">
                    <w:t>134, 768</w:t>
                  </w:r>
                </w:p>
              </w:tc>
            </w:tr>
            <w:tr w:rsidR="009C6940" w:rsidRPr="00EF7969" w14:paraId="19521852" w14:textId="77777777" w:rsidTr="009C6940">
              <w:tc>
                <w:tcPr>
                  <w:tcW w:w="6377" w:type="dxa"/>
                  <w:shd w:val="clear" w:color="auto" w:fill="auto"/>
                </w:tcPr>
                <w:p w14:paraId="45A2C4A4" w14:textId="77777777" w:rsidR="009C6940" w:rsidRPr="00EF7969" w:rsidRDefault="009C6940" w:rsidP="009C6940">
                  <w:pPr>
                    <w:pStyle w:val="TableBodyText"/>
                    <w:jc w:val="left"/>
                  </w:pPr>
                  <w:r w:rsidRPr="00EF7969">
                    <w:t>Primary Health Networks</w:t>
                  </w:r>
                  <w:r>
                    <w:t xml:space="preserve"> Cooperative </w:t>
                  </w:r>
                  <w:r w:rsidRPr="00EF7969">
                    <w:t>(PHNs)</w:t>
                  </w:r>
                </w:p>
              </w:tc>
              <w:tc>
                <w:tcPr>
                  <w:tcW w:w="2126" w:type="dxa"/>
                  <w:shd w:val="clear" w:color="auto" w:fill="auto"/>
                </w:tcPr>
                <w:p w14:paraId="105EA0F9" w14:textId="77777777" w:rsidR="009C6940" w:rsidRPr="00EF7969" w:rsidRDefault="009C6940" w:rsidP="009C6940">
                  <w:pPr>
                    <w:pStyle w:val="TableBodyText"/>
                  </w:pPr>
                  <w:r w:rsidRPr="00EF7969">
                    <w:t>377</w:t>
                  </w:r>
                  <w:r>
                    <w:t>, 850</w:t>
                  </w:r>
                </w:p>
              </w:tc>
            </w:tr>
            <w:tr w:rsidR="009C6940" w:rsidRPr="00EF7969" w14:paraId="53A317FD" w14:textId="77777777" w:rsidTr="009C6940">
              <w:tc>
                <w:tcPr>
                  <w:tcW w:w="6377" w:type="dxa"/>
                  <w:shd w:val="clear" w:color="auto" w:fill="auto"/>
                </w:tcPr>
                <w:p w14:paraId="7D7BCD8A" w14:textId="77777777" w:rsidR="009C6940" w:rsidRPr="00EF7969" w:rsidRDefault="009C6940" w:rsidP="009C6940">
                  <w:pPr>
                    <w:pStyle w:val="TableBodyText"/>
                    <w:jc w:val="left"/>
                  </w:pPr>
                  <w:r w:rsidRPr="00EF7969">
                    <w:t>Primary Health Tasmania</w:t>
                  </w:r>
                </w:p>
              </w:tc>
              <w:tc>
                <w:tcPr>
                  <w:tcW w:w="2126" w:type="dxa"/>
                  <w:shd w:val="clear" w:color="auto" w:fill="auto"/>
                </w:tcPr>
                <w:p w14:paraId="1189197A" w14:textId="77777777" w:rsidR="009C6940" w:rsidRPr="00EF7969" w:rsidRDefault="009C6940" w:rsidP="009C6940">
                  <w:pPr>
                    <w:pStyle w:val="TableBodyText"/>
                  </w:pPr>
                  <w:r w:rsidRPr="00EF7969">
                    <w:t>887</w:t>
                  </w:r>
                </w:p>
              </w:tc>
            </w:tr>
            <w:tr w:rsidR="009C6940" w:rsidRPr="00EF7969" w14:paraId="023E030E" w14:textId="77777777" w:rsidTr="009C6940">
              <w:tc>
                <w:tcPr>
                  <w:tcW w:w="6377" w:type="dxa"/>
                  <w:shd w:val="clear" w:color="auto" w:fill="auto"/>
                </w:tcPr>
                <w:p w14:paraId="32DC275E" w14:textId="77777777" w:rsidR="009C6940" w:rsidRPr="00EF7969" w:rsidRDefault="009C6940" w:rsidP="009C6940">
                  <w:pPr>
                    <w:pStyle w:val="TableBodyText"/>
                    <w:jc w:val="left"/>
                  </w:pPr>
                  <w:r w:rsidRPr="00EF7969">
                    <w:t>Private Healthcare Australia (PHA)</w:t>
                  </w:r>
                </w:p>
              </w:tc>
              <w:tc>
                <w:tcPr>
                  <w:tcW w:w="2126" w:type="dxa"/>
                  <w:shd w:val="clear" w:color="auto" w:fill="auto"/>
                </w:tcPr>
                <w:p w14:paraId="42DF0E8D" w14:textId="77777777" w:rsidR="009C6940" w:rsidRPr="00EF7969" w:rsidRDefault="009C6940" w:rsidP="009C6940">
                  <w:pPr>
                    <w:pStyle w:val="TableBodyText"/>
                  </w:pPr>
                  <w:r w:rsidRPr="00EF7969">
                    <w:t>222, 815</w:t>
                  </w:r>
                </w:p>
              </w:tc>
            </w:tr>
            <w:tr w:rsidR="009C6940" w:rsidRPr="00EF7969" w14:paraId="46299200" w14:textId="77777777" w:rsidTr="009C6940">
              <w:tc>
                <w:tcPr>
                  <w:tcW w:w="6377" w:type="dxa"/>
                  <w:shd w:val="clear" w:color="auto" w:fill="auto"/>
                </w:tcPr>
                <w:p w14:paraId="2007DCAC" w14:textId="77777777" w:rsidR="009C6940" w:rsidRPr="00EF7969" w:rsidRDefault="009C6940" w:rsidP="009C6940">
                  <w:pPr>
                    <w:pStyle w:val="TableBodyText"/>
                    <w:jc w:val="left"/>
                  </w:pPr>
                  <w:r w:rsidRPr="00EF7969">
                    <w:t>Private Mental Health Consumer Carer Network (Australia)</w:t>
                  </w:r>
                </w:p>
              </w:tc>
              <w:tc>
                <w:tcPr>
                  <w:tcW w:w="2126" w:type="dxa"/>
                  <w:shd w:val="clear" w:color="auto" w:fill="auto"/>
                </w:tcPr>
                <w:p w14:paraId="68A968E2" w14:textId="77777777" w:rsidR="009C6940" w:rsidRPr="00EF7969" w:rsidRDefault="009C6940" w:rsidP="009C6940">
                  <w:pPr>
                    <w:pStyle w:val="TableBodyText"/>
                  </w:pPr>
                  <w:r w:rsidRPr="00EF7969">
                    <w:t>49, 547, 550</w:t>
                  </w:r>
                </w:p>
              </w:tc>
            </w:tr>
            <w:tr w:rsidR="009C6940" w:rsidRPr="00EF7969" w14:paraId="7B6B842C" w14:textId="77777777" w:rsidTr="009C6940">
              <w:tc>
                <w:tcPr>
                  <w:tcW w:w="6377" w:type="dxa"/>
                  <w:shd w:val="clear" w:color="auto" w:fill="auto"/>
                </w:tcPr>
                <w:p w14:paraId="43D2D30E" w14:textId="77777777" w:rsidR="009C6940" w:rsidRPr="00EF7969" w:rsidRDefault="009C6940" w:rsidP="009C6940">
                  <w:pPr>
                    <w:pStyle w:val="TableBodyText"/>
                    <w:jc w:val="left"/>
                  </w:pPr>
                  <w:r w:rsidRPr="00EF7969">
                    <w:t>ProCare Mental Health Services</w:t>
                  </w:r>
                </w:p>
              </w:tc>
              <w:tc>
                <w:tcPr>
                  <w:tcW w:w="2126" w:type="dxa"/>
                  <w:shd w:val="clear" w:color="auto" w:fill="auto"/>
                </w:tcPr>
                <w:p w14:paraId="09F79DC0" w14:textId="77777777" w:rsidR="009C6940" w:rsidRPr="00EF7969" w:rsidRDefault="009C6940" w:rsidP="009C6940">
                  <w:pPr>
                    <w:pStyle w:val="TableBodyText"/>
                  </w:pPr>
                  <w:r w:rsidRPr="00EF7969">
                    <w:t>1244</w:t>
                  </w:r>
                </w:p>
              </w:tc>
            </w:tr>
            <w:tr w:rsidR="009C6940" w:rsidRPr="00EF7969" w14:paraId="20923C02" w14:textId="77777777" w:rsidTr="009C6940">
              <w:tc>
                <w:tcPr>
                  <w:tcW w:w="6377" w:type="dxa"/>
                  <w:shd w:val="clear" w:color="auto" w:fill="auto"/>
                </w:tcPr>
                <w:p w14:paraId="66BA7961" w14:textId="77777777" w:rsidR="009C6940" w:rsidRPr="00EF7969" w:rsidRDefault="009C6940" w:rsidP="009C6940">
                  <w:pPr>
                    <w:pStyle w:val="TableBodyText"/>
                    <w:jc w:val="left"/>
                  </w:pPr>
                  <w:r w:rsidRPr="00EF7969">
                    <w:t>Progressive Public Health Alliance</w:t>
                  </w:r>
                </w:p>
              </w:tc>
              <w:tc>
                <w:tcPr>
                  <w:tcW w:w="2126" w:type="dxa"/>
                  <w:shd w:val="clear" w:color="auto" w:fill="auto"/>
                </w:tcPr>
                <w:p w14:paraId="1ACF5F93" w14:textId="77777777" w:rsidR="009C6940" w:rsidRPr="00EF7969" w:rsidRDefault="009C6940" w:rsidP="009C6940">
                  <w:pPr>
                    <w:pStyle w:val="TableBodyText"/>
                  </w:pPr>
                  <w:r w:rsidRPr="00EF7969">
                    <w:t>723</w:t>
                  </w:r>
                </w:p>
              </w:tc>
            </w:tr>
            <w:tr w:rsidR="009C6940" w:rsidRPr="00EF7969" w14:paraId="735F63EC" w14:textId="77777777" w:rsidTr="009C6940">
              <w:tc>
                <w:tcPr>
                  <w:tcW w:w="6377" w:type="dxa"/>
                  <w:shd w:val="clear" w:color="auto" w:fill="auto"/>
                </w:tcPr>
                <w:p w14:paraId="2514D5A5" w14:textId="77777777" w:rsidR="009C6940" w:rsidRPr="00EF7969" w:rsidRDefault="009C6940" w:rsidP="009C6940">
                  <w:pPr>
                    <w:pStyle w:val="TableBodyText"/>
                    <w:jc w:val="left"/>
                  </w:pPr>
                  <w:r w:rsidRPr="00EF7969">
                    <w:t>Psychology CAFFE</w:t>
                  </w:r>
                </w:p>
              </w:tc>
              <w:tc>
                <w:tcPr>
                  <w:tcW w:w="2126" w:type="dxa"/>
                  <w:shd w:val="clear" w:color="auto" w:fill="auto"/>
                </w:tcPr>
                <w:p w14:paraId="2B54E845" w14:textId="77777777" w:rsidR="009C6940" w:rsidRPr="00EF7969" w:rsidRDefault="009C6940" w:rsidP="009C6940">
                  <w:pPr>
                    <w:pStyle w:val="TableBodyText"/>
                  </w:pPr>
                  <w:r w:rsidRPr="00EF7969">
                    <w:t>1221</w:t>
                  </w:r>
                </w:p>
              </w:tc>
            </w:tr>
            <w:tr w:rsidR="009C6940" w:rsidRPr="00EF7969" w14:paraId="1945DF1A" w14:textId="77777777" w:rsidTr="009C6940">
              <w:tc>
                <w:tcPr>
                  <w:tcW w:w="6377" w:type="dxa"/>
                  <w:shd w:val="clear" w:color="auto" w:fill="auto"/>
                </w:tcPr>
                <w:p w14:paraId="2D89522A" w14:textId="77777777" w:rsidR="009C6940" w:rsidRPr="00EF7969" w:rsidRDefault="009C6940" w:rsidP="009C6940">
                  <w:pPr>
                    <w:pStyle w:val="TableBodyText"/>
                    <w:jc w:val="left"/>
                  </w:pPr>
                  <w:r w:rsidRPr="00EF7969">
                    <w:t>Psychotherapy and Counselling Federation of Australia (PACFA)</w:t>
                  </w:r>
                </w:p>
              </w:tc>
              <w:tc>
                <w:tcPr>
                  <w:tcW w:w="2126" w:type="dxa"/>
                  <w:shd w:val="clear" w:color="auto" w:fill="auto"/>
                </w:tcPr>
                <w:p w14:paraId="0821F1CC" w14:textId="77777777" w:rsidR="009C6940" w:rsidRPr="00EF7969" w:rsidRDefault="009C6940" w:rsidP="009C6940">
                  <w:pPr>
                    <w:pStyle w:val="TableBodyText"/>
                  </w:pPr>
                  <w:r w:rsidRPr="00EF7969">
                    <w:t>883</w:t>
                  </w:r>
                </w:p>
              </w:tc>
            </w:tr>
            <w:tr w:rsidR="009C6940" w:rsidRPr="00EF7969" w14:paraId="2179DA65" w14:textId="77777777" w:rsidTr="009C6940">
              <w:tc>
                <w:tcPr>
                  <w:tcW w:w="6377" w:type="dxa"/>
                  <w:shd w:val="clear" w:color="auto" w:fill="auto"/>
                </w:tcPr>
                <w:p w14:paraId="288CA092" w14:textId="77777777" w:rsidR="009C6940" w:rsidRPr="00EF7969" w:rsidRDefault="009C6940" w:rsidP="009C6940">
                  <w:pPr>
                    <w:pStyle w:val="TableBodyText"/>
                    <w:jc w:val="left"/>
                  </w:pPr>
                  <w:r w:rsidRPr="00EF7969">
                    <w:t>Public Advocate and Children and Young People Commission (PACYPC)</w:t>
                  </w:r>
                </w:p>
              </w:tc>
              <w:tc>
                <w:tcPr>
                  <w:tcW w:w="2126" w:type="dxa"/>
                  <w:shd w:val="clear" w:color="auto" w:fill="auto"/>
                </w:tcPr>
                <w:p w14:paraId="35F8B664" w14:textId="77777777" w:rsidR="009C6940" w:rsidRPr="00EF7969" w:rsidRDefault="009C6940" w:rsidP="009C6940">
                  <w:pPr>
                    <w:pStyle w:val="TableBodyText"/>
                  </w:pPr>
                  <w:r w:rsidRPr="00EF7969">
                    <w:t>291</w:t>
                  </w:r>
                </w:p>
              </w:tc>
            </w:tr>
            <w:tr w:rsidR="009C6940" w:rsidRPr="00EF7969" w14:paraId="1935D2B1" w14:textId="77777777" w:rsidTr="009C6940">
              <w:tc>
                <w:tcPr>
                  <w:tcW w:w="6377" w:type="dxa"/>
                  <w:shd w:val="clear" w:color="auto" w:fill="auto"/>
                </w:tcPr>
                <w:p w14:paraId="5ABC13C8" w14:textId="77777777" w:rsidR="009C6940" w:rsidRPr="00EF7969" w:rsidRDefault="009C6940" w:rsidP="009C6940">
                  <w:pPr>
                    <w:pStyle w:val="TableBodyText"/>
                    <w:jc w:val="left"/>
                  </w:pPr>
                  <w:r w:rsidRPr="00EF7969">
                    <w:t>Public Health Association of Australia (PHAA)</w:t>
                  </w:r>
                </w:p>
              </w:tc>
              <w:tc>
                <w:tcPr>
                  <w:tcW w:w="2126" w:type="dxa"/>
                  <w:shd w:val="clear" w:color="auto" w:fill="auto"/>
                </w:tcPr>
                <w:p w14:paraId="7C4FB73E" w14:textId="77777777" w:rsidR="009C6940" w:rsidRPr="00EF7969" w:rsidRDefault="009C6940" w:rsidP="009C6940">
                  <w:pPr>
                    <w:pStyle w:val="TableBodyText"/>
                  </w:pPr>
                  <w:r w:rsidRPr="00EF7969">
                    <w:t>272, 1119</w:t>
                  </w:r>
                </w:p>
              </w:tc>
            </w:tr>
            <w:tr w:rsidR="009C6940" w:rsidRPr="00EF7969" w14:paraId="41939B50" w14:textId="77777777" w:rsidTr="009C6940">
              <w:tc>
                <w:tcPr>
                  <w:tcW w:w="6377" w:type="dxa"/>
                  <w:shd w:val="clear" w:color="auto" w:fill="auto"/>
                </w:tcPr>
                <w:p w14:paraId="40E08BDE" w14:textId="77777777" w:rsidR="009C6940" w:rsidRPr="00EF7969" w:rsidRDefault="009C6940" w:rsidP="009C6940">
                  <w:pPr>
                    <w:pStyle w:val="TableBodyText"/>
                    <w:jc w:val="left"/>
                  </w:pPr>
                  <w:r w:rsidRPr="00EF7969">
                    <w:t>Public Interest Advocacy Centre (PIAC)</w:t>
                  </w:r>
                </w:p>
              </w:tc>
              <w:tc>
                <w:tcPr>
                  <w:tcW w:w="2126" w:type="dxa"/>
                  <w:shd w:val="clear" w:color="auto" w:fill="auto"/>
                </w:tcPr>
                <w:p w14:paraId="0162AD00" w14:textId="77777777" w:rsidR="009C6940" w:rsidRPr="00EF7969" w:rsidRDefault="009C6940" w:rsidP="009C6940">
                  <w:pPr>
                    <w:pStyle w:val="TableBodyText"/>
                  </w:pPr>
                  <w:r w:rsidRPr="00EF7969">
                    <w:t>801</w:t>
                  </w:r>
                </w:p>
              </w:tc>
            </w:tr>
            <w:tr w:rsidR="009C6940" w:rsidRPr="00EF7969" w14:paraId="731A1E57" w14:textId="77777777" w:rsidTr="009C6940">
              <w:tc>
                <w:tcPr>
                  <w:tcW w:w="6377" w:type="dxa"/>
                  <w:shd w:val="clear" w:color="auto" w:fill="auto"/>
                </w:tcPr>
                <w:p w14:paraId="56BA1C63" w14:textId="77777777" w:rsidR="009C6940" w:rsidRPr="00EF7969" w:rsidRDefault="009C6940" w:rsidP="009C6940">
                  <w:pPr>
                    <w:pStyle w:val="TableBodyText"/>
                    <w:jc w:val="left"/>
                  </w:pPr>
                  <w:r w:rsidRPr="00EF7969">
                    <w:t xml:space="preserve">Quattro Investment Pty Ltd </w:t>
                  </w:r>
                </w:p>
              </w:tc>
              <w:tc>
                <w:tcPr>
                  <w:tcW w:w="2126" w:type="dxa"/>
                  <w:shd w:val="clear" w:color="auto" w:fill="auto"/>
                </w:tcPr>
                <w:p w14:paraId="3CDFDC7B" w14:textId="77777777" w:rsidR="009C6940" w:rsidRPr="00EF7969" w:rsidRDefault="009C6940" w:rsidP="009C6940">
                  <w:pPr>
                    <w:pStyle w:val="TableBodyText"/>
                  </w:pPr>
                  <w:r w:rsidRPr="00EF7969">
                    <w:t>539</w:t>
                  </w:r>
                </w:p>
              </w:tc>
            </w:tr>
            <w:tr w:rsidR="009C6940" w:rsidRPr="00EF7969" w14:paraId="50F3F5F0" w14:textId="77777777" w:rsidTr="009C6940">
              <w:tc>
                <w:tcPr>
                  <w:tcW w:w="6377" w:type="dxa"/>
                  <w:shd w:val="clear" w:color="auto" w:fill="auto"/>
                </w:tcPr>
                <w:p w14:paraId="4C0AF0A2" w14:textId="77777777" w:rsidR="009C6940" w:rsidRPr="00EF7969" w:rsidRDefault="009C6940" w:rsidP="009C6940">
                  <w:pPr>
                    <w:pStyle w:val="TableBodyText"/>
                    <w:jc w:val="left"/>
                  </w:pPr>
                  <w:r>
                    <w:t>Queensland</w:t>
                  </w:r>
                  <w:r w:rsidRPr="00EF7969">
                    <w:t xml:space="preserve"> Aboriginal and Islander Health Council (QAIHC)</w:t>
                  </w:r>
                </w:p>
              </w:tc>
              <w:tc>
                <w:tcPr>
                  <w:tcW w:w="2126" w:type="dxa"/>
                  <w:shd w:val="clear" w:color="auto" w:fill="auto"/>
                </w:tcPr>
                <w:p w14:paraId="5ABE4899" w14:textId="77777777" w:rsidR="009C6940" w:rsidRPr="00EF7969" w:rsidRDefault="009C6940" w:rsidP="009C6940">
                  <w:pPr>
                    <w:pStyle w:val="TableBodyText"/>
                  </w:pPr>
                  <w:r w:rsidRPr="00EF7969">
                    <w:t>1235</w:t>
                  </w:r>
                </w:p>
              </w:tc>
            </w:tr>
            <w:tr w:rsidR="009C6940" w:rsidRPr="00EF7969" w14:paraId="02F08A5B" w14:textId="77777777" w:rsidTr="009C6940">
              <w:tc>
                <w:tcPr>
                  <w:tcW w:w="6377" w:type="dxa"/>
                  <w:shd w:val="clear" w:color="auto" w:fill="auto"/>
                </w:tcPr>
                <w:p w14:paraId="3A2EE8A8" w14:textId="77777777" w:rsidR="009C6940" w:rsidRPr="00EF7969" w:rsidRDefault="009C6940" w:rsidP="009C6940">
                  <w:pPr>
                    <w:pStyle w:val="TableBodyText"/>
                    <w:jc w:val="left"/>
                  </w:pPr>
                  <w:r>
                    <w:t>Queensland</w:t>
                  </w:r>
                  <w:r w:rsidRPr="00EF7969">
                    <w:t xml:space="preserve"> Advocacy Incorporated (QAI)</w:t>
                  </w:r>
                </w:p>
              </w:tc>
              <w:tc>
                <w:tcPr>
                  <w:tcW w:w="2126" w:type="dxa"/>
                  <w:shd w:val="clear" w:color="auto" w:fill="auto"/>
                </w:tcPr>
                <w:p w14:paraId="34A04129" w14:textId="77777777" w:rsidR="009C6940" w:rsidRPr="00EF7969" w:rsidRDefault="009C6940" w:rsidP="009C6940">
                  <w:pPr>
                    <w:pStyle w:val="TableBodyText"/>
                  </w:pPr>
                  <w:r w:rsidRPr="00EF7969">
                    <w:t>116, 889</w:t>
                  </w:r>
                </w:p>
              </w:tc>
            </w:tr>
            <w:tr w:rsidR="009C6940" w:rsidRPr="00EF7969" w14:paraId="0D568E3D" w14:textId="77777777" w:rsidTr="009C6940">
              <w:tc>
                <w:tcPr>
                  <w:tcW w:w="6377" w:type="dxa"/>
                  <w:shd w:val="clear" w:color="auto" w:fill="auto"/>
                </w:tcPr>
                <w:p w14:paraId="60F86AF8" w14:textId="77777777" w:rsidR="009C6940" w:rsidRPr="00EF7969" w:rsidRDefault="009C6940" w:rsidP="009C6940">
                  <w:pPr>
                    <w:pStyle w:val="TableBodyText"/>
                    <w:jc w:val="left"/>
                  </w:pPr>
                  <w:r>
                    <w:t>Queensland</w:t>
                  </w:r>
                  <w:r w:rsidRPr="00EF7969">
                    <w:t xml:space="preserve"> Alliance for Mental Health (QAMH)</w:t>
                  </w:r>
                </w:p>
              </w:tc>
              <w:tc>
                <w:tcPr>
                  <w:tcW w:w="2126" w:type="dxa"/>
                  <w:shd w:val="clear" w:color="auto" w:fill="auto"/>
                </w:tcPr>
                <w:p w14:paraId="352CA8DA" w14:textId="77777777" w:rsidR="009C6940" w:rsidRPr="00EF7969" w:rsidRDefault="009C6940" w:rsidP="009C6940">
                  <w:pPr>
                    <w:pStyle w:val="TableBodyText"/>
                  </w:pPr>
                  <w:r w:rsidRPr="00EF7969">
                    <w:t>247, 714</w:t>
                  </w:r>
                </w:p>
              </w:tc>
            </w:tr>
            <w:tr w:rsidR="009C6940" w:rsidRPr="00EF7969" w14:paraId="163D0806" w14:textId="77777777" w:rsidTr="009C6940">
              <w:tc>
                <w:tcPr>
                  <w:tcW w:w="6377" w:type="dxa"/>
                  <w:shd w:val="clear" w:color="auto" w:fill="auto"/>
                </w:tcPr>
                <w:p w14:paraId="4C9B61DF" w14:textId="77777777" w:rsidR="009C6940" w:rsidRPr="00EF7969" w:rsidRDefault="009C6940" w:rsidP="009C6940">
                  <w:pPr>
                    <w:pStyle w:val="TableBodyText"/>
                    <w:jc w:val="left"/>
                  </w:pPr>
                  <w:r>
                    <w:t>Queensland</w:t>
                  </w:r>
                  <w:r w:rsidRPr="00EF7969">
                    <w:t xml:space="preserve"> Catholic Education Commission</w:t>
                  </w:r>
                  <w:r>
                    <w:t xml:space="preserve"> (QCEC)</w:t>
                  </w:r>
                </w:p>
              </w:tc>
              <w:tc>
                <w:tcPr>
                  <w:tcW w:w="2126" w:type="dxa"/>
                  <w:shd w:val="clear" w:color="auto" w:fill="auto"/>
                </w:tcPr>
                <w:p w14:paraId="00068C32" w14:textId="77777777" w:rsidR="009C6940" w:rsidRPr="00EF7969" w:rsidRDefault="009C6940" w:rsidP="009C6940">
                  <w:pPr>
                    <w:pStyle w:val="TableBodyText"/>
                  </w:pPr>
                  <w:r w:rsidRPr="00EF7969">
                    <w:t>711</w:t>
                  </w:r>
                </w:p>
              </w:tc>
            </w:tr>
            <w:tr w:rsidR="009C6940" w:rsidRPr="00EF7969" w14:paraId="70E30101" w14:textId="77777777" w:rsidTr="009C6940">
              <w:tc>
                <w:tcPr>
                  <w:tcW w:w="6377" w:type="dxa"/>
                  <w:shd w:val="clear" w:color="auto" w:fill="auto"/>
                </w:tcPr>
                <w:p w14:paraId="3E6987F4" w14:textId="77777777" w:rsidR="009C6940" w:rsidRPr="00EF7969" w:rsidRDefault="009C6940" w:rsidP="009C6940">
                  <w:pPr>
                    <w:pStyle w:val="TableBodyText"/>
                    <w:jc w:val="left"/>
                  </w:pPr>
                  <w:r>
                    <w:t>Queensland</w:t>
                  </w:r>
                  <w:r w:rsidRPr="00EF7969">
                    <w:t xml:space="preserve"> Council for LGBTI Health</w:t>
                  </w:r>
                </w:p>
              </w:tc>
              <w:tc>
                <w:tcPr>
                  <w:tcW w:w="2126" w:type="dxa"/>
                  <w:shd w:val="clear" w:color="auto" w:fill="auto"/>
                </w:tcPr>
                <w:p w14:paraId="71915E7E" w14:textId="77777777" w:rsidR="009C6940" w:rsidRPr="00EF7969" w:rsidRDefault="009C6940" w:rsidP="009C6940">
                  <w:pPr>
                    <w:pStyle w:val="TableBodyText"/>
                  </w:pPr>
                  <w:r w:rsidRPr="00EF7969">
                    <w:t>681</w:t>
                  </w:r>
                </w:p>
              </w:tc>
            </w:tr>
            <w:tr w:rsidR="009C6940" w:rsidRPr="00EF7969" w14:paraId="5DBC4447" w14:textId="77777777" w:rsidTr="009C6940">
              <w:tc>
                <w:tcPr>
                  <w:tcW w:w="6377" w:type="dxa"/>
                  <w:shd w:val="clear" w:color="auto" w:fill="auto"/>
                </w:tcPr>
                <w:p w14:paraId="4FAA7FAB" w14:textId="77777777" w:rsidR="009C6940" w:rsidRPr="00EF7969" w:rsidRDefault="009C6940" w:rsidP="009C6940">
                  <w:pPr>
                    <w:pStyle w:val="TableBodyText"/>
                    <w:jc w:val="left"/>
                  </w:pPr>
                  <w:r>
                    <w:t>Queensland</w:t>
                  </w:r>
                  <w:r w:rsidRPr="00EF7969">
                    <w:t xml:space="preserve"> Family and Child Commission (QFCC)</w:t>
                  </w:r>
                </w:p>
              </w:tc>
              <w:tc>
                <w:tcPr>
                  <w:tcW w:w="2126" w:type="dxa"/>
                  <w:shd w:val="clear" w:color="auto" w:fill="auto"/>
                </w:tcPr>
                <w:p w14:paraId="5AF0AA25" w14:textId="77777777" w:rsidR="009C6940" w:rsidRPr="00EF7969" w:rsidRDefault="009C6940" w:rsidP="009C6940">
                  <w:pPr>
                    <w:pStyle w:val="TableBodyText"/>
                  </w:pPr>
                  <w:r w:rsidRPr="00EF7969">
                    <w:t>85</w:t>
                  </w:r>
                </w:p>
              </w:tc>
            </w:tr>
            <w:tr w:rsidR="009C6940" w:rsidRPr="00EF7969" w14:paraId="663F7E7A" w14:textId="77777777" w:rsidTr="009C6940">
              <w:tc>
                <w:tcPr>
                  <w:tcW w:w="6377" w:type="dxa"/>
                  <w:shd w:val="clear" w:color="auto" w:fill="auto"/>
                </w:tcPr>
                <w:p w14:paraId="1A9434C8" w14:textId="77777777" w:rsidR="009C6940" w:rsidRPr="00EF7969" w:rsidRDefault="009C6940" w:rsidP="009C6940">
                  <w:pPr>
                    <w:pStyle w:val="TableBodyText"/>
                    <w:jc w:val="left"/>
                  </w:pPr>
                  <w:r>
                    <w:t>Queensland</w:t>
                  </w:r>
                  <w:r w:rsidRPr="00EF7969">
                    <w:t xml:space="preserve"> Mental Health Commission (QMHC)</w:t>
                  </w:r>
                </w:p>
              </w:tc>
              <w:tc>
                <w:tcPr>
                  <w:tcW w:w="2126" w:type="dxa"/>
                  <w:shd w:val="clear" w:color="auto" w:fill="auto"/>
                </w:tcPr>
                <w:p w14:paraId="42B9A018" w14:textId="77777777" w:rsidR="009C6940" w:rsidRPr="00EF7969" w:rsidRDefault="009C6940" w:rsidP="009C6940">
                  <w:pPr>
                    <w:pStyle w:val="TableBodyText"/>
                  </w:pPr>
                  <w:r w:rsidRPr="00EF7969">
                    <w:t>228, 712</w:t>
                  </w:r>
                </w:p>
              </w:tc>
            </w:tr>
            <w:tr w:rsidR="009C6940" w:rsidRPr="00EF7969" w14:paraId="0BE3DA0E" w14:textId="77777777" w:rsidTr="009C6940">
              <w:tc>
                <w:tcPr>
                  <w:tcW w:w="6377" w:type="dxa"/>
                  <w:shd w:val="clear" w:color="auto" w:fill="auto"/>
                </w:tcPr>
                <w:p w14:paraId="2CE3EC48" w14:textId="77777777" w:rsidR="009C6940" w:rsidRPr="00EF7969" w:rsidRDefault="009C6940" w:rsidP="009C6940">
                  <w:pPr>
                    <w:pStyle w:val="TableBodyText"/>
                    <w:jc w:val="left"/>
                  </w:pPr>
                  <w:r>
                    <w:t>Queensland</w:t>
                  </w:r>
                  <w:r w:rsidRPr="00EF7969">
                    <w:t xml:space="preserve"> Network of Alcohol and Other Drug Agencies (QNADA)</w:t>
                  </w:r>
                </w:p>
              </w:tc>
              <w:tc>
                <w:tcPr>
                  <w:tcW w:w="2126" w:type="dxa"/>
                  <w:shd w:val="clear" w:color="auto" w:fill="auto"/>
                </w:tcPr>
                <w:p w14:paraId="3EEC5774" w14:textId="77777777" w:rsidR="009C6940" w:rsidRPr="00EF7969" w:rsidRDefault="009C6940" w:rsidP="009C6940">
                  <w:pPr>
                    <w:pStyle w:val="TableBodyText"/>
                  </w:pPr>
                  <w:r w:rsidRPr="00EF7969">
                    <w:t>845</w:t>
                  </w:r>
                </w:p>
              </w:tc>
            </w:tr>
            <w:tr w:rsidR="009C6940" w:rsidRPr="00EF7969" w14:paraId="0DAE5ED2" w14:textId="77777777" w:rsidTr="009C6940">
              <w:tc>
                <w:tcPr>
                  <w:tcW w:w="6377" w:type="dxa"/>
                  <w:shd w:val="clear" w:color="auto" w:fill="auto"/>
                </w:tcPr>
                <w:p w14:paraId="3F31078E" w14:textId="77777777" w:rsidR="009C6940" w:rsidRPr="00EF7969" w:rsidRDefault="009C6940" w:rsidP="009C6940">
                  <w:pPr>
                    <w:pStyle w:val="TableBodyText"/>
                    <w:jc w:val="left"/>
                  </w:pPr>
                  <w:r>
                    <w:t>Queensland</w:t>
                  </w:r>
                  <w:r w:rsidRPr="00EF7969">
                    <w:t xml:space="preserve"> Nurses and Midwives’ Union (QNMU)</w:t>
                  </w:r>
                </w:p>
              </w:tc>
              <w:tc>
                <w:tcPr>
                  <w:tcW w:w="2126" w:type="dxa"/>
                  <w:shd w:val="clear" w:color="auto" w:fill="auto"/>
                </w:tcPr>
                <w:p w14:paraId="56FB9C77" w14:textId="77777777" w:rsidR="009C6940" w:rsidRPr="00EF7969" w:rsidRDefault="009C6940" w:rsidP="009C6940">
                  <w:pPr>
                    <w:pStyle w:val="TableBodyText"/>
                  </w:pPr>
                  <w:r w:rsidRPr="00EF7969">
                    <w:t>229, 760</w:t>
                  </w:r>
                </w:p>
              </w:tc>
            </w:tr>
            <w:tr w:rsidR="009C6940" w:rsidRPr="00EF7969" w14:paraId="5E78BD2A" w14:textId="77777777" w:rsidTr="009C6940">
              <w:tc>
                <w:tcPr>
                  <w:tcW w:w="6377" w:type="dxa"/>
                  <w:shd w:val="clear" w:color="auto" w:fill="auto"/>
                </w:tcPr>
                <w:p w14:paraId="75784CBE" w14:textId="77777777" w:rsidR="009C6940" w:rsidRPr="00EF7969" w:rsidRDefault="009C6940" w:rsidP="009C6940">
                  <w:pPr>
                    <w:pStyle w:val="TableBodyText"/>
                    <w:jc w:val="left"/>
                  </w:pPr>
                  <w:r>
                    <w:t>Queensland</w:t>
                  </w:r>
                  <w:r w:rsidRPr="00EF7969">
                    <w:t xml:space="preserve"> University of Technology (QUT) Faculty of Health</w:t>
                  </w:r>
                </w:p>
              </w:tc>
              <w:tc>
                <w:tcPr>
                  <w:tcW w:w="2126" w:type="dxa"/>
                  <w:shd w:val="clear" w:color="auto" w:fill="auto"/>
                </w:tcPr>
                <w:p w14:paraId="2325068B" w14:textId="77777777" w:rsidR="009C6940" w:rsidRPr="00EF7969" w:rsidRDefault="009C6940" w:rsidP="009C6940">
                  <w:pPr>
                    <w:pStyle w:val="TableBodyText"/>
                  </w:pPr>
                  <w:r w:rsidRPr="00EF7969">
                    <w:t>826</w:t>
                  </w:r>
                </w:p>
              </w:tc>
            </w:tr>
            <w:tr w:rsidR="009C6940" w:rsidRPr="00EF7969" w14:paraId="618C64ED" w14:textId="77777777" w:rsidTr="009C6940">
              <w:tc>
                <w:tcPr>
                  <w:tcW w:w="6377" w:type="dxa"/>
                  <w:shd w:val="clear" w:color="auto" w:fill="auto"/>
                </w:tcPr>
                <w:p w14:paraId="58FDD6B6" w14:textId="77777777" w:rsidR="009C6940" w:rsidRPr="00EF7969" w:rsidRDefault="009C6940" w:rsidP="009C6940">
                  <w:pPr>
                    <w:pStyle w:val="TableBodyText"/>
                    <w:jc w:val="left"/>
                  </w:pPr>
                  <w:r w:rsidRPr="00EF7969">
                    <w:t>Queenslanders with Disability Network (QDN)</w:t>
                  </w:r>
                </w:p>
              </w:tc>
              <w:tc>
                <w:tcPr>
                  <w:tcW w:w="2126" w:type="dxa"/>
                  <w:shd w:val="clear" w:color="auto" w:fill="auto"/>
                </w:tcPr>
                <w:p w14:paraId="1D22F7E2" w14:textId="77777777" w:rsidR="009C6940" w:rsidRPr="00EF7969" w:rsidRDefault="009C6940" w:rsidP="009C6940">
                  <w:pPr>
                    <w:pStyle w:val="TableBodyText"/>
                  </w:pPr>
                  <w:r w:rsidRPr="00EF7969">
                    <w:t>662</w:t>
                  </w:r>
                </w:p>
              </w:tc>
            </w:tr>
            <w:tr w:rsidR="009C6940" w:rsidRPr="00EF7969" w14:paraId="179C2C65" w14:textId="77777777" w:rsidTr="009C6940">
              <w:tc>
                <w:tcPr>
                  <w:tcW w:w="6377" w:type="dxa"/>
                  <w:shd w:val="clear" w:color="auto" w:fill="auto"/>
                </w:tcPr>
                <w:p w14:paraId="6208D168" w14:textId="77777777" w:rsidR="009C6940" w:rsidRPr="00EF7969" w:rsidRDefault="009C6940" w:rsidP="009C6940">
                  <w:pPr>
                    <w:pStyle w:val="TableBodyText"/>
                    <w:jc w:val="left"/>
                  </w:pPr>
                  <w:r w:rsidRPr="00EF7969">
                    <w:t>R U OK?</w:t>
                  </w:r>
                </w:p>
              </w:tc>
              <w:tc>
                <w:tcPr>
                  <w:tcW w:w="2126" w:type="dxa"/>
                  <w:shd w:val="clear" w:color="auto" w:fill="auto"/>
                </w:tcPr>
                <w:p w14:paraId="07565F8C" w14:textId="77777777" w:rsidR="009C6940" w:rsidRPr="00EF7969" w:rsidRDefault="009C6940" w:rsidP="009C6940">
                  <w:pPr>
                    <w:pStyle w:val="TableBodyText"/>
                  </w:pPr>
                  <w:r w:rsidRPr="00EF7969">
                    <w:t>274</w:t>
                  </w:r>
                </w:p>
              </w:tc>
            </w:tr>
            <w:tr w:rsidR="009C6940" w:rsidRPr="00EF7969" w14:paraId="2AFAB4E6" w14:textId="77777777" w:rsidTr="009C6940">
              <w:tc>
                <w:tcPr>
                  <w:tcW w:w="6377" w:type="dxa"/>
                  <w:shd w:val="clear" w:color="auto" w:fill="auto"/>
                </w:tcPr>
                <w:p w14:paraId="5D5FCA73" w14:textId="77777777" w:rsidR="009C6940" w:rsidRPr="00EF7969" w:rsidRDefault="009C6940" w:rsidP="009C6940">
                  <w:pPr>
                    <w:pStyle w:val="TableBodyText"/>
                    <w:jc w:val="left"/>
                  </w:pPr>
                  <w:r w:rsidRPr="00EF7969">
                    <w:t>Rachel Jacomb</w:t>
                  </w:r>
                </w:p>
              </w:tc>
              <w:tc>
                <w:tcPr>
                  <w:tcW w:w="2126" w:type="dxa"/>
                  <w:shd w:val="clear" w:color="auto" w:fill="auto"/>
                </w:tcPr>
                <w:p w14:paraId="3EE67A9D" w14:textId="77777777" w:rsidR="009C6940" w:rsidRPr="00EF7969" w:rsidRDefault="009C6940" w:rsidP="009C6940">
                  <w:pPr>
                    <w:pStyle w:val="TableBodyText"/>
                  </w:pPr>
                  <w:r w:rsidRPr="00EF7969">
                    <w:t>959</w:t>
                  </w:r>
                </w:p>
              </w:tc>
            </w:tr>
            <w:tr w:rsidR="009C6940" w:rsidRPr="00EF7969" w14:paraId="507E2F73" w14:textId="77777777" w:rsidTr="009C6940">
              <w:tc>
                <w:tcPr>
                  <w:tcW w:w="6377" w:type="dxa"/>
                  <w:tcBorders>
                    <w:bottom w:val="single" w:sz="4" w:space="0" w:color="BFBFBF" w:themeColor="background1" w:themeShade="BF"/>
                  </w:tcBorders>
                  <w:shd w:val="clear" w:color="auto" w:fill="auto"/>
                </w:tcPr>
                <w:p w14:paraId="6EFAA98D" w14:textId="77777777" w:rsidR="009C6940" w:rsidRPr="00EF7969" w:rsidRDefault="009C6940" w:rsidP="009C6940">
                  <w:pPr>
                    <w:pStyle w:val="TableBodyText"/>
                    <w:jc w:val="left"/>
                  </w:pPr>
                  <w:r w:rsidRPr="00EF7969">
                    <w:t>Raise Foundation</w:t>
                  </w:r>
                </w:p>
              </w:tc>
              <w:tc>
                <w:tcPr>
                  <w:tcW w:w="2126" w:type="dxa"/>
                  <w:tcBorders>
                    <w:bottom w:val="single" w:sz="4" w:space="0" w:color="BFBFBF" w:themeColor="background1" w:themeShade="BF"/>
                  </w:tcBorders>
                  <w:shd w:val="clear" w:color="auto" w:fill="auto"/>
                </w:tcPr>
                <w:p w14:paraId="214789CD" w14:textId="77777777" w:rsidR="009C6940" w:rsidRPr="00EF7969" w:rsidRDefault="009C6940" w:rsidP="009C6940">
                  <w:pPr>
                    <w:pStyle w:val="TableBodyText"/>
                  </w:pPr>
                  <w:r w:rsidRPr="00EF7969">
                    <w:t>782</w:t>
                  </w:r>
                </w:p>
              </w:tc>
            </w:tr>
          </w:tbl>
          <w:p w14:paraId="13EF2E8A" w14:textId="77777777" w:rsidR="009C6940" w:rsidRPr="00EF7969" w:rsidRDefault="009C6940" w:rsidP="009C6940">
            <w:pPr>
              <w:pStyle w:val="Box"/>
            </w:pPr>
          </w:p>
        </w:tc>
      </w:tr>
      <w:tr w:rsidR="009C6940" w:rsidRPr="00EF7969" w14:paraId="785B36B4" w14:textId="77777777" w:rsidTr="009C6940">
        <w:tc>
          <w:tcPr>
            <w:tcW w:w="8789" w:type="dxa"/>
            <w:tcBorders>
              <w:top w:val="nil"/>
              <w:left w:val="nil"/>
              <w:bottom w:val="nil"/>
              <w:right w:val="nil"/>
            </w:tcBorders>
            <w:shd w:val="clear" w:color="auto" w:fill="auto"/>
          </w:tcPr>
          <w:p w14:paraId="7934C44A" w14:textId="77777777" w:rsidR="009C6940" w:rsidRPr="00EF7969" w:rsidRDefault="009C6940" w:rsidP="009C6940">
            <w:pPr>
              <w:pStyle w:val="Continued"/>
            </w:pPr>
            <w:r w:rsidRPr="00EF7969">
              <w:t>(continued next page)</w:t>
            </w:r>
          </w:p>
        </w:tc>
      </w:tr>
      <w:tr w:rsidR="009C6940" w:rsidRPr="00EF7969" w14:paraId="048E1CD6" w14:textId="77777777" w:rsidTr="009C6940">
        <w:tc>
          <w:tcPr>
            <w:tcW w:w="8789" w:type="dxa"/>
            <w:tcBorders>
              <w:top w:val="nil"/>
              <w:left w:val="nil"/>
              <w:bottom w:val="single" w:sz="6" w:space="0" w:color="78A22F"/>
              <w:right w:val="nil"/>
            </w:tcBorders>
            <w:shd w:val="clear" w:color="auto" w:fill="auto"/>
          </w:tcPr>
          <w:p w14:paraId="5E4E7FEA" w14:textId="77777777" w:rsidR="009C6940" w:rsidRPr="00EF7969" w:rsidRDefault="009C6940" w:rsidP="009C6940">
            <w:pPr>
              <w:pStyle w:val="Box"/>
              <w:spacing w:before="0" w:line="120" w:lineRule="exact"/>
            </w:pPr>
          </w:p>
        </w:tc>
      </w:tr>
      <w:tr w:rsidR="009C6940" w:rsidRPr="00EF7969" w14:paraId="02805B64" w14:textId="77777777" w:rsidTr="009C6940">
        <w:tc>
          <w:tcPr>
            <w:tcW w:w="8789" w:type="dxa"/>
            <w:tcBorders>
              <w:top w:val="single" w:sz="6" w:space="0" w:color="78A22F"/>
              <w:left w:val="nil"/>
              <w:bottom w:val="nil"/>
              <w:right w:val="nil"/>
            </w:tcBorders>
          </w:tcPr>
          <w:p w14:paraId="5AF4F5A3" w14:textId="77777777" w:rsidR="009C6940" w:rsidRPr="00EF7969" w:rsidRDefault="009C6940" w:rsidP="009C6940">
            <w:pPr>
              <w:pStyle w:val="BoxSpaceBelow"/>
            </w:pPr>
          </w:p>
        </w:tc>
      </w:tr>
    </w:tbl>
    <w:p w14:paraId="113EB165"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796C7F30" w14:textId="77777777" w:rsidTr="009C6940">
        <w:trPr>
          <w:tblHeader/>
        </w:trPr>
        <w:tc>
          <w:tcPr>
            <w:tcW w:w="8789" w:type="dxa"/>
            <w:tcBorders>
              <w:top w:val="single" w:sz="6" w:space="0" w:color="78A22F"/>
              <w:left w:val="nil"/>
              <w:bottom w:val="nil"/>
              <w:right w:val="nil"/>
            </w:tcBorders>
            <w:shd w:val="clear" w:color="auto" w:fill="auto"/>
          </w:tcPr>
          <w:p w14:paraId="2D282DA9"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27112E37"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3B9947B6"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525849A0"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200D5C43" w14:textId="77777777" w:rsidR="009C6940" w:rsidRPr="00EF7969" w:rsidRDefault="009C6940" w:rsidP="009C6940">
                  <w:pPr>
                    <w:pStyle w:val="TableColumnHeading"/>
                    <w:ind w:right="28"/>
                  </w:pPr>
                  <w:r w:rsidRPr="00EF7969">
                    <w:t>Submission no.</w:t>
                  </w:r>
                </w:p>
              </w:tc>
            </w:tr>
            <w:tr w:rsidR="009C6940" w:rsidRPr="00EF7969" w14:paraId="100A5597" w14:textId="77777777" w:rsidTr="009C6940">
              <w:trPr>
                <w:tblHeader/>
              </w:trPr>
              <w:tc>
                <w:tcPr>
                  <w:tcW w:w="6377" w:type="dxa"/>
                  <w:tcBorders>
                    <w:top w:val="single" w:sz="6" w:space="0" w:color="BFBFBF"/>
                  </w:tcBorders>
                  <w:shd w:val="clear" w:color="auto" w:fill="auto"/>
                  <w:tcMar>
                    <w:top w:w="28" w:type="dxa"/>
                  </w:tcMar>
                </w:tcPr>
                <w:p w14:paraId="0260F500" w14:textId="77777777" w:rsidR="009C6940" w:rsidRPr="00EF7969" w:rsidRDefault="009C6940" w:rsidP="009C6940">
                  <w:pPr>
                    <w:pStyle w:val="TableBodyText"/>
                    <w:spacing w:before="40"/>
                    <w:jc w:val="left"/>
                  </w:pPr>
                  <w:r w:rsidRPr="00EF7969">
                    <w:t>Ramnaree Chimvaren</w:t>
                  </w:r>
                </w:p>
              </w:tc>
              <w:tc>
                <w:tcPr>
                  <w:tcW w:w="2126" w:type="dxa"/>
                  <w:tcBorders>
                    <w:top w:val="single" w:sz="6" w:space="0" w:color="BFBFBF"/>
                  </w:tcBorders>
                  <w:shd w:val="clear" w:color="auto" w:fill="auto"/>
                  <w:tcMar>
                    <w:top w:w="28" w:type="dxa"/>
                  </w:tcMar>
                </w:tcPr>
                <w:p w14:paraId="5CA3B958" w14:textId="77777777" w:rsidR="009C6940" w:rsidRPr="00EF7969" w:rsidRDefault="009C6940" w:rsidP="009C6940">
                  <w:pPr>
                    <w:pStyle w:val="TableBodyText"/>
                    <w:spacing w:before="40"/>
                  </w:pPr>
                  <w:r w:rsidRPr="00EF7969">
                    <w:t>1127</w:t>
                  </w:r>
                </w:p>
              </w:tc>
            </w:tr>
            <w:tr w:rsidR="009C6940" w:rsidRPr="00EF7969" w14:paraId="491F67B8" w14:textId="77777777" w:rsidTr="009C6940">
              <w:trPr>
                <w:tblHeader/>
              </w:trPr>
              <w:tc>
                <w:tcPr>
                  <w:tcW w:w="6377" w:type="dxa"/>
                  <w:shd w:val="clear" w:color="auto" w:fill="auto"/>
                  <w:tcMar>
                    <w:top w:w="28" w:type="dxa"/>
                  </w:tcMar>
                </w:tcPr>
                <w:p w14:paraId="77824C8E" w14:textId="77777777" w:rsidR="009C6940" w:rsidRPr="00EF7969" w:rsidRDefault="009C6940" w:rsidP="009C6940">
                  <w:pPr>
                    <w:pStyle w:val="TableBodyText"/>
                    <w:jc w:val="left"/>
                  </w:pPr>
                  <w:r w:rsidRPr="00EF7969">
                    <w:t>Ramsay Health Care</w:t>
                  </w:r>
                </w:p>
              </w:tc>
              <w:tc>
                <w:tcPr>
                  <w:tcW w:w="2126" w:type="dxa"/>
                  <w:shd w:val="clear" w:color="auto" w:fill="auto"/>
                  <w:tcMar>
                    <w:top w:w="28" w:type="dxa"/>
                  </w:tcMar>
                </w:tcPr>
                <w:p w14:paraId="5CBFE775" w14:textId="77777777" w:rsidR="009C6940" w:rsidRPr="00EF7969" w:rsidRDefault="009C6940" w:rsidP="009C6940">
                  <w:pPr>
                    <w:pStyle w:val="TableBodyText"/>
                  </w:pPr>
                  <w:r w:rsidRPr="00EF7969">
                    <w:t>548</w:t>
                  </w:r>
                </w:p>
              </w:tc>
            </w:tr>
            <w:tr w:rsidR="009C6940" w:rsidRPr="00EF7969" w14:paraId="20ACC5B2" w14:textId="77777777" w:rsidTr="009C6940">
              <w:tc>
                <w:tcPr>
                  <w:tcW w:w="6377" w:type="dxa"/>
                  <w:shd w:val="clear" w:color="auto" w:fill="auto"/>
                </w:tcPr>
                <w:p w14:paraId="54DACD1E" w14:textId="77777777" w:rsidR="009C6940" w:rsidRPr="00EF7969" w:rsidRDefault="009C6940" w:rsidP="009C6940">
                  <w:pPr>
                    <w:pStyle w:val="TableBodyText"/>
                    <w:jc w:val="left"/>
                  </w:pPr>
                  <w:r w:rsidRPr="00EF7969">
                    <w:t>Ray Wills</w:t>
                  </w:r>
                </w:p>
              </w:tc>
              <w:tc>
                <w:tcPr>
                  <w:tcW w:w="2126" w:type="dxa"/>
                  <w:shd w:val="clear" w:color="auto" w:fill="auto"/>
                </w:tcPr>
                <w:p w14:paraId="68FBD87B" w14:textId="77777777" w:rsidR="009C6940" w:rsidRPr="00EF7969" w:rsidRDefault="009C6940" w:rsidP="009C6940">
                  <w:pPr>
                    <w:pStyle w:val="TableBodyText"/>
                  </w:pPr>
                  <w:r w:rsidRPr="00EF7969">
                    <w:t>983</w:t>
                  </w:r>
                </w:p>
              </w:tc>
            </w:tr>
            <w:tr w:rsidR="009C6940" w:rsidRPr="00EF7969" w14:paraId="49F94C35" w14:textId="77777777" w:rsidTr="009C6940">
              <w:tc>
                <w:tcPr>
                  <w:tcW w:w="6377" w:type="dxa"/>
                  <w:shd w:val="clear" w:color="auto" w:fill="auto"/>
                </w:tcPr>
                <w:p w14:paraId="1F28FD6E" w14:textId="77777777" w:rsidR="009C6940" w:rsidRPr="00EF7969" w:rsidRDefault="009C6940" w:rsidP="009C6940">
                  <w:pPr>
                    <w:pStyle w:val="TableBodyText"/>
                    <w:jc w:val="left"/>
                  </w:pPr>
                  <w:r w:rsidRPr="00EF7969">
                    <w:t>ReachOut Australia</w:t>
                  </w:r>
                </w:p>
              </w:tc>
              <w:tc>
                <w:tcPr>
                  <w:tcW w:w="2126" w:type="dxa"/>
                  <w:shd w:val="clear" w:color="auto" w:fill="auto"/>
                </w:tcPr>
                <w:p w14:paraId="028F2E8B" w14:textId="77777777" w:rsidR="009C6940" w:rsidRPr="00EF7969" w:rsidRDefault="009C6940" w:rsidP="009C6940">
                  <w:pPr>
                    <w:pStyle w:val="TableBodyText"/>
                  </w:pPr>
                  <w:r w:rsidRPr="00EF7969">
                    <w:t>220, 804</w:t>
                  </w:r>
                </w:p>
              </w:tc>
            </w:tr>
            <w:tr w:rsidR="009C6940" w:rsidRPr="00EF7969" w14:paraId="36C6F870" w14:textId="77777777" w:rsidTr="009C6940">
              <w:tc>
                <w:tcPr>
                  <w:tcW w:w="6377" w:type="dxa"/>
                  <w:shd w:val="clear" w:color="auto" w:fill="auto"/>
                </w:tcPr>
                <w:p w14:paraId="7BED728E" w14:textId="77777777" w:rsidR="009C6940" w:rsidRPr="00EF7969" w:rsidRDefault="009C6940" w:rsidP="009C6940">
                  <w:pPr>
                    <w:pStyle w:val="TableBodyText"/>
                    <w:jc w:val="left"/>
                  </w:pPr>
                  <w:r w:rsidRPr="00EF7969">
                    <w:t>Rebecca Sferco</w:t>
                  </w:r>
                </w:p>
              </w:tc>
              <w:tc>
                <w:tcPr>
                  <w:tcW w:w="2126" w:type="dxa"/>
                  <w:shd w:val="clear" w:color="auto" w:fill="auto"/>
                </w:tcPr>
                <w:p w14:paraId="5F50B89B" w14:textId="77777777" w:rsidR="009C6940" w:rsidRPr="00EF7969" w:rsidRDefault="009C6940" w:rsidP="009C6940">
                  <w:pPr>
                    <w:pStyle w:val="TableBodyText"/>
                  </w:pPr>
                  <w:r w:rsidRPr="00EF7969">
                    <w:t>560, 1111</w:t>
                  </w:r>
                </w:p>
              </w:tc>
            </w:tr>
            <w:tr w:rsidR="009C6940" w:rsidRPr="00EF7969" w14:paraId="58C2E998" w14:textId="77777777" w:rsidTr="009C6940">
              <w:tc>
                <w:tcPr>
                  <w:tcW w:w="6377" w:type="dxa"/>
                  <w:shd w:val="clear" w:color="auto" w:fill="auto"/>
                </w:tcPr>
                <w:p w14:paraId="0A35AA45" w14:textId="77777777" w:rsidR="009C6940" w:rsidRPr="00EF7969" w:rsidRDefault="009C6940" w:rsidP="009C6940">
                  <w:pPr>
                    <w:pStyle w:val="TableBodyText"/>
                    <w:jc w:val="left"/>
                  </w:pPr>
                  <w:r w:rsidRPr="00EF7969">
                    <w:t>Recovery Matters</w:t>
                  </w:r>
                </w:p>
              </w:tc>
              <w:tc>
                <w:tcPr>
                  <w:tcW w:w="2126" w:type="dxa"/>
                  <w:shd w:val="clear" w:color="auto" w:fill="auto"/>
                </w:tcPr>
                <w:p w14:paraId="47D1DAC7" w14:textId="77777777" w:rsidR="009C6940" w:rsidRPr="00EF7969" w:rsidRDefault="009C6940" w:rsidP="009C6940">
                  <w:pPr>
                    <w:pStyle w:val="TableBodyText"/>
                  </w:pPr>
                  <w:r w:rsidRPr="00EF7969">
                    <w:t>649</w:t>
                  </w:r>
                </w:p>
              </w:tc>
            </w:tr>
            <w:tr w:rsidR="009C6940" w:rsidRPr="00EF7969" w14:paraId="76281149" w14:textId="77777777" w:rsidTr="009C6940">
              <w:tc>
                <w:tcPr>
                  <w:tcW w:w="6377" w:type="dxa"/>
                  <w:shd w:val="clear" w:color="auto" w:fill="auto"/>
                </w:tcPr>
                <w:p w14:paraId="48885C3D" w14:textId="77777777" w:rsidR="009C6940" w:rsidRPr="00EF7969" w:rsidRDefault="009C6940" w:rsidP="009C6940">
                  <w:pPr>
                    <w:pStyle w:val="TableBodyText"/>
                    <w:jc w:val="left"/>
                  </w:pPr>
                  <w:r w:rsidRPr="00EF7969">
                    <w:t>Reg Evans</w:t>
                  </w:r>
                </w:p>
              </w:tc>
              <w:tc>
                <w:tcPr>
                  <w:tcW w:w="2126" w:type="dxa"/>
                  <w:shd w:val="clear" w:color="auto" w:fill="auto"/>
                </w:tcPr>
                <w:p w14:paraId="324758D7" w14:textId="77777777" w:rsidR="009C6940" w:rsidRPr="00EF7969" w:rsidRDefault="009C6940" w:rsidP="009C6940">
                  <w:pPr>
                    <w:pStyle w:val="TableBodyText"/>
                  </w:pPr>
                  <w:r w:rsidRPr="00EF7969">
                    <w:t>970</w:t>
                  </w:r>
                </w:p>
              </w:tc>
            </w:tr>
            <w:tr w:rsidR="009C6940" w:rsidRPr="00EF7969" w14:paraId="3A673146" w14:textId="77777777" w:rsidTr="009C6940">
              <w:tc>
                <w:tcPr>
                  <w:tcW w:w="6377" w:type="dxa"/>
                  <w:shd w:val="clear" w:color="auto" w:fill="auto"/>
                </w:tcPr>
                <w:p w14:paraId="7A2C0DE9" w14:textId="77777777" w:rsidR="009C6940" w:rsidRPr="00EF7969" w:rsidRDefault="009C6940" w:rsidP="009C6940">
                  <w:pPr>
                    <w:pStyle w:val="TableBodyText"/>
                    <w:jc w:val="left"/>
                  </w:pPr>
                  <w:r w:rsidRPr="00EF7969">
                    <w:t>Rehabilitation Counselling Association of Australasia (RCAA)</w:t>
                  </w:r>
                </w:p>
              </w:tc>
              <w:tc>
                <w:tcPr>
                  <w:tcW w:w="2126" w:type="dxa"/>
                  <w:shd w:val="clear" w:color="auto" w:fill="auto"/>
                </w:tcPr>
                <w:p w14:paraId="071E8F2C" w14:textId="77777777" w:rsidR="009C6940" w:rsidRPr="00EF7969" w:rsidRDefault="009C6940" w:rsidP="009C6940">
                  <w:pPr>
                    <w:pStyle w:val="TableBodyText"/>
                  </w:pPr>
                  <w:r w:rsidRPr="00EF7969">
                    <w:t>732</w:t>
                  </w:r>
                </w:p>
              </w:tc>
            </w:tr>
            <w:tr w:rsidR="009C6940" w:rsidRPr="00EF7969" w14:paraId="61C88037" w14:textId="77777777" w:rsidTr="009C6940">
              <w:tc>
                <w:tcPr>
                  <w:tcW w:w="6377" w:type="dxa"/>
                  <w:shd w:val="clear" w:color="auto" w:fill="auto"/>
                </w:tcPr>
                <w:p w14:paraId="23DA1D4D" w14:textId="77777777" w:rsidR="009C6940" w:rsidRPr="00EF7969" w:rsidRDefault="009C6940" w:rsidP="009C6940">
                  <w:pPr>
                    <w:pStyle w:val="TableBodyText"/>
                    <w:jc w:val="left"/>
                  </w:pPr>
                  <w:r w:rsidRPr="00EF7969">
                    <w:t>Relationships Australia (National)</w:t>
                  </w:r>
                </w:p>
              </w:tc>
              <w:tc>
                <w:tcPr>
                  <w:tcW w:w="2126" w:type="dxa"/>
                  <w:shd w:val="clear" w:color="auto" w:fill="auto"/>
                </w:tcPr>
                <w:p w14:paraId="01A2E8C5" w14:textId="77777777" w:rsidR="009C6940" w:rsidRPr="00EF7969" w:rsidRDefault="009C6940" w:rsidP="009C6940">
                  <w:pPr>
                    <w:pStyle w:val="TableBodyText"/>
                  </w:pPr>
                  <w:r w:rsidRPr="00EF7969">
                    <w:t>103, 831</w:t>
                  </w:r>
                </w:p>
              </w:tc>
            </w:tr>
            <w:tr w:rsidR="009C6940" w:rsidRPr="00EF7969" w14:paraId="2169B2CD" w14:textId="77777777" w:rsidTr="009C6940">
              <w:tc>
                <w:tcPr>
                  <w:tcW w:w="6377" w:type="dxa"/>
                  <w:shd w:val="clear" w:color="auto" w:fill="auto"/>
                </w:tcPr>
                <w:p w14:paraId="63EBB617" w14:textId="77777777" w:rsidR="009C6940" w:rsidRPr="00EF7969" w:rsidRDefault="009C6940" w:rsidP="009C6940">
                  <w:pPr>
                    <w:pStyle w:val="TableBodyText"/>
                    <w:jc w:val="left"/>
                  </w:pPr>
                  <w:r w:rsidRPr="00EF7969">
                    <w:t>Relationships Australia South Australia (RASA)</w:t>
                  </w:r>
                </w:p>
              </w:tc>
              <w:tc>
                <w:tcPr>
                  <w:tcW w:w="2126" w:type="dxa"/>
                  <w:shd w:val="clear" w:color="auto" w:fill="auto"/>
                </w:tcPr>
                <w:p w14:paraId="64B57C2D" w14:textId="77777777" w:rsidR="009C6940" w:rsidRPr="00EF7969" w:rsidRDefault="009C6940" w:rsidP="009C6940">
                  <w:pPr>
                    <w:pStyle w:val="TableBodyText"/>
                  </w:pPr>
                  <w:r w:rsidRPr="00EF7969">
                    <w:t>420</w:t>
                  </w:r>
                </w:p>
              </w:tc>
            </w:tr>
            <w:tr w:rsidR="009C6940" w:rsidRPr="00EF7969" w14:paraId="1C340814" w14:textId="77777777" w:rsidTr="009C6940">
              <w:tc>
                <w:tcPr>
                  <w:tcW w:w="6377" w:type="dxa"/>
                  <w:shd w:val="clear" w:color="auto" w:fill="auto"/>
                </w:tcPr>
                <w:p w14:paraId="6EFD1DE3" w14:textId="77777777" w:rsidR="009C6940" w:rsidRPr="00EF7969" w:rsidRDefault="009C6940" w:rsidP="009C6940">
                  <w:pPr>
                    <w:pStyle w:val="TableBodyText"/>
                    <w:jc w:val="left"/>
                  </w:pPr>
                  <w:r w:rsidRPr="00EF7969">
                    <w:t>Relationships Australia Victoria (RAV)</w:t>
                  </w:r>
                </w:p>
              </w:tc>
              <w:tc>
                <w:tcPr>
                  <w:tcW w:w="2126" w:type="dxa"/>
                  <w:shd w:val="clear" w:color="auto" w:fill="auto"/>
                </w:tcPr>
                <w:p w14:paraId="7F708F3D" w14:textId="77777777" w:rsidR="009C6940" w:rsidRPr="00EF7969" w:rsidRDefault="009C6940" w:rsidP="009C6940">
                  <w:pPr>
                    <w:pStyle w:val="TableBodyText"/>
                  </w:pPr>
                  <w:r w:rsidRPr="00EF7969">
                    <w:t>326, 1197</w:t>
                  </w:r>
                </w:p>
              </w:tc>
            </w:tr>
            <w:tr w:rsidR="009C6940" w:rsidRPr="00EF7969" w14:paraId="008FD8F2" w14:textId="77777777" w:rsidTr="009C6940">
              <w:tc>
                <w:tcPr>
                  <w:tcW w:w="6377" w:type="dxa"/>
                  <w:shd w:val="clear" w:color="auto" w:fill="auto"/>
                </w:tcPr>
                <w:p w14:paraId="1326B6EB" w14:textId="77777777" w:rsidR="009C6940" w:rsidRPr="00EF7969" w:rsidRDefault="009C6940" w:rsidP="009C6940">
                  <w:pPr>
                    <w:pStyle w:val="TableBodyText"/>
                    <w:jc w:val="left"/>
                  </w:pPr>
                  <w:r w:rsidRPr="00EF7969">
                    <w:t>Renate Barton</w:t>
                  </w:r>
                </w:p>
              </w:tc>
              <w:tc>
                <w:tcPr>
                  <w:tcW w:w="2126" w:type="dxa"/>
                  <w:shd w:val="clear" w:color="auto" w:fill="auto"/>
                </w:tcPr>
                <w:p w14:paraId="4F440C11" w14:textId="77777777" w:rsidR="009C6940" w:rsidRPr="00EF7969" w:rsidRDefault="009C6940" w:rsidP="009C6940">
                  <w:pPr>
                    <w:pStyle w:val="TableBodyText"/>
                  </w:pPr>
                  <w:r w:rsidRPr="00EF7969">
                    <w:t>1142</w:t>
                  </w:r>
                </w:p>
              </w:tc>
            </w:tr>
            <w:tr w:rsidR="009C6940" w:rsidRPr="00EF7969" w14:paraId="33130F3A" w14:textId="77777777" w:rsidTr="009C6940">
              <w:tc>
                <w:tcPr>
                  <w:tcW w:w="6377" w:type="dxa"/>
                  <w:shd w:val="clear" w:color="auto" w:fill="auto"/>
                </w:tcPr>
                <w:p w14:paraId="29827D8E" w14:textId="77777777" w:rsidR="009C6940" w:rsidRPr="00EF7969" w:rsidRDefault="009C6940" w:rsidP="009C6940">
                  <w:pPr>
                    <w:pStyle w:val="TableBodyText"/>
                    <w:jc w:val="left"/>
                  </w:pPr>
                  <w:r w:rsidRPr="00EF7969">
                    <w:t>Reremonan Rongo</w:t>
                  </w:r>
                </w:p>
              </w:tc>
              <w:tc>
                <w:tcPr>
                  <w:tcW w:w="2126" w:type="dxa"/>
                  <w:shd w:val="clear" w:color="auto" w:fill="auto"/>
                </w:tcPr>
                <w:p w14:paraId="0E176890" w14:textId="77777777" w:rsidR="009C6940" w:rsidRPr="00EF7969" w:rsidRDefault="009C6940" w:rsidP="009C6940">
                  <w:pPr>
                    <w:pStyle w:val="TableBodyText"/>
                  </w:pPr>
                  <w:r w:rsidRPr="00EF7969">
                    <w:t>1128</w:t>
                  </w:r>
                </w:p>
              </w:tc>
            </w:tr>
            <w:tr w:rsidR="009C6940" w:rsidRPr="00EF7969" w14:paraId="5CA40110" w14:textId="77777777" w:rsidTr="009C6940">
              <w:tc>
                <w:tcPr>
                  <w:tcW w:w="6377" w:type="dxa"/>
                  <w:shd w:val="clear" w:color="auto" w:fill="auto"/>
                </w:tcPr>
                <w:p w14:paraId="7D3BFB05" w14:textId="77777777" w:rsidR="009C6940" w:rsidRPr="00EF7969" w:rsidRDefault="009C6940" w:rsidP="009C6940">
                  <w:pPr>
                    <w:pStyle w:val="TableBodyText"/>
                    <w:jc w:val="left"/>
                  </w:pPr>
                  <w:r w:rsidRPr="00EF7969">
                    <w:t>Research Australia</w:t>
                  </w:r>
                </w:p>
              </w:tc>
              <w:tc>
                <w:tcPr>
                  <w:tcW w:w="2126" w:type="dxa"/>
                  <w:shd w:val="clear" w:color="auto" w:fill="auto"/>
                </w:tcPr>
                <w:p w14:paraId="0119FA4D" w14:textId="77777777" w:rsidR="009C6940" w:rsidRPr="00EF7969" w:rsidRDefault="009C6940" w:rsidP="009C6940">
                  <w:pPr>
                    <w:pStyle w:val="TableBodyText"/>
                  </w:pPr>
                  <w:r w:rsidRPr="00EF7969">
                    <w:t>754</w:t>
                  </w:r>
                </w:p>
              </w:tc>
            </w:tr>
            <w:tr w:rsidR="009C6940" w:rsidRPr="00EF7969" w14:paraId="79B80620" w14:textId="77777777" w:rsidTr="009C6940">
              <w:tc>
                <w:tcPr>
                  <w:tcW w:w="6377" w:type="dxa"/>
                  <w:shd w:val="clear" w:color="auto" w:fill="auto"/>
                </w:tcPr>
                <w:p w14:paraId="1AC99949" w14:textId="77777777" w:rsidR="009C6940" w:rsidRPr="00EF7969" w:rsidRDefault="009C6940" w:rsidP="009C6940">
                  <w:pPr>
                    <w:pStyle w:val="TableBodyText"/>
                    <w:jc w:val="left"/>
                  </w:pPr>
                  <w:r w:rsidRPr="00EF7969">
                    <w:t>Restart Health Services</w:t>
                  </w:r>
                </w:p>
              </w:tc>
              <w:tc>
                <w:tcPr>
                  <w:tcW w:w="2126" w:type="dxa"/>
                  <w:shd w:val="clear" w:color="auto" w:fill="auto"/>
                </w:tcPr>
                <w:p w14:paraId="430A35A0" w14:textId="77777777" w:rsidR="009C6940" w:rsidRPr="00EF7969" w:rsidRDefault="009C6940" w:rsidP="009C6940">
                  <w:pPr>
                    <w:pStyle w:val="TableBodyText"/>
                  </w:pPr>
                  <w:r w:rsidRPr="00EF7969">
                    <w:t>705</w:t>
                  </w:r>
                </w:p>
              </w:tc>
            </w:tr>
            <w:tr w:rsidR="009C6940" w:rsidRPr="00EF7969" w14:paraId="55B59447" w14:textId="77777777" w:rsidTr="009C6940">
              <w:tc>
                <w:tcPr>
                  <w:tcW w:w="6377" w:type="dxa"/>
                  <w:shd w:val="clear" w:color="auto" w:fill="auto"/>
                </w:tcPr>
                <w:p w14:paraId="23CFF303" w14:textId="77777777" w:rsidR="009C6940" w:rsidRPr="00EF7969" w:rsidRDefault="009C6940" w:rsidP="009C6940">
                  <w:pPr>
                    <w:pStyle w:val="TableBodyText"/>
                    <w:jc w:val="left"/>
                  </w:pPr>
                  <w:r w:rsidRPr="00EF7969">
                    <w:t>Rhiannen Clarke</w:t>
                  </w:r>
                </w:p>
              </w:tc>
              <w:tc>
                <w:tcPr>
                  <w:tcW w:w="2126" w:type="dxa"/>
                  <w:shd w:val="clear" w:color="auto" w:fill="auto"/>
                </w:tcPr>
                <w:p w14:paraId="7BAA7774" w14:textId="77777777" w:rsidR="009C6940" w:rsidRPr="00EF7969" w:rsidRDefault="009C6940" w:rsidP="009C6940">
                  <w:pPr>
                    <w:pStyle w:val="TableBodyText"/>
                  </w:pPr>
                  <w:r w:rsidRPr="00EF7969">
                    <w:t>1150</w:t>
                  </w:r>
                </w:p>
              </w:tc>
            </w:tr>
            <w:tr w:rsidR="009C6940" w:rsidRPr="00EF7969" w14:paraId="02A8F992" w14:textId="77777777" w:rsidTr="009C6940">
              <w:tc>
                <w:tcPr>
                  <w:tcW w:w="6377" w:type="dxa"/>
                  <w:shd w:val="clear" w:color="auto" w:fill="auto"/>
                </w:tcPr>
                <w:p w14:paraId="32063A71" w14:textId="77777777" w:rsidR="009C6940" w:rsidRPr="00EF7969" w:rsidRDefault="009C6940" w:rsidP="009C6940">
                  <w:pPr>
                    <w:pStyle w:val="TableBodyText"/>
                    <w:jc w:val="left"/>
                  </w:pPr>
                  <w:r w:rsidRPr="00EF7969">
                    <w:t>Ria Elmagic</w:t>
                  </w:r>
                </w:p>
              </w:tc>
              <w:tc>
                <w:tcPr>
                  <w:tcW w:w="2126" w:type="dxa"/>
                  <w:shd w:val="clear" w:color="auto" w:fill="auto"/>
                </w:tcPr>
                <w:p w14:paraId="33FCC1F1" w14:textId="77777777" w:rsidR="009C6940" w:rsidRPr="00EF7969" w:rsidRDefault="009C6940" w:rsidP="009C6940">
                  <w:pPr>
                    <w:pStyle w:val="TableBodyText"/>
                  </w:pPr>
                  <w:r w:rsidRPr="00EF7969">
                    <w:t>901</w:t>
                  </w:r>
                </w:p>
              </w:tc>
            </w:tr>
            <w:tr w:rsidR="009C6940" w:rsidRPr="00EF7969" w14:paraId="5D1CAFF7" w14:textId="77777777" w:rsidTr="009C6940">
              <w:tc>
                <w:tcPr>
                  <w:tcW w:w="6377" w:type="dxa"/>
                  <w:shd w:val="clear" w:color="auto" w:fill="auto"/>
                </w:tcPr>
                <w:p w14:paraId="277B004D" w14:textId="77777777" w:rsidR="009C6940" w:rsidRPr="00EF7969" w:rsidRDefault="009C6940" w:rsidP="009C6940">
                  <w:pPr>
                    <w:pStyle w:val="TableBodyText"/>
                    <w:jc w:val="left"/>
                  </w:pPr>
                  <w:r w:rsidRPr="00EF7969">
                    <w:t>Richard Burnell</w:t>
                  </w:r>
                </w:p>
              </w:tc>
              <w:tc>
                <w:tcPr>
                  <w:tcW w:w="2126" w:type="dxa"/>
                  <w:shd w:val="clear" w:color="auto" w:fill="auto"/>
                </w:tcPr>
                <w:p w14:paraId="34C74E89" w14:textId="77777777" w:rsidR="009C6940" w:rsidRPr="00EF7969" w:rsidRDefault="009C6940" w:rsidP="009C6940">
                  <w:pPr>
                    <w:pStyle w:val="TableBodyText"/>
                  </w:pPr>
                  <w:r w:rsidRPr="00EF7969">
                    <w:t>504, 757</w:t>
                  </w:r>
                </w:p>
              </w:tc>
            </w:tr>
            <w:tr w:rsidR="009C6940" w:rsidRPr="00EF7969" w14:paraId="6C5ABCF6" w14:textId="77777777" w:rsidTr="009C6940">
              <w:tc>
                <w:tcPr>
                  <w:tcW w:w="6377" w:type="dxa"/>
                  <w:shd w:val="clear" w:color="auto" w:fill="auto"/>
                </w:tcPr>
                <w:p w14:paraId="30977A89" w14:textId="77777777" w:rsidR="009C6940" w:rsidRPr="00EF7969" w:rsidRDefault="009C6940" w:rsidP="009C6940">
                  <w:pPr>
                    <w:pStyle w:val="TableBodyText"/>
                    <w:jc w:val="left"/>
                  </w:pPr>
                  <w:r w:rsidRPr="00EF7969">
                    <w:t>Richard Fletcher</w:t>
                  </w:r>
                </w:p>
              </w:tc>
              <w:tc>
                <w:tcPr>
                  <w:tcW w:w="2126" w:type="dxa"/>
                  <w:shd w:val="clear" w:color="auto" w:fill="auto"/>
                </w:tcPr>
                <w:p w14:paraId="3E44B183" w14:textId="77777777" w:rsidR="009C6940" w:rsidRPr="00EF7969" w:rsidRDefault="009C6940" w:rsidP="009C6940">
                  <w:pPr>
                    <w:pStyle w:val="TableBodyText"/>
                  </w:pPr>
                  <w:r w:rsidRPr="00EF7969">
                    <w:t>674</w:t>
                  </w:r>
                </w:p>
              </w:tc>
            </w:tr>
            <w:tr w:rsidR="009C6940" w:rsidRPr="00EF7969" w14:paraId="429A06AC" w14:textId="77777777" w:rsidTr="009C6940">
              <w:tc>
                <w:tcPr>
                  <w:tcW w:w="6377" w:type="dxa"/>
                  <w:shd w:val="clear" w:color="auto" w:fill="auto"/>
                </w:tcPr>
                <w:p w14:paraId="7010296B" w14:textId="77777777" w:rsidR="009C6940" w:rsidRPr="00EF7969" w:rsidRDefault="009C6940" w:rsidP="009C6940">
                  <w:pPr>
                    <w:pStyle w:val="TableBodyText"/>
                    <w:jc w:val="left"/>
                  </w:pPr>
                  <w:r w:rsidRPr="00EF7969">
                    <w:t>Richard Quinlan</w:t>
                  </w:r>
                </w:p>
              </w:tc>
              <w:tc>
                <w:tcPr>
                  <w:tcW w:w="2126" w:type="dxa"/>
                  <w:shd w:val="clear" w:color="auto" w:fill="auto"/>
                </w:tcPr>
                <w:p w14:paraId="3711D80C" w14:textId="77777777" w:rsidR="009C6940" w:rsidRPr="00EF7969" w:rsidRDefault="009C6940" w:rsidP="009C6940">
                  <w:pPr>
                    <w:pStyle w:val="TableBodyText"/>
                  </w:pPr>
                  <w:r w:rsidRPr="00EF7969">
                    <w:t>1174</w:t>
                  </w:r>
                </w:p>
              </w:tc>
            </w:tr>
            <w:tr w:rsidR="009C6940" w:rsidRPr="00EF7969" w14:paraId="47364AED" w14:textId="77777777" w:rsidTr="009C6940">
              <w:tc>
                <w:tcPr>
                  <w:tcW w:w="6377" w:type="dxa"/>
                  <w:shd w:val="clear" w:color="auto" w:fill="auto"/>
                </w:tcPr>
                <w:p w14:paraId="29FEC4CF" w14:textId="77777777" w:rsidR="009C6940" w:rsidRPr="00EF7969" w:rsidRDefault="009C6940" w:rsidP="009C6940">
                  <w:pPr>
                    <w:pStyle w:val="TableBodyText"/>
                    <w:jc w:val="left"/>
                  </w:pPr>
                  <w:r w:rsidRPr="00EF7969">
                    <w:t>Richard Salisbury</w:t>
                  </w:r>
                </w:p>
              </w:tc>
              <w:tc>
                <w:tcPr>
                  <w:tcW w:w="2126" w:type="dxa"/>
                  <w:shd w:val="clear" w:color="auto" w:fill="auto"/>
                </w:tcPr>
                <w:p w14:paraId="2DD10840" w14:textId="77777777" w:rsidR="009C6940" w:rsidRPr="00EF7969" w:rsidRDefault="009C6940" w:rsidP="009C6940">
                  <w:pPr>
                    <w:pStyle w:val="TableBodyText"/>
                  </w:pPr>
                  <w:r w:rsidRPr="00EF7969">
                    <w:t>1103</w:t>
                  </w:r>
                </w:p>
              </w:tc>
            </w:tr>
            <w:tr w:rsidR="009C6940" w:rsidRPr="00EF7969" w14:paraId="4274BABA" w14:textId="77777777" w:rsidTr="009C6940">
              <w:tc>
                <w:tcPr>
                  <w:tcW w:w="6377" w:type="dxa"/>
                  <w:shd w:val="clear" w:color="auto" w:fill="auto"/>
                </w:tcPr>
                <w:p w14:paraId="08E55179" w14:textId="77777777" w:rsidR="009C6940" w:rsidRPr="00EF7969" w:rsidRDefault="009C6940" w:rsidP="009C6940">
                  <w:pPr>
                    <w:pStyle w:val="TableBodyText"/>
                    <w:jc w:val="left"/>
                  </w:pPr>
                  <w:r w:rsidRPr="00EF7969">
                    <w:t>Richard Taylor</w:t>
                  </w:r>
                </w:p>
              </w:tc>
              <w:tc>
                <w:tcPr>
                  <w:tcW w:w="2126" w:type="dxa"/>
                  <w:shd w:val="clear" w:color="auto" w:fill="auto"/>
                </w:tcPr>
                <w:p w14:paraId="60734D98" w14:textId="77777777" w:rsidR="009C6940" w:rsidRPr="00EF7969" w:rsidRDefault="009C6940" w:rsidP="009C6940">
                  <w:pPr>
                    <w:pStyle w:val="TableBodyText"/>
                  </w:pPr>
                  <w:r w:rsidRPr="00EF7969">
                    <w:t>71</w:t>
                  </w:r>
                </w:p>
              </w:tc>
            </w:tr>
            <w:tr w:rsidR="009C6940" w:rsidRPr="00EF7969" w14:paraId="07258E4E" w14:textId="77777777" w:rsidTr="009C6940">
              <w:tc>
                <w:tcPr>
                  <w:tcW w:w="6377" w:type="dxa"/>
                  <w:shd w:val="clear" w:color="auto" w:fill="auto"/>
                </w:tcPr>
                <w:p w14:paraId="132C4ABD" w14:textId="77777777" w:rsidR="009C6940" w:rsidRPr="00EF7969" w:rsidRDefault="009C6940" w:rsidP="009C6940">
                  <w:pPr>
                    <w:pStyle w:val="TableBodyText"/>
                    <w:jc w:val="left"/>
                  </w:pPr>
                  <w:r w:rsidRPr="00EF7969">
                    <w:t>Richard Wright</w:t>
                  </w:r>
                </w:p>
              </w:tc>
              <w:tc>
                <w:tcPr>
                  <w:tcW w:w="2126" w:type="dxa"/>
                  <w:shd w:val="clear" w:color="auto" w:fill="auto"/>
                </w:tcPr>
                <w:p w14:paraId="253BEDFB" w14:textId="77777777" w:rsidR="009C6940" w:rsidRPr="00EF7969" w:rsidRDefault="009C6940" w:rsidP="009C6940">
                  <w:pPr>
                    <w:pStyle w:val="TableBodyText"/>
                  </w:pPr>
                  <w:r w:rsidRPr="00EF7969">
                    <w:t>1037</w:t>
                  </w:r>
                </w:p>
              </w:tc>
            </w:tr>
            <w:tr w:rsidR="009C6940" w:rsidRPr="00EF7969" w14:paraId="0384870F" w14:textId="77777777" w:rsidTr="009C6940">
              <w:tc>
                <w:tcPr>
                  <w:tcW w:w="6377" w:type="dxa"/>
                  <w:shd w:val="clear" w:color="auto" w:fill="auto"/>
                </w:tcPr>
                <w:p w14:paraId="46D0EAD3" w14:textId="77777777" w:rsidR="009C6940" w:rsidRPr="00EF7969" w:rsidRDefault="009C6940" w:rsidP="009C6940">
                  <w:pPr>
                    <w:pStyle w:val="TableBodyText"/>
                    <w:jc w:val="left"/>
                  </w:pPr>
                  <w:r w:rsidRPr="00EF7969">
                    <w:t>Ritu Bhatia</w:t>
                  </w:r>
                </w:p>
              </w:tc>
              <w:tc>
                <w:tcPr>
                  <w:tcW w:w="2126" w:type="dxa"/>
                  <w:shd w:val="clear" w:color="auto" w:fill="auto"/>
                </w:tcPr>
                <w:p w14:paraId="57CD8C19" w14:textId="77777777" w:rsidR="009C6940" w:rsidRPr="00EF7969" w:rsidRDefault="009C6940" w:rsidP="009C6940">
                  <w:pPr>
                    <w:pStyle w:val="TableBodyText"/>
                  </w:pPr>
                  <w:r w:rsidRPr="00EF7969">
                    <w:t>985</w:t>
                  </w:r>
                </w:p>
              </w:tc>
            </w:tr>
            <w:tr w:rsidR="009C6940" w:rsidRPr="00EF7969" w14:paraId="6FC3B547" w14:textId="77777777" w:rsidTr="009C6940">
              <w:tc>
                <w:tcPr>
                  <w:tcW w:w="6377" w:type="dxa"/>
                  <w:shd w:val="clear" w:color="auto" w:fill="auto"/>
                </w:tcPr>
                <w:p w14:paraId="0E3DF41D" w14:textId="77777777" w:rsidR="009C6940" w:rsidRPr="00EF7969" w:rsidRDefault="009C6940" w:rsidP="009C6940">
                  <w:pPr>
                    <w:pStyle w:val="TableBodyText"/>
                    <w:jc w:val="left"/>
                  </w:pPr>
                  <w:r w:rsidRPr="00EF7969">
                    <w:t>Rob and Health Firth</w:t>
                  </w:r>
                </w:p>
              </w:tc>
              <w:tc>
                <w:tcPr>
                  <w:tcW w:w="2126" w:type="dxa"/>
                  <w:shd w:val="clear" w:color="auto" w:fill="auto"/>
                </w:tcPr>
                <w:p w14:paraId="79CAAFB5" w14:textId="77777777" w:rsidR="009C6940" w:rsidRPr="00EF7969" w:rsidRDefault="009C6940" w:rsidP="009C6940">
                  <w:pPr>
                    <w:pStyle w:val="TableBodyText"/>
                  </w:pPr>
                  <w:r w:rsidRPr="00EF7969">
                    <w:t>678</w:t>
                  </w:r>
                </w:p>
              </w:tc>
            </w:tr>
            <w:tr w:rsidR="009C6940" w:rsidRPr="00EF7969" w14:paraId="278B8C53" w14:textId="77777777" w:rsidTr="009C6940">
              <w:tc>
                <w:tcPr>
                  <w:tcW w:w="6377" w:type="dxa"/>
                  <w:shd w:val="clear" w:color="auto" w:fill="auto"/>
                </w:tcPr>
                <w:p w14:paraId="420E4ED1" w14:textId="77777777" w:rsidR="009C6940" w:rsidRPr="00EF7969" w:rsidRDefault="009C6940" w:rsidP="009C6940">
                  <w:pPr>
                    <w:pStyle w:val="TableBodyText"/>
                    <w:jc w:val="left"/>
                  </w:pPr>
                  <w:r w:rsidRPr="00EF7969">
                    <w:t>Robert Campbell</w:t>
                  </w:r>
                </w:p>
              </w:tc>
              <w:tc>
                <w:tcPr>
                  <w:tcW w:w="2126" w:type="dxa"/>
                  <w:shd w:val="clear" w:color="auto" w:fill="auto"/>
                </w:tcPr>
                <w:p w14:paraId="39F282AA" w14:textId="77777777" w:rsidR="009C6940" w:rsidRPr="00EF7969" w:rsidRDefault="009C6940" w:rsidP="009C6940">
                  <w:pPr>
                    <w:pStyle w:val="TableBodyText"/>
                  </w:pPr>
                  <w:r w:rsidRPr="00EF7969">
                    <w:t>960</w:t>
                  </w:r>
                </w:p>
              </w:tc>
            </w:tr>
            <w:tr w:rsidR="009C6940" w:rsidRPr="00EF7969" w14:paraId="4B903424" w14:textId="77777777" w:rsidTr="009C6940">
              <w:tc>
                <w:tcPr>
                  <w:tcW w:w="6377" w:type="dxa"/>
                  <w:shd w:val="clear" w:color="auto" w:fill="auto"/>
                </w:tcPr>
                <w:p w14:paraId="2F931A74" w14:textId="77777777" w:rsidR="009C6940" w:rsidRPr="00EF7969" w:rsidRDefault="009C6940" w:rsidP="009C6940">
                  <w:pPr>
                    <w:pStyle w:val="TableBodyText"/>
                    <w:jc w:val="left"/>
                  </w:pPr>
                  <w:r w:rsidRPr="00EF7969">
                    <w:t>Robert Davis</w:t>
                  </w:r>
                </w:p>
              </w:tc>
              <w:tc>
                <w:tcPr>
                  <w:tcW w:w="2126" w:type="dxa"/>
                  <w:shd w:val="clear" w:color="auto" w:fill="auto"/>
                </w:tcPr>
                <w:p w14:paraId="396AA6DD" w14:textId="77777777" w:rsidR="009C6940" w:rsidRPr="00EF7969" w:rsidRDefault="009C6940" w:rsidP="009C6940">
                  <w:pPr>
                    <w:pStyle w:val="TableBodyText"/>
                  </w:pPr>
                  <w:r w:rsidRPr="00EF7969">
                    <w:t>133, 772</w:t>
                  </w:r>
                </w:p>
              </w:tc>
            </w:tr>
            <w:tr w:rsidR="009C6940" w:rsidRPr="00EF7969" w14:paraId="3B9C69A3" w14:textId="77777777" w:rsidTr="009C6940">
              <w:tc>
                <w:tcPr>
                  <w:tcW w:w="6377" w:type="dxa"/>
                  <w:shd w:val="clear" w:color="auto" w:fill="auto"/>
                </w:tcPr>
                <w:p w14:paraId="762D2A55" w14:textId="77777777" w:rsidR="009C6940" w:rsidRPr="00EF7969" w:rsidRDefault="009C6940" w:rsidP="009C6940">
                  <w:pPr>
                    <w:pStyle w:val="TableBodyText"/>
                    <w:jc w:val="left"/>
                  </w:pPr>
                  <w:r w:rsidRPr="00EF7969">
                    <w:t>Robert Jaensch</w:t>
                  </w:r>
                </w:p>
              </w:tc>
              <w:tc>
                <w:tcPr>
                  <w:tcW w:w="2126" w:type="dxa"/>
                  <w:shd w:val="clear" w:color="auto" w:fill="auto"/>
                </w:tcPr>
                <w:p w14:paraId="3DBDF63D" w14:textId="77777777" w:rsidR="009C6940" w:rsidRPr="00EF7969" w:rsidRDefault="009C6940" w:rsidP="009C6940">
                  <w:pPr>
                    <w:pStyle w:val="TableBodyText"/>
                  </w:pPr>
                  <w:r w:rsidRPr="00EF7969">
                    <w:t>261</w:t>
                  </w:r>
                </w:p>
              </w:tc>
            </w:tr>
            <w:tr w:rsidR="009C6940" w:rsidRPr="00EF7969" w14:paraId="545C0C94" w14:textId="77777777" w:rsidTr="009C6940">
              <w:tc>
                <w:tcPr>
                  <w:tcW w:w="6377" w:type="dxa"/>
                  <w:shd w:val="clear" w:color="auto" w:fill="auto"/>
                </w:tcPr>
                <w:p w14:paraId="7A8D6622" w14:textId="77777777" w:rsidR="009C6940" w:rsidRPr="00EF7969" w:rsidRDefault="009C6940" w:rsidP="009C6940">
                  <w:pPr>
                    <w:pStyle w:val="TableBodyText"/>
                    <w:jc w:val="left"/>
                  </w:pPr>
                  <w:r w:rsidRPr="00EF7969">
                    <w:t>Robert Kamaralli</w:t>
                  </w:r>
                </w:p>
              </w:tc>
              <w:tc>
                <w:tcPr>
                  <w:tcW w:w="2126" w:type="dxa"/>
                  <w:shd w:val="clear" w:color="auto" w:fill="auto"/>
                </w:tcPr>
                <w:p w14:paraId="1D9410FA" w14:textId="77777777" w:rsidR="009C6940" w:rsidRPr="00EF7969" w:rsidRDefault="009C6940" w:rsidP="009C6940">
                  <w:pPr>
                    <w:pStyle w:val="TableBodyText"/>
                  </w:pPr>
                  <w:r w:rsidRPr="00EF7969">
                    <w:t>1120</w:t>
                  </w:r>
                </w:p>
              </w:tc>
            </w:tr>
            <w:tr w:rsidR="009C6940" w:rsidRPr="00EF7969" w14:paraId="58E4F08F" w14:textId="77777777" w:rsidTr="009C6940">
              <w:tc>
                <w:tcPr>
                  <w:tcW w:w="6377" w:type="dxa"/>
                  <w:shd w:val="clear" w:color="auto" w:fill="auto"/>
                </w:tcPr>
                <w:p w14:paraId="6A5B67B9" w14:textId="77777777" w:rsidR="009C6940" w:rsidRPr="00EF7969" w:rsidRDefault="009C6940" w:rsidP="009C6940">
                  <w:pPr>
                    <w:pStyle w:val="TableBodyText"/>
                    <w:jc w:val="left"/>
                  </w:pPr>
                  <w:r w:rsidRPr="00EF7969">
                    <w:t>Robert Meister</w:t>
                  </w:r>
                </w:p>
              </w:tc>
              <w:tc>
                <w:tcPr>
                  <w:tcW w:w="2126" w:type="dxa"/>
                  <w:shd w:val="clear" w:color="auto" w:fill="auto"/>
                </w:tcPr>
                <w:p w14:paraId="4FA71BDE" w14:textId="77777777" w:rsidR="009C6940" w:rsidRPr="00EF7969" w:rsidRDefault="009C6940" w:rsidP="009C6940">
                  <w:pPr>
                    <w:pStyle w:val="TableBodyText"/>
                  </w:pPr>
                  <w:r w:rsidRPr="00EF7969">
                    <w:t>1038</w:t>
                  </w:r>
                </w:p>
              </w:tc>
            </w:tr>
            <w:tr w:rsidR="009C6940" w:rsidRPr="00EF7969" w14:paraId="0D6F5F5C" w14:textId="77777777" w:rsidTr="009C6940">
              <w:tc>
                <w:tcPr>
                  <w:tcW w:w="6377" w:type="dxa"/>
                  <w:shd w:val="clear" w:color="auto" w:fill="auto"/>
                </w:tcPr>
                <w:p w14:paraId="61ED80C7" w14:textId="77777777" w:rsidR="009C6940" w:rsidRPr="00EF7969" w:rsidRDefault="009C6940" w:rsidP="009C6940">
                  <w:pPr>
                    <w:pStyle w:val="TableBodyText"/>
                    <w:jc w:val="left"/>
                  </w:pPr>
                  <w:r w:rsidRPr="00EF7969">
                    <w:t>Robert Parker</w:t>
                  </w:r>
                </w:p>
              </w:tc>
              <w:tc>
                <w:tcPr>
                  <w:tcW w:w="2126" w:type="dxa"/>
                  <w:shd w:val="clear" w:color="auto" w:fill="auto"/>
                </w:tcPr>
                <w:p w14:paraId="6F724288" w14:textId="77777777" w:rsidR="009C6940" w:rsidRPr="00EF7969" w:rsidRDefault="009C6940" w:rsidP="009C6940">
                  <w:pPr>
                    <w:pStyle w:val="TableBodyText"/>
                  </w:pPr>
                  <w:r w:rsidRPr="00EF7969">
                    <w:t>12</w:t>
                  </w:r>
                </w:p>
              </w:tc>
            </w:tr>
            <w:tr w:rsidR="009C6940" w:rsidRPr="00EF7969" w14:paraId="7DADF9AC" w14:textId="77777777" w:rsidTr="009C6940">
              <w:tc>
                <w:tcPr>
                  <w:tcW w:w="6377" w:type="dxa"/>
                  <w:shd w:val="clear" w:color="auto" w:fill="auto"/>
                </w:tcPr>
                <w:p w14:paraId="04A9FAF5" w14:textId="77777777" w:rsidR="009C6940" w:rsidRPr="00EF7969" w:rsidRDefault="009C6940" w:rsidP="009C6940">
                  <w:pPr>
                    <w:pStyle w:val="TableBodyText"/>
                    <w:jc w:val="left"/>
                  </w:pPr>
                  <w:r w:rsidRPr="00EF7969">
                    <w:t>Robyn Monro Miller</w:t>
                  </w:r>
                </w:p>
              </w:tc>
              <w:tc>
                <w:tcPr>
                  <w:tcW w:w="2126" w:type="dxa"/>
                  <w:shd w:val="clear" w:color="auto" w:fill="auto"/>
                </w:tcPr>
                <w:p w14:paraId="080D34C4" w14:textId="77777777" w:rsidR="009C6940" w:rsidRPr="00EF7969" w:rsidRDefault="009C6940" w:rsidP="009C6940">
                  <w:pPr>
                    <w:pStyle w:val="TableBodyText"/>
                  </w:pPr>
                  <w:r w:rsidRPr="00EF7969">
                    <w:t>745</w:t>
                  </w:r>
                </w:p>
              </w:tc>
            </w:tr>
            <w:tr w:rsidR="009C6940" w:rsidRPr="00EF7969" w14:paraId="30A744DA" w14:textId="77777777" w:rsidTr="009C6940">
              <w:tc>
                <w:tcPr>
                  <w:tcW w:w="6377" w:type="dxa"/>
                  <w:shd w:val="clear" w:color="auto" w:fill="auto"/>
                </w:tcPr>
                <w:p w14:paraId="16503DB6" w14:textId="77777777" w:rsidR="009C6940" w:rsidRPr="00EF7969" w:rsidRDefault="009C6940" w:rsidP="009C6940">
                  <w:pPr>
                    <w:pStyle w:val="TableBodyText"/>
                    <w:jc w:val="left"/>
                  </w:pPr>
                  <w:r w:rsidRPr="00EF7969">
                    <w:t>Robyn Moore</w:t>
                  </w:r>
                </w:p>
              </w:tc>
              <w:tc>
                <w:tcPr>
                  <w:tcW w:w="2126" w:type="dxa"/>
                  <w:shd w:val="clear" w:color="auto" w:fill="auto"/>
                </w:tcPr>
                <w:p w14:paraId="1F5C3D45" w14:textId="77777777" w:rsidR="009C6940" w:rsidRPr="00EF7969" w:rsidRDefault="009C6940" w:rsidP="009C6940">
                  <w:pPr>
                    <w:pStyle w:val="TableBodyText"/>
                  </w:pPr>
                  <w:r w:rsidRPr="00EF7969">
                    <w:t>1148</w:t>
                  </w:r>
                </w:p>
              </w:tc>
            </w:tr>
            <w:tr w:rsidR="009C6940" w:rsidRPr="00EF7969" w14:paraId="63233427" w14:textId="77777777" w:rsidTr="009C6940">
              <w:tc>
                <w:tcPr>
                  <w:tcW w:w="6377" w:type="dxa"/>
                  <w:shd w:val="clear" w:color="auto" w:fill="auto"/>
                </w:tcPr>
                <w:p w14:paraId="1C092F4C" w14:textId="77777777" w:rsidR="009C6940" w:rsidRPr="00EF7969" w:rsidRDefault="009C6940" w:rsidP="009C6940">
                  <w:pPr>
                    <w:pStyle w:val="TableBodyText"/>
                    <w:jc w:val="left"/>
                  </w:pPr>
                  <w:r w:rsidRPr="00EF7969">
                    <w:t>Rochelle Macredie</w:t>
                  </w:r>
                </w:p>
              </w:tc>
              <w:tc>
                <w:tcPr>
                  <w:tcW w:w="2126" w:type="dxa"/>
                  <w:shd w:val="clear" w:color="auto" w:fill="auto"/>
                </w:tcPr>
                <w:p w14:paraId="276830C1" w14:textId="77777777" w:rsidR="009C6940" w:rsidRPr="00EF7969" w:rsidRDefault="009C6940" w:rsidP="009C6940">
                  <w:pPr>
                    <w:pStyle w:val="TableBodyText"/>
                  </w:pPr>
                  <w:r w:rsidRPr="00EF7969">
                    <w:t>623</w:t>
                  </w:r>
                </w:p>
              </w:tc>
            </w:tr>
            <w:tr w:rsidR="009C6940" w:rsidRPr="00EF7969" w14:paraId="60F8647F" w14:textId="77777777" w:rsidTr="009C6940">
              <w:tc>
                <w:tcPr>
                  <w:tcW w:w="6377" w:type="dxa"/>
                  <w:shd w:val="clear" w:color="auto" w:fill="auto"/>
                </w:tcPr>
                <w:p w14:paraId="5894A66A" w14:textId="77777777" w:rsidR="009C6940" w:rsidRPr="00EF7969" w:rsidRDefault="009C6940" w:rsidP="009C6940">
                  <w:pPr>
                    <w:pStyle w:val="TableBodyText"/>
                    <w:jc w:val="left"/>
                  </w:pPr>
                  <w:r w:rsidRPr="00EF7969">
                    <w:t>Rogan McNeil</w:t>
                  </w:r>
                </w:p>
              </w:tc>
              <w:tc>
                <w:tcPr>
                  <w:tcW w:w="2126" w:type="dxa"/>
                  <w:shd w:val="clear" w:color="auto" w:fill="auto"/>
                </w:tcPr>
                <w:p w14:paraId="59C12013" w14:textId="77777777" w:rsidR="009C6940" w:rsidRPr="00EF7969" w:rsidRDefault="009C6940" w:rsidP="009C6940">
                  <w:pPr>
                    <w:pStyle w:val="TableBodyText"/>
                  </w:pPr>
                  <w:r w:rsidRPr="00EF7969">
                    <w:t>1131</w:t>
                  </w:r>
                </w:p>
              </w:tc>
            </w:tr>
            <w:tr w:rsidR="009C6940" w:rsidRPr="00EF7969" w14:paraId="63EB895D" w14:textId="77777777" w:rsidTr="009C6940">
              <w:tc>
                <w:tcPr>
                  <w:tcW w:w="6377" w:type="dxa"/>
                  <w:shd w:val="clear" w:color="auto" w:fill="auto"/>
                </w:tcPr>
                <w:p w14:paraId="3434560C" w14:textId="77777777" w:rsidR="009C6940" w:rsidRPr="00EF7969" w:rsidRDefault="009C6940" w:rsidP="009C6940">
                  <w:pPr>
                    <w:pStyle w:val="TableBodyText"/>
                    <w:jc w:val="left"/>
                  </w:pPr>
                  <w:r w:rsidRPr="00EF7969">
                    <w:t>Ron Grunstein and Rick Wassing</w:t>
                  </w:r>
                </w:p>
              </w:tc>
              <w:tc>
                <w:tcPr>
                  <w:tcW w:w="2126" w:type="dxa"/>
                  <w:shd w:val="clear" w:color="auto" w:fill="auto"/>
                </w:tcPr>
                <w:p w14:paraId="56D5D224" w14:textId="77777777" w:rsidR="009C6940" w:rsidRPr="00EF7969" w:rsidRDefault="009C6940" w:rsidP="009C6940">
                  <w:pPr>
                    <w:pStyle w:val="TableBodyText"/>
                  </w:pPr>
                  <w:r w:rsidRPr="00EF7969">
                    <w:t>717</w:t>
                  </w:r>
                </w:p>
              </w:tc>
            </w:tr>
            <w:tr w:rsidR="009C6940" w:rsidRPr="00EF7969" w14:paraId="3E396168" w14:textId="77777777" w:rsidTr="009C6940">
              <w:tc>
                <w:tcPr>
                  <w:tcW w:w="6377" w:type="dxa"/>
                  <w:shd w:val="clear" w:color="auto" w:fill="auto"/>
                </w:tcPr>
                <w:p w14:paraId="5E01B044" w14:textId="77777777" w:rsidR="009C6940" w:rsidRPr="00EF7969" w:rsidRDefault="009C6940" w:rsidP="009C6940">
                  <w:pPr>
                    <w:pStyle w:val="TableBodyText"/>
                    <w:jc w:val="left"/>
                  </w:pPr>
                  <w:r w:rsidRPr="00EF7969">
                    <w:t>Roger Gurr</w:t>
                  </w:r>
                </w:p>
              </w:tc>
              <w:tc>
                <w:tcPr>
                  <w:tcW w:w="2126" w:type="dxa"/>
                  <w:shd w:val="clear" w:color="auto" w:fill="auto"/>
                </w:tcPr>
                <w:p w14:paraId="01D407BC" w14:textId="77777777" w:rsidR="009C6940" w:rsidRPr="00EF7969" w:rsidRDefault="009C6940" w:rsidP="009C6940">
                  <w:pPr>
                    <w:pStyle w:val="TableBodyText"/>
                  </w:pPr>
                  <w:r w:rsidRPr="00EF7969">
                    <w:t>40</w:t>
                  </w:r>
                </w:p>
              </w:tc>
            </w:tr>
            <w:tr w:rsidR="009C6940" w:rsidRPr="00EF7969" w14:paraId="1918506C" w14:textId="77777777" w:rsidTr="009C6940">
              <w:tc>
                <w:tcPr>
                  <w:tcW w:w="6377" w:type="dxa"/>
                  <w:shd w:val="clear" w:color="auto" w:fill="auto"/>
                </w:tcPr>
                <w:p w14:paraId="3A5AAFC5" w14:textId="77777777" w:rsidR="009C6940" w:rsidRPr="00EF7969" w:rsidRDefault="009C6940" w:rsidP="009C6940">
                  <w:pPr>
                    <w:pStyle w:val="TableBodyText"/>
                    <w:jc w:val="left"/>
                  </w:pPr>
                  <w:r w:rsidRPr="00EF7969">
                    <w:t>Ron Munn</w:t>
                  </w:r>
                </w:p>
              </w:tc>
              <w:tc>
                <w:tcPr>
                  <w:tcW w:w="2126" w:type="dxa"/>
                  <w:shd w:val="clear" w:color="auto" w:fill="auto"/>
                </w:tcPr>
                <w:p w14:paraId="4415F301" w14:textId="77777777" w:rsidR="009C6940" w:rsidRPr="00EF7969" w:rsidRDefault="009C6940" w:rsidP="009C6940">
                  <w:pPr>
                    <w:pStyle w:val="TableBodyText"/>
                  </w:pPr>
                  <w:r w:rsidRPr="00EF7969">
                    <w:t>1130</w:t>
                  </w:r>
                </w:p>
              </w:tc>
            </w:tr>
            <w:tr w:rsidR="009C6940" w:rsidRPr="00EF7969" w14:paraId="00CDC88F" w14:textId="77777777" w:rsidTr="009C6940">
              <w:tc>
                <w:tcPr>
                  <w:tcW w:w="6377" w:type="dxa"/>
                  <w:shd w:val="clear" w:color="auto" w:fill="auto"/>
                </w:tcPr>
                <w:p w14:paraId="54D1F7A8" w14:textId="77777777" w:rsidR="009C6940" w:rsidRPr="00EF7969" w:rsidRDefault="009C6940" w:rsidP="009C6940">
                  <w:pPr>
                    <w:pStyle w:val="TableBodyText"/>
                    <w:jc w:val="left"/>
                  </w:pPr>
                  <w:r w:rsidRPr="00EF7969">
                    <w:t>Ron Spielman</w:t>
                  </w:r>
                </w:p>
              </w:tc>
              <w:tc>
                <w:tcPr>
                  <w:tcW w:w="2126" w:type="dxa"/>
                  <w:shd w:val="clear" w:color="auto" w:fill="auto"/>
                </w:tcPr>
                <w:p w14:paraId="1616B942" w14:textId="77777777" w:rsidR="009C6940" w:rsidRPr="00EF7969" w:rsidRDefault="009C6940" w:rsidP="009C6940">
                  <w:pPr>
                    <w:pStyle w:val="TableBodyText"/>
                  </w:pPr>
                  <w:r w:rsidRPr="00EF7969">
                    <w:t>18</w:t>
                  </w:r>
                </w:p>
              </w:tc>
            </w:tr>
            <w:tr w:rsidR="009C6940" w:rsidRPr="00EF7969" w14:paraId="6A089AEF" w14:textId="77777777" w:rsidTr="009C6940">
              <w:tc>
                <w:tcPr>
                  <w:tcW w:w="6377" w:type="dxa"/>
                  <w:shd w:val="clear" w:color="auto" w:fill="auto"/>
                </w:tcPr>
                <w:p w14:paraId="7193D689" w14:textId="77777777" w:rsidR="009C6940" w:rsidRPr="00EF7969" w:rsidRDefault="009C6940" w:rsidP="009C6940">
                  <w:pPr>
                    <w:pStyle w:val="TableBodyText"/>
                    <w:jc w:val="left"/>
                  </w:pPr>
                  <w:r w:rsidRPr="00EF7969">
                    <w:t>Ronald Duncan</w:t>
                  </w:r>
                </w:p>
              </w:tc>
              <w:tc>
                <w:tcPr>
                  <w:tcW w:w="2126" w:type="dxa"/>
                  <w:shd w:val="clear" w:color="auto" w:fill="auto"/>
                </w:tcPr>
                <w:p w14:paraId="4F9A35A3" w14:textId="77777777" w:rsidR="009C6940" w:rsidRPr="00EF7969" w:rsidRDefault="009C6940" w:rsidP="009C6940">
                  <w:pPr>
                    <w:pStyle w:val="TableBodyText"/>
                  </w:pPr>
                  <w:r w:rsidRPr="00EF7969">
                    <w:t>68</w:t>
                  </w:r>
                </w:p>
              </w:tc>
            </w:tr>
            <w:tr w:rsidR="009C6940" w:rsidRPr="00EF7969" w14:paraId="1D4BC6F9" w14:textId="77777777" w:rsidTr="009C6940">
              <w:tc>
                <w:tcPr>
                  <w:tcW w:w="6377" w:type="dxa"/>
                  <w:shd w:val="clear" w:color="auto" w:fill="auto"/>
                </w:tcPr>
                <w:p w14:paraId="672CB22A" w14:textId="77777777" w:rsidR="009C6940" w:rsidRPr="00EF7969" w:rsidRDefault="009C6940" w:rsidP="009C6940">
                  <w:pPr>
                    <w:pStyle w:val="TableBodyText"/>
                    <w:jc w:val="left"/>
                  </w:pPr>
                  <w:r w:rsidRPr="00EF7969">
                    <w:t>Ros Robins</w:t>
                  </w:r>
                </w:p>
              </w:tc>
              <w:tc>
                <w:tcPr>
                  <w:tcW w:w="2126" w:type="dxa"/>
                  <w:shd w:val="clear" w:color="auto" w:fill="auto"/>
                </w:tcPr>
                <w:p w14:paraId="38BBF250" w14:textId="77777777" w:rsidR="009C6940" w:rsidRPr="00EF7969" w:rsidRDefault="009C6940" w:rsidP="009C6940">
                  <w:pPr>
                    <w:pStyle w:val="TableBodyText"/>
                  </w:pPr>
                  <w:r w:rsidRPr="00EF7969">
                    <w:t>1071</w:t>
                  </w:r>
                </w:p>
              </w:tc>
            </w:tr>
            <w:tr w:rsidR="009C6940" w:rsidRPr="00EF7969" w14:paraId="74E6D8AF" w14:textId="77777777" w:rsidTr="009C6940">
              <w:tc>
                <w:tcPr>
                  <w:tcW w:w="6377" w:type="dxa"/>
                  <w:tcBorders>
                    <w:bottom w:val="single" w:sz="4" w:space="0" w:color="BFBFBF" w:themeColor="background1" w:themeShade="BF"/>
                  </w:tcBorders>
                  <w:shd w:val="clear" w:color="auto" w:fill="auto"/>
                </w:tcPr>
                <w:p w14:paraId="7F1D051C" w14:textId="77777777" w:rsidR="009C6940" w:rsidRPr="00EF7969" w:rsidRDefault="009C6940" w:rsidP="009C6940">
                  <w:pPr>
                    <w:pStyle w:val="TableBodyText"/>
                    <w:jc w:val="left"/>
                  </w:pPr>
                  <w:r w:rsidRPr="00EF7969">
                    <w:t>Rosalyn Havard</w:t>
                  </w:r>
                </w:p>
              </w:tc>
              <w:tc>
                <w:tcPr>
                  <w:tcW w:w="2126" w:type="dxa"/>
                  <w:tcBorders>
                    <w:bottom w:val="single" w:sz="4" w:space="0" w:color="BFBFBF" w:themeColor="background1" w:themeShade="BF"/>
                  </w:tcBorders>
                  <w:shd w:val="clear" w:color="auto" w:fill="auto"/>
                </w:tcPr>
                <w:p w14:paraId="175A0E64" w14:textId="77777777" w:rsidR="009C6940" w:rsidRPr="00EF7969" w:rsidRDefault="009C6940" w:rsidP="009C6940">
                  <w:pPr>
                    <w:pStyle w:val="TableBodyText"/>
                  </w:pPr>
                  <w:r w:rsidRPr="00EF7969">
                    <w:t>728</w:t>
                  </w:r>
                </w:p>
              </w:tc>
            </w:tr>
          </w:tbl>
          <w:p w14:paraId="5713A0EB" w14:textId="77777777" w:rsidR="009C6940" w:rsidRPr="00EF7969" w:rsidRDefault="009C6940" w:rsidP="009C6940">
            <w:pPr>
              <w:pStyle w:val="Box"/>
            </w:pPr>
          </w:p>
        </w:tc>
      </w:tr>
      <w:tr w:rsidR="009C6940" w:rsidRPr="00EF7969" w14:paraId="3DF282A5" w14:textId="77777777" w:rsidTr="009C6940">
        <w:tc>
          <w:tcPr>
            <w:tcW w:w="8789" w:type="dxa"/>
            <w:tcBorders>
              <w:top w:val="nil"/>
              <w:left w:val="nil"/>
              <w:bottom w:val="nil"/>
              <w:right w:val="nil"/>
            </w:tcBorders>
            <w:shd w:val="clear" w:color="auto" w:fill="auto"/>
          </w:tcPr>
          <w:p w14:paraId="5926BB76" w14:textId="77777777" w:rsidR="009C6940" w:rsidRPr="00EF7969" w:rsidRDefault="009C6940" w:rsidP="009C6940">
            <w:pPr>
              <w:pStyle w:val="Continued"/>
            </w:pPr>
            <w:r w:rsidRPr="00EF7969">
              <w:t>(continued next page)</w:t>
            </w:r>
          </w:p>
        </w:tc>
      </w:tr>
      <w:tr w:rsidR="009C6940" w:rsidRPr="00EF7969" w14:paraId="38C88F06" w14:textId="77777777" w:rsidTr="009C6940">
        <w:tc>
          <w:tcPr>
            <w:tcW w:w="8789" w:type="dxa"/>
            <w:tcBorders>
              <w:top w:val="nil"/>
              <w:left w:val="nil"/>
              <w:bottom w:val="single" w:sz="6" w:space="0" w:color="78A22F"/>
              <w:right w:val="nil"/>
            </w:tcBorders>
            <w:shd w:val="clear" w:color="auto" w:fill="auto"/>
          </w:tcPr>
          <w:p w14:paraId="1B8AD98C" w14:textId="77777777" w:rsidR="009C6940" w:rsidRPr="00EF7969" w:rsidRDefault="009C6940" w:rsidP="009C6940">
            <w:pPr>
              <w:pStyle w:val="Box"/>
              <w:spacing w:before="0" w:line="120" w:lineRule="exact"/>
            </w:pPr>
          </w:p>
        </w:tc>
      </w:tr>
      <w:tr w:rsidR="009C6940" w:rsidRPr="00EF7969" w14:paraId="524CB057" w14:textId="77777777" w:rsidTr="009C6940">
        <w:tc>
          <w:tcPr>
            <w:tcW w:w="8789" w:type="dxa"/>
            <w:tcBorders>
              <w:top w:val="single" w:sz="6" w:space="0" w:color="78A22F"/>
              <w:left w:val="nil"/>
              <w:bottom w:val="nil"/>
              <w:right w:val="nil"/>
            </w:tcBorders>
          </w:tcPr>
          <w:p w14:paraId="0123B7BE" w14:textId="77777777" w:rsidR="009C6940" w:rsidRPr="00EF7969" w:rsidRDefault="009C6940" w:rsidP="009C6940">
            <w:pPr>
              <w:pStyle w:val="BoxSpaceBelow"/>
            </w:pPr>
          </w:p>
        </w:tc>
      </w:tr>
    </w:tbl>
    <w:p w14:paraId="6315DBE9"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69ED453D" w14:textId="77777777" w:rsidTr="009C6940">
        <w:trPr>
          <w:tblHeader/>
        </w:trPr>
        <w:tc>
          <w:tcPr>
            <w:tcW w:w="8789" w:type="dxa"/>
            <w:tcBorders>
              <w:top w:val="single" w:sz="6" w:space="0" w:color="78A22F"/>
              <w:left w:val="nil"/>
              <w:bottom w:val="nil"/>
              <w:right w:val="nil"/>
            </w:tcBorders>
            <w:shd w:val="clear" w:color="auto" w:fill="auto"/>
          </w:tcPr>
          <w:p w14:paraId="58A26AEF"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07992478"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3498AD6E"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4E861D03"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0A13CC7E" w14:textId="77777777" w:rsidR="009C6940" w:rsidRPr="00EF7969" w:rsidRDefault="009C6940" w:rsidP="009C6940">
                  <w:pPr>
                    <w:pStyle w:val="TableColumnHeading"/>
                    <w:ind w:right="28"/>
                  </w:pPr>
                  <w:r w:rsidRPr="00EF7969">
                    <w:t>Submission no.</w:t>
                  </w:r>
                </w:p>
              </w:tc>
            </w:tr>
            <w:tr w:rsidR="009C6940" w:rsidRPr="00EF7969" w14:paraId="172EB783" w14:textId="77777777" w:rsidTr="009C6940">
              <w:trPr>
                <w:tblHeader/>
              </w:trPr>
              <w:tc>
                <w:tcPr>
                  <w:tcW w:w="6377" w:type="dxa"/>
                  <w:tcBorders>
                    <w:top w:val="single" w:sz="6" w:space="0" w:color="BFBFBF"/>
                  </w:tcBorders>
                  <w:shd w:val="clear" w:color="auto" w:fill="auto"/>
                  <w:tcMar>
                    <w:top w:w="28" w:type="dxa"/>
                  </w:tcMar>
                </w:tcPr>
                <w:p w14:paraId="60421C84" w14:textId="77777777" w:rsidR="009C6940" w:rsidRPr="00EF7969" w:rsidRDefault="009C6940" w:rsidP="009C6940">
                  <w:pPr>
                    <w:pStyle w:val="TableBodyText"/>
                    <w:spacing w:before="40"/>
                    <w:jc w:val="left"/>
                  </w:pPr>
                  <w:r w:rsidRPr="00EF7969">
                    <w:t>Rose Evans</w:t>
                  </w:r>
                </w:p>
              </w:tc>
              <w:tc>
                <w:tcPr>
                  <w:tcW w:w="2126" w:type="dxa"/>
                  <w:tcBorders>
                    <w:top w:val="single" w:sz="6" w:space="0" w:color="BFBFBF"/>
                  </w:tcBorders>
                  <w:shd w:val="clear" w:color="auto" w:fill="auto"/>
                  <w:tcMar>
                    <w:top w:w="28" w:type="dxa"/>
                  </w:tcMar>
                </w:tcPr>
                <w:p w14:paraId="634CDFB3" w14:textId="77777777" w:rsidR="009C6940" w:rsidRPr="00EF7969" w:rsidRDefault="009C6940" w:rsidP="009C6940">
                  <w:pPr>
                    <w:pStyle w:val="TableBodyText"/>
                    <w:spacing w:before="40"/>
                  </w:pPr>
                  <w:r w:rsidRPr="00EF7969">
                    <w:t>637</w:t>
                  </w:r>
                </w:p>
              </w:tc>
            </w:tr>
            <w:tr w:rsidR="009C6940" w:rsidRPr="00EF7969" w14:paraId="6FDE0FB1" w14:textId="77777777" w:rsidTr="009C6940">
              <w:trPr>
                <w:tblHeader/>
              </w:trPr>
              <w:tc>
                <w:tcPr>
                  <w:tcW w:w="6377" w:type="dxa"/>
                  <w:shd w:val="clear" w:color="auto" w:fill="auto"/>
                  <w:tcMar>
                    <w:top w:w="28" w:type="dxa"/>
                  </w:tcMar>
                </w:tcPr>
                <w:p w14:paraId="7642DC20" w14:textId="77777777" w:rsidR="009C6940" w:rsidRPr="00EF7969" w:rsidRDefault="009C6940" w:rsidP="009C6940">
                  <w:pPr>
                    <w:pStyle w:val="TableBodyText"/>
                    <w:jc w:val="left"/>
                  </w:pPr>
                  <w:r w:rsidRPr="00EF7969">
                    <w:t>Rosemary Lemon</w:t>
                  </w:r>
                </w:p>
              </w:tc>
              <w:tc>
                <w:tcPr>
                  <w:tcW w:w="2126" w:type="dxa"/>
                  <w:shd w:val="clear" w:color="auto" w:fill="auto"/>
                  <w:tcMar>
                    <w:top w:w="28" w:type="dxa"/>
                  </w:tcMar>
                </w:tcPr>
                <w:p w14:paraId="7E03B906" w14:textId="77777777" w:rsidR="009C6940" w:rsidRPr="00EF7969" w:rsidRDefault="009C6940" w:rsidP="009C6940">
                  <w:pPr>
                    <w:pStyle w:val="TableBodyText"/>
                  </w:pPr>
                  <w:r w:rsidRPr="00EF7969">
                    <w:t>1010</w:t>
                  </w:r>
                </w:p>
              </w:tc>
            </w:tr>
            <w:tr w:rsidR="009C6940" w:rsidRPr="00EF7969" w14:paraId="2076BEA5" w14:textId="77777777" w:rsidTr="009C6940">
              <w:tc>
                <w:tcPr>
                  <w:tcW w:w="6377" w:type="dxa"/>
                  <w:shd w:val="clear" w:color="auto" w:fill="auto"/>
                </w:tcPr>
                <w:p w14:paraId="350CE486" w14:textId="77777777" w:rsidR="009C6940" w:rsidRPr="00EF7969" w:rsidRDefault="009C6940" w:rsidP="009C6940">
                  <w:pPr>
                    <w:pStyle w:val="TableBodyText"/>
                    <w:jc w:val="left"/>
                  </w:pPr>
                  <w:r w:rsidRPr="00EF7969">
                    <w:t>Roses in the Ocean</w:t>
                  </w:r>
                </w:p>
              </w:tc>
              <w:tc>
                <w:tcPr>
                  <w:tcW w:w="2126" w:type="dxa"/>
                  <w:shd w:val="clear" w:color="auto" w:fill="auto"/>
                </w:tcPr>
                <w:p w14:paraId="4AA7BFD2" w14:textId="77777777" w:rsidR="009C6940" w:rsidRPr="00EF7969" w:rsidRDefault="009C6940" w:rsidP="009C6940">
                  <w:pPr>
                    <w:pStyle w:val="TableBodyText"/>
                  </w:pPr>
                  <w:r w:rsidRPr="00EF7969">
                    <w:t>710</w:t>
                  </w:r>
                </w:p>
              </w:tc>
            </w:tr>
            <w:tr w:rsidR="009C6940" w:rsidRPr="00EF7969" w14:paraId="2F0F56FF" w14:textId="77777777" w:rsidTr="009C6940">
              <w:tc>
                <w:tcPr>
                  <w:tcW w:w="6377" w:type="dxa"/>
                  <w:shd w:val="clear" w:color="auto" w:fill="auto"/>
                </w:tcPr>
                <w:p w14:paraId="067C943D" w14:textId="77777777" w:rsidR="009C6940" w:rsidRPr="00EF7969" w:rsidRDefault="009C6940" w:rsidP="009C6940">
                  <w:pPr>
                    <w:pStyle w:val="TableBodyText"/>
                    <w:jc w:val="left"/>
                  </w:pPr>
                  <w:r w:rsidRPr="00EF7969">
                    <w:t>Royal Australasian College of Physicians (RACP)</w:t>
                  </w:r>
                </w:p>
              </w:tc>
              <w:tc>
                <w:tcPr>
                  <w:tcW w:w="2126" w:type="dxa"/>
                  <w:shd w:val="clear" w:color="auto" w:fill="auto"/>
                </w:tcPr>
                <w:p w14:paraId="744FA8E5" w14:textId="77777777" w:rsidR="009C6940" w:rsidRPr="00EF7969" w:rsidRDefault="009C6940" w:rsidP="009C6940">
                  <w:pPr>
                    <w:pStyle w:val="TableBodyText"/>
                  </w:pPr>
                  <w:r w:rsidRPr="00EF7969">
                    <w:t>488, 1225</w:t>
                  </w:r>
                </w:p>
              </w:tc>
            </w:tr>
            <w:tr w:rsidR="009C6940" w:rsidRPr="00EF7969" w14:paraId="2E4C4620" w14:textId="77777777" w:rsidTr="009C6940">
              <w:tc>
                <w:tcPr>
                  <w:tcW w:w="6377" w:type="dxa"/>
                  <w:shd w:val="clear" w:color="auto" w:fill="auto"/>
                </w:tcPr>
                <w:p w14:paraId="7A894D93" w14:textId="77777777" w:rsidR="009C6940" w:rsidRPr="00EF7969" w:rsidRDefault="009C6940" w:rsidP="009C6940">
                  <w:pPr>
                    <w:pStyle w:val="TableBodyText"/>
                    <w:jc w:val="left"/>
                  </w:pPr>
                  <w:r w:rsidRPr="00EF7969">
                    <w:t>Royal Australian and New Zealand College of Psychiatrists (RANZCP)</w:t>
                  </w:r>
                </w:p>
              </w:tc>
              <w:tc>
                <w:tcPr>
                  <w:tcW w:w="2126" w:type="dxa"/>
                  <w:shd w:val="clear" w:color="auto" w:fill="auto"/>
                </w:tcPr>
                <w:p w14:paraId="0071F18C" w14:textId="77777777" w:rsidR="009C6940" w:rsidRPr="00EF7969" w:rsidRDefault="009C6940" w:rsidP="009C6940">
                  <w:pPr>
                    <w:pStyle w:val="TableBodyText"/>
                  </w:pPr>
                  <w:r w:rsidRPr="00EF7969">
                    <w:t>385, 1200</w:t>
                  </w:r>
                </w:p>
              </w:tc>
            </w:tr>
            <w:tr w:rsidR="009C6940" w:rsidRPr="00EF7969" w14:paraId="188DEDAB" w14:textId="77777777" w:rsidTr="009C6940">
              <w:tc>
                <w:tcPr>
                  <w:tcW w:w="6377" w:type="dxa"/>
                  <w:shd w:val="clear" w:color="auto" w:fill="auto"/>
                </w:tcPr>
                <w:p w14:paraId="3F2B114B" w14:textId="77777777" w:rsidR="009C6940" w:rsidRPr="00EF7969" w:rsidRDefault="009C6940" w:rsidP="009C6940">
                  <w:pPr>
                    <w:pStyle w:val="TableBodyText"/>
                    <w:jc w:val="left"/>
                  </w:pPr>
                  <w:r w:rsidRPr="00EF7969">
                    <w:t>Royal Australian College of General Practitioners (RACGP)</w:t>
                  </w:r>
                </w:p>
              </w:tc>
              <w:tc>
                <w:tcPr>
                  <w:tcW w:w="2126" w:type="dxa"/>
                  <w:shd w:val="clear" w:color="auto" w:fill="auto"/>
                </w:tcPr>
                <w:p w14:paraId="72433D27" w14:textId="77777777" w:rsidR="009C6940" w:rsidRPr="00EF7969" w:rsidRDefault="009C6940" w:rsidP="009C6940">
                  <w:pPr>
                    <w:pStyle w:val="TableBodyText"/>
                  </w:pPr>
                  <w:r w:rsidRPr="00EF7969">
                    <w:t>386, 858</w:t>
                  </w:r>
                </w:p>
              </w:tc>
            </w:tr>
            <w:tr w:rsidR="009C6940" w:rsidRPr="00EF7969" w14:paraId="73EC1520" w14:textId="77777777" w:rsidTr="009C6940">
              <w:tc>
                <w:tcPr>
                  <w:tcW w:w="6377" w:type="dxa"/>
                  <w:shd w:val="clear" w:color="auto" w:fill="auto"/>
                </w:tcPr>
                <w:p w14:paraId="17E36D33" w14:textId="77777777" w:rsidR="009C6940" w:rsidRPr="00EF7969" w:rsidRDefault="009C6940" w:rsidP="009C6940">
                  <w:pPr>
                    <w:pStyle w:val="TableBodyText"/>
                    <w:jc w:val="left"/>
                  </w:pPr>
                  <w:r w:rsidRPr="00EF7969">
                    <w:t>Royal Far West (RFW)</w:t>
                  </w:r>
                </w:p>
              </w:tc>
              <w:tc>
                <w:tcPr>
                  <w:tcW w:w="2126" w:type="dxa"/>
                  <w:shd w:val="clear" w:color="auto" w:fill="auto"/>
                </w:tcPr>
                <w:p w14:paraId="0AE0FA39" w14:textId="77777777" w:rsidR="009C6940" w:rsidRPr="00EF7969" w:rsidRDefault="009C6940" w:rsidP="009C6940">
                  <w:pPr>
                    <w:pStyle w:val="TableBodyText"/>
                  </w:pPr>
                  <w:r w:rsidRPr="00EF7969">
                    <w:t>323, 770</w:t>
                  </w:r>
                </w:p>
              </w:tc>
            </w:tr>
            <w:tr w:rsidR="009C6940" w:rsidRPr="00EF7969" w14:paraId="6AD7F1E6" w14:textId="77777777" w:rsidTr="009C6940">
              <w:tc>
                <w:tcPr>
                  <w:tcW w:w="6377" w:type="dxa"/>
                  <w:shd w:val="clear" w:color="auto" w:fill="auto"/>
                </w:tcPr>
                <w:p w14:paraId="42F36436" w14:textId="77777777" w:rsidR="009C6940" w:rsidRPr="00EF7969" w:rsidRDefault="009C6940" w:rsidP="009C6940">
                  <w:pPr>
                    <w:pStyle w:val="TableBodyText"/>
                    <w:jc w:val="left"/>
                  </w:pPr>
                  <w:r w:rsidRPr="00EF7969">
                    <w:t>Royal Flying Doctor Service (RFDS)</w:t>
                  </w:r>
                </w:p>
              </w:tc>
              <w:tc>
                <w:tcPr>
                  <w:tcW w:w="2126" w:type="dxa"/>
                  <w:shd w:val="clear" w:color="auto" w:fill="auto"/>
                </w:tcPr>
                <w:p w14:paraId="0E584190" w14:textId="77777777" w:rsidR="009C6940" w:rsidRPr="00EF7969" w:rsidRDefault="009C6940" w:rsidP="009C6940">
                  <w:pPr>
                    <w:pStyle w:val="TableBodyText"/>
                  </w:pPr>
                  <w:r w:rsidRPr="00EF7969">
                    <w:t>361, 685</w:t>
                  </w:r>
                </w:p>
              </w:tc>
            </w:tr>
            <w:tr w:rsidR="009C6940" w:rsidRPr="00EF7969" w14:paraId="62CE36F9" w14:textId="77777777" w:rsidTr="009C6940">
              <w:tc>
                <w:tcPr>
                  <w:tcW w:w="6377" w:type="dxa"/>
                  <w:shd w:val="clear" w:color="auto" w:fill="auto"/>
                </w:tcPr>
                <w:p w14:paraId="7967F46B" w14:textId="77777777" w:rsidR="009C6940" w:rsidRPr="00EF7969" w:rsidRDefault="009C6940" w:rsidP="009C6940">
                  <w:pPr>
                    <w:pStyle w:val="TableBodyText"/>
                    <w:jc w:val="left"/>
                  </w:pPr>
                  <w:r w:rsidRPr="00EF7969">
                    <w:t>Royce Dunn</w:t>
                  </w:r>
                </w:p>
              </w:tc>
              <w:tc>
                <w:tcPr>
                  <w:tcW w:w="2126" w:type="dxa"/>
                  <w:shd w:val="clear" w:color="auto" w:fill="auto"/>
                </w:tcPr>
                <w:p w14:paraId="2418B46B" w14:textId="77777777" w:rsidR="009C6940" w:rsidRPr="00EF7969" w:rsidRDefault="009C6940" w:rsidP="009C6940">
                  <w:pPr>
                    <w:pStyle w:val="TableBodyText"/>
                  </w:pPr>
                  <w:r w:rsidRPr="00EF7969">
                    <w:t>953</w:t>
                  </w:r>
                </w:p>
              </w:tc>
            </w:tr>
            <w:tr w:rsidR="009C6940" w:rsidRPr="00EF7969" w14:paraId="06DB0294" w14:textId="77777777" w:rsidTr="009C6940">
              <w:tc>
                <w:tcPr>
                  <w:tcW w:w="6377" w:type="dxa"/>
                  <w:shd w:val="clear" w:color="auto" w:fill="auto"/>
                </w:tcPr>
                <w:p w14:paraId="1C1FE0F3" w14:textId="77777777" w:rsidR="009C6940" w:rsidRPr="00EF7969" w:rsidRDefault="009C6940" w:rsidP="009C6940">
                  <w:pPr>
                    <w:pStyle w:val="TableBodyText"/>
                    <w:jc w:val="left"/>
                  </w:pPr>
                  <w:r w:rsidRPr="00EF7969">
                    <w:t>Rural and Remote Mental Health (RRMH)</w:t>
                  </w:r>
                </w:p>
              </w:tc>
              <w:tc>
                <w:tcPr>
                  <w:tcW w:w="2126" w:type="dxa"/>
                  <w:shd w:val="clear" w:color="auto" w:fill="auto"/>
                </w:tcPr>
                <w:p w14:paraId="0E0592BD" w14:textId="77777777" w:rsidR="009C6940" w:rsidRPr="00EF7969" w:rsidRDefault="009C6940" w:rsidP="009C6940">
                  <w:pPr>
                    <w:pStyle w:val="TableBodyText"/>
                  </w:pPr>
                  <w:r w:rsidRPr="00EF7969">
                    <w:t>97</w:t>
                  </w:r>
                </w:p>
              </w:tc>
            </w:tr>
            <w:tr w:rsidR="009C6940" w:rsidRPr="00EF7969" w14:paraId="38F42F95" w14:textId="77777777" w:rsidTr="009C6940">
              <w:tc>
                <w:tcPr>
                  <w:tcW w:w="6377" w:type="dxa"/>
                  <w:shd w:val="clear" w:color="auto" w:fill="auto"/>
                </w:tcPr>
                <w:p w14:paraId="1AFE97CC" w14:textId="77777777" w:rsidR="009C6940" w:rsidRPr="00EF7969" w:rsidRDefault="009C6940" w:rsidP="009C6940">
                  <w:pPr>
                    <w:pStyle w:val="TableBodyText"/>
                    <w:jc w:val="left"/>
                  </w:pPr>
                  <w:r w:rsidRPr="00EF7969">
                    <w:t>Rural Doctors Association of Australia (RDAA)</w:t>
                  </w:r>
                </w:p>
              </w:tc>
              <w:tc>
                <w:tcPr>
                  <w:tcW w:w="2126" w:type="dxa"/>
                  <w:shd w:val="clear" w:color="auto" w:fill="auto"/>
                </w:tcPr>
                <w:p w14:paraId="34123125" w14:textId="77777777" w:rsidR="009C6940" w:rsidRPr="00EF7969" w:rsidRDefault="009C6940" w:rsidP="009C6940">
                  <w:pPr>
                    <w:pStyle w:val="TableBodyText"/>
                  </w:pPr>
                  <w:r w:rsidRPr="00EF7969">
                    <w:t>475, 1218</w:t>
                  </w:r>
                </w:p>
              </w:tc>
            </w:tr>
            <w:tr w:rsidR="009C6940" w:rsidRPr="00EF7969" w14:paraId="14D72FB6" w14:textId="77777777" w:rsidTr="009C6940">
              <w:tc>
                <w:tcPr>
                  <w:tcW w:w="6377" w:type="dxa"/>
                  <w:shd w:val="clear" w:color="auto" w:fill="auto"/>
                </w:tcPr>
                <w:p w14:paraId="0AD24A7D" w14:textId="77777777" w:rsidR="009C6940" w:rsidRPr="00EF7969" w:rsidRDefault="009C6940" w:rsidP="009C6940">
                  <w:pPr>
                    <w:pStyle w:val="TableBodyText"/>
                    <w:jc w:val="left"/>
                  </w:pPr>
                  <w:r w:rsidRPr="00EF7969">
                    <w:t>Ryan Bysshe</w:t>
                  </w:r>
                </w:p>
              </w:tc>
              <w:tc>
                <w:tcPr>
                  <w:tcW w:w="2126" w:type="dxa"/>
                  <w:shd w:val="clear" w:color="auto" w:fill="auto"/>
                </w:tcPr>
                <w:p w14:paraId="40804B57" w14:textId="77777777" w:rsidR="009C6940" w:rsidRPr="00EF7969" w:rsidRDefault="009C6940" w:rsidP="009C6940">
                  <w:pPr>
                    <w:pStyle w:val="TableBodyText"/>
                  </w:pPr>
                  <w:r w:rsidRPr="00EF7969">
                    <w:t>1072</w:t>
                  </w:r>
                </w:p>
              </w:tc>
            </w:tr>
            <w:tr w:rsidR="009C6940" w:rsidRPr="00EF7969" w14:paraId="55036BB7" w14:textId="77777777" w:rsidTr="009C6940">
              <w:tc>
                <w:tcPr>
                  <w:tcW w:w="6377" w:type="dxa"/>
                  <w:shd w:val="clear" w:color="auto" w:fill="auto"/>
                </w:tcPr>
                <w:p w14:paraId="1E4E0A33" w14:textId="77777777" w:rsidR="009C6940" w:rsidRPr="00EF7969" w:rsidRDefault="009C6940" w:rsidP="009C6940">
                  <w:pPr>
                    <w:pStyle w:val="TableBodyText"/>
                    <w:jc w:val="left"/>
                  </w:pPr>
                  <w:r w:rsidRPr="00EF7969">
                    <w:t>S Cann</w:t>
                  </w:r>
                </w:p>
              </w:tc>
              <w:tc>
                <w:tcPr>
                  <w:tcW w:w="2126" w:type="dxa"/>
                  <w:shd w:val="clear" w:color="auto" w:fill="auto"/>
                </w:tcPr>
                <w:p w14:paraId="32E9F908" w14:textId="77777777" w:rsidR="009C6940" w:rsidRPr="00EF7969" w:rsidRDefault="009C6940" w:rsidP="009C6940">
                  <w:pPr>
                    <w:pStyle w:val="TableBodyText"/>
                  </w:pPr>
                  <w:r w:rsidRPr="00EF7969">
                    <w:t>1152</w:t>
                  </w:r>
                </w:p>
              </w:tc>
            </w:tr>
            <w:tr w:rsidR="009C6940" w:rsidRPr="00EF7969" w14:paraId="5764E0CB" w14:textId="77777777" w:rsidTr="009C6940">
              <w:tc>
                <w:tcPr>
                  <w:tcW w:w="6377" w:type="dxa"/>
                  <w:shd w:val="clear" w:color="auto" w:fill="auto"/>
                </w:tcPr>
                <w:p w14:paraId="7F483414" w14:textId="77777777" w:rsidR="009C6940" w:rsidRPr="00EF7969" w:rsidRDefault="009C6940" w:rsidP="009C6940">
                  <w:pPr>
                    <w:pStyle w:val="TableBodyText"/>
                    <w:jc w:val="left"/>
                  </w:pPr>
                  <w:r w:rsidRPr="00EF7969">
                    <w:t>Svetlana Zahakova</w:t>
                  </w:r>
                </w:p>
              </w:tc>
              <w:tc>
                <w:tcPr>
                  <w:tcW w:w="2126" w:type="dxa"/>
                  <w:shd w:val="clear" w:color="auto" w:fill="auto"/>
                </w:tcPr>
                <w:p w14:paraId="1002D2FD" w14:textId="77777777" w:rsidR="009C6940" w:rsidRPr="00EF7969" w:rsidRDefault="009C6940" w:rsidP="009C6940">
                  <w:pPr>
                    <w:pStyle w:val="TableBodyText"/>
                  </w:pPr>
                  <w:r w:rsidRPr="00EF7969">
                    <w:t>1140</w:t>
                  </w:r>
                </w:p>
              </w:tc>
            </w:tr>
            <w:tr w:rsidR="009C6940" w:rsidRPr="00EF7969" w14:paraId="184886B1" w14:textId="77777777" w:rsidTr="009C6940">
              <w:tc>
                <w:tcPr>
                  <w:tcW w:w="6377" w:type="dxa"/>
                  <w:shd w:val="clear" w:color="auto" w:fill="auto"/>
                </w:tcPr>
                <w:p w14:paraId="54109E04" w14:textId="77777777" w:rsidR="009C6940" w:rsidRPr="00EF7969" w:rsidRDefault="009C6940" w:rsidP="009C6940">
                  <w:pPr>
                    <w:pStyle w:val="TableBodyText"/>
                    <w:jc w:val="left"/>
                  </w:pPr>
                  <w:r>
                    <w:t>SA</w:t>
                  </w:r>
                  <w:r w:rsidRPr="00EF7969">
                    <w:t xml:space="preserve"> Mental Health Commission (SAMHC)</w:t>
                  </w:r>
                </w:p>
              </w:tc>
              <w:tc>
                <w:tcPr>
                  <w:tcW w:w="2126" w:type="dxa"/>
                  <w:shd w:val="clear" w:color="auto" w:fill="auto"/>
                </w:tcPr>
                <w:p w14:paraId="1C8AEA3A" w14:textId="77777777" w:rsidR="009C6940" w:rsidRPr="00EF7969" w:rsidRDefault="009C6940" w:rsidP="009C6940">
                  <w:pPr>
                    <w:pStyle w:val="TableBodyText"/>
                  </w:pPr>
                  <w:r w:rsidRPr="00EF7969">
                    <w:t>477, 691</w:t>
                  </w:r>
                </w:p>
              </w:tc>
            </w:tr>
            <w:tr w:rsidR="009C6940" w:rsidRPr="00EF7969" w14:paraId="7BFB0351" w14:textId="77777777" w:rsidTr="009C6940">
              <w:tc>
                <w:tcPr>
                  <w:tcW w:w="6377" w:type="dxa"/>
                  <w:shd w:val="clear" w:color="auto" w:fill="auto"/>
                </w:tcPr>
                <w:p w14:paraId="3164030D" w14:textId="77777777" w:rsidR="009C6940" w:rsidRPr="00EF7969" w:rsidRDefault="009C6940" w:rsidP="009C6940">
                  <w:pPr>
                    <w:pStyle w:val="TableBodyText"/>
                    <w:jc w:val="left"/>
                  </w:pPr>
                  <w:r w:rsidRPr="00EF7969">
                    <w:t>Safe Motherhood for All Inc</w:t>
                  </w:r>
                </w:p>
              </w:tc>
              <w:tc>
                <w:tcPr>
                  <w:tcW w:w="2126" w:type="dxa"/>
                  <w:shd w:val="clear" w:color="auto" w:fill="auto"/>
                </w:tcPr>
                <w:p w14:paraId="64D5DFE3" w14:textId="77777777" w:rsidR="009C6940" w:rsidRPr="00EF7969" w:rsidRDefault="009C6940" w:rsidP="009C6940">
                  <w:pPr>
                    <w:pStyle w:val="TableBodyText"/>
                  </w:pPr>
                  <w:r w:rsidRPr="00EF7969">
                    <w:t>165</w:t>
                  </w:r>
                </w:p>
              </w:tc>
            </w:tr>
            <w:tr w:rsidR="009C6940" w:rsidRPr="00EF7969" w14:paraId="76B8CE2D" w14:textId="77777777" w:rsidTr="009C6940">
              <w:tc>
                <w:tcPr>
                  <w:tcW w:w="6377" w:type="dxa"/>
                  <w:shd w:val="clear" w:color="auto" w:fill="auto"/>
                </w:tcPr>
                <w:p w14:paraId="67BB444B" w14:textId="77777777" w:rsidR="009C6940" w:rsidRPr="00EF7969" w:rsidRDefault="009C6940" w:rsidP="009C6940">
                  <w:pPr>
                    <w:pStyle w:val="TableBodyText"/>
                    <w:jc w:val="left"/>
                  </w:pPr>
                  <w:r w:rsidRPr="00EF7969">
                    <w:t>Safe Work Australia (SWA)</w:t>
                  </w:r>
                </w:p>
              </w:tc>
              <w:tc>
                <w:tcPr>
                  <w:tcW w:w="2126" w:type="dxa"/>
                  <w:shd w:val="clear" w:color="auto" w:fill="auto"/>
                </w:tcPr>
                <w:p w14:paraId="1637D37B" w14:textId="77777777" w:rsidR="009C6940" w:rsidRPr="00EF7969" w:rsidRDefault="009C6940" w:rsidP="009C6940">
                  <w:pPr>
                    <w:pStyle w:val="TableBodyText"/>
                  </w:pPr>
                  <w:r w:rsidRPr="00EF7969">
                    <w:t>256</w:t>
                  </w:r>
                </w:p>
              </w:tc>
            </w:tr>
            <w:tr w:rsidR="009C6940" w:rsidRPr="00EF7969" w14:paraId="1AB80EDC" w14:textId="77777777" w:rsidTr="009C6940">
              <w:tc>
                <w:tcPr>
                  <w:tcW w:w="6377" w:type="dxa"/>
                  <w:shd w:val="clear" w:color="auto" w:fill="auto"/>
                </w:tcPr>
                <w:p w14:paraId="2ACA92E7" w14:textId="77777777" w:rsidR="009C6940" w:rsidRPr="00EF7969" w:rsidRDefault="009C6940" w:rsidP="009C6940">
                  <w:pPr>
                    <w:pStyle w:val="TableBodyText"/>
                    <w:jc w:val="left"/>
                  </w:pPr>
                  <w:r w:rsidRPr="00EF7969">
                    <w:t>Safer Care Victoria</w:t>
                  </w:r>
                </w:p>
              </w:tc>
              <w:tc>
                <w:tcPr>
                  <w:tcW w:w="2126" w:type="dxa"/>
                  <w:shd w:val="clear" w:color="auto" w:fill="auto"/>
                </w:tcPr>
                <w:p w14:paraId="387279D1" w14:textId="77777777" w:rsidR="009C6940" w:rsidRPr="00EF7969" w:rsidRDefault="009C6940" w:rsidP="009C6940">
                  <w:pPr>
                    <w:pStyle w:val="TableBodyText"/>
                  </w:pPr>
                  <w:r w:rsidRPr="00EF7969">
                    <w:t>707</w:t>
                  </w:r>
                </w:p>
              </w:tc>
            </w:tr>
            <w:tr w:rsidR="009C6940" w:rsidRPr="00EF7969" w14:paraId="52AC1EF7" w14:textId="77777777" w:rsidTr="009C6940">
              <w:tc>
                <w:tcPr>
                  <w:tcW w:w="6377" w:type="dxa"/>
                  <w:shd w:val="clear" w:color="auto" w:fill="auto"/>
                </w:tcPr>
                <w:p w14:paraId="221ECFC9" w14:textId="77777777" w:rsidR="009C6940" w:rsidRPr="00EF7969" w:rsidRDefault="009C6940" w:rsidP="009C6940">
                  <w:pPr>
                    <w:pStyle w:val="TableBodyText"/>
                    <w:jc w:val="left"/>
                  </w:pPr>
                  <w:r w:rsidRPr="00EF7969">
                    <w:t>Sally Garden</w:t>
                  </w:r>
                </w:p>
              </w:tc>
              <w:tc>
                <w:tcPr>
                  <w:tcW w:w="2126" w:type="dxa"/>
                  <w:shd w:val="clear" w:color="auto" w:fill="auto"/>
                </w:tcPr>
                <w:p w14:paraId="13161EE6" w14:textId="77777777" w:rsidR="009C6940" w:rsidRPr="00EF7969" w:rsidRDefault="009C6940" w:rsidP="009C6940">
                  <w:pPr>
                    <w:pStyle w:val="TableBodyText"/>
                  </w:pPr>
                  <w:r w:rsidRPr="00EF7969">
                    <w:t>811</w:t>
                  </w:r>
                </w:p>
              </w:tc>
            </w:tr>
            <w:tr w:rsidR="009C6940" w:rsidRPr="00EF7969" w14:paraId="2FE21679" w14:textId="77777777" w:rsidTr="009C6940">
              <w:tc>
                <w:tcPr>
                  <w:tcW w:w="6377" w:type="dxa"/>
                  <w:shd w:val="clear" w:color="auto" w:fill="auto"/>
                </w:tcPr>
                <w:p w14:paraId="302CD986" w14:textId="77777777" w:rsidR="009C6940" w:rsidRPr="00EF7969" w:rsidRDefault="009C6940" w:rsidP="009C6940">
                  <w:pPr>
                    <w:pStyle w:val="TableBodyText"/>
                    <w:jc w:val="left"/>
                  </w:pPr>
                  <w:r w:rsidRPr="00EF7969">
                    <w:t>Samaritans Foundation</w:t>
                  </w:r>
                </w:p>
              </w:tc>
              <w:tc>
                <w:tcPr>
                  <w:tcW w:w="2126" w:type="dxa"/>
                  <w:shd w:val="clear" w:color="auto" w:fill="auto"/>
                </w:tcPr>
                <w:p w14:paraId="43A1C3D2" w14:textId="77777777" w:rsidR="009C6940" w:rsidRPr="00EF7969" w:rsidRDefault="009C6940" w:rsidP="009C6940">
                  <w:pPr>
                    <w:pStyle w:val="TableBodyText"/>
                  </w:pPr>
                  <w:r w:rsidRPr="00EF7969">
                    <w:t>121, 785</w:t>
                  </w:r>
                </w:p>
              </w:tc>
            </w:tr>
            <w:tr w:rsidR="009C6940" w:rsidRPr="00EF7969" w14:paraId="32B2CEC2" w14:textId="77777777" w:rsidTr="009C6940">
              <w:tc>
                <w:tcPr>
                  <w:tcW w:w="6377" w:type="dxa"/>
                  <w:shd w:val="clear" w:color="auto" w:fill="auto"/>
                </w:tcPr>
                <w:p w14:paraId="0F84E8DE" w14:textId="77777777" w:rsidR="009C6940" w:rsidRPr="00EF7969" w:rsidRDefault="009C6940" w:rsidP="009C6940">
                  <w:pPr>
                    <w:pStyle w:val="TableBodyText"/>
                    <w:jc w:val="left"/>
                  </w:pPr>
                  <w:r w:rsidRPr="00EF7969">
                    <w:t>SANE Australia</w:t>
                  </w:r>
                </w:p>
              </w:tc>
              <w:tc>
                <w:tcPr>
                  <w:tcW w:w="2126" w:type="dxa"/>
                  <w:shd w:val="clear" w:color="auto" w:fill="auto"/>
                </w:tcPr>
                <w:p w14:paraId="78E63601" w14:textId="77777777" w:rsidR="009C6940" w:rsidRPr="00EF7969" w:rsidRDefault="009C6940" w:rsidP="009C6940">
                  <w:pPr>
                    <w:pStyle w:val="TableBodyText"/>
                  </w:pPr>
                  <w:r w:rsidRPr="00EF7969">
                    <w:t>130</w:t>
                  </w:r>
                </w:p>
              </w:tc>
            </w:tr>
            <w:tr w:rsidR="009C6940" w:rsidRPr="00EF7969" w14:paraId="7B905FE5" w14:textId="77777777" w:rsidTr="009C6940">
              <w:tc>
                <w:tcPr>
                  <w:tcW w:w="6377" w:type="dxa"/>
                  <w:shd w:val="clear" w:color="auto" w:fill="auto"/>
                </w:tcPr>
                <w:p w14:paraId="10B2AED6" w14:textId="77777777" w:rsidR="009C6940" w:rsidRPr="00EF7969" w:rsidRDefault="009C6940" w:rsidP="009C6940">
                  <w:pPr>
                    <w:pStyle w:val="TableBodyText"/>
                    <w:jc w:val="left"/>
                  </w:pPr>
                  <w:r w:rsidRPr="00EF7969">
                    <w:t>Sarah Billington</w:t>
                  </w:r>
                </w:p>
              </w:tc>
              <w:tc>
                <w:tcPr>
                  <w:tcW w:w="2126" w:type="dxa"/>
                  <w:shd w:val="clear" w:color="auto" w:fill="auto"/>
                </w:tcPr>
                <w:p w14:paraId="31EA10B9" w14:textId="77777777" w:rsidR="009C6940" w:rsidRPr="00EF7969" w:rsidRDefault="009C6940" w:rsidP="009C6940">
                  <w:pPr>
                    <w:pStyle w:val="TableBodyText"/>
                  </w:pPr>
                  <w:r w:rsidRPr="00EF7969">
                    <w:t>1021</w:t>
                  </w:r>
                </w:p>
              </w:tc>
            </w:tr>
            <w:tr w:rsidR="009C6940" w:rsidRPr="00EF7969" w14:paraId="35BF6265" w14:textId="77777777" w:rsidTr="009C6940">
              <w:tc>
                <w:tcPr>
                  <w:tcW w:w="6377" w:type="dxa"/>
                  <w:shd w:val="clear" w:color="auto" w:fill="auto"/>
                </w:tcPr>
                <w:p w14:paraId="6CBBDA76" w14:textId="77777777" w:rsidR="009C6940" w:rsidRPr="00EF7969" w:rsidRDefault="009C6940" w:rsidP="009C6940">
                  <w:pPr>
                    <w:pStyle w:val="TableBodyText"/>
                    <w:jc w:val="left"/>
                  </w:pPr>
                  <w:r w:rsidRPr="00EF7969">
                    <w:t>Sarah Cullen</w:t>
                  </w:r>
                </w:p>
              </w:tc>
              <w:tc>
                <w:tcPr>
                  <w:tcW w:w="2126" w:type="dxa"/>
                  <w:shd w:val="clear" w:color="auto" w:fill="auto"/>
                </w:tcPr>
                <w:p w14:paraId="7DB8CDE2" w14:textId="77777777" w:rsidR="009C6940" w:rsidRPr="00EF7969" w:rsidRDefault="009C6940" w:rsidP="009C6940">
                  <w:pPr>
                    <w:pStyle w:val="TableBodyText"/>
                  </w:pPr>
                  <w:r w:rsidRPr="00EF7969">
                    <w:t>1043</w:t>
                  </w:r>
                </w:p>
              </w:tc>
            </w:tr>
            <w:tr w:rsidR="009C6940" w:rsidRPr="00EF7969" w14:paraId="52CDA806" w14:textId="77777777" w:rsidTr="009C6940">
              <w:tc>
                <w:tcPr>
                  <w:tcW w:w="6377" w:type="dxa"/>
                  <w:shd w:val="clear" w:color="auto" w:fill="auto"/>
                </w:tcPr>
                <w:p w14:paraId="0A2E89F2" w14:textId="77777777" w:rsidR="009C6940" w:rsidRPr="00EF7969" w:rsidRDefault="009C6940" w:rsidP="009C6940">
                  <w:pPr>
                    <w:pStyle w:val="TableBodyText"/>
                    <w:jc w:val="left"/>
                  </w:pPr>
                  <w:r w:rsidRPr="00EF7969">
                    <w:t>Sarah McCartin</w:t>
                  </w:r>
                </w:p>
              </w:tc>
              <w:tc>
                <w:tcPr>
                  <w:tcW w:w="2126" w:type="dxa"/>
                  <w:shd w:val="clear" w:color="auto" w:fill="auto"/>
                </w:tcPr>
                <w:p w14:paraId="366EC6CE" w14:textId="77777777" w:rsidR="009C6940" w:rsidRPr="00EF7969" w:rsidRDefault="009C6940" w:rsidP="009C6940">
                  <w:pPr>
                    <w:pStyle w:val="TableBodyText"/>
                  </w:pPr>
                  <w:r w:rsidRPr="00EF7969">
                    <w:t>569</w:t>
                  </w:r>
                </w:p>
              </w:tc>
            </w:tr>
            <w:tr w:rsidR="009C6940" w:rsidRPr="00EF7969" w14:paraId="565D48A1" w14:textId="77777777" w:rsidTr="009C6940">
              <w:tc>
                <w:tcPr>
                  <w:tcW w:w="6377" w:type="dxa"/>
                  <w:shd w:val="clear" w:color="auto" w:fill="auto"/>
                </w:tcPr>
                <w:p w14:paraId="36B3CA31" w14:textId="77777777" w:rsidR="009C6940" w:rsidRPr="00EF7969" w:rsidRDefault="009C6940" w:rsidP="009C6940">
                  <w:pPr>
                    <w:pStyle w:val="TableBodyText"/>
                    <w:jc w:val="left"/>
                  </w:pPr>
                  <w:r w:rsidRPr="00EF7969">
                    <w:t>Sarah Sutton</w:t>
                  </w:r>
                </w:p>
              </w:tc>
              <w:tc>
                <w:tcPr>
                  <w:tcW w:w="2126" w:type="dxa"/>
                  <w:shd w:val="clear" w:color="auto" w:fill="auto"/>
                </w:tcPr>
                <w:p w14:paraId="2A6095BD" w14:textId="77777777" w:rsidR="009C6940" w:rsidRPr="00EF7969" w:rsidRDefault="009C6940" w:rsidP="009C6940">
                  <w:pPr>
                    <w:pStyle w:val="TableBodyText"/>
                  </w:pPr>
                  <w:r w:rsidRPr="00EF7969">
                    <w:t>508, 737</w:t>
                  </w:r>
                </w:p>
              </w:tc>
            </w:tr>
            <w:tr w:rsidR="009C6940" w:rsidRPr="00EF7969" w14:paraId="74AB61EB" w14:textId="77777777" w:rsidTr="009C6940">
              <w:tc>
                <w:tcPr>
                  <w:tcW w:w="6377" w:type="dxa"/>
                  <w:shd w:val="clear" w:color="auto" w:fill="auto"/>
                </w:tcPr>
                <w:p w14:paraId="53B82194" w14:textId="77777777" w:rsidR="009C6940" w:rsidRPr="00EF7969" w:rsidRDefault="009C6940" w:rsidP="009C6940">
                  <w:pPr>
                    <w:pStyle w:val="TableBodyText"/>
                    <w:jc w:val="left"/>
                  </w:pPr>
                  <w:r w:rsidRPr="00EF7969">
                    <w:t>Sascha Wuerfel</w:t>
                  </w:r>
                </w:p>
              </w:tc>
              <w:tc>
                <w:tcPr>
                  <w:tcW w:w="2126" w:type="dxa"/>
                  <w:shd w:val="clear" w:color="auto" w:fill="auto"/>
                </w:tcPr>
                <w:p w14:paraId="59ED037B" w14:textId="77777777" w:rsidR="009C6940" w:rsidRPr="00EF7969" w:rsidRDefault="009C6940" w:rsidP="009C6940">
                  <w:pPr>
                    <w:pStyle w:val="TableBodyText"/>
                  </w:pPr>
                  <w:r w:rsidRPr="00EF7969">
                    <w:t>1065</w:t>
                  </w:r>
                </w:p>
              </w:tc>
            </w:tr>
            <w:tr w:rsidR="009C6940" w:rsidRPr="00EF7969" w14:paraId="6D288F85" w14:textId="77777777" w:rsidTr="009C6940">
              <w:tc>
                <w:tcPr>
                  <w:tcW w:w="6377" w:type="dxa"/>
                  <w:shd w:val="clear" w:color="auto" w:fill="auto"/>
                </w:tcPr>
                <w:p w14:paraId="6DD86536" w14:textId="77777777" w:rsidR="009C6940" w:rsidRPr="00EF7969" w:rsidRDefault="009C6940" w:rsidP="009C6940">
                  <w:pPr>
                    <w:pStyle w:val="TableBodyText"/>
                    <w:jc w:val="left"/>
                  </w:pPr>
                  <w:r w:rsidRPr="00EF7969">
                    <w:br w:type="page"/>
                    <w:t>Sax Institute</w:t>
                  </w:r>
                </w:p>
              </w:tc>
              <w:tc>
                <w:tcPr>
                  <w:tcW w:w="2126" w:type="dxa"/>
                  <w:shd w:val="clear" w:color="auto" w:fill="auto"/>
                </w:tcPr>
                <w:p w14:paraId="21AFB7BD" w14:textId="77777777" w:rsidR="009C6940" w:rsidRPr="00EF7969" w:rsidRDefault="009C6940" w:rsidP="009C6940">
                  <w:pPr>
                    <w:pStyle w:val="TableBodyText"/>
                  </w:pPr>
                  <w:r w:rsidRPr="00EF7969">
                    <w:t>46</w:t>
                  </w:r>
                </w:p>
              </w:tc>
            </w:tr>
            <w:tr w:rsidR="009C6940" w:rsidRPr="00EF7969" w14:paraId="29F5FFF5" w14:textId="77777777" w:rsidTr="009C6940">
              <w:tc>
                <w:tcPr>
                  <w:tcW w:w="6377" w:type="dxa"/>
                  <w:shd w:val="clear" w:color="auto" w:fill="auto"/>
                </w:tcPr>
                <w:p w14:paraId="4816D48E" w14:textId="77777777" w:rsidR="009C6940" w:rsidRPr="00EF7969" w:rsidRDefault="009C6940" w:rsidP="009C6940">
                  <w:pPr>
                    <w:pStyle w:val="TableBodyText"/>
                    <w:jc w:val="left"/>
                  </w:pPr>
                  <w:r w:rsidRPr="00EF7969">
                    <w:t>School Nurses Australia</w:t>
                  </w:r>
                </w:p>
              </w:tc>
              <w:tc>
                <w:tcPr>
                  <w:tcW w:w="2126" w:type="dxa"/>
                  <w:shd w:val="clear" w:color="auto" w:fill="auto"/>
                </w:tcPr>
                <w:p w14:paraId="2EE53383" w14:textId="77777777" w:rsidR="009C6940" w:rsidRPr="00EF7969" w:rsidRDefault="009C6940" w:rsidP="009C6940">
                  <w:pPr>
                    <w:pStyle w:val="TableBodyText"/>
                  </w:pPr>
                  <w:r w:rsidRPr="00EF7969">
                    <w:t>866</w:t>
                  </w:r>
                </w:p>
              </w:tc>
            </w:tr>
            <w:tr w:rsidR="009C6940" w:rsidRPr="00EF7969" w14:paraId="15B4E10F" w14:textId="77777777" w:rsidTr="009C6940">
              <w:tc>
                <w:tcPr>
                  <w:tcW w:w="6377" w:type="dxa"/>
                  <w:shd w:val="clear" w:color="auto" w:fill="auto"/>
                </w:tcPr>
                <w:p w14:paraId="5D692BE6" w14:textId="77777777" w:rsidR="009C6940" w:rsidRPr="00EF7969" w:rsidRDefault="009C6940" w:rsidP="009C6940">
                  <w:pPr>
                    <w:pStyle w:val="TableBodyText"/>
                    <w:jc w:val="left"/>
                  </w:pPr>
                  <w:r w:rsidRPr="00EF7969">
                    <w:t>School of Psychology – University of Wollongong</w:t>
                  </w:r>
                </w:p>
              </w:tc>
              <w:tc>
                <w:tcPr>
                  <w:tcW w:w="2126" w:type="dxa"/>
                  <w:shd w:val="clear" w:color="auto" w:fill="auto"/>
                </w:tcPr>
                <w:p w14:paraId="26C604DA" w14:textId="77777777" w:rsidR="009C6940" w:rsidRPr="00EF7969" w:rsidRDefault="009C6940" w:rsidP="009C6940">
                  <w:pPr>
                    <w:pStyle w:val="TableBodyText"/>
                  </w:pPr>
                  <w:r w:rsidRPr="00EF7969">
                    <w:t>832</w:t>
                  </w:r>
                </w:p>
              </w:tc>
            </w:tr>
            <w:tr w:rsidR="009C6940" w:rsidRPr="00EF7969" w14:paraId="344BDFE4" w14:textId="77777777" w:rsidTr="009C6940">
              <w:tc>
                <w:tcPr>
                  <w:tcW w:w="6377" w:type="dxa"/>
                  <w:shd w:val="clear" w:color="auto" w:fill="auto"/>
                </w:tcPr>
                <w:p w14:paraId="572AC953" w14:textId="77777777" w:rsidR="009C6940" w:rsidRPr="00EF7969" w:rsidRDefault="009C6940" w:rsidP="009C6940">
                  <w:pPr>
                    <w:pStyle w:val="TableBodyText"/>
                    <w:jc w:val="left"/>
                  </w:pPr>
                  <w:r w:rsidRPr="00EF7969">
                    <w:t>Sean Workman</w:t>
                  </w:r>
                </w:p>
              </w:tc>
              <w:tc>
                <w:tcPr>
                  <w:tcW w:w="2126" w:type="dxa"/>
                  <w:shd w:val="clear" w:color="auto" w:fill="auto"/>
                </w:tcPr>
                <w:p w14:paraId="1F7A5CEE" w14:textId="77777777" w:rsidR="009C6940" w:rsidRPr="00EF7969" w:rsidRDefault="009C6940" w:rsidP="009C6940">
                  <w:pPr>
                    <w:pStyle w:val="TableBodyText"/>
                  </w:pPr>
                  <w:r w:rsidRPr="00EF7969">
                    <w:t>1095</w:t>
                  </w:r>
                </w:p>
              </w:tc>
            </w:tr>
            <w:tr w:rsidR="009C6940" w:rsidRPr="00EF7969" w14:paraId="089378B4" w14:textId="77777777" w:rsidTr="009C6940">
              <w:tc>
                <w:tcPr>
                  <w:tcW w:w="6377" w:type="dxa"/>
                  <w:shd w:val="clear" w:color="auto" w:fill="auto"/>
                </w:tcPr>
                <w:p w14:paraId="5DD907F7" w14:textId="77777777" w:rsidR="009C6940" w:rsidRPr="00EF7969" w:rsidRDefault="009C6940" w:rsidP="009C6940">
                  <w:pPr>
                    <w:pStyle w:val="TableBodyText"/>
                    <w:jc w:val="left"/>
                  </w:pPr>
                  <w:r w:rsidRPr="00EF7969">
                    <w:t>Settlement Services International (SSI)</w:t>
                  </w:r>
                </w:p>
              </w:tc>
              <w:tc>
                <w:tcPr>
                  <w:tcW w:w="2126" w:type="dxa"/>
                  <w:shd w:val="clear" w:color="auto" w:fill="auto"/>
                </w:tcPr>
                <w:p w14:paraId="6A137C46" w14:textId="77777777" w:rsidR="009C6940" w:rsidRPr="00EF7969" w:rsidRDefault="009C6940" w:rsidP="009C6940">
                  <w:pPr>
                    <w:pStyle w:val="TableBodyText"/>
                  </w:pPr>
                  <w:r w:rsidRPr="00EF7969">
                    <w:t>795</w:t>
                  </w:r>
                </w:p>
              </w:tc>
            </w:tr>
            <w:tr w:rsidR="009C6940" w:rsidRPr="00EF7969" w14:paraId="63BCADF0" w14:textId="77777777" w:rsidTr="009C6940">
              <w:tc>
                <w:tcPr>
                  <w:tcW w:w="6377" w:type="dxa"/>
                  <w:shd w:val="clear" w:color="auto" w:fill="auto"/>
                </w:tcPr>
                <w:p w14:paraId="1C8A3AC1" w14:textId="77777777" w:rsidR="009C6940" w:rsidRPr="00EF7969" w:rsidRDefault="009C6940" w:rsidP="009C6940">
                  <w:pPr>
                    <w:pStyle w:val="TableBodyText"/>
                    <w:jc w:val="left"/>
                  </w:pPr>
                  <w:r w:rsidRPr="00EF7969">
                    <w:t>Shane Beats</w:t>
                  </w:r>
                </w:p>
              </w:tc>
              <w:tc>
                <w:tcPr>
                  <w:tcW w:w="2126" w:type="dxa"/>
                  <w:shd w:val="clear" w:color="auto" w:fill="auto"/>
                </w:tcPr>
                <w:p w14:paraId="7DFCBBC7" w14:textId="77777777" w:rsidR="009C6940" w:rsidRPr="00EF7969" w:rsidRDefault="009C6940" w:rsidP="009C6940">
                  <w:pPr>
                    <w:pStyle w:val="TableBodyText"/>
                  </w:pPr>
                  <w:r w:rsidRPr="00EF7969">
                    <w:t>1000</w:t>
                  </w:r>
                </w:p>
              </w:tc>
            </w:tr>
            <w:tr w:rsidR="009C6940" w:rsidRPr="00EF7969" w14:paraId="2F7449F1" w14:textId="77777777" w:rsidTr="009C6940">
              <w:tc>
                <w:tcPr>
                  <w:tcW w:w="6377" w:type="dxa"/>
                  <w:shd w:val="clear" w:color="auto" w:fill="auto"/>
                </w:tcPr>
                <w:p w14:paraId="5869B8B6" w14:textId="77777777" w:rsidR="009C6940" w:rsidRPr="00EF7969" w:rsidRDefault="009C6940" w:rsidP="009C6940">
                  <w:pPr>
                    <w:pStyle w:val="TableBodyText"/>
                    <w:jc w:val="left"/>
                  </w:pPr>
                  <w:r w:rsidRPr="00EF7969">
                    <w:t>Shannon Szabo</w:t>
                  </w:r>
                </w:p>
              </w:tc>
              <w:tc>
                <w:tcPr>
                  <w:tcW w:w="2126" w:type="dxa"/>
                  <w:shd w:val="clear" w:color="auto" w:fill="auto"/>
                </w:tcPr>
                <w:p w14:paraId="6AE006DD" w14:textId="77777777" w:rsidR="009C6940" w:rsidRPr="00EF7969" w:rsidRDefault="009C6940" w:rsidP="009C6940">
                  <w:pPr>
                    <w:pStyle w:val="TableBodyText"/>
                  </w:pPr>
                  <w:r w:rsidRPr="00EF7969">
                    <w:t>1141</w:t>
                  </w:r>
                </w:p>
              </w:tc>
            </w:tr>
            <w:tr w:rsidR="009C6940" w:rsidRPr="00EF7969" w14:paraId="045F250B" w14:textId="77777777" w:rsidTr="009C6940">
              <w:tc>
                <w:tcPr>
                  <w:tcW w:w="6377" w:type="dxa"/>
                  <w:shd w:val="clear" w:color="auto" w:fill="auto"/>
                </w:tcPr>
                <w:p w14:paraId="1B456D8E" w14:textId="77777777" w:rsidR="009C6940" w:rsidRPr="00EF7969" w:rsidRDefault="009C6940" w:rsidP="009C6940">
                  <w:pPr>
                    <w:pStyle w:val="TableBodyText"/>
                    <w:jc w:val="left"/>
                  </w:pPr>
                  <w:r w:rsidRPr="00EF7969">
                    <w:t>Shared Value Project</w:t>
                  </w:r>
                </w:p>
              </w:tc>
              <w:tc>
                <w:tcPr>
                  <w:tcW w:w="2126" w:type="dxa"/>
                  <w:shd w:val="clear" w:color="auto" w:fill="auto"/>
                </w:tcPr>
                <w:p w14:paraId="5188B39B" w14:textId="77777777" w:rsidR="009C6940" w:rsidRPr="00EF7969" w:rsidRDefault="009C6940" w:rsidP="009C6940">
                  <w:pPr>
                    <w:pStyle w:val="TableBodyText"/>
                  </w:pPr>
                  <w:r w:rsidRPr="00EF7969">
                    <w:t>812</w:t>
                  </w:r>
                </w:p>
              </w:tc>
            </w:tr>
            <w:tr w:rsidR="009C6940" w:rsidRPr="00EF7969" w14:paraId="14E9CE1C" w14:textId="77777777" w:rsidTr="009C6940">
              <w:tc>
                <w:tcPr>
                  <w:tcW w:w="6377" w:type="dxa"/>
                  <w:shd w:val="clear" w:color="auto" w:fill="auto"/>
                </w:tcPr>
                <w:p w14:paraId="511CC168" w14:textId="77777777" w:rsidR="009C6940" w:rsidRPr="00EF7969" w:rsidRDefault="009C6940" w:rsidP="009C6940">
                  <w:pPr>
                    <w:pStyle w:val="TableBodyText"/>
                    <w:jc w:val="left"/>
                  </w:pPr>
                  <w:r w:rsidRPr="00EF7969">
                    <w:t>Sharon Blake</w:t>
                  </w:r>
                </w:p>
              </w:tc>
              <w:tc>
                <w:tcPr>
                  <w:tcW w:w="2126" w:type="dxa"/>
                  <w:shd w:val="clear" w:color="auto" w:fill="auto"/>
                </w:tcPr>
                <w:p w14:paraId="57348547" w14:textId="77777777" w:rsidR="009C6940" w:rsidRPr="00EF7969" w:rsidRDefault="009C6940" w:rsidP="009C6940">
                  <w:pPr>
                    <w:pStyle w:val="TableBodyText"/>
                  </w:pPr>
                  <w:r w:rsidRPr="00EF7969">
                    <w:t>584</w:t>
                  </w:r>
                </w:p>
              </w:tc>
            </w:tr>
            <w:tr w:rsidR="009C6940" w:rsidRPr="00EF7969" w14:paraId="389CA358" w14:textId="77777777" w:rsidTr="009C6940">
              <w:tc>
                <w:tcPr>
                  <w:tcW w:w="6377" w:type="dxa"/>
                  <w:shd w:val="clear" w:color="auto" w:fill="auto"/>
                </w:tcPr>
                <w:p w14:paraId="6894CF6D" w14:textId="77777777" w:rsidR="009C6940" w:rsidRPr="00EF7969" w:rsidRDefault="009C6940" w:rsidP="009C6940">
                  <w:pPr>
                    <w:pStyle w:val="TableBodyText"/>
                    <w:jc w:val="left"/>
                  </w:pPr>
                  <w:r w:rsidRPr="00EF7969">
                    <w:t>Sharon Hulin</w:t>
                  </w:r>
                </w:p>
              </w:tc>
              <w:tc>
                <w:tcPr>
                  <w:tcW w:w="2126" w:type="dxa"/>
                  <w:shd w:val="clear" w:color="auto" w:fill="auto"/>
                </w:tcPr>
                <w:p w14:paraId="2FE67ED6" w14:textId="77777777" w:rsidR="009C6940" w:rsidRPr="00EF7969" w:rsidRDefault="009C6940" w:rsidP="009C6940">
                  <w:pPr>
                    <w:pStyle w:val="TableBodyText"/>
                  </w:pPr>
                  <w:r w:rsidRPr="00EF7969">
                    <w:t>462</w:t>
                  </w:r>
                </w:p>
              </w:tc>
            </w:tr>
            <w:tr w:rsidR="009C6940" w:rsidRPr="00EF7969" w14:paraId="4324950F" w14:textId="77777777" w:rsidTr="009C6940">
              <w:tc>
                <w:tcPr>
                  <w:tcW w:w="6377" w:type="dxa"/>
                  <w:shd w:val="clear" w:color="auto" w:fill="auto"/>
                </w:tcPr>
                <w:p w14:paraId="6C334B5F" w14:textId="77777777" w:rsidR="009C6940" w:rsidRPr="00EF7969" w:rsidRDefault="009C6940" w:rsidP="009C6940">
                  <w:pPr>
                    <w:pStyle w:val="TableBodyText"/>
                    <w:jc w:val="left"/>
                  </w:pPr>
                  <w:r w:rsidRPr="00EF7969">
                    <w:t>Shelter Tasmania</w:t>
                  </w:r>
                </w:p>
              </w:tc>
              <w:tc>
                <w:tcPr>
                  <w:tcW w:w="2126" w:type="dxa"/>
                  <w:shd w:val="clear" w:color="auto" w:fill="auto"/>
                </w:tcPr>
                <w:p w14:paraId="06DF64A4" w14:textId="77777777" w:rsidR="009C6940" w:rsidRPr="00EF7969" w:rsidRDefault="009C6940" w:rsidP="009C6940">
                  <w:pPr>
                    <w:pStyle w:val="TableBodyText"/>
                  </w:pPr>
                  <w:r w:rsidRPr="00EF7969">
                    <w:t>196</w:t>
                  </w:r>
                </w:p>
              </w:tc>
            </w:tr>
            <w:tr w:rsidR="009C6940" w:rsidRPr="00EF7969" w14:paraId="2BB822BB" w14:textId="77777777" w:rsidTr="009C6940">
              <w:tc>
                <w:tcPr>
                  <w:tcW w:w="6377" w:type="dxa"/>
                  <w:shd w:val="clear" w:color="auto" w:fill="auto"/>
                </w:tcPr>
                <w:p w14:paraId="6D77441A" w14:textId="77777777" w:rsidR="009C6940" w:rsidRPr="00EF7969" w:rsidRDefault="009C6940" w:rsidP="009C6940">
                  <w:pPr>
                    <w:pStyle w:val="TableBodyText"/>
                    <w:jc w:val="left"/>
                  </w:pPr>
                  <w:r w:rsidRPr="00EF7969">
                    <w:t>Shelter WA</w:t>
                  </w:r>
                </w:p>
              </w:tc>
              <w:tc>
                <w:tcPr>
                  <w:tcW w:w="2126" w:type="dxa"/>
                  <w:shd w:val="clear" w:color="auto" w:fill="auto"/>
                </w:tcPr>
                <w:p w14:paraId="137C899E" w14:textId="77777777" w:rsidR="009C6940" w:rsidRPr="00EF7969" w:rsidRDefault="009C6940" w:rsidP="009C6940">
                  <w:pPr>
                    <w:pStyle w:val="TableBodyText"/>
                  </w:pPr>
                  <w:r w:rsidRPr="00EF7969">
                    <w:t>200</w:t>
                  </w:r>
                </w:p>
              </w:tc>
            </w:tr>
            <w:tr w:rsidR="009C6940" w:rsidRPr="00EF7969" w14:paraId="3B77D076" w14:textId="77777777" w:rsidTr="009C6940">
              <w:tc>
                <w:tcPr>
                  <w:tcW w:w="6377" w:type="dxa"/>
                  <w:shd w:val="clear" w:color="auto" w:fill="auto"/>
                </w:tcPr>
                <w:p w14:paraId="5219197A" w14:textId="77777777" w:rsidR="009C6940" w:rsidRPr="00EF7969" w:rsidRDefault="009C6940" w:rsidP="009C6940">
                  <w:pPr>
                    <w:pStyle w:val="TableBodyText"/>
                    <w:jc w:val="left"/>
                  </w:pPr>
                  <w:r w:rsidRPr="00EF7969">
                    <w:t>Sheree Webber</w:t>
                  </w:r>
                </w:p>
              </w:tc>
              <w:tc>
                <w:tcPr>
                  <w:tcW w:w="2126" w:type="dxa"/>
                  <w:shd w:val="clear" w:color="auto" w:fill="auto"/>
                </w:tcPr>
                <w:p w14:paraId="27F34A58" w14:textId="77777777" w:rsidR="009C6940" w:rsidRPr="00EF7969" w:rsidRDefault="009C6940" w:rsidP="009C6940">
                  <w:pPr>
                    <w:pStyle w:val="TableBodyText"/>
                  </w:pPr>
                  <w:r w:rsidRPr="00EF7969">
                    <w:t>951</w:t>
                  </w:r>
                </w:p>
              </w:tc>
            </w:tr>
            <w:tr w:rsidR="009C6940" w:rsidRPr="00EF7969" w14:paraId="0B8D34A3" w14:textId="77777777" w:rsidTr="009C6940">
              <w:tc>
                <w:tcPr>
                  <w:tcW w:w="6377" w:type="dxa"/>
                  <w:shd w:val="clear" w:color="auto" w:fill="auto"/>
                </w:tcPr>
                <w:p w14:paraId="7E850512" w14:textId="77777777" w:rsidR="009C6940" w:rsidRPr="00EF7969" w:rsidRDefault="009C6940" w:rsidP="009C6940">
                  <w:pPr>
                    <w:pStyle w:val="TableBodyText"/>
                    <w:jc w:val="left"/>
                  </w:pPr>
                  <w:r w:rsidRPr="00EF7969">
                    <w:t>Shona Tudge</w:t>
                  </w:r>
                </w:p>
              </w:tc>
              <w:tc>
                <w:tcPr>
                  <w:tcW w:w="2126" w:type="dxa"/>
                  <w:shd w:val="clear" w:color="auto" w:fill="auto"/>
                </w:tcPr>
                <w:p w14:paraId="50208B4F" w14:textId="77777777" w:rsidR="009C6940" w:rsidRPr="00EF7969" w:rsidRDefault="009C6940" w:rsidP="009C6940">
                  <w:pPr>
                    <w:pStyle w:val="TableBodyText"/>
                  </w:pPr>
                  <w:r w:rsidRPr="00EF7969">
                    <w:t>356</w:t>
                  </w:r>
                </w:p>
              </w:tc>
            </w:tr>
            <w:tr w:rsidR="009C6940" w:rsidRPr="00EF7969" w14:paraId="64164715" w14:textId="77777777" w:rsidTr="009C6940">
              <w:tc>
                <w:tcPr>
                  <w:tcW w:w="6377" w:type="dxa"/>
                  <w:shd w:val="clear" w:color="auto" w:fill="auto"/>
                </w:tcPr>
                <w:p w14:paraId="43290A03" w14:textId="77777777" w:rsidR="009C6940" w:rsidRPr="00EF7969" w:rsidRDefault="009C6940" w:rsidP="009C6940">
                  <w:pPr>
                    <w:pStyle w:val="TableBodyText"/>
                    <w:jc w:val="left"/>
                  </w:pPr>
                  <w:r w:rsidRPr="00EF7969">
                    <w:t>Shorne Morris</w:t>
                  </w:r>
                </w:p>
              </w:tc>
              <w:tc>
                <w:tcPr>
                  <w:tcW w:w="2126" w:type="dxa"/>
                  <w:shd w:val="clear" w:color="auto" w:fill="auto"/>
                </w:tcPr>
                <w:p w14:paraId="1871E2CB" w14:textId="77777777" w:rsidR="009C6940" w:rsidRPr="00EF7969" w:rsidRDefault="009C6940" w:rsidP="009C6940">
                  <w:pPr>
                    <w:pStyle w:val="TableBodyText"/>
                  </w:pPr>
                  <w:r w:rsidRPr="00EF7969">
                    <w:t>1154</w:t>
                  </w:r>
                </w:p>
              </w:tc>
            </w:tr>
            <w:tr w:rsidR="009C6940" w:rsidRPr="00EF7969" w14:paraId="5F71D739" w14:textId="77777777" w:rsidTr="009C6940">
              <w:tc>
                <w:tcPr>
                  <w:tcW w:w="6377" w:type="dxa"/>
                  <w:tcBorders>
                    <w:bottom w:val="single" w:sz="4" w:space="0" w:color="BFBFBF" w:themeColor="background1" w:themeShade="BF"/>
                  </w:tcBorders>
                  <w:shd w:val="clear" w:color="auto" w:fill="auto"/>
                </w:tcPr>
                <w:p w14:paraId="45B1D974" w14:textId="77777777" w:rsidR="009C6940" w:rsidRPr="00EF7969" w:rsidRDefault="009C6940" w:rsidP="009C6940">
                  <w:pPr>
                    <w:pStyle w:val="TableBodyText"/>
                    <w:jc w:val="left"/>
                  </w:pPr>
                  <w:r w:rsidRPr="00EF7969">
                    <w:t>Siblings Australia</w:t>
                  </w:r>
                </w:p>
              </w:tc>
              <w:tc>
                <w:tcPr>
                  <w:tcW w:w="2126" w:type="dxa"/>
                  <w:tcBorders>
                    <w:bottom w:val="single" w:sz="4" w:space="0" w:color="BFBFBF" w:themeColor="background1" w:themeShade="BF"/>
                  </w:tcBorders>
                  <w:shd w:val="clear" w:color="auto" w:fill="auto"/>
                </w:tcPr>
                <w:p w14:paraId="52F01566" w14:textId="77777777" w:rsidR="009C6940" w:rsidRPr="00EF7969" w:rsidRDefault="009C6940" w:rsidP="009C6940">
                  <w:pPr>
                    <w:pStyle w:val="TableBodyText"/>
                  </w:pPr>
                  <w:r w:rsidRPr="00EF7969">
                    <w:t>124</w:t>
                  </w:r>
                </w:p>
              </w:tc>
            </w:tr>
          </w:tbl>
          <w:p w14:paraId="2D5A9880" w14:textId="77777777" w:rsidR="009C6940" w:rsidRPr="00EF7969" w:rsidRDefault="009C6940" w:rsidP="009C6940">
            <w:pPr>
              <w:pStyle w:val="Box"/>
            </w:pPr>
          </w:p>
        </w:tc>
      </w:tr>
      <w:tr w:rsidR="009C6940" w:rsidRPr="00EF7969" w14:paraId="673F6CDB" w14:textId="77777777" w:rsidTr="009C6940">
        <w:tc>
          <w:tcPr>
            <w:tcW w:w="8789" w:type="dxa"/>
            <w:tcBorders>
              <w:top w:val="nil"/>
              <w:left w:val="nil"/>
              <w:bottom w:val="nil"/>
              <w:right w:val="nil"/>
            </w:tcBorders>
            <w:shd w:val="clear" w:color="auto" w:fill="auto"/>
          </w:tcPr>
          <w:p w14:paraId="1918CB64" w14:textId="77777777" w:rsidR="009C6940" w:rsidRPr="00EF7969" w:rsidRDefault="009C6940" w:rsidP="009C6940">
            <w:pPr>
              <w:pStyle w:val="Continued"/>
            </w:pPr>
            <w:r w:rsidRPr="00EF7969">
              <w:t>(continued next page)</w:t>
            </w:r>
          </w:p>
        </w:tc>
      </w:tr>
      <w:tr w:rsidR="009C6940" w:rsidRPr="00EF7969" w14:paraId="39FBE176" w14:textId="77777777" w:rsidTr="009C6940">
        <w:tc>
          <w:tcPr>
            <w:tcW w:w="8789" w:type="dxa"/>
            <w:tcBorders>
              <w:top w:val="nil"/>
              <w:left w:val="nil"/>
              <w:bottom w:val="single" w:sz="6" w:space="0" w:color="78A22F"/>
              <w:right w:val="nil"/>
            </w:tcBorders>
            <w:shd w:val="clear" w:color="auto" w:fill="auto"/>
          </w:tcPr>
          <w:p w14:paraId="073FE9E0" w14:textId="77777777" w:rsidR="009C6940" w:rsidRPr="00EF7969" w:rsidRDefault="009C6940" w:rsidP="009C6940">
            <w:pPr>
              <w:pStyle w:val="Box"/>
              <w:spacing w:before="0" w:line="120" w:lineRule="exact"/>
            </w:pPr>
          </w:p>
        </w:tc>
      </w:tr>
      <w:tr w:rsidR="009C6940" w:rsidRPr="00EF7969" w14:paraId="551CC748" w14:textId="77777777" w:rsidTr="009C6940">
        <w:tc>
          <w:tcPr>
            <w:tcW w:w="8789" w:type="dxa"/>
            <w:tcBorders>
              <w:top w:val="single" w:sz="6" w:space="0" w:color="78A22F"/>
              <w:left w:val="nil"/>
              <w:bottom w:val="nil"/>
              <w:right w:val="nil"/>
            </w:tcBorders>
          </w:tcPr>
          <w:p w14:paraId="0F05305B" w14:textId="77777777" w:rsidR="009C6940" w:rsidRPr="00EF7969" w:rsidRDefault="009C6940" w:rsidP="009C6940">
            <w:pPr>
              <w:pStyle w:val="BoxSpaceBelow"/>
            </w:pPr>
          </w:p>
        </w:tc>
      </w:tr>
    </w:tbl>
    <w:p w14:paraId="4C160626"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2ABE464E" w14:textId="77777777" w:rsidTr="009C6940">
        <w:trPr>
          <w:tblHeader/>
        </w:trPr>
        <w:tc>
          <w:tcPr>
            <w:tcW w:w="8789" w:type="dxa"/>
            <w:tcBorders>
              <w:top w:val="single" w:sz="6" w:space="0" w:color="78A22F"/>
              <w:left w:val="nil"/>
              <w:bottom w:val="nil"/>
              <w:right w:val="nil"/>
            </w:tcBorders>
            <w:shd w:val="clear" w:color="auto" w:fill="auto"/>
          </w:tcPr>
          <w:p w14:paraId="03F6B65A"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7A7D54AD"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7CEE3D2A"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609BED3C"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58E8FAE6" w14:textId="77777777" w:rsidR="009C6940" w:rsidRPr="00EF7969" w:rsidRDefault="009C6940" w:rsidP="009C6940">
                  <w:pPr>
                    <w:pStyle w:val="TableColumnHeading"/>
                    <w:ind w:right="28"/>
                  </w:pPr>
                  <w:r w:rsidRPr="00EF7969">
                    <w:t>Submission no.</w:t>
                  </w:r>
                </w:p>
              </w:tc>
            </w:tr>
            <w:tr w:rsidR="009C6940" w:rsidRPr="00EF7969" w14:paraId="294B5A11" w14:textId="77777777" w:rsidTr="009C6940">
              <w:trPr>
                <w:tblHeader/>
              </w:trPr>
              <w:tc>
                <w:tcPr>
                  <w:tcW w:w="6377" w:type="dxa"/>
                  <w:shd w:val="clear" w:color="auto" w:fill="auto"/>
                  <w:tcMar>
                    <w:top w:w="28" w:type="dxa"/>
                  </w:tcMar>
                </w:tcPr>
                <w:p w14:paraId="5AAD7EE0" w14:textId="77777777" w:rsidR="009C6940" w:rsidRPr="00EF7969" w:rsidRDefault="009C6940" w:rsidP="009C6940">
                  <w:pPr>
                    <w:pStyle w:val="TableBodyText"/>
                    <w:spacing w:before="40"/>
                    <w:jc w:val="left"/>
                  </w:pPr>
                  <w:r w:rsidRPr="00EF7969">
                    <w:t>Simon Vale</w:t>
                  </w:r>
                </w:p>
              </w:tc>
              <w:tc>
                <w:tcPr>
                  <w:tcW w:w="2126" w:type="dxa"/>
                  <w:shd w:val="clear" w:color="auto" w:fill="auto"/>
                  <w:tcMar>
                    <w:top w:w="28" w:type="dxa"/>
                  </w:tcMar>
                </w:tcPr>
                <w:p w14:paraId="4CE932B6" w14:textId="77777777" w:rsidR="009C6940" w:rsidRPr="00EF7969" w:rsidRDefault="009C6940" w:rsidP="009C6940">
                  <w:pPr>
                    <w:pStyle w:val="TableBodyText"/>
                    <w:spacing w:before="40"/>
                  </w:pPr>
                  <w:r w:rsidRPr="00EF7969">
                    <w:t>1151</w:t>
                  </w:r>
                </w:p>
              </w:tc>
            </w:tr>
            <w:tr w:rsidR="009C6940" w:rsidRPr="00EF7969" w14:paraId="2C7370FB" w14:textId="77777777" w:rsidTr="009C6940">
              <w:trPr>
                <w:tblHeader/>
              </w:trPr>
              <w:tc>
                <w:tcPr>
                  <w:tcW w:w="6377" w:type="dxa"/>
                  <w:shd w:val="clear" w:color="auto" w:fill="auto"/>
                  <w:tcMar>
                    <w:top w:w="28" w:type="dxa"/>
                  </w:tcMar>
                </w:tcPr>
                <w:p w14:paraId="4ACB11DF" w14:textId="77777777" w:rsidR="009C6940" w:rsidRPr="00EF7969" w:rsidRDefault="009C6940" w:rsidP="009C6940">
                  <w:pPr>
                    <w:pStyle w:val="TableBodyText"/>
                    <w:jc w:val="left"/>
                  </w:pPr>
                  <w:r w:rsidRPr="00EF7969">
                    <w:t>Sinead Cullen</w:t>
                  </w:r>
                </w:p>
              </w:tc>
              <w:tc>
                <w:tcPr>
                  <w:tcW w:w="2126" w:type="dxa"/>
                  <w:shd w:val="clear" w:color="auto" w:fill="auto"/>
                  <w:tcMar>
                    <w:top w:w="28" w:type="dxa"/>
                  </w:tcMar>
                </w:tcPr>
                <w:p w14:paraId="6B796DBA" w14:textId="77777777" w:rsidR="009C6940" w:rsidRPr="00EF7969" w:rsidRDefault="009C6940" w:rsidP="009C6940">
                  <w:pPr>
                    <w:pStyle w:val="TableBodyText"/>
                  </w:pPr>
                  <w:r w:rsidRPr="00EF7969">
                    <w:t>1122</w:t>
                  </w:r>
                </w:p>
              </w:tc>
            </w:tr>
            <w:tr w:rsidR="009C6940" w:rsidRPr="00EF7969" w14:paraId="55411C45" w14:textId="77777777" w:rsidTr="009C6940">
              <w:tc>
                <w:tcPr>
                  <w:tcW w:w="6377" w:type="dxa"/>
                  <w:shd w:val="clear" w:color="auto" w:fill="auto"/>
                </w:tcPr>
                <w:p w14:paraId="63C22320" w14:textId="77777777" w:rsidR="009C6940" w:rsidRPr="00EF7969" w:rsidRDefault="009C6940" w:rsidP="009C6940">
                  <w:pPr>
                    <w:pStyle w:val="TableBodyText"/>
                    <w:jc w:val="left"/>
                  </w:pPr>
                  <w:r w:rsidRPr="00EF7969">
                    <w:t>Sisters Inside</w:t>
                  </w:r>
                </w:p>
              </w:tc>
              <w:tc>
                <w:tcPr>
                  <w:tcW w:w="2126" w:type="dxa"/>
                  <w:shd w:val="clear" w:color="auto" w:fill="auto"/>
                </w:tcPr>
                <w:p w14:paraId="29CA6994" w14:textId="77777777" w:rsidR="009C6940" w:rsidRPr="00EF7969" w:rsidRDefault="009C6940" w:rsidP="009C6940">
                  <w:pPr>
                    <w:pStyle w:val="TableBodyText"/>
                  </w:pPr>
                  <w:r w:rsidRPr="00EF7969">
                    <w:t>1196</w:t>
                  </w:r>
                </w:p>
              </w:tc>
            </w:tr>
            <w:tr w:rsidR="009C6940" w:rsidRPr="00EF7969" w14:paraId="2410E66D" w14:textId="77777777" w:rsidTr="009C6940">
              <w:tc>
                <w:tcPr>
                  <w:tcW w:w="6377" w:type="dxa"/>
                  <w:shd w:val="clear" w:color="auto" w:fill="auto"/>
                </w:tcPr>
                <w:p w14:paraId="3DE6642D" w14:textId="77777777" w:rsidR="009C6940" w:rsidRPr="00EF7969" w:rsidRDefault="009C6940" w:rsidP="009C6940">
                  <w:pPr>
                    <w:pStyle w:val="TableBodyText"/>
                    <w:jc w:val="left"/>
                  </w:pPr>
                  <w:r w:rsidRPr="00EF7969">
                    <w:t>Sjon Kraan</w:t>
                  </w:r>
                </w:p>
              </w:tc>
              <w:tc>
                <w:tcPr>
                  <w:tcW w:w="2126" w:type="dxa"/>
                  <w:shd w:val="clear" w:color="auto" w:fill="auto"/>
                </w:tcPr>
                <w:p w14:paraId="4A9DD568" w14:textId="77777777" w:rsidR="009C6940" w:rsidRPr="00EF7969" w:rsidRDefault="009C6940" w:rsidP="009C6940">
                  <w:pPr>
                    <w:pStyle w:val="TableBodyText"/>
                  </w:pPr>
                  <w:r w:rsidRPr="00EF7969">
                    <w:t>667</w:t>
                  </w:r>
                </w:p>
              </w:tc>
            </w:tr>
            <w:tr w:rsidR="009C6940" w:rsidRPr="00EF7969" w14:paraId="5449B1B6" w14:textId="77777777" w:rsidTr="009C6940">
              <w:tc>
                <w:tcPr>
                  <w:tcW w:w="6377" w:type="dxa"/>
                  <w:shd w:val="clear" w:color="auto" w:fill="auto"/>
                </w:tcPr>
                <w:p w14:paraId="3764AFCD" w14:textId="77777777" w:rsidR="009C6940" w:rsidRPr="00EF7969" w:rsidRDefault="009C6940" w:rsidP="009C6940">
                  <w:pPr>
                    <w:pStyle w:val="TableBodyText"/>
                    <w:jc w:val="left"/>
                  </w:pPr>
                  <w:r w:rsidRPr="00EF7969">
                    <w:t>Slater and Gordon Lawyers</w:t>
                  </w:r>
                </w:p>
              </w:tc>
              <w:tc>
                <w:tcPr>
                  <w:tcW w:w="2126" w:type="dxa"/>
                  <w:shd w:val="clear" w:color="auto" w:fill="auto"/>
                </w:tcPr>
                <w:p w14:paraId="2CB91AE6" w14:textId="77777777" w:rsidR="009C6940" w:rsidRPr="00EF7969" w:rsidRDefault="009C6940" w:rsidP="009C6940">
                  <w:pPr>
                    <w:pStyle w:val="TableBodyText"/>
                  </w:pPr>
                  <w:r w:rsidRPr="00EF7969">
                    <w:t>857</w:t>
                  </w:r>
                </w:p>
              </w:tc>
            </w:tr>
            <w:tr w:rsidR="009C6940" w:rsidRPr="00EF7969" w14:paraId="5A2A04B8" w14:textId="77777777" w:rsidTr="009C6940">
              <w:tc>
                <w:tcPr>
                  <w:tcW w:w="6377" w:type="dxa"/>
                  <w:shd w:val="clear" w:color="auto" w:fill="auto"/>
                </w:tcPr>
                <w:p w14:paraId="2A3369E3" w14:textId="77777777" w:rsidR="009C6940" w:rsidRPr="00EF7969" w:rsidRDefault="009C6940" w:rsidP="009C6940">
                  <w:pPr>
                    <w:pStyle w:val="TableBodyText"/>
                    <w:jc w:val="left"/>
                  </w:pPr>
                  <w:r w:rsidRPr="00EF7969">
                    <w:t>Sleep Health Foundation</w:t>
                  </w:r>
                </w:p>
              </w:tc>
              <w:tc>
                <w:tcPr>
                  <w:tcW w:w="2126" w:type="dxa"/>
                  <w:shd w:val="clear" w:color="auto" w:fill="auto"/>
                </w:tcPr>
                <w:p w14:paraId="1171E9FB" w14:textId="77777777" w:rsidR="009C6940" w:rsidRPr="00EF7969" w:rsidRDefault="009C6940" w:rsidP="009C6940">
                  <w:pPr>
                    <w:pStyle w:val="TableBodyText"/>
                  </w:pPr>
                  <w:r w:rsidRPr="00EF7969">
                    <w:t>767</w:t>
                  </w:r>
                </w:p>
              </w:tc>
            </w:tr>
            <w:tr w:rsidR="009C6940" w:rsidRPr="00EF7969" w14:paraId="5E2108A8" w14:textId="77777777" w:rsidTr="009C6940">
              <w:tc>
                <w:tcPr>
                  <w:tcW w:w="6377" w:type="dxa"/>
                  <w:shd w:val="clear" w:color="auto" w:fill="auto"/>
                </w:tcPr>
                <w:p w14:paraId="1903EC13" w14:textId="77777777" w:rsidR="009C6940" w:rsidRPr="00EF7969" w:rsidRDefault="009C6940" w:rsidP="009C6940">
                  <w:pPr>
                    <w:pStyle w:val="TableBodyText"/>
                    <w:jc w:val="left"/>
                  </w:pPr>
                  <w:r w:rsidRPr="00EF7969">
                    <w:t>SleeplessNoMore – (Eyrie Pty Ltd)</w:t>
                  </w:r>
                </w:p>
              </w:tc>
              <w:tc>
                <w:tcPr>
                  <w:tcW w:w="2126" w:type="dxa"/>
                  <w:shd w:val="clear" w:color="auto" w:fill="auto"/>
                </w:tcPr>
                <w:p w14:paraId="46845797" w14:textId="77777777" w:rsidR="009C6940" w:rsidRPr="00EF7969" w:rsidRDefault="009C6940" w:rsidP="009C6940">
                  <w:pPr>
                    <w:pStyle w:val="TableBodyText"/>
                  </w:pPr>
                  <w:r w:rsidRPr="00EF7969">
                    <w:t>100</w:t>
                  </w:r>
                </w:p>
              </w:tc>
            </w:tr>
            <w:tr w:rsidR="009C6940" w:rsidRPr="00EF7969" w14:paraId="019D34CD" w14:textId="77777777" w:rsidTr="009C6940">
              <w:tc>
                <w:tcPr>
                  <w:tcW w:w="6377" w:type="dxa"/>
                  <w:shd w:val="clear" w:color="auto" w:fill="auto"/>
                </w:tcPr>
                <w:p w14:paraId="3455F5D7" w14:textId="77777777" w:rsidR="009C6940" w:rsidRPr="00EF7969" w:rsidRDefault="009C6940" w:rsidP="009C6940">
                  <w:pPr>
                    <w:pStyle w:val="TableBodyText"/>
                    <w:jc w:val="left"/>
                  </w:pPr>
                  <w:r w:rsidRPr="00EF7969">
                    <w:t>Smiling Mind</w:t>
                  </w:r>
                </w:p>
              </w:tc>
              <w:tc>
                <w:tcPr>
                  <w:tcW w:w="2126" w:type="dxa"/>
                  <w:shd w:val="clear" w:color="auto" w:fill="auto"/>
                </w:tcPr>
                <w:p w14:paraId="60C506A8" w14:textId="77777777" w:rsidR="009C6940" w:rsidRPr="00EF7969" w:rsidRDefault="009C6940" w:rsidP="009C6940">
                  <w:pPr>
                    <w:pStyle w:val="TableBodyText"/>
                  </w:pPr>
                  <w:r w:rsidRPr="00EF7969">
                    <w:t>783</w:t>
                  </w:r>
                </w:p>
              </w:tc>
            </w:tr>
            <w:tr w:rsidR="009C6940" w:rsidRPr="00EF7969" w14:paraId="340E3741" w14:textId="77777777" w:rsidTr="009C6940">
              <w:tc>
                <w:tcPr>
                  <w:tcW w:w="6377" w:type="dxa"/>
                  <w:shd w:val="clear" w:color="auto" w:fill="auto"/>
                </w:tcPr>
                <w:p w14:paraId="06FF40D1" w14:textId="77777777" w:rsidR="009C6940" w:rsidRPr="00EF7969" w:rsidRDefault="009C6940" w:rsidP="009C6940">
                  <w:pPr>
                    <w:pStyle w:val="TableBodyText"/>
                    <w:jc w:val="left"/>
                  </w:pPr>
                  <w:r w:rsidRPr="00EF7969">
                    <w:t>SNAICC - National Voice for our Children (SNAICC)</w:t>
                  </w:r>
                </w:p>
              </w:tc>
              <w:tc>
                <w:tcPr>
                  <w:tcW w:w="2126" w:type="dxa"/>
                  <w:shd w:val="clear" w:color="auto" w:fill="auto"/>
                </w:tcPr>
                <w:p w14:paraId="09664914" w14:textId="77777777" w:rsidR="009C6940" w:rsidRPr="00EF7969" w:rsidRDefault="009C6940" w:rsidP="009C6940">
                  <w:pPr>
                    <w:pStyle w:val="TableBodyText"/>
                  </w:pPr>
                  <w:r w:rsidRPr="00EF7969">
                    <w:t>123</w:t>
                  </w:r>
                </w:p>
              </w:tc>
            </w:tr>
            <w:tr w:rsidR="009C6940" w:rsidRPr="00EF7969" w14:paraId="7A2AB8FD" w14:textId="77777777" w:rsidTr="009C6940">
              <w:tc>
                <w:tcPr>
                  <w:tcW w:w="6377" w:type="dxa"/>
                  <w:shd w:val="clear" w:color="auto" w:fill="auto"/>
                </w:tcPr>
                <w:p w14:paraId="206A968A" w14:textId="77777777" w:rsidR="009C6940" w:rsidRPr="00EF7969" w:rsidRDefault="009C6940" w:rsidP="009C6940">
                  <w:pPr>
                    <w:pStyle w:val="TableBodyText"/>
                    <w:jc w:val="left"/>
                  </w:pPr>
                  <w:r w:rsidRPr="00EF7969">
                    <w:t>Social Alchemy</w:t>
                  </w:r>
                </w:p>
              </w:tc>
              <w:tc>
                <w:tcPr>
                  <w:tcW w:w="2126" w:type="dxa"/>
                  <w:shd w:val="clear" w:color="auto" w:fill="auto"/>
                </w:tcPr>
                <w:p w14:paraId="341DE6C4" w14:textId="77777777" w:rsidR="009C6940" w:rsidRPr="00EF7969" w:rsidRDefault="009C6940" w:rsidP="009C6940">
                  <w:pPr>
                    <w:pStyle w:val="TableBodyText"/>
                  </w:pPr>
                  <w:r w:rsidRPr="00EF7969">
                    <w:t>282</w:t>
                  </w:r>
                </w:p>
              </w:tc>
            </w:tr>
            <w:tr w:rsidR="009C6940" w:rsidRPr="00EF7969" w14:paraId="0C34489B" w14:textId="77777777" w:rsidTr="009C6940">
              <w:tc>
                <w:tcPr>
                  <w:tcW w:w="6377" w:type="dxa"/>
                  <w:shd w:val="clear" w:color="auto" w:fill="auto"/>
                </w:tcPr>
                <w:p w14:paraId="5407CAEA" w14:textId="77777777" w:rsidR="009C6940" w:rsidRPr="00EF7969" w:rsidRDefault="009C6940" w:rsidP="009C6940">
                  <w:pPr>
                    <w:pStyle w:val="TableBodyText"/>
                    <w:jc w:val="left"/>
                  </w:pPr>
                  <w:r w:rsidRPr="00EF7969">
                    <w:t>Social Ventures Australia (SVA)</w:t>
                  </w:r>
                </w:p>
              </w:tc>
              <w:tc>
                <w:tcPr>
                  <w:tcW w:w="2126" w:type="dxa"/>
                  <w:shd w:val="clear" w:color="auto" w:fill="auto"/>
                </w:tcPr>
                <w:p w14:paraId="4A006520" w14:textId="77777777" w:rsidR="009C6940" w:rsidRPr="00EF7969" w:rsidRDefault="009C6940" w:rsidP="009C6940">
                  <w:pPr>
                    <w:pStyle w:val="TableBodyText"/>
                  </w:pPr>
                  <w:r w:rsidRPr="00EF7969">
                    <w:t>125</w:t>
                  </w:r>
                </w:p>
              </w:tc>
            </w:tr>
            <w:tr w:rsidR="009C6940" w:rsidRPr="00EF7969" w14:paraId="6CAEEE69" w14:textId="77777777" w:rsidTr="009C6940">
              <w:tc>
                <w:tcPr>
                  <w:tcW w:w="6377" w:type="dxa"/>
                  <w:shd w:val="clear" w:color="auto" w:fill="auto"/>
                </w:tcPr>
                <w:p w14:paraId="4CD21CD4" w14:textId="77777777" w:rsidR="009C6940" w:rsidRPr="00EF7969" w:rsidRDefault="009C6940" w:rsidP="009C6940">
                  <w:pPr>
                    <w:pStyle w:val="TableBodyText"/>
                    <w:jc w:val="left"/>
                  </w:pPr>
                  <w:r w:rsidRPr="00EF7969">
                    <w:t>Society for Industrial and Organisational Psychology Australia (SIOPA)</w:t>
                  </w:r>
                </w:p>
              </w:tc>
              <w:tc>
                <w:tcPr>
                  <w:tcW w:w="2126" w:type="dxa"/>
                  <w:shd w:val="clear" w:color="auto" w:fill="auto"/>
                </w:tcPr>
                <w:p w14:paraId="33A8C589" w14:textId="77777777" w:rsidR="009C6940" w:rsidRPr="00EF7969" w:rsidRDefault="009C6940" w:rsidP="009C6940">
                  <w:pPr>
                    <w:pStyle w:val="TableBodyText"/>
                  </w:pPr>
                  <w:r w:rsidRPr="00EF7969">
                    <w:t>429</w:t>
                  </w:r>
                </w:p>
              </w:tc>
            </w:tr>
            <w:tr w:rsidR="009C6940" w:rsidRPr="00EF7969" w14:paraId="310A0D09" w14:textId="77777777" w:rsidTr="009C6940">
              <w:tc>
                <w:tcPr>
                  <w:tcW w:w="6377" w:type="dxa"/>
                  <w:shd w:val="clear" w:color="auto" w:fill="auto"/>
                </w:tcPr>
                <w:p w14:paraId="0DFD2397" w14:textId="77777777" w:rsidR="009C6940" w:rsidRPr="00EF7969" w:rsidRDefault="009C6940" w:rsidP="009C6940">
                  <w:pPr>
                    <w:pStyle w:val="TableBodyText"/>
                    <w:jc w:val="left"/>
                  </w:pPr>
                  <w:r>
                    <w:t>South Australian</w:t>
                  </w:r>
                  <w:r w:rsidRPr="00EF7969">
                    <w:t xml:space="preserve"> Government </w:t>
                  </w:r>
                </w:p>
              </w:tc>
              <w:tc>
                <w:tcPr>
                  <w:tcW w:w="2126" w:type="dxa"/>
                  <w:shd w:val="clear" w:color="auto" w:fill="auto"/>
                </w:tcPr>
                <w:p w14:paraId="434B0BA2" w14:textId="77777777" w:rsidR="009C6940" w:rsidRPr="00EF7969" w:rsidRDefault="009C6940" w:rsidP="009C6940">
                  <w:pPr>
                    <w:pStyle w:val="TableBodyText"/>
                  </w:pPr>
                  <w:r w:rsidRPr="00EF7969">
                    <w:t>692</w:t>
                  </w:r>
                </w:p>
              </w:tc>
            </w:tr>
            <w:tr w:rsidR="009C6940" w:rsidRPr="00EF7969" w14:paraId="69CB1F91" w14:textId="77777777" w:rsidTr="009C6940">
              <w:tc>
                <w:tcPr>
                  <w:tcW w:w="6377" w:type="dxa"/>
                  <w:shd w:val="clear" w:color="auto" w:fill="auto"/>
                </w:tcPr>
                <w:p w14:paraId="69A2DB2C" w14:textId="77777777" w:rsidR="009C6940" w:rsidRPr="00EF7969" w:rsidRDefault="009C6940" w:rsidP="009C6940">
                  <w:pPr>
                    <w:pStyle w:val="TableBodyText"/>
                    <w:jc w:val="left"/>
                  </w:pPr>
                  <w:r>
                    <w:t>South Australian</w:t>
                  </w:r>
                  <w:r w:rsidRPr="00EF7969">
                    <w:t xml:space="preserve"> School Nurses Association</w:t>
                  </w:r>
                </w:p>
              </w:tc>
              <w:tc>
                <w:tcPr>
                  <w:tcW w:w="2126" w:type="dxa"/>
                  <w:shd w:val="clear" w:color="auto" w:fill="auto"/>
                </w:tcPr>
                <w:p w14:paraId="27BF1D13" w14:textId="77777777" w:rsidR="009C6940" w:rsidRPr="00EF7969" w:rsidRDefault="009C6940" w:rsidP="009C6940">
                  <w:pPr>
                    <w:pStyle w:val="TableBodyText"/>
                  </w:pPr>
                  <w:r w:rsidRPr="00EF7969">
                    <w:t>661</w:t>
                  </w:r>
                </w:p>
              </w:tc>
            </w:tr>
            <w:tr w:rsidR="009C6940" w:rsidRPr="00EF7969" w14:paraId="7B560A11" w14:textId="77777777" w:rsidTr="009C6940">
              <w:tc>
                <w:tcPr>
                  <w:tcW w:w="6377" w:type="dxa"/>
                  <w:shd w:val="clear" w:color="auto" w:fill="auto"/>
                </w:tcPr>
                <w:p w14:paraId="3086EA53" w14:textId="77777777" w:rsidR="009C6940" w:rsidRPr="00EF7969" w:rsidRDefault="009C6940" w:rsidP="009C6940">
                  <w:pPr>
                    <w:pStyle w:val="TableBodyText"/>
                    <w:jc w:val="left"/>
                  </w:pPr>
                  <w:r w:rsidRPr="00EF7969">
                    <w:t>Southern NSW Local Health District</w:t>
                  </w:r>
                </w:p>
              </w:tc>
              <w:tc>
                <w:tcPr>
                  <w:tcW w:w="2126" w:type="dxa"/>
                  <w:shd w:val="clear" w:color="auto" w:fill="auto"/>
                </w:tcPr>
                <w:p w14:paraId="42D8342A" w14:textId="77777777" w:rsidR="009C6940" w:rsidRPr="00EF7969" w:rsidRDefault="009C6940" w:rsidP="009C6940">
                  <w:pPr>
                    <w:pStyle w:val="TableBodyText"/>
                  </w:pPr>
                  <w:r w:rsidRPr="00EF7969">
                    <w:t>762</w:t>
                  </w:r>
                </w:p>
              </w:tc>
            </w:tr>
            <w:tr w:rsidR="009C6940" w:rsidRPr="00EF7969" w14:paraId="4C74E398" w14:textId="77777777" w:rsidTr="009C6940">
              <w:tc>
                <w:tcPr>
                  <w:tcW w:w="6377" w:type="dxa"/>
                  <w:shd w:val="clear" w:color="auto" w:fill="auto"/>
                </w:tcPr>
                <w:p w14:paraId="2ECD3413" w14:textId="77777777" w:rsidR="009C6940" w:rsidRPr="00EF7969" w:rsidRDefault="009C6940" w:rsidP="009C6940">
                  <w:pPr>
                    <w:pStyle w:val="TableBodyText"/>
                    <w:jc w:val="left"/>
                  </w:pPr>
                  <w:r w:rsidRPr="00EF7969">
                    <w:t>Speech Pathology Australia</w:t>
                  </w:r>
                </w:p>
              </w:tc>
              <w:tc>
                <w:tcPr>
                  <w:tcW w:w="2126" w:type="dxa"/>
                  <w:shd w:val="clear" w:color="auto" w:fill="auto"/>
                </w:tcPr>
                <w:p w14:paraId="11538729" w14:textId="77777777" w:rsidR="009C6940" w:rsidRPr="00EF7969" w:rsidRDefault="009C6940" w:rsidP="009C6940">
                  <w:pPr>
                    <w:pStyle w:val="TableBodyText"/>
                  </w:pPr>
                  <w:r w:rsidRPr="00EF7969">
                    <w:t>184, 790</w:t>
                  </w:r>
                </w:p>
              </w:tc>
            </w:tr>
            <w:tr w:rsidR="009C6940" w:rsidRPr="00EF7969" w14:paraId="0B49D511" w14:textId="77777777" w:rsidTr="009C6940">
              <w:tc>
                <w:tcPr>
                  <w:tcW w:w="6377" w:type="dxa"/>
                  <w:shd w:val="clear" w:color="auto" w:fill="auto"/>
                </w:tcPr>
                <w:p w14:paraId="3B4C24CC" w14:textId="77777777" w:rsidR="009C6940" w:rsidRPr="00EF7969" w:rsidRDefault="009C6940" w:rsidP="009C6940">
                  <w:pPr>
                    <w:pStyle w:val="TableBodyText"/>
                    <w:jc w:val="left"/>
                  </w:pPr>
                  <w:r w:rsidRPr="00EF7969">
                    <w:t>Spiritual Health Association</w:t>
                  </w:r>
                </w:p>
              </w:tc>
              <w:tc>
                <w:tcPr>
                  <w:tcW w:w="2126" w:type="dxa"/>
                  <w:shd w:val="clear" w:color="auto" w:fill="auto"/>
                </w:tcPr>
                <w:p w14:paraId="732C7322" w14:textId="77777777" w:rsidR="009C6940" w:rsidRPr="00EF7969" w:rsidRDefault="009C6940" w:rsidP="009C6940">
                  <w:pPr>
                    <w:pStyle w:val="TableBodyText"/>
                  </w:pPr>
                  <w:r w:rsidRPr="00EF7969">
                    <w:t>553</w:t>
                  </w:r>
                </w:p>
              </w:tc>
            </w:tr>
            <w:tr w:rsidR="009C6940" w:rsidRPr="00EF7969" w14:paraId="4FDA16E0" w14:textId="77777777" w:rsidTr="009C6940">
              <w:tc>
                <w:tcPr>
                  <w:tcW w:w="6377" w:type="dxa"/>
                  <w:shd w:val="clear" w:color="auto" w:fill="auto"/>
                </w:tcPr>
                <w:p w14:paraId="2A7FAE71" w14:textId="77777777" w:rsidR="009C6940" w:rsidRPr="00EF7969" w:rsidRDefault="009C6940" w:rsidP="009C6940">
                  <w:pPr>
                    <w:pStyle w:val="TableBodyText"/>
                    <w:jc w:val="left"/>
                  </w:pPr>
                  <w:r w:rsidRPr="00EF7969">
                    <w:t>St John of God Health Care and Community Services</w:t>
                  </w:r>
                </w:p>
              </w:tc>
              <w:tc>
                <w:tcPr>
                  <w:tcW w:w="2126" w:type="dxa"/>
                  <w:shd w:val="clear" w:color="auto" w:fill="auto"/>
                </w:tcPr>
                <w:p w14:paraId="7F53E08A" w14:textId="77777777" w:rsidR="009C6940" w:rsidRPr="00EF7969" w:rsidRDefault="009C6940" w:rsidP="009C6940">
                  <w:pPr>
                    <w:pStyle w:val="TableBodyText"/>
                  </w:pPr>
                  <w:r w:rsidRPr="00EF7969">
                    <w:t>77</w:t>
                  </w:r>
                </w:p>
              </w:tc>
            </w:tr>
            <w:tr w:rsidR="009C6940" w:rsidRPr="00EF7969" w14:paraId="7FC6D448" w14:textId="77777777" w:rsidTr="009C6940">
              <w:tc>
                <w:tcPr>
                  <w:tcW w:w="6377" w:type="dxa"/>
                  <w:shd w:val="clear" w:color="auto" w:fill="auto"/>
                </w:tcPr>
                <w:p w14:paraId="7CAC7C3E" w14:textId="77777777" w:rsidR="009C6940" w:rsidRPr="00EF7969" w:rsidRDefault="009C6940" w:rsidP="009C6940">
                  <w:pPr>
                    <w:pStyle w:val="TableBodyText"/>
                    <w:jc w:val="left"/>
                  </w:pPr>
                  <w:r w:rsidRPr="00EF7969">
                    <w:t>St Vincent de Paul Society National Council of Australia</w:t>
                  </w:r>
                </w:p>
              </w:tc>
              <w:tc>
                <w:tcPr>
                  <w:tcW w:w="2126" w:type="dxa"/>
                  <w:shd w:val="clear" w:color="auto" w:fill="auto"/>
                </w:tcPr>
                <w:p w14:paraId="002753CF" w14:textId="77777777" w:rsidR="009C6940" w:rsidRPr="00EF7969" w:rsidRDefault="009C6940" w:rsidP="009C6940">
                  <w:pPr>
                    <w:pStyle w:val="TableBodyText"/>
                  </w:pPr>
                  <w:r w:rsidRPr="00EF7969">
                    <w:t>1216</w:t>
                  </w:r>
                </w:p>
              </w:tc>
            </w:tr>
            <w:tr w:rsidR="009C6940" w:rsidRPr="00EF7969" w14:paraId="383E0A54" w14:textId="77777777" w:rsidTr="009C6940">
              <w:tc>
                <w:tcPr>
                  <w:tcW w:w="6377" w:type="dxa"/>
                  <w:shd w:val="clear" w:color="auto" w:fill="auto"/>
                </w:tcPr>
                <w:p w14:paraId="09CAD52F" w14:textId="77777777" w:rsidR="009C6940" w:rsidRPr="00EF7969" w:rsidRDefault="009C6940" w:rsidP="009C6940">
                  <w:pPr>
                    <w:pStyle w:val="TableBodyText"/>
                    <w:jc w:val="left"/>
                  </w:pPr>
                  <w:r>
                    <w:t>St Vincent’s Mental Health Family and Carer Reference Committee</w:t>
                  </w:r>
                </w:p>
              </w:tc>
              <w:tc>
                <w:tcPr>
                  <w:tcW w:w="2126" w:type="dxa"/>
                  <w:shd w:val="clear" w:color="auto" w:fill="auto"/>
                </w:tcPr>
                <w:p w14:paraId="456113B6" w14:textId="77777777" w:rsidR="009C6940" w:rsidRPr="00EF7969" w:rsidRDefault="009C6940" w:rsidP="009C6940">
                  <w:pPr>
                    <w:pStyle w:val="TableBodyText"/>
                  </w:pPr>
                  <w:r w:rsidRPr="00EF7969">
                    <w:t>1193</w:t>
                  </w:r>
                </w:p>
              </w:tc>
            </w:tr>
            <w:tr w:rsidR="009C6940" w:rsidRPr="00EF7969" w14:paraId="312BDF83" w14:textId="77777777" w:rsidTr="009C6940">
              <w:tc>
                <w:tcPr>
                  <w:tcW w:w="6377" w:type="dxa"/>
                  <w:shd w:val="clear" w:color="auto" w:fill="auto"/>
                </w:tcPr>
                <w:p w14:paraId="3F1F10DB" w14:textId="77777777" w:rsidR="009C6940" w:rsidRPr="00EF7969" w:rsidRDefault="009C6940" w:rsidP="009C6940">
                  <w:pPr>
                    <w:pStyle w:val="TableBodyText"/>
                    <w:jc w:val="left"/>
                  </w:pPr>
                  <w:r w:rsidRPr="00EF7969">
                    <w:t>Star Health Group Ltd</w:t>
                  </w:r>
                </w:p>
              </w:tc>
              <w:tc>
                <w:tcPr>
                  <w:tcW w:w="2126" w:type="dxa"/>
                  <w:shd w:val="clear" w:color="auto" w:fill="auto"/>
                </w:tcPr>
                <w:p w14:paraId="25D68152" w14:textId="77777777" w:rsidR="009C6940" w:rsidRPr="00EF7969" w:rsidRDefault="009C6940" w:rsidP="009C6940">
                  <w:pPr>
                    <w:pStyle w:val="TableBodyText"/>
                  </w:pPr>
                  <w:r w:rsidRPr="00EF7969">
                    <w:t>182</w:t>
                  </w:r>
                </w:p>
              </w:tc>
            </w:tr>
            <w:tr w:rsidR="009C6940" w:rsidRPr="00EF7969" w14:paraId="0B778D33" w14:textId="77777777" w:rsidTr="009C6940">
              <w:tc>
                <w:tcPr>
                  <w:tcW w:w="6377" w:type="dxa"/>
                  <w:shd w:val="clear" w:color="auto" w:fill="auto"/>
                </w:tcPr>
                <w:p w14:paraId="7B2A6B52" w14:textId="77777777" w:rsidR="009C6940" w:rsidRPr="00EF7969" w:rsidRDefault="009C6940" w:rsidP="009C6940">
                  <w:pPr>
                    <w:pStyle w:val="TableBodyText"/>
                    <w:jc w:val="left"/>
                  </w:pPr>
                  <w:r w:rsidRPr="00EF7969">
                    <w:t>State and Territory Alcohol and Other Drug Peaks Network</w:t>
                  </w:r>
                </w:p>
              </w:tc>
              <w:tc>
                <w:tcPr>
                  <w:tcW w:w="2126" w:type="dxa"/>
                  <w:shd w:val="clear" w:color="auto" w:fill="auto"/>
                </w:tcPr>
                <w:p w14:paraId="2564149D" w14:textId="77777777" w:rsidR="009C6940" w:rsidRPr="00EF7969" w:rsidRDefault="009C6940" w:rsidP="009C6940">
                  <w:pPr>
                    <w:pStyle w:val="TableBodyText"/>
                  </w:pPr>
                  <w:r w:rsidRPr="00EF7969">
                    <w:t>59</w:t>
                  </w:r>
                </w:p>
              </w:tc>
            </w:tr>
            <w:tr w:rsidR="009C6940" w:rsidRPr="00EF7969" w14:paraId="5ABF73E6" w14:textId="77777777" w:rsidTr="009C6940">
              <w:tc>
                <w:tcPr>
                  <w:tcW w:w="6377" w:type="dxa"/>
                  <w:shd w:val="clear" w:color="auto" w:fill="auto"/>
                </w:tcPr>
                <w:p w14:paraId="04709FEB" w14:textId="77777777" w:rsidR="009C6940" w:rsidRPr="00EF7969" w:rsidRDefault="009C6940" w:rsidP="009C6940">
                  <w:pPr>
                    <w:pStyle w:val="TableBodyText"/>
                    <w:jc w:val="left"/>
                  </w:pPr>
                  <w:r w:rsidRPr="00EF7969">
                    <w:t>Stefanie Roth</w:t>
                  </w:r>
                </w:p>
              </w:tc>
              <w:tc>
                <w:tcPr>
                  <w:tcW w:w="2126" w:type="dxa"/>
                  <w:shd w:val="clear" w:color="auto" w:fill="auto"/>
                </w:tcPr>
                <w:p w14:paraId="6FB3AB4C" w14:textId="77777777" w:rsidR="009C6940" w:rsidRPr="00EF7969" w:rsidRDefault="009C6940" w:rsidP="009C6940">
                  <w:pPr>
                    <w:pStyle w:val="TableBodyText"/>
                  </w:pPr>
                  <w:r w:rsidRPr="00EF7969">
                    <w:t>164, 841</w:t>
                  </w:r>
                </w:p>
              </w:tc>
            </w:tr>
            <w:tr w:rsidR="009C6940" w:rsidRPr="00EF7969" w14:paraId="3B3AF176" w14:textId="77777777" w:rsidTr="009C6940">
              <w:tc>
                <w:tcPr>
                  <w:tcW w:w="6377" w:type="dxa"/>
                  <w:shd w:val="clear" w:color="auto" w:fill="auto"/>
                </w:tcPr>
                <w:p w14:paraId="7DCE30F7" w14:textId="77777777" w:rsidR="009C6940" w:rsidRPr="00EF7969" w:rsidRDefault="009C6940" w:rsidP="009C6940">
                  <w:pPr>
                    <w:pStyle w:val="TableBodyText"/>
                    <w:jc w:val="left"/>
                  </w:pPr>
                  <w:r w:rsidRPr="00EF7969">
                    <w:t>Stephen Bradley</w:t>
                  </w:r>
                </w:p>
              </w:tc>
              <w:tc>
                <w:tcPr>
                  <w:tcW w:w="2126" w:type="dxa"/>
                  <w:shd w:val="clear" w:color="auto" w:fill="auto"/>
                </w:tcPr>
                <w:p w14:paraId="6A3981F1" w14:textId="77777777" w:rsidR="009C6940" w:rsidRPr="00EF7969" w:rsidRDefault="009C6940" w:rsidP="009C6940">
                  <w:pPr>
                    <w:pStyle w:val="TableBodyText"/>
                  </w:pPr>
                  <w:r w:rsidRPr="00EF7969">
                    <w:t>1026</w:t>
                  </w:r>
                </w:p>
              </w:tc>
            </w:tr>
            <w:tr w:rsidR="009C6940" w:rsidRPr="00EF7969" w14:paraId="3257103A" w14:textId="77777777" w:rsidTr="009C6940">
              <w:tc>
                <w:tcPr>
                  <w:tcW w:w="6377" w:type="dxa"/>
                  <w:shd w:val="clear" w:color="auto" w:fill="auto"/>
                </w:tcPr>
                <w:p w14:paraId="5F4E1FD2" w14:textId="77777777" w:rsidR="009C6940" w:rsidRPr="00EF7969" w:rsidRDefault="009C6940" w:rsidP="009C6940">
                  <w:pPr>
                    <w:pStyle w:val="TableBodyText"/>
                    <w:jc w:val="left"/>
                  </w:pPr>
                  <w:r w:rsidRPr="00EF7969">
                    <w:t>Stephen Brown</w:t>
                  </w:r>
                </w:p>
              </w:tc>
              <w:tc>
                <w:tcPr>
                  <w:tcW w:w="2126" w:type="dxa"/>
                  <w:shd w:val="clear" w:color="auto" w:fill="auto"/>
                </w:tcPr>
                <w:p w14:paraId="5327A0F7" w14:textId="77777777" w:rsidR="009C6940" w:rsidRPr="00EF7969" w:rsidRDefault="009C6940" w:rsidP="009C6940">
                  <w:pPr>
                    <w:pStyle w:val="TableBodyText"/>
                  </w:pPr>
                  <w:r w:rsidRPr="00EF7969">
                    <w:t>33, 442, 503</w:t>
                  </w:r>
                </w:p>
              </w:tc>
            </w:tr>
            <w:tr w:rsidR="009C6940" w:rsidRPr="00EF7969" w14:paraId="548A41F1" w14:textId="77777777" w:rsidTr="009C6940">
              <w:tc>
                <w:tcPr>
                  <w:tcW w:w="6377" w:type="dxa"/>
                  <w:shd w:val="clear" w:color="auto" w:fill="auto"/>
                </w:tcPr>
                <w:p w14:paraId="51165B82" w14:textId="77777777" w:rsidR="009C6940" w:rsidRPr="00EF7969" w:rsidRDefault="009C6940" w:rsidP="009C6940">
                  <w:pPr>
                    <w:pStyle w:val="TableBodyText"/>
                    <w:jc w:val="left"/>
                  </w:pPr>
                  <w:r w:rsidRPr="00EF7969">
                    <w:t>Stephen Fagan</w:t>
                  </w:r>
                </w:p>
              </w:tc>
              <w:tc>
                <w:tcPr>
                  <w:tcW w:w="2126" w:type="dxa"/>
                  <w:shd w:val="clear" w:color="auto" w:fill="auto"/>
                </w:tcPr>
                <w:p w14:paraId="61C16D48" w14:textId="77777777" w:rsidR="009C6940" w:rsidRPr="00EF7969" w:rsidRDefault="009C6940" w:rsidP="009C6940">
                  <w:pPr>
                    <w:pStyle w:val="TableBodyText"/>
                  </w:pPr>
                  <w:r w:rsidRPr="00EF7969">
                    <w:t>1081</w:t>
                  </w:r>
                </w:p>
              </w:tc>
            </w:tr>
            <w:tr w:rsidR="009C6940" w:rsidRPr="00EF7969" w14:paraId="106151F7" w14:textId="77777777" w:rsidTr="009C6940">
              <w:tc>
                <w:tcPr>
                  <w:tcW w:w="6377" w:type="dxa"/>
                  <w:shd w:val="clear" w:color="auto" w:fill="auto"/>
                </w:tcPr>
                <w:p w14:paraId="57108BC6" w14:textId="77777777" w:rsidR="009C6940" w:rsidRPr="00EF7969" w:rsidRDefault="009C6940" w:rsidP="009C6940">
                  <w:pPr>
                    <w:pStyle w:val="TableBodyText"/>
                    <w:jc w:val="left"/>
                  </w:pPr>
                  <w:r w:rsidRPr="00EF7969">
                    <w:t>Stephen Gladwin</w:t>
                  </w:r>
                </w:p>
              </w:tc>
              <w:tc>
                <w:tcPr>
                  <w:tcW w:w="2126" w:type="dxa"/>
                  <w:shd w:val="clear" w:color="auto" w:fill="auto"/>
                </w:tcPr>
                <w:p w14:paraId="30CF00E0" w14:textId="77777777" w:rsidR="009C6940" w:rsidRPr="00EF7969" w:rsidRDefault="009C6940" w:rsidP="009C6940">
                  <w:pPr>
                    <w:pStyle w:val="TableBodyText"/>
                  </w:pPr>
                  <w:r w:rsidRPr="00EF7969">
                    <w:t>837</w:t>
                  </w:r>
                </w:p>
              </w:tc>
            </w:tr>
            <w:tr w:rsidR="009C6940" w:rsidRPr="00EF7969" w14:paraId="5EB6B757" w14:textId="77777777" w:rsidTr="009C6940">
              <w:tc>
                <w:tcPr>
                  <w:tcW w:w="6377" w:type="dxa"/>
                  <w:shd w:val="clear" w:color="auto" w:fill="auto"/>
                </w:tcPr>
                <w:p w14:paraId="00923A3D" w14:textId="77777777" w:rsidR="009C6940" w:rsidRPr="00EF7969" w:rsidRDefault="009C6940" w:rsidP="009C6940">
                  <w:pPr>
                    <w:pStyle w:val="TableBodyText"/>
                    <w:jc w:val="left"/>
                  </w:pPr>
                  <w:r w:rsidRPr="00EF7969">
                    <w:t>Stepping Stone Clubhouse Inc</w:t>
                  </w:r>
                </w:p>
              </w:tc>
              <w:tc>
                <w:tcPr>
                  <w:tcW w:w="2126" w:type="dxa"/>
                  <w:shd w:val="clear" w:color="auto" w:fill="auto"/>
                </w:tcPr>
                <w:p w14:paraId="04D0F0E8" w14:textId="77777777" w:rsidR="009C6940" w:rsidRPr="00EF7969" w:rsidRDefault="009C6940" w:rsidP="009C6940">
                  <w:pPr>
                    <w:pStyle w:val="TableBodyText"/>
                  </w:pPr>
                  <w:r w:rsidRPr="00EF7969">
                    <w:t>647</w:t>
                  </w:r>
                </w:p>
              </w:tc>
            </w:tr>
            <w:tr w:rsidR="009C6940" w:rsidRPr="00EF7969" w14:paraId="060A3A20" w14:textId="77777777" w:rsidTr="009C6940">
              <w:tc>
                <w:tcPr>
                  <w:tcW w:w="6377" w:type="dxa"/>
                  <w:shd w:val="clear" w:color="auto" w:fill="auto"/>
                </w:tcPr>
                <w:p w14:paraId="22A47FBF" w14:textId="77777777" w:rsidR="009C6940" w:rsidRPr="00EF7969" w:rsidRDefault="009C6940" w:rsidP="009C6940">
                  <w:pPr>
                    <w:pStyle w:val="TableBodyText"/>
                    <w:jc w:val="left"/>
                  </w:pPr>
                  <w:r w:rsidRPr="00EF7969">
                    <w:t>Steve Hansen</w:t>
                  </w:r>
                </w:p>
              </w:tc>
              <w:tc>
                <w:tcPr>
                  <w:tcW w:w="2126" w:type="dxa"/>
                  <w:shd w:val="clear" w:color="auto" w:fill="auto"/>
                </w:tcPr>
                <w:p w14:paraId="1BC595A2" w14:textId="77777777" w:rsidR="009C6940" w:rsidRPr="00EF7969" w:rsidRDefault="009C6940" w:rsidP="009C6940">
                  <w:pPr>
                    <w:pStyle w:val="TableBodyText"/>
                  </w:pPr>
                  <w:r w:rsidRPr="00EF7969">
                    <w:t>657</w:t>
                  </w:r>
                </w:p>
              </w:tc>
            </w:tr>
            <w:tr w:rsidR="009C6940" w:rsidRPr="00EF7969" w14:paraId="1B7A2795" w14:textId="77777777" w:rsidTr="009C6940">
              <w:tc>
                <w:tcPr>
                  <w:tcW w:w="6377" w:type="dxa"/>
                  <w:shd w:val="clear" w:color="auto" w:fill="auto"/>
                </w:tcPr>
                <w:p w14:paraId="5164A209" w14:textId="77777777" w:rsidR="009C6940" w:rsidRPr="00EF7969" w:rsidRDefault="009C6940" w:rsidP="009C6940">
                  <w:pPr>
                    <w:pStyle w:val="TableBodyText"/>
                    <w:jc w:val="left"/>
                  </w:pPr>
                  <w:r w:rsidRPr="00EF7969">
                    <w:t>Stop Organised Rape and Torture of Children</w:t>
                  </w:r>
                </w:p>
              </w:tc>
              <w:tc>
                <w:tcPr>
                  <w:tcW w:w="2126" w:type="dxa"/>
                  <w:shd w:val="clear" w:color="auto" w:fill="auto"/>
                </w:tcPr>
                <w:p w14:paraId="1CA906E4" w14:textId="77777777" w:rsidR="009C6940" w:rsidRPr="00EF7969" w:rsidRDefault="009C6940" w:rsidP="009C6940">
                  <w:pPr>
                    <w:pStyle w:val="TableBodyText"/>
                  </w:pPr>
                  <w:r w:rsidRPr="00EF7969">
                    <w:t>400</w:t>
                  </w:r>
                </w:p>
              </w:tc>
            </w:tr>
            <w:tr w:rsidR="009C6940" w:rsidRPr="00EF7969" w14:paraId="35F872EE" w14:textId="77777777" w:rsidTr="009C6940">
              <w:tc>
                <w:tcPr>
                  <w:tcW w:w="6377" w:type="dxa"/>
                  <w:shd w:val="clear" w:color="auto" w:fill="auto"/>
                </w:tcPr>
                <w:p w14:paraId="384D2EEF" w14:textId="77777777" w:rsidR="009C6940" w:rsidRPr="00EF7969" w:rsidRDefault="009C6940" w:rsidP="009C6940">
                  <w:pPr>
                    <w:pStyle w:val="TableBodyText"/>
                    <w:jc w:val="left"/>
                  </w:pPr>
                  <w:r w:rsidRPr="00EF7969">
                    <w:t>Streamliners NZ (SNZ)</w:t>
                  </w:r>
                </w:p>
              </w:tc>
              <w:tc>
                <w:tcPr>
                  <w:tcW w:w="2126" w:type="dxa"/>
                  <w:shd w:val="clear" w:color="auto" w:fill="auto"/>
                </w:tcPr>
                <w:p w14:paraId="040E5C52" w14:textId="77777777" w:rsidR="009C6940" w:rsidRPr="00EF7969" w:rsidRDefault="009C6940" w:rsidP="009C6940">
                  <w:pPr>
                    <w:pStyle w:val="TableBodyText"/>
                  </w:pPr>
                  <w:r w:rsidRPr="00EF7969">
                    <w:t>820</w:t>
                  </w:r>
                </w:p>
              </w:tc>
            </w:tr>
            <w:tr w:rsidR="009C6940" w:rsidRPr="00EF7969" w14:paraId="12C4D417" w14:textId="77777777" w:rsidTr="009C6940">
              <w:tc>
                <w:tcPr>
                  <w:tcW w:w="6377" w:type="dxa"/>
                  <w:shd w:val="clear" w:color="auto" w:fill="auto"/>
                </w:tcPr>
                <w:p w14:paraId="175DF6B2" w14:textId="77777777" w:rsidR="009C6940" w:rsidRPr="00EF7969" w:rsidRDefault="009C6940" w:rsidP="009C6940">
                  <w:pPr>
                    <w:pStyle w:val="TableBodyText"/>
                    <w:jc w:val="left"/>
                  </w:pPr>
                  <w:r w:rsidRPr="00EF7969">
                    <w:t>Stroke Foundation</w:t>
                  </w:r>
                </w:p>
              </w:tc>
              <w:tc>
                <w:tcPr>
                  <w:tcW w:w="2126" w:type="dxa"/>
                  <w:shd w:val="clear" w:color="auto" w:fill="auto"/>
                </w:tcPr>
                <w:p w14:paraId="0ACDC32A" w14:textId="77777777" w:rsidR="009C6940" w:rsidRPr="00EF7969" w:rsidRDefault="009C6940" w:rsidP="009C6940">
                  <w:pPr>
                    <w:pStyle w:val="TableBodyText"/>
                  </w:pPr>
                  <w:r w:rsidRPr="00EF7969">
                    <w:t>281</w:t>
                  </w:r>
                </w:p>
              </w:tc>
            </w:tr>
            <w:tr w:rsidR="009C6940" w:rsidRPr="00EF7969" w14:paraId="2C6563D0" w14:textId="77777777" w:rsidTr="009C6940">
              <w:tc>
                <w:tcPr>
                  <w:tcW w:w="6377" w:type="dxa"/>
                  <w:shd w:val="clear" w:color="auto" w:fill="auto"/>
                </w:tcPr>
                <w:p w14:paraId="240921D1" w14:textId="77777777" w:rsidR="009C6940" w:rsidRPr="00EF7969" w:rsidRDefault="009C6940" w:rsidP="009C6940">
                  <w:pPr>
                    <w:pStyle w:val="TableBodyText"/>
                    <w:jc w:val="left"/>
                  </w:pPr>
                  <w:r w:rsidRPr="00EF7969">
                    <w:t>Stronger Brains</w:t>
                  </w:r>
                </w:p>
              </w:tc>
              <w:tc>
                <w:tcPr>
                  <w:tcW w:w="2126" w:type="dxa"/>
                  <w:shd w:val="clear" w:color="auto" w:fill="auto"/>
                </w:tcPr>
                <w:p w14:paraId="0D630FE4" w14:textId="77777777" w:rsidR="009C6940" w:rsidRPr="00EF7969" w:rsidRDefault="009C6940" w:rsidP="009C6940">
                  <w:pPr>
                    <w:pStyle w:val="TableBodyText"/>
                  </w:pPr>
                  <w:r w:rsidRPr="00EF7969">
                    <w:t>591</w:t>
                  </w:r>
                </w:p>
              </w:tc>
            </w:tr>
            <w:tr w:rsidR="009C6940" w:rsidRPr="00EF7969" w14:paraId="35982435" w14:textId="77777777" w:rsidTr="009C6940">
              <w:tc>
                <w:tcPr>
                  <w:tcW w:w="6377" w:type="dxa"/>
                  <w:shd w:val="clear" w:color="auto" w:fill="auto"/>
                </w:tcPr>
                <w:p w14:paraId="48B2EF10" w14:textId="77777777" w:rsidR="009C6940" w:rsidRPr="00EF7969" w:rsidRDefault="009C6940" w:rsidP="009C6940">
                  <w:pPr>
                    <w:pStyle w:val="TableBodyText"/>
                    <w:jc w:val="left"/>
                  </w:pPr>
                  <w:r w:rsidRPr="00EF7969">
                    <w:t>Stuart Brasted</w:t>
                  </w:r>
                </w:p>
              </w:tc>
              <w:tc>
                <w:tcPr>
                  <w:tcW w:w="2126" w:type="dxa"/>
                  <w:shd w:val="clear" w:color="auto" w:fill="auto"/>
                </w:tcPr>
                <w:p w14:paraId="138A241D" w14:textId="77777777" w:rsidR="009C6940" w:rsidRPr="00EF7969" w:rsidRDefault="009C6940" w:rsidP="009C6940">
                  <w:pPr>
                    <w:pStyle w:val="TableBodyText"/>
                  </w:pPr>
                  <w:r w:rsidRPr="00EF7969">
                    <w:t>903</w:t>
                  </w:r>
                </w:p>
              </w:tc>
            </w:tr>
            <w:tr w:rsidR="009C6940" w:rsidRPr="00EF7969" w14:paraId="7A52BF03" w14:textId="77777777" w:rsidTr="009C6940">
              <w:tc>
                <w:tcPr>
                  <w:tcW w:w="6377" w:type="dxa"/>
                  <w:shd w:val="clear" w:color="auto" w:fill="auto"/>
                </w:tcPr>
                <w:p w14:paraId="28B1DD85" w14:textId="77777777" w:rsidR="009C6940" w:rsidRPr="00EF7969" w:rsidRDefault="009C6940" w:rsidP="009C6940">
                  <w:pPr>
                    <w:pStyle w:val="TableBodyText"/>
                    <w:jc w:val="left"/>
                  </w:pPr>
                  <w:r w:rsidRPr="00EF7969">
                    <w:t>Stuart Gamble</w:t>
                  </w:r>
                </w:p>
              </w:tc>
              <w:tc>
                <w:tcPr>
                  <w:tcW w:w="2126" w:type="dxa"/>
                  <w:shd w:val="clear" w:color="auto" w:fill="auto"/>
                </w:tcPr>
                <w:p w14:paraId="4A8C101B" w14:textId="77777777" w:rsidR="009C6940" w:rsidRPr="00EF7969" w:rsidRDefault="009C6940" w:rsidP="009C6940">
                  <w:pPr>
                    <w:pStyle w:val="TableBodyText"/>
                  </w:pPr>
                  <w:r w:rsidRPr="00EF7969">
                    <w:t>730</w:t>
                  </w:r>
                </w:p>
              </w:tc>
            </w:tr>
            <w:tr w:rsidR="009C6940" w:rsidRPr="00EF7969" w14:paraId="73CC810E" w14:textId="77777777" w:rsidTr="009C6940">
              <w:tc>
                <w:tcPr>
                  <w:tcW w:w="6377" w:type="dxa"/>
                  <w:shd w:val="clear" w:color="auto" w:fill="auto"/>
                </w:tcPr>
                <w:p w14:paraId="5376C2CF" w14:textId="77777777" w:rsidR="009C6940" w:rsidRPr="00EF7969" w:rsidRDefault="009C6940" w:rsidP="009C6940">
                  <w:pPr>
                    <w:pStyle w:val="TableBodyText"/>
                    <w:jc w:val="left"/>
                  </w:pPr>
                  <w:r w:rsidRPr="00EF7969">
                    <w:t>Stuart Lee Riley</w:t>
                  </w:r>
                </w:p>
              </w:tc>
              <w:tc>
                <w:tcPr>
                  <w:tcW w:w="2126" w:type="dxa"/>
                  <w:shd w:val="clear" w:color="auto" w:fill="auto"/>
                </w:tcPr>
                <w:p w14:paraId="0E1C6E9F" w14:textId="77777777" w:rsidR="009C6940" w:rsidRPr="00EF7969" w:rsidRDefault="009C6940" w:rsidP="009C6940">
                  <w:pPr>
                    <w:pStyle w:val="TableBodyText"/>
                  </w:pPr>
                  <w:r w:rsidRPr="00EF7969">
                    <w:t>713</w:t>
                  </w:r>
                </w:p>
              </w:tc>
            </w:tr>
            <w:tr w:rsidR="009C6940" w:rsidRPr="00EF7969" w14:paraId="18813002" w14:textId="77777777" w:rsidTr="009C6940">
              <w:tc>
                <w:tcPr>
                  <w:tcW w:w="6377" w:type="dxa"/>
                  <w:shd w:val="clear" w:color="auto" w:fill="auto"/>
                </w:tcPr>
                <w:p w14:paraId="077FF83D" w14:textId="77777777" w:rsidR="009C6940" w:rsidRPr="00EF7969" w:rsidRDefault="009C6940" w:rsidP="009C6940">
                  <w:pPr>
                    <w:pStyle w:val="TableBodyText"/>
                    <w:jc w:val="left"/>
                  </w:pPr>
                  <w:r w:rsidRPr="00EF7969">
                    <w:t>Sue Chung</w:t>
                  </w:r>
                </w:p>
              </w:tc>
              <w:tc>
                <w:tcPr>
                  <w:tcW w:w="2126" w:type="dxa"/>
                  <w:shd w:val="clear" w:color="auto" w:fill="auto"/>
                </w:tcPr>
                <w:p w14:paraId="53630344" w14:textId="77777777" w:rsidR="009C6940" w:rsidRPr="00EF7969" w:rsidRDefault="009C6940" w:rsidP="009C6940">
                  <w:pPr>
                    <w:pStyle w:val="TableBodyText"/>
                  </w:pPr>
                  <w:r w:rsidRPr="00EF7969">
                    <w:t>1089</w:t>
                  </w:r>
                </w:p>
              </w:tc>
            </w:tr>
            <w:tr w:rsidR="009C6940" w:rsidRPr="00EF7969" w14:paraId="5900F273" w14:textId="77777777" w:rsidTr="009C6940">
              <w:tc>
                <w:tcPr>
                  <w:tcW w:w="6377" w:type="dxa"/>
                  <w:shd w:val="clear" w:color="auto" w:fill="auto"/>
                </w:tcPr>
                <w:p w14:paraId="2F1B6A36" w14:textId="77777777" w:rsidR="009C6940" w:rsidRPr="00EF7969" w:rsidRDefault="009C6940" w:rsidP="009C6940">
                  <w:pPr>
                    <w:pStyle w:val="TableBodyText"/>
                    <w:jc w:val="left"/>
                  </w:pPr>
                  <w:r w:rsidRPr="00EF7969">
                    <w:t xml:space="preserve">Suicide Prevention Australia </w:t>
                  </w:r>
                </w:p>
              </w:tc>
              <w:tc>
                <w:tcPr>
                  <w:tcW w:w="2126" w:type="dxa"/>
                  <w:shd w:val="clear" w:color="auto" w:fill="auto"/>
                </w:tcPr>
                <w:p w14:paraId="49C656E9" w14:textId="77777777" w:rsidR="009C6940" w:rsidRPr="00EF7969" w:rsidRDefault="009C6940" w:rsidP="009C6940">
                  <w:pPr>
                    <w:pStyle w:val="TableBodyText"/>
                  </w:pPr>
                  <w:r w:rsidRPr="00EF7969">
                    <w:t>523, 1189</w:t>
                  </w:r>
                </w:p>
              </w:tc>
            </w:tr>
            <w:tr w:rsidR="009C6940" w:rsidRPr="00EF7969" w14:paraId="778C1CA0" w14:textId="77777777" w:rsidTr="009C6940">
              <w:tc>
                <w:tcPr>
                  <w:tcW w:w="6377" w:type="dxa"/>
                  <w:shd w:val="clear" w:color="auto" w:fill="auto"/>
                </w:tcPr>
                <w:p w14:paraId="1461FC66" w14:textId="77777777" w:rsidR="009C6940" w:rsidRPr="00EF7969" w:rsidRDefault="009C6940" w:rsidP="009C6940">
                  <w:pPr>
                    <w:pStyle w:val="TableBodyText"/>
                    <w:jc w:val="left"/>
                  </w:pPr>
                  <w:r w:rsidRPr="00EF7969">
                    <w:t>SuperFriend</w:t>
                  </w:r>
                </w:p>
              </w:tc>
              <w:tc>
                <w:tcPr>
                  <w:tcW w:w="2126" w:type="dxa"/>
                  <w:shd w:val="clear" w:color="auto" w:fill="auto"/>
                </w:tcPr>
                <w:p w14:paraId="0E1C87A2" w14:textId="77777777" w:rsidR="009C6940" w:rsidRPr="00EF7969" w:rsidRDefault="009C6940" w:rsidP="009C6940">
                  <w:pPr>
                    <w:pStyle w:val="TableBodyText"/>
                  </w:pPr>
                  <w:r w:rsidRPr="00EF7969">
                    <w:t>216, 873</w:t>
                  </w:r>
                </w:p>
              </w:tc>
            </w:tr>
            <w:tr w:rsidR="009C6940" w:rsidRPr="00EF7969" w14:paraId="6607452B" w14:textId="77777777" w:rsidTr="009C6940">
              <w:tc>
                <w:tcPr>
                  <w:tcW w:w="6377" w:type="dxa"/>
                  <w:shd w:val="clear" w:color="auto" w:fill="auto"/>
                </w:tcPr>
                <w:p w14:paraId="553330F7" w14:textId="77777777" w:rsidR="009C6940" w:rsidRPr="00EF7969" w:rsidRDefault="009C6940" w:rsidP="009C6940">
                  <w:pPr>
                    <w:pStyle w:val="TableBodyText"/>
                    <w:jc w:val="left"/>
                  </w:pPr>
                  <w:r w:rsidRPr="00EF7969">
                    <w:t>Supportive Residents and Carers Action Group Inc</w:t>
                  </w:r>
                </w:p>
              </w:tc>
              <w:tc>
                <w:tcPr>
                  <w:tcW w:w="2126" w:type="dxa"/>
                  <w:shd w:val="clear" w:color="auto" w:fill="auto"/>
                </w:tcPr>
                <w:p w14:paraId="27EA63E6" w14:textId="77777777" w:rsidR="009C6940" w:rsidRPr="00EF7969" w:rsidRDefault="009C6940" w:rsidP="009C6940">
                  <w:pPr>
                    <w:pStyle w:val="TableBodyText"/>
                  </w:pPr>
                  <w:r w:rsidRPr="00EF7969">
                    <w:t>11</w:t>
                  </w:r>
                </w:p>
              </w:tc>
            </w:tr>
            <w:tr w:rsidR="009C6940" w:rsidRPr="00EF7969" w14:paraId="5E4E14DA" w14:textId="77777777" w:rsidTr="004E2ABA">
              <w:tc>
                <w:tcPr>
                  <w:tcW w:w="6377" w:type="dxa"/>
                  <w:shd w:val="clear" w:color="auto" w:fill="auto"/>
                </w:tcPr>
                <w:p w14:paraId="3FF581ED" w14:textId="77777777" w:rsidR="009C6940" w:rsidRPr="00EF7969" w:rsidRDefault="009C6940" w:rsidP="009C6940">
                  <w:pPr>
                    <w:pStyle w:val="TableBodyText"/>
                    <w:jc w:val="left"/>
                  </w:pPr>
                  <w:r w:rsidRPr="00EF7969">
                    <w:t>Susan Kopittke</w:t>
                  </w:r>
                </w:p>
              </w:tc>
              <w:tc>
                <w:tcPr>
                  <w:tcW w:w="2126" w:type="dxa"/>
                  <w:shd w:val="clear" w:color="auto" w:fill="auto"/>
                </w:tcPr>
                <w:p w14:paraId="48862BE0" w14:textId="77777777" w:rsidR="009C6940" w:rsidRPr="00EF7969" w:rsidRDefault="009C6940" w:rsidP="009C6940">
                  <w:pPr>
                    <w:pStyle w:val="TableBodyText"/>
                  </w:pPr>
                  <w:r w:rsidRPr="00EF7969">
                    <w:t>596</w:t>
                  </w:r>
                </w:p>
              </w:tc>
            </w:tr>
            <w:tr w:rsidR="009C6940" w:rsidRPr="00EF7969" w14:paraId="7957E38A" w14:textId="77777777" w:rsidTr="004E2ABA">
              <w:tc>
                <w:tcPr>
                  <w:tcW w:w="6377" w:type="dxa"/>
                  <w:tcBorders>
                    <w:bottom w:val="single" w:sz="4" w:space="0" w:color="BFBFBF"/>
                  </w:tcBorders>
                  <w:shd w:val="clear" w:color="auto" w:fill="auto"/>
                </w:tcPr>
                <w:p w14:paraId="7482DF49" w14:textId="77777777" w:rsidR="009C6940" w:rsidRPr="00EF7969" w:rsidRDefault="009C6940" w:rsidP="009C6940">
                  <w:pPr>
                    <w:pStyle w:val="TableBodyText"/>
                    <w:jc w:val="left"/>
                  </w:pPr>
                  <w:r w:rsidRPr="00EF7969">
                    <w:t>Susan Vaughan</w:t>
                  </w:r>
                </w:p>
              </w:tc>
              <w:tc>
                <w:tcPr>
                  <w:tcW w:w="2126" w:type="dxa"/>
                  <w:tcBorders>
                    <w:bottom w:val="single" w:sz="4" w:space="0" w:color="BFBFBF"/>
                  </w:tcBorders>
                  <w:shd w:val="clear" w:color="auto" w:fill="auto"/>
                </w:tcPr>
                <w:p w14:paraId="5BBCE988" w14:textId="77777777" w:rsidR="009C6940" w:rsidRPr="00EF7969" w:rsidRDefault="009C6940" w:rsidP="009C6940">
                  <w:pPr>
                    <w:pStyle w:val="TableBodyText"/>
                  </w:pPr>
                  <w:r w:rsidRPr="00EF7969">
                    <w:t>1133</w:t>
                  </w:r>
                </w:p>
              </w:tc>
            </w:tr>
          </w:tbl>
          <w:p w14:paraId="3BC11CDE" w14:textId="77777777" w:rsidR="009C6940" w:rsidRPr="00EF7969" w:rsidRDefault="009C6940" w:rsidP="009C6940">
            <w:pPr>
              <w:pStyle w:val="Box"/>
            </w:pPr>
          </w:p>
        </w:tc>
      </w:tr>
      <w:tr w:rsidR="009C6940" w:rsidRPr="00EF7969" w14:paraId="1BDD934D" w14:textId="77777777" w:rsidTr="009C6940">
        <w:tc>
          <w:tcPr>
            <w:tcW w:w="8789" w:type="dxa"/>
            <w:tcBorders>
              <w:top w:val="nil"/>
              <w:left w:val="nil"/>
              <w:bottom w:val="nil"/>
              <w:right w:val="nil"/>
            </w:tcBorders>
            <w:shd w:val="clear" w:color="auto" w:fill="auto"/>
          </w:tcPr>
          <w:p w14:paraId="35265D7F" w14:textId="77777777" w:rsidR="009C6940" w:rsidRPr="00EF7969" w:rsidRDefault="009C6940" w:rsidP="009C6940">
            <w:pPr>
              <w:pStyle w:val="Continued"/>
            </w:pPr>
            <w:r w:rsidRPr="00EF7969">
              <w:t>(continued next page)</w:t>
            </w:r>
          </w:p>
        </w:tc>
      </w:tr>
      <w:tr w:rsidR="009C6940" w:rsidRPr="00EF7969" w14:paraId="31B5A7B7" w14:textId="77777777" w:rsidTr="009C6940">
        <w:tc>
          <w:tcPr>
            <w:tcW w:w="8789" w:type="dxa"/>
            <w:tcBorders>
              <w:top w:val="nil"/>
              <w:left w:val="nil"/>
              <w:bottom w:val="single" w:sz="6" w:space="0" w:color="78A22F"/>
              <w:right w:val="nil"/>
            </w:tcBorders>
            <w:shd w:val="clear" w:color="auto" w:fill="auto"/>
          </w:tcPr>
          <w:p w14:paraId="1E68B35D" w14:textId="77777777" w:rsidR="009C6940" w:rsidRPr="00EF7969" w:rsidRDefault="009C6940" w:rsidP="009C6940">
            <w:pPr>
              <w:pStyle w:val="Box"/>
              <w:spacing w:before="0" w:line="120" w:lineRule="exact"/>
            </w:pPr>
          </w:p>
        </w:tc>
      </w:tr>
      <w:tr w:rsidR="009C6940" w:rsidRPr="00EF7969" w14:paraId="2DCDA233" w14:textId="77777777" w:rsidTr="009C6940">
        <w:tc>
          <w:tcPr>
            <w:tcW w:w="8789" w:type="dxa"/>
            <w:tcBorders>
              <w:top w:val="single" w:sz="6" w:space="0" w:color="78A22F"/>
              <w:left w:val="nil"/>
              <w:bottom w:val="nil"/>
              <w:right w:val="nil"/>
            </w:tcBorders>
          </w:tcPr>
          <w:p w14:paraId="20EFE269" w14:textId="77777777" w:rsidR="009C6940" w:rsidRPr="00EF7969" w:rsidRDefault="009C6940" w:rsidP="009C6940">
            <w:pPr>
              <w:pStyle w:val="BoxSpaceBelow"/>
            </w:pPr>
          </w:p>
        </w:tc>
      </w:tr>
    </w:tbl>
    <w:p w14:paraId="44D44004"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6A88E636" w14:textId="77777777" w:rsidTr="009C6940">
        <w:trPr>
          <w:tblHeader/>
        </w:trPr>
        <w:tc>
          <w:tcPr>
            <w:tcW w:w="8789" w:type="dxa"/>
            <w:tcBorders>
              <w:top w:val="single" w:sz="6" w:space="0" w:color="78A22F"/>
              <w:left w:val="nil"/>
              <w:bottom w:val="nil"/>
              <w:right w:val="nil"/>
            </w:tcBorders>
            <w:shd w:val="clear" w:color="auto" w:fill="auto"/>
          </w:tcPr>
          <w:p w14:paraId="1DA8A9DB"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01A489F2"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0AE7DB70"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20F4938A"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61CCDA84" w14:textId="77777777" w:rsidR="009C6940" w:rsidRPr="00EF7969" w:rsidRDefault="009C6940" w:rsidP="009C6940">
                  <w:pPr>
                    <w:pStyle w:val="TableColumnHeading"/>
                    <w:ind w:right="28"/>
                  </w:pPr>
                  <w:r w:rsidRPr="00EF7969">
                    <w:t>Submission no.</w:t>
                  </w:r>
                </w:p>
              </w:tc>
            </w:tr>
            <w:tr w:rsidR="009C6940" w:rsidRPr="00EF7969" w14:paraId="0EE3EB53" w14:textId="77777777" w:rsidTr="009C6940">
              <w:tc>
                <w:tcPr>
                  <w:tcW w:w="6377" w:type="dxa"/>
                  <w:shd w:val="clear" w:color="auto" w:fill="auto"/>
                </w:tcPr>
                <w:p w14:paraId="7BDA1739" w14:textId="77777777" w:rsidR="009C6940" w:rsidRPr="00EF7969" w:rsidRDefault="009C6940" w:rsidP="009C6940">
                  <w:pPr>
                    <w:pStyle w:val="TableBodyText"/>
                    <w:spacing w:before="40"/>
                    <w:jc w:val="left"/>
                  </w:pPr>
                  <w:r w:rsidRPr="00EF7969">
                    <w:t>Sydney Treatment Alternatives Advocacy Group</w:t>
                  </w:r>
                </w:p>
              </w:tc>
              <w:tc>
                <w:tcPr>
                  <w:tcW w:w="2126" w:type="dxa"/>
                  <w:shd w:val="clear" w:color="auto" w:fill="auto"/>
                </w:tcPr>
                <w:p w14:paraId="78B9E71B" w14:textId="77777777" w:rsidR="009C6940" w:rsidRPr="00EF7969" w:rsidRDefault="009C6940" w:rsidP="009C6940">
                  <w:pPr>
                    <w:pStyle w:val="TableBodyText"/>
                    <w:spacing w:before="40"/>
                  </w:pPr>
                  <w:r w:rsidRPr="00EF7969">
                    <w:t>170</w:t>
                  </w:r>
                </w:p>
              </w:tc>
            </w:tr>
            <w:tr w:rsidR="009C6940" w:rsidRPr="00EF7969" w14:paraId="60D9F0EB" w14:textId="77777777" w:rsidTr="009C6940">
              <w:tc>
                <w:tcPr>
                  <w:tcW w:w="6377" w:type="dxa"/>
                  <w:shd w:val="clear" w:color="auto" w:fill="auto"/>
                </w:tcPr>
                <w:p w14:paraId="58C79403" w14:textId="77777777" w:rsidR="009C6940" w:rsidRPr="00EF7969" w:rsidRDefault="009C6940" w:rsidP="009C6940">
                  <w:pPr>
                    <w:pStyle w:val="TableBodyText"/>
                    <w:jc w:val="left"/>
                  </w:pPr>
                  <w:r w:rsidRPr="00EF7969">
                    <w:t>Sydney Youth Orchestras (SYO)</w:t>
                  </w:r>
                </w:p>
              </w:tc>
              <w:tc>
                <w:tcPr>
                  <w:tcW w:w="2126" w:type="dxa"/>
                  <w:shd w:val="clear" w:color="auto" w:fill="auto"/>
                </w:tcPr>
                <w:p w14:paraId="7B860E27" w14:textId="77777777" w:rsidR="009C6940" w:rsidRPr="00EF7969" w:rsidRDefault="009C6940" w:rsidP="009C6940">
                  <w:pPr>
                    <w:pStyle w:val="TableBodyText"/>
                  </w:pPr>
                  <w:r w:rsidRPr="00EF7969">
                    <w:t>327</w:t>
                  </w:r>
                </w:p>
              </w:tc>
            </w:tr>
            <w:tr w:rsidR="009C6940" w:rsidRPr="00EF7969" w14:paraId="475F2C3D" w14:textId="77777777" w:rsidTr="009C6940">
              <w:tc>
                <w:tcPr>
                  <w:tcW w:w="6377" w:type="dxa"/>
                  <w:shd w:val="clear" w:color="auto" w:fill="auto"/>
                </w:tcPr>
                <w:p w14:paraId="23FC3FDD" w14:textId="77777777" w:rsidR="009C6940" w:rsidRPr="00EF7969" w:rsidRDefault="009C6940" w:rsidP="009C6940">
                  <w:pPr>
                    <w:pStyle w:val="TableBodyText"/>
                    <w:jc w:val="left"/>
                  </w:pPr>
                  <w:r w:rsidRPr="00EF7969">
                    <w:t>TAL Life Limited</w:t>
                  </w:r>
                </w:p>
              </w:tc>
              <w:tc>
                <w:tcPr>
                  <w:tcW w:w="2126" w:type="dxa"/>
                  <w:shd w:val="clear" w:color="auto" w:fill="auto"/>
                </w:tcPr>
                <w:p w14:paraId="1F2AC89F" w14:textId="77777777" w:rsidR="009C6940" w:rsidRPr="00EF7969" w:rsidRDefault="009C6940" w:rsidP="009C6940">
                  <w:pPr>
                    <w:pStyle w:val="TableBodyText"/>
                  </w:pPr>
                  <w:r w:rsidRPr="00EF7969">
                    <w:t>643</w:t>
                  </w:r>
                </w:p>
              </w:tc>
            </w:tr>
            <w:tr w:rsidR="009C6940" w:rsidRPr="00EF7969" w14:paraId="5F4B47AE" w14:textId="77777777" w:rsidTr="009C6940">
              <w:tc>
                <w:tcPr>
                  <w:tcW w:w="6377" w:type="dxa"/>
                  <w:shd w:val="clear" w:color="auto" w:fill="auto"/>
                </w:tcPr>
                <w:p w14:paraId="29310E02" w14:textId="77777777" w:rsidR="009C6940" w:rsidRPr="00EF7969" w:rsidRDefault="009C6940" w:rsidP="009C6940">
                  <w:pPr>
                    <w:pStyle w:val="TableBodyText"/>
                    <w:jc w:val="left"/>
                  </w:pPr>
                  <w:r w:rsidRPr="00EF7969">
                    <w:t>Tammy Kiggins</w:t>
                  </w:r>
                </w:p>
              </w:tc>
              <w:tc>
                <w:tcPr>
                  <w:tcW w:w="2126" w:type="dxa"/>
                  <w:shd w:val="clear" w:color="auto" w:fill="auto"/>
                </w:tcPr>
                <w:p w14:paraId="59F32124" w14:textId="77777777" w:rsidR="009C6940" w:rsidRPr="00EF7969" w:rsidRDefault="009C6940" w:rsidP="009C6940">
                  <w:pPr>
                    <w:pStyle w:val="TableBodyText"/>
                  </w:pPr>
                  <w:r w:rsidRPr="00EF7969">
                    <w:t>814</w:t>
                  </w:r>
                </w:p>
              </w:tc>
            </w:tr>
            <w:tr w:rsidR="009C6940" w:rsidRPr="00EF7969" w14:paraId="65F32F06" w14:textId="77777777" w:rsidTr="009C6940">
              <w:tc>
                <w:tcPr>
                  <w:tcW w:w="6377" w:type="dxa"/>
                  <w:shd w:val="clear" w:color="auto" w:fill="auto"/>
                </w:tcPr>
                <w:p w14:paraId="6609C3BD" w14:textId="77777777" w:rsidR="009C6940" w:rsidRPr="00EF7969" w:rsidRDefault="009C6940" w:rsidP="009C6940">
                  <w:pPr>
                    <w:pStyle w:val="TableBodyText"/>
                    <w:jc w:val="left"/>
                  </w:pPr>
                  <w:r w:rsidRPr="00EF7969">
                    <w:t>Tandem</w:t>
                  </w:r>
                </w:p>
              </w:tc>
              <w:tc>
                <w:tcPr>
                  <w:tcW w:w="2126" w:type="dxa"/>
                  <w:shd w:val="clear" w:color="auto" w:fill="auto"/>
                </w:tcPr>
                <w:p w14:paraId="1FA70839" w14:textId="77777777" w:rsidR="009C6940" w:rsidRPr="00EF7969" w:rsidRDefault="009C6940" w:rsidP="009C6940">
                  <w:pPr>
                    <w:pStyle w:val="TableBodyText"/>
                  </w:pPr>
                  <w:r w:rsidRPr="00EF7969">
                    <w:t>502, 854</w:t>
                  </w:r>
                </w:p>
              </w:tc>
            </w:tr>
            <w:tr w:rsidR="009C6940" w:rsidRPr="00EF7969" w14:paraId="7BABAA71" w14:textId="77777777" w:rsidTr="009C6940">
              <w:tc>
                <w:tcPr>
                  <w:tcW w:w="6377" w:type="dxa"/>
                  <w:shd w:val="clear" w:color="auto" w:fill="auto"/>
                </w:tcPr>
                <w:p w14:paraId="3D5FDB7C" w14:textId="77777777" w:rsidR="009C6940" w:rsidRPr="00EF7969" w:rsidRDefault="009C6940" w:rsidP="009C6940">
                  <w:pPr>
                    <w:pStyle w:val="TableBodyText"/>
                    <w:jc w:val="left"/>
                  </w:pPr>
                  <w:r w:rsidRPr="00EF7969">
                    <w:t>Tania Budimir</w:t>
                  </w:r>
                </w:p>
              </w:tc>
              <w:tc>
                <w:tcPr>
                  <w:tcW w:w="2126" w:type="dxa"/>
                  <w:shd w:val="clear" w:color="auto" w:fill="auto"/>
                </w:tcPr>
                <w:p w14:paraId="217409E0" w14:textId="77777777" w:rsidR="009C6940" w:rsidRPr="00EF7969" w:rsidRDefault="009C6940" w:rsidP="009C6940">
                  <w:pPr>
                    <w:pStyle w:val="TableBodyText"/>
                  </w:pPr>
                  <w:r w:rsidRPr="00EF7969">
                    <w:t>601, 651</w:t>
                  </w:r>
                </w:p>
              </w:tc>
            </w:tr>
            <w:tr w:rsidR="009C6940" w:rsidRPr="00EF7969" w14:paraId="359664EF" w14:textId="77777777" w:rsidTr="009C6940">
              <w:tc>
                <w:tcPr>
                  <w:tcW w:w="6377" w:type="dxa"/>
                  <w:shd w:val="clear" w:color="auto" w:fill="auto"/>
                </w:tcPr>
                <w:p w14:paraId="03B6A99D" w14:textId="77777777" w:rsidR="009C6940" w:rsidRPr="00EF7969" w:rsidRDefault="009C6940" w:rsidP="009C6940">
                  <w:pPr>
                    <w:pStyle w:val="TableBodyText"/>
                    <w:jc w:val="left"/>
                  </w:pPr>
                  <w:r w:rsidRPr="00EF7969">
                    <w:t>Tanya Goddard</w:t>
                  </w:r>
                </w:p>
              </w:tc>
              <w:tc>
                <w:tcPr>
                  <w:tcW w:w="2126" w:type="dxa"/>
                  <w:shd w:val="clear" w:color="auto" w:fill="auto"/>
                </w:tcPr>
                <w:p w14:paraId="1195A98E" w14:textId="77777777" w:rsidR="009C6940" w:rsidRPr="00EF7969" w:rsidRDefault="009C6940" w:rsidP="009C6940">
                  <w:pPr>
                    <w:pStyle w:val="TableBodyText"/>
                  </w:pPr>
                  <w:r w:rsidRPr="00EF7969">
                    <w:t>957</w:t>
                  </w:r>
                </w:p>
              </w:tc>
            </w:tr>
            <w:tr w:rsidR="009C6940" w:rsidRPr="00EF7969" w14:paraId="20B9F918" w14:textId="77777777" w:rsidTr="009C6940">
              <w:tc>
                <w:tcPr>
                  <w:tcW w:w="6377" w:type="dxa"/>
                  <w:shd w:val="clear" w:color="auto" w:fill="auto"/>
                </w:tcPr>
                <w:p w14:paraId="65AAEF14" w14:textId="77777777" w:rsidR="009C6940" w:rsidRPr="00EF7969" w:rsidRDefault="009C6940" w:rsidP="009C6940">
                  <w:pPr>
                    <w:pStyle w:val="TableBodyText"/>
                    <w:jc w:val="left"/>
                  </w:pPr>
                  <w:r w:rsidRPr="00EF7969">
                    <w:t>Tarne Dirai</w:t>
                  </w:r>
                </w:p>
              </w:tc>
              <w:tc>
                <w:tcPr>
                  <w:tcW w:w="2126" w:type="dxa"/>
                  <w:shd w:val="clear" w:color="auto" w:fill="auto"/>
                </w:tcPr>
                <w:p w14:paraId="69A2AC54" w14:textId="77777777" w:rsidR="009C6940" w:rsidRPr="00EF7969" w:rsidRDefault="009C6940" w:rsidP="009C6940">
                  <w:pPr>
                    <w:pStyle w:val="TableBodyText"/>
                  </w:pPr>
                  <w:r w:rsidRPr="00EF7969">
                    <w:t>1158</w:t>
                  </w:r>
                </w:p>
              </w:tc>
            </w:tr>
            <w:tr w:rsidR="009C6940" w:rsidRPr="00EF7969" w14:paraId="7E2433D8" w14:textId="77777777" w:rsidTr="009C6940">
              <w:tc>
                <w:tcPr>
                  <w:tcW w:w="6377" w:type="dxa"/>
                  <w:shd w:val="clear" w:color="auto" w:fill="auto"/>
                </w:tcPr>
                <w:p w14:paraId="1995DABF" w14:textId="77777777" w:rsidR="009C6940" w:rsidRPr="00EF7969" w:rsidRDefault="009C6940" w:rsidP="009C6940">
                  <w:pPr>
                    <w:pStyle w:val="TableBodyText"/>
                    <w:jc w:val="left"/>
                  </w:pPr>
                  <w:r w:rsidRPr="00EF7969">
                    <w:t>Tasmanian Branch – Australian Association for Infant Mental Health</w:t>
                  </w:r>
                </w:p>
              </w:tc>
              <w:tc>
                <w:tcPr>
                  <w:tcW w:w="2126" w:type="dxa"/>
                  <w:shd w:val="clear" w:color="auto" w:fill="auto"/>
                </w:tcPr>
                <w:p w14:paraId="24F5A0BD" w14:textId="77777777" w:rsidR="009C6940" w:rsidRPr="00EF7969" w:rsidRDefault="009C6940" w:rsidP="009C6940">
                  <w:pPr>
                    <w:pStyle w:val="TableBodyText"/>
                  </w:pPr>
                  <w:r w:rsidRPr="00EF7969">
                    <w:t>677</w:t>
                  </w:r>
                </w:p>
              </w:tc>
            </w:tr>
            <w:tr w:rsidR="009C6940" w:rsidRPr="00EF7969" w14:paraId="79168742" w14:textId="77777777" w:rsidTr="009C6940">
              <w:tc>
                <w:tcPr>
                  <w:tcW w:w="6377" w:type="dxa"/>
                  <w:shd w:val="clear" w:color="auto" w:fill="auto"/>
                </w:tcPr>
                <w:p w14:paraId="4DE5E6B8" w14:textId="77777777" w:rsidR="009C6940" w:rsidRPr="00EF7969" w:rsidRDefault="009C6940" w:rsidP="009C6940">
                  <w:pPr>
                    <w:pStyle w:val="TableBodyText"/>
                    <w:jc w:val="left"/>
                  </w:pPr>
                  <w:r w:rsidRPr="00EF7969">
                    <w:t>Tasmanian Government</w:t>
                  </w:r>
                </w:p>
              </w:tc>
              <w:tc>
                <w:tcPr>
                  <w:tcW w:w="2126" w:type="dxa"/>
                  <w:shd w:val="clear" w:color="auto" w:fill="auto"/>
                </w:tcPr>
                <w:p w14:paraId="07D1076D" w14:textId="77777777" w:rsidR="009C6940" w:rsidRPr="00EF7969" w:rsidRDefault="009C6940" w:rsidP="009C6940">
                  <w:pPr>
                    <w:pStyle w:val="TableBodyText"/>
                  </w:pPr>
                  <w:r w:rsidRPr="00EF7969">
                    <w:t>498</w:t>
                  </w:r>
                  <w:r>
                    <w:t>, 1242</w:t>
                  </w:r>
                </w:p>
              </w:tc>
            </w:tr>
            <w:tr w:rsidR="009C6940" w:rsidRPr="00EF7969" w14:paraId="12FF453F" w14:textId="77777777" w:rsidTr="009C6940">
              <w:tc>
                <w:tcPr>
                  <w:tcW w:w="6377" w:type="dxa"/>
                  <w:shd w:val="clear" w:color="auto" w:fill="auto"/>
                </w:tcPr>
                <w:p w14:paraId="704FE4B0" w14:textId="77777777" w:rsidR="009C6940" w:rsidRPr="00EF7969" w:rsidRDefault="009C6940" w:rsidP="009C6940">
                  <w:pPr>
                    <w:pStyle w:val="TableBodyText"/>
                    <w:jc w:val="left"/>
                  </w:pPr>
                  <w:r w:rsidRPr="00EF7969">
                    <w:t>Tasmanian State Labor Party</w:t>
                  </w:r>
                </w:p>
              </w:tc>
              <w:tc>
                <w:tcPr>
                  <w:tcW w:w="2126" w:type="dxa"/>
                  <w:shd w:val="clear" w:color="auto" w:fill="auto"/>
                </w:tcPr>
                <w:p w14:paraId="44051B90" w14:textId="77777777" w:rsidR="009C6940" w:rsidRPr="00EF7969" w:rsidRDefault="009C6940" w:rsidP="009C6940">
                  <w:pPr>
                    <w:pStyle w:val="TableBodyText"/>
                  </w:pPr>
                  <w:r w:rsidRPr="00EF7969">
                    <w:t>644</w:t>
                  </w:r>
                </w:p>
              </w:tc>
            </w:tr>
            <w:tr w:rsidR="009C6940" w:rsidRPr="00EF7969" w14:paraId="3C46BB43" w14:textId="77777777" w:rsidTr="009C6940">
              <w:tc>
                <w:tcPr>
                  <w:tcW w:w="6377" w:type="dxa"/>
                  <w:shd w:val="clear" w:color="auto" w:fill="auto"/>
                </w:tcPr>
                <w:p w14:paraId="661044DF" w14:textId="77777777" w:rsidR="009C6940" w:rsidRPr="00EF7969" w:rsidRDefault="009C6940" w:rsidP="009C6940">
                  <w:pPr>
                    <w:pStyle w:val="TableBodyText"/>
                    <w:jc w:val="left"/>
                  </w:pPr>
                  <w:r w:rsidRPr="00EF7969">
                    <w:t>Teal Els</w:t>
                  </w:r>
                </w:p>
              </w:tc>
              <w:tc>
                <w:tcPr>
                  <w:tcW w:w="2126" w:type="dxa"/>
                  <w:shd w:val="clear" w:color="auto" w:fill="auto"/>
                </w:tcPr>
                <w:p w14:paraId="192F07B0" w14:textId="77777777" w:rsidR="009C6940" w:rsidRPr="00EF7969" w:rsidRDefault="009C6940" w:rsidP="009C6940">
                  <w:pPr>
                    <w:pStyle w:val="TableBodyText"/>
                  </w:pPr>
                  <w:r w:rsidRPr="00EF7969">
                    <w:t>1083</w:t>
                  </w:r>
                </w:p>
              </w:tc>
            </w:tr>
            <w:tr w:rsidR="009C6940" w:rsidRPr="00EF7969" w14:paraId="2E73C1BD" w14:textId="77777777" w:rsidTr="009C6940">
              <w:tc>
                <w:tcPr>
                  <w:tcW w:w="6377" w:type="dxa"/>
                  <w:shd w:val="clear" w:color="auto" w:fill="auto"/>
                </w:tcPr>
                <w:p w14:paraId="008AC865" w14:textId="77777777" w:rsidR="009C6940" w:rsidRPr="00EF7969" w:rsidRDefault="009C6940" w:rsidP="009C6940">
                  <w:pPr>
                    <w:pStyle w:val="TableBodyText"/>
                    <w:jc w:val="left"/>
                  </w:pPr>
                  <w:r w:rsidRPr="00EF7969">
                    <w:t>Telethon Kids Institute</w:t>
                  </w:r>
                </w:p>
              </w:tc>
              <w:tc>
                <w:tcPr>
                  <w:tcW w:w="2126" w:type="dxa"/>
                  <w:shd w:val="clear" w:color="auto" w:fill="auto"/>
                </w:tcPr>
                <w:p w14:paraId="67367001" w14:textId="77777777" w:rsidR="009C6940" w:rsidRPr="00EF7969" w:rsidRDefault="009C6940" w:rsidP="009C6940">
                  <w:pPr>
                    <w:pStyle w:val="TableBodyText"/>
                  </w:pPr>
                  <w:r w:rsidRPr="00EF7969">
                    <w:t>793</w:t>
                  </w:r>
                </w:p>
              </w:tc>
            </w:tr>
            <w:tr w:rsidR="009C6940" w:rsidRPr="00EF7969" w14:paraId="36CAE556" w14:textId="77777777" w:rsidTr="009C6940">
              <w:tc>
                <w:tcPr>
                  <w:tcW w:w="6377" w:type="dxa"/>
                  <w:shd w:val="clear" w:color="auto" w:fill="auto"/>
                </w:tcPr>
                <w:p w14:paraId="29DC39C4" w14:textId="77777777" w:rsidR="009C6940" w:rsidRPr="00EF7969" w:rsidRDefault="009C6940" w:rsidP="009C6940">
                  <w:pPr>
                    <w:pStyle w:val="TableBodyText"/>
                    <w:jc w:val="left"/>
                  </w:pPr>
                  <w:r w:rsidRPr="00EF7969">
                    <w:t>Terry Deacon</w:t>
                  </w:r>
                </w:p>
              </w:tc>
              <w:tc>
                <w:tcPr>
                  <w:tcW w:w="2126" w:type="dxa"/>
                  <w:shd w:val="clear" w:color="auto" w:fill="auto"/>
                </w:tcPr>
                <w:p w14:paraId="00A0E056" w14:textId="77777777" w:rsidR="009C6940" w:rsidRPr="00EF7969" w:rsidRDefault="009C6940" w:rsidP="009C6940">
                  <w:pPr>
                    <w:pStyle w:val="TableBodyText"/>
                  </w:pPr>
                  <w:r w:rsidRPr="00EF7969">
                    <w:t>35</w:t>
                  </w:r>
                </w:p>
              </w:tc>
            </w:tr>
            <w:tr w:rsidR="009C6940" w:rsidRPr="00EF7969" w14:paraId="771AEA5D" w14:textId="77777777" w:rsidTr="009C6940">
              <w:tc>
                <w:tcPr>
                  <w:tcW w:w="6377" w:type="dxa"/>
                  <w:shd w:val="clear" w:color="auto" w:fill="auto"/>
                </w:tcPr>
                <w:p w14:paraId="20CCE086" w14:textId="77777777" w:rsidR="009C6940" w:rsidRPr="00EF7969" w:rsidRDefault="009C6940" w:rsidP="009C6940">
                  <w:pPr>
                    <w:pStyle w:val="TableBodyText"/>
                    <w:jc w:val="left"/>
                  </w:pPr>
                  <w:r w:rsidRPr="00EF7969">
                    <w:t>The Bouverie Centre – La Trobe University</w:t>
                  </w:r>
                </w:p>
              </w:tc>
              <w:tc>
                <w:tcPr>
                  <w:tcW w:w="2126" w:type="dxa"/>
                  <w:shd w:val="clear" w:color="auto" w:fill="auto"/>
                </w:tcPr>
                <w:p w14:paraId="6ECE302C" w14:textId="77777777" w:rsidR="009C6940" w:rsidRPr="00EF7969" w:rsidRDefault="009C6940" w:rsidP="009C6940">
                  <w:pPr>
                    <w:pStyle w:val="TableBodyText"/>
                  </w:pPr>
                  <w:r w:rsidRPr="00EF7969">
                    <w:t>719</w:t>
                  </w:r>
                </w:p>
              </w:tc>
            </w:tr>
            <w:tr w:rsidR="009C6940" w:rsidRPr="00EF7969" w14:paraId="154E7D9A" w14:textId="77777777" w:rsidTr="009C6940">
              <w:tc>
                <w:tcPr>
                  <w:tcW w:w="6377" w:type="dxa"/>
                  <w:shd w:val="clear" w:color="auto" w:fill="auto"/>
                </w:tcPr>
                <w:p w14:paraId="5E9DDEA8" w14:textId="77777777" w:rsidR="009C6940" w:rsidRPr="00EF7969" w:rsidRDefault="009C6940" w:rsidP="009C6940">
                  <w:pPr>
                    <w:pStyle w:val="TableBodyText"/>
                    <w:jc w:val="left"/>
                  </w:pPr>
                  <w:r w:rsidRPr="00EF7969">
                    <w:t>The Epicentre Counselling Services</w:t>
                  </w:r>
                </w:p>
              </w:tc>
              <w:tc>
                <w:tcPr>
                  <w:tcW w:w="2126" w:type="dxa"/>
                  <w:shd w:val="clear" w:color="auto" w:fill="auto"/>
                </w:tcPr>
                <w:p w14:paraId="6973AA05" w14:textId="77777777" w:rsidR="009C6940" w:rsidRPr="00EF7969" w:rsidRDefault="009C6940" w:rsidP="009C6940">
                  <w:pPr>
                    <w:pStyle w:val="TableBodyText"/>
                  </w:pPr>
                  <w:r w:rsidRPr="00EF7969">
                    <w:t>725</w:t>
                  </w:r>
                </w:p>
              </w:tc>
            </w:tr>
            <w:tr w:rsidR="009C6940" w:rsidRPr="00EF7969" w14:paraId="39D231E3" w14:textId="77777777" w:rsidTr="009C6940">
              <w:tc>
                <w:tcPr>
                  <w:tcW w:w="6377" w:type="dxa"/>
                  <w:shd w:val="clear" w:color="auto" w:fill="auto"/>
                </w:tcPr>
                <w:p w14:paraId="7F35331D" w14:textId="77777777" w:rsidR="009C6940" w:rsidRPr="00EF7969" w:rsidRDefault="009C6940" w:rsidP="009C6940">
                  <w:pPr>
                    <w:pStyle w:val="TableBodyText"/>
                    <w:jc w:val="left"/>
                  </w:pPr>
                  <w:r w:rsidRPr="00EF7969">
                    <w:t>The Florey Institute of Neuroscience and Mental Health</w:t>
                  </w:r>
                </w:p>
              </w:tc>
              <w:tc>
                <w:tcPr>
                  <w:tcW w:w="2126" w:type="dxa"/>
                  <w:shd w:val="clear" w:color="auto" w:fill="auto"/>
                </w:tcPr>
                <w:p w14:paraId="36F6EC40" w14:textId="77777777" w:rsidR="009C6940" w:rsidRPr="00EF7969" w:rsidRDefault="009C6940" w:rsidP="009C6940">
                  <w:pPr>
                    <w:pStyle w:val="TableBodyText"/>
                  </w:pPr>
                  <w:r w:rsidRPr="00EF7969">
                    <w:t>101</w:t>
                  </w:r>
                </w:p>
              </w:tc>
            </w:tr>
            <w:tr w:rsidR="009C6940" w:rsidRPr="00EF7969" w14:paraId="3B8B2207" w14:textId="77777777" w:rsidTr="009C6940">
              <w:tc>
                <w:tcPr>
                  <w:tcW w:w="6377" w:type="dxa"/>
                  <w:shd w:val="clear" w:color="auto" w:fill="auto"/>
                </w:tcPr>
                <w:p w14:paraId="4FD094C0" w14:textId="77777777" w:rsidR="009C6940" w:rsidRPr="00EF7969" w:rsidRDefault="009C6940" w:rsidP="009C6940">
                  <w:pPr>
                    <w:pStyle w:val="TableBodyText"/>
                    <w:jc w:val="left"/>
                  </w:pPr>
                  <w:r w:rsidRPr="00EF7969">
                    <w:t>The Future of Work Institute</w:t>
                  </w:r>
                </w:p>
              </w:tc>
              <w:tc>
                <w:tcPr>
                  <w:tcW w:w="2126" w:type="dxa"/>
                  <w:shd w:val="clear" w:color="auto" w:fill="auto"/>
                </w:tcPr>
                <w:p w14:paraId="0FE767F0" w14:textId="77777777" w:rsidR="009C6940" w:rsidRPr="00EF7969" w:rsidRDefault="009C6940" w:rsidP="009C6940">
                  <w:pPr>
                    <w:pStyle w:val="TableBodyText"/>
                  </w:pPr>
                  <w:r w:rsidRPr="00EF7969">
                    <w:t>342</w:t>
                  </w:r>
                </w:p>
              </w:tc>
            </w:tr>
            <w:tr w:rsidR="009C6940" w:rsidRPr="00EF7969" w14:paraId="1C1F2961" w14:textId="77777777" w:rsidTr="009C6940">
              <w:tc>
                <w:tcPr>
                  <w:tcW w:w="6377" w:type="dxa"/>
                  <w:shd w:val="clear" w:color="auto" w:fill="auto"/>
                </w:tcPr>
                <w:p w14:paraId="63A53717" w14:textId="77777777" w:rsidR="009C6940" w:rsidRPr="00EF7969" w:rsidRDefault="009C6940" w:rsidP="009C6940">
                  <w:pPr>
                    <w:pStyle w:val="TableBodyText"/>
                    <w:jc w:val="left"/>
                  </w:pPr>
                  <w:r w:rsidRPr="00EF7969">
                    <w:t>The Help Centre Psychology</w:t>
                  </w:r>
                </w:p>
              </w:tc>
              <w:tc>
                <w:tcPr>
                  <w:tcW w:w="2126" w:type="dxa"/>
                  <w:shd w:val="clear" w:color="auto" w:fill="auto"/>
                </w:tcPr>
                <w:p w14:paraId="543F514F" w14:textId="77777777" w:rsidR="009C6940" w:rsidRPr="00EF7969" w:rsidRDefault="009C6940" w:rsidP="009C6940">
                  <w:pPr>
                    <w:pStyle w:val="TableBodyText"/>
                  </w:pPr>
                  <w:r w:rsidRPr="00EF7969">
                    <w:t>512</w:t>
                  </w:r>
                </w:p>
              </w:tc>
            </w:tr>
            <w:tr w:rsidR="009C6940" w:rsidRPr="00EF7969" w14:paraId="0BB41F69" w14:textId="77777777" w:rsidTr="009C6940">
              <w:tc>
                <w:tcPr>
                  <w:tcW w:w="6377" w:type="dxa"/>
                  <w:shd w:val="clear" w:color="auto" w:fill="auto"/>
                </w:tcPr>
                <w:p w14:paraId="7283345E" w14:textId="77777777" w:rsidR="009C6940" w:rsidRPr="00EF7969" w:rsidRDefault="009C6940" w:rsidP="009C6940">
                  <w:pPr>
                    <w:pStyle w:val="TableBodyText"/>
                    <w:jc w:val="left"/>
                  </w:pPr>
                  <w:r w:rsidRPr="00EF7969">
                    <w:t>The Mitchell Institute</w:t>
                  </w:r>
                </w:p>
              </w:tc>
              <w:tc>
                <w:tcPr>
                  <w:tcW w:w="2126" w:type="dxa"/>
                  <w:shd w:val="clear" w:color="auto" w:fill="auto"/>
                </w:tcPr>
                <w:p w14:paraId="2E7CFAF4" w14:textId="77777777" w:rsidR="009C6940" w:rsidRPr="00EF7969" w:rsidRDefault="009C6940" w:rsidP="009C6940">
                  <w:pPr>
                    <w:pStyle w:val="TableBodyText"/>
                  </w:pPr>
                  <w:r w:rsidRPr="00EF7969">
                    <w:t>744</w:t>
                  </w:r>
                </w:p>
              </w:tc>
            </w:tr>
            <w:tr w:rsidR="009C6940" w:rsidRPr="00EF7969" w14:paraId="7DA9F353" w14:textId="77777777" w:rsidTr="009C6940">
              <w:tc>
                <w:tcPr>
                  <w:tcW w:w="6377" w:type="dxa"/>
                  <w:shd w:val="clear" w:color="auto" w:fill="auto"/>
                </w:tcPr>
                <w:p w14:paraId="1825BE89" w14:textId="77777777" w:rsidR="009C6940" w:rsidRPr="00EF7969" w:rsidRDefault="009C6940" w:rsidP="009C6940">
                  <w:pPr>
                    <w:pStyle w:val="TableBodyText"/>
                    <w:jc w:val="left"/>
                  </w:pPr>
                  <w:r w:rsidRPr="00EF7969">
                    <w:t>The Office of the Public Advocate Queensland</w:t>
                  </w:r>
                </w:p>
              </w:tc>
              <w:tc>
                <w:tcPr>
                  <w:tcW w:w="2126" w:type="dxa"/>
                  <w:shd w:val="clear" w:color="auto" w:fill="auto"/>
                </w:tcPr>
                <w:p w14:paraId="7B0B5ADE" w14:textId="77777777" w:rsidR="009C6940" w:rsidRPr="00EF7969" w:rsidRDefault="009C6940" w:rsidP="009C6940">
                  <w:pPr>
                    <w:pStyle w:val="TableBodyText"/>
                  </w:pPr>
                  <w:r w:rsidRPr="00EF7969">
                    <w:t>806</w:t>
                  </w:r>
                </w:p>
              </w:tc>
            </w:tr>
            <w:tr w:rsidR="009C6940" w:rsidRPr="00EF7969" w14:paraId="26078447" w14:textId="77777777" w:rsidTr="009C6940">
              <w:tc>
                <w:tcPr>
                  <w:tcW w:w="6377" w:type="dxa"/>
                  <w:shd w:val="clear" w:color="auto" w:fill="auto"/>
                </w:tcPr>
                <w:p w14:paraId="7BE8C0F1" w14:textId="77777777" w:rsidR="009C6940" w:rsidRPr="00EF7969" w:rsidRDefault="009C6940" w:rsidP="009C6940">
                  <w:pPr>
                    <w:pStyle w:val="TableBodyText"/>
                    <w:jc w:val="left"/>
                  </w:pPr>
                  <w:r w:rsidRPr="00EF7969">
                    <w:t>The Painter – The Writer Gallery</w:t>
                  </w:r>
                </w:p>
              </w:tc>
              <w:tc>
                <w:tcPr>
                  <w:tcW w:w="2126" w:type="dxa"/>
                  <w:shd w:val="clear" w:color="auto" w:fill="auto"/>
                </w:tcPr>
                <w:p w14:paraId="2B3EDF41" w14:textId="77777777" w:rsidR="009C6940" w:rsidRPr="00EF7969" w:rsidRDefault="009C6940" w:rsidP="009C6940">
                  <w:pPr>
                    <w:pStyle w:val="TableBodyText"/>
                  </w:pPr>
                  <w:r w:rsidRPr="00EF7969">
                    <w:t>139</w:t>
                  </w:r>
                </w:p>
              </w:tc>
            </w:tr>
            <w:tr w:rsidR="009C6940" w:rsidRPr="00EF7969" w14:paraId="725D23D8" w14:textId="77777777" w:rsidTr="009C6940">
              <w:tc>
                <w:tcPr>
                  <w:tcW w:w="6377" w:type="dxa"/>
                  <w:shd w:val="clear" w:color="auto" w:fill="auto"/>
                </w:tcPr>
                <w:p w14:paraId="096A4C19" w14:textId="77777777" w:rsidR="009C6940" w:rsidRPr="00EF7969" w:rsidRDefault="009C6940" w:rsidP="009C6940">
                  <w:pPr>
                    <w:pStyle w:val="TableBodyText"/>
                    <w:jc w:val="left"/>
                  </w:pPr>
                  <w:r w:rsidRPr="00EF7969">
                    <w:t>The Pharmaceutical Society of Australia</w:t>
                  </w:r>
                </w:p>
              </w:tc>
              <w:tc>
                <w:tcPr>
                  <w:tcW w:w="2126" w:type="dxa"/>
                  <w:shd w:val="clear" w:color="auto" w:fill="auto"/>
                </w:tcPr>
                <w:p w14:paraId="4DF60651" w14:textId="77777777" w:rsidR="009C6940" w:rsidRPr="00EF7969" w:rsidRDefault="009C6940" w:rsidP="009C6940">
                  <w:pPr>
                    <w:pStyle w:val="TableBodyText"/>
                  </w:pPr>
                  <w:r w:rsidRPr="00EF7969">
                    <w:t>810</w:t>
                  </w:r>
                </w:p>
              </w:tc>
            </w:tr>
            <w:tr w:rsidR="009C6940" w:rsidRPr="00EF7969" w14:paraId="6E580FCC" w14:textId="77777777" w:rsidTr="009C6940">
              <w:tc>
                <w:tcPr>
                  <w:tcW w:w="6377" w:type="dxa"/>
                  <w:shd w:val="clear" w:color="auto" w:fill="auto"/>
                </w:tcPr>
                <w:p w14:paraId="7A350E2D" w14:textId="77777777" w:rsidR="009C6940" w:rsidRPr="00EF7969" w:rsidRDefault="009C6940" w:rsidP="009C6940">
                  <w:pPr>
                    <w:pStyle w:val="TableBodyText"/>
                    <w:jc w:val="left"/>
                  </w:pPr>
                  <w:r w:rsidRPr="00EF7969">
                    <w:t>The Pharmacy Guild of Australia</w:t>
                  </w:r>
                </w:p>
              </w:tc>
              <w:tc>
                <w:tcPr>
                  <w:tcW w:w="2126" w:type="dxa"/>
                  <w:shd w:val="clear" w:color="auto" w:fill="auto"/>
                </w:tcPr>
                <w:p w14:paraId="606DC629" w14:textId="77777777" w:rsidR="009C6940" w:rsidRPr="00EF7969" w:rsidRDefault="009C6940" w:rsidP="009C6940">
                  <w:pPr>
                    <w:pStyle w:val="TableBodyText"/>
                  </w:pPr>
                  <w:r w:rsidRPr="00EF7969">
                    <w:t>414, 939</w:t>
                  </w:r>
                </w:p>
              </w:tc>
            </w:tr>
            <w:tr w:rsidR="009C6940" w:rsidRPr="00EF7969" w14:paraId="255419E9" w14:textId="77777777" w:rsidTr="009C6940">
              <w:tc>
                <w:tcPr>
                  <w:tcW w:w="6377" w:type="dxa"/>
                  <w:shd w:val="clear" w:color="auto" w:fill="auto"/>
                </w:tcPr>
                <w:p w14:paraId="4362FD72" w14:textId="77777777" w:rsidR="009C6940" w:rsidRPr="00EF7969" w:rsidRDefault="009C6940" w:rsidP="009C6940">
                  <w:pPr>
                    <w:pStyle w:val="TableBodyText"/>
                    <w:jc w:val="left"/>
                  </w:pPr>
                  <w:r w:rsidRPr="00EF7969">
                    <w:t>The Salvation Army</w:t>
                  </w:r>
                </w:p>
              </w:tc>
              <w:tc>
                <w:tcPr>
                  <w:tcW w:w="2126" w:type="dxa"/>
                  <w:shd w:val="clear" w:color="auto" w:fill="auto"/>
                </w:tcPr>
                <w:p w14:paraId="47A1CD77" w14:textId="77777777" w:rsidR="009C6940" w:rsidRPr="00EF7969" w:rsidRDefault="009C6940" w:rsidP="009C6940">
                  <w:pPr>
                    <w:pStyle w:val="TableBodyText"/>
                  </w:pPr>
                  <w:r w:rsidRPr="00EF7969">
                    <w:t>871</w:t>
                  </w:r>
                </w:p>
              </w:tc>
            </w:tr>
            <w:tr w:rsidR="009C6940" w:rsidRPr="00EF7969" w14:paraId="3F9EDDA1" w14:textId="77777777" w:rsidTr="009C6940">
              <w:tc>
                <w:tcPr>
                  <w:tcW w:w="6377" w:type="dxa"/>
                  <w:shd w:val="clear" w:color="auto" w:fill="auto"/>
                </w:tcPr>
                <w:p w14:paraId="2672C4A8" w14:textId="77777777" w:rsidR="009C6940" w:rsidRPr="00EF7969" w:rsidRDefault="009C6940" w:rsidP="009C6940">
                  <w:pPr>
                    <w:pStyle w:val="TableBodyText"/>
                    <w:jc w:val="left"/>
                  </w:pPr>
                  <w:r w:rsidRPr="00EF7969">
                    <w:t>Theo Tsourdalakis</w:t>
                  </w:r>
                </w:p>
              </w:tc>
              <w:tc>
                <w:tcPr>
                  <w:tcW w:w="2126" w:type="dxa"/>
                  <w:shd w:val="clear" w:color="auto" w:fill="auto"/>
                </w:tcPr>
                <w:p w14:paraId="1BEF1FAD" w14:textId="77777777" w:rsidR="009C6940" w:rsidRPr="00EF7969" w:rsidRDefault="009C6940" w:rsidP="009C6940">
                  <w:pPr>
                    <w:pStyle w:val="TableBodyText"/>
                  </w:pPr>
                  <w:r w:rsidRPr="00EF7969">
                    <w:t>650</w:t>
                  </w:r>
                </w:p>
              </w:tc>
            </w:tr>
            <w:tr w:rsidR="009C6940" w:rsidRPr="00EF7969" w14:paraId="7CA1B4CF" w14:textId="77777777" w:rsidTr="009C6940">
              <w:tc>
                <w:tcPr>
                  <w:tcW w:w="6377" w:type="dxa"/>
                  <w:shd w:val="clear" w:color="auto" w:fill="auto"/>
                </w:tcPr>
                <w:p w14:paraId="4CA942A7" w14:textId="77777777" w:rsidR="009C6940" w:rsidRPr="00EF7969" w:rsidRDefault="009C6940" w:rsidP="009C6940">
                  <w:pPr>
                    <w:pStyle w:val="TableBodyText"/>
                    <w:jc w:val="left"/>
                  </w:pPr>
                  <w:r w:rsidRPr="00EF7969">
                    <w:t>Thirrili Ltd</w:t>
                  </w:r>
                </w:p>
              </w:tc>
              <w:tc>
                <w:tcPr>
                  <w:tcW w:w="2126" w:type="dxa"/>
                  <w:shd w:val="clear" w:color="auto" w:fill="auto"/>
                </w:tcPr>
                <w:p w14:paraId="146EE05B" w14:textId="77777777" w:rsidR="009C6940" w:rsidRPr="00EF7969" w:rsidRDefault="009C6940" w:rsidP="009C6940">
                  <w:pPr>
                    <w:pStyle w:val="TableBodyText"/>
                  </w:pPr>
                  <w:r w:rsidRPr="00EF7969">
                    <w:t>549</w:t>
                  </w:r>
                </w:p>
              </w:tc>
            </w:tr>
            <w:tr w:rsidR="009C6940" w:rsidRPr="00EF7969" w14:paraId="2F037F7C" w14:textId="77777777" w:rsidTr="009C6940">
              <w:tc>
                <w:tcPr>
                  <w:tcW w:w="6377" w:type="dxa"/>
                  <w:shd w:val="clear" w:color="auto" w:fill="auto"/>
                </w:tcPr>
                <w:p w14:paraId="62A25A6A" w14:textId="77777777" w:rsidR="009C6940" w:rsidRPr="00EF7969" w:rsidRDefault="009C6940" w:rsidP="009C6940">
                  <w:pPr>
                    <w:pStyle w:val="TableBodyText"/>
                    <w:jc w:val="left"/>
                  </w:pPr>
                  <w:r w:rsidRPr="00EF7969">
                    <w:t>Thomas Grimshaw</w:t>
                  </w:r>
                </w:p>
              </w:tc>
              <w:tc>
                <w:tcPr>
                  <w:tcW w:w="2126" w:type="dxa"/>
                  <w:shd w:val="clear" w:color="auto" w:fill="auto"/>
                </w:tcPr>
                <w:p w14:paraId="09738009" w14:textId="77777777" w:rsidR="009C6940" w:rsidRPr="00EF7969" w:rsidRDefault="009C6940" w:rsidP="009C6940">
                  <w:pPr>
                    <w:pStyle w:val="TableBodyText"/>
                  </w:pPr>
                  <w:r w:rsidRPr="00EF7969">
                    <w:t>614</w:t>
                  </w:r>
                </w:p>
              </w:tc>
            </w:tr>
            <w:tr w:rsidR="009C6940" w:rsidRPr="00EF7969" w14:paraId="34DDBF71" w14:textId="77777777" w:rsidTr="009C6940">
              <w:tc>
                <w:tcPr>
                  <w:tcW w:w="6377" w:type="dxa"/>
                  <w:shd w:val="clear" w:color="auto" w:fill="auto"/>
                </w:tcPr>
                <w:p w14:paraId="343E83F3" w14:textId="77777777" w:rsidR="009C6940" w:rsidRPr="00EF7969" w:rsidRDefault="009C6940" w:rsidP="009C6940">
                  <w:pPr>
                    <w:pStyle w:val="TableBodyText"/>
                    <w:jc w:val="left"/>
                  </w:pPr>
                  <w:r w:rsidRPr="00EF7969">
                    <w:t>Thomas Reid</w:t>
                  </w:r>
                </w:p>
              </w:tc>
              <w:tc>
                <w:tcPr>
                  <w:tcW w:w="2126" w:type="dxa"/>
                  <w:shd w:val="clear" w:color="auto" w:fill="auto"/>
                </w:tcPr>
                <w:p w14:paraId="5D58DB31" w14:textId="77777777" w:rsidR="009C6940" w:rsidRPr="00EF7969" w:rsidRDefault="009C6940" w:rsidP="009C6940">
                  <w:pPr>
                    <w:pStyle w:val="TableBodyText"/>
                  </w:pPr>
                  <w:r w:rsidRPr="00EF7969">
                    <w:t>1136</w:t>
                  </w:r>
                </w:p>
              </w:tc>
            </w:tr>
            <w:tr w:rsidR="009C6940" w:rsidRPr="00EF7969" w14:paraId="5F691B8F" w14:textId="77777777" w:rsidTr="009C6940">
              <w:tc>
                <w:tcPr>
                  <w:tcW w:w="6377" w:type="dxa"/>
                  <w:shd w:val="clear" w:color="auto" w:fill="auto"/>
                </w:tcPr>
                <w:p w14:paraId="3A062752" w14:textId="77777777" w:rsidR="009C6940" w:rsidRPr="00EF7969" w:rsidRDefault="009C6940" w:rsidP="009C6940">
                  <w:pPr>
                    <w:pStyle w:val="TableBodyText"/>
                    <w:jc w:val="left"/>
                  </w:pPr>
                  <w:r w:rsidRPr="00EF7969">
                    <w:t>Thorne Harbour Health and Rainbow Health Victoria</w:t>
                  </w:r>
                </w:p>
              </w:tc>
              <w:tc>
                <w:tcPr>
                  <w:tcW w:w="2126" w:type="dxa"/>
                  <w:shd w:val="clear" w:color="auto" w:fill="auto"/>
                </w:tcPr>
                <w:p w14:paraId="191F4364" w14:textId="77777777" w:rsidR="009C6940" w:rsidRPr="00EF7969" w:rsidRDefault="009C6940" w:rsidP="009C6940">
                  <w:pPr>
                    <w:pStyle w:val="TableBodyText"/>
                  </w:pPr>
                  <w:r w:rsidRPr="00EF7969">
                    <w:t>265, 695</w:t>
                  </w:r>
                </w:p>
              </w:tc>
            </w:tr>
            <w:tr w:rsidR="009C6940" w:rsidRPr="00EF7969" w14:paraId="15E815CB" w14:textId="77777777" w:rsidTr="009C6940">
              <w:tc>
                <w:tcPr>
                  <w:tcW w:w="6377" w:type="dxa"/>
                  <w:shd w:val="clear" w:color="auto" w:fill="auto"/>
                </w:tcPr>
                <w:p w14:paraId="5E531AAF" w14:textId="77777777" w:rsidR="009C6940" w:rsidRPr="00EF7969" w:rsidRDefault="009C6940" w:rsidP="009C6940">
                  <w:pPr>
                    <w:pStyle w:val="TableBodyText"/>
                    <w:jc w:val="left"/>
                  </w:pPr>
                  <w:r w:rsidRPr="00EF7969">
                    <w:t>Tim Bell</w:t>
                  </w:r>
                </w:p>
              </w:tc>
              <w:tc>
                <w:tcPr>
                  <w:tcW w:w="2126" w:type="dxa"/>
                  <w:shd w:val="clear" w:color="auto" w:fill="auto"/>
                </w:tcPr>
                <w:p w14:paraId="35338E55" w14:textId="77777777" w:rsidR="009C6940" w:rsidRPr="00EF7969" w:rsidRDefault="009C6940" w:rsidP="009C6940">
                  <w:pPr>
                    <w:pStyle w:val="TableBodyText"/>
                  </w:pPr>
                  <w:r w:rsidRPr="00EF7969">
                    <w:t>1044</w:t>
                  </w:r>
                </w:p>
              </w:tc>
            </w:tr>
            <w:tr w:rsidR="009C6940" w:rsidRPr="00EF7969" w14:paraId="3115FD26" w14:textId="77777777" w:rsidTr="009C6940">
              <w:tc>
                <w:tcPr>
                  <w:tcW w:w="6377" w:type="dxa"/>
                  <w:shd w:val="clear" w:color="auto" w:fill="auto"/>
                </w:tcPr>
                <w:p w14:paraId="0398C818" w14:textId="77777777" w:rsidR="009C6940" w:rsidRPr="00EF7969" w:rsidRDefault="009C6940" w:rsidP="009C6940">
                  <w:pPr>
                    <w:pStyle w:val="TableBodyText"/>
                    <w:jc w:val="left"/>
                  </w:pPr>
                  <w:r w:rsidRPr="00EF7969">
                    <w:t>Tim Heffernan</w:t>
                  </w:r>
                </w:p>
              </w:tc>
              <w:tc>
                <w:tcPr>
                  <w:tcW w:w="2126" w:type="dxa"/>
                  <w:shd w:val="clear" w:color="auto" w:fill="auto"/>
                </w:tcPr>
                <w:p w14:paraId="1740EECD" w14:textId="77777777" w:rsidR="009C6940" w:rsidRPr="00EF7969" w:rsidRDefault="009C6940" w:rsidP="009C6940">
                  <w:pPr>
                    <w:pStyle w:val="TableBodyText"/>
                  </w:pPr>
                  <w:r w:rsidRPr="00EF7969">
                    <w:t>552, 872</w:t>
                  </w:r>
                </w:p>
              </w:tc>
            </w:tr>
            <w:tr w:rsidR="009C6940" w:rsidRPr="00EF7969" w14:paraId="309F36F4" w14:textId="77777777" w:rsidTr="009C6940">
              <w:tc>
                <w:tcPr>
                  <w:tcW w:w="6377" w:type="dxa"/>
                  <w:shd w:val="clear" w:color="auto" w:fill="auto"/>
                </w:tcPr>
                <w:p w14:paraId="339D6A01" w14:textId="77777777" w:rsidR="009C6940" w:rsidRPr="00EF7969" w:rsidRDefault="009C6940" w:rsidP="009C6940">
                  <w:pPr>
                    <w:pStyle w:val="TableBodyText"/>
                    <w:jc w:val="left"/>
                  </w:pPr>
                  <w:r w:rsidRPr="00EF7969">
                    <w:t>Timothy Cameron</w:t>
                  </w:r>
                </w:p>
              </w:tc>
              <w:tc>
                <w:tcPr>
                  <w:tcW w:w="2126" w:type="dxa"/>
                  <w:shd w:val="clear" w:color="auto" w:fill="auto"/>
                </w:tcPr>
                <w:p w14:paraId="38F881FA" w14:textId="77777777" w:rsidR="009C6940" w:rsidRPr="00EF7969" w:rsidRDefault="009C6940" w:rsidP="009C6940">
                  <w:pPr>
                    <w:pStyle w:val="TableBodyText"/>
                  </w:pPr>
                  <w:r w:rsidRPr="00EF7969">
                    <w:t>997</w:t>
                  </w:r>
                </w:p>
              </w:tc>
            </w:tr>
            <w:tr w:rsidR="009C6940" w:rsidRPr="00EF7969" w14:paraId="4C37010B" w14:textId="77777777" w:rsidTr="009C6940">
              <w:tc>
                <w:tcPr>
                  <w:tcW w:w="6377" w:type="dxa"/>
                  <w:shd w:val="clear" w:color="auto" w:fill="auto"/>
                </w:tcPr>
                <w:p w14:paraId="670BEE07" w14:textId="77777777" w:rsidR="009C6940" w:rsidRPr="00EF7969" w:rsidRDefault="009C6940" w:rsidP="009C6940">
                  <w:pPr>
                    <w:pStyle w:val="TableBodyText"/>
                    <w:jc w:val="left"/>
                  </w:pPr>
                  <w:r w:rsidRPr="00EF7969">
                    <w:t>Timothy Shipman</w:t>
                  </w:r>
                </w:p>
              </w:tc>
              <w:tc>
                <w:tcPr>
                  <w:tcW w:w="2126" w:type="dxa"/>
                  <w:shd w:val="clear" w:color="auto" w:fill="auto"/>
                </w:tcPr>
                <w:p w14:paraId="4FB77602" w14:textId="77777777" w:rsidR="009C6940" w:rsidRPr="00EF7969" w:rsidRDefault="009C6940" w:rsidP="009C6940">
                  <w:pPr>
                    <w:pStyle w:val="TableBodyText"/>
                  </w:pPr>
                  <w:r w:rsidRPr="00EF7969">
                    <w:t>1057</w:t>
                  </w:r>
                </w:p>
              </w:tc>
            </w:tr>
            <w:tr w:rsidR="009C6940" w:rsidRPr="00EF7969" w14:paraId="4351E10D" w14:textId="77777777" w:rsidTr="009C6940">
              <w:tc>
                <w:tcPr>
                  <w:tcW w:w="6377" w:type="dxa"/>
                  <w:shd w:val="clear" w:color="auto" w:fill="auto"/>
                </w:tcPr>
                <w:p w14:paraId="752FE66C" w14:textId="77777777" w:rsidR="009C6940" w:rsidRPr="00EF7969" w:rsidRDefault="009C6940" w:rsidP="009C6940">
                  <w:pPr>
                    <w:pStyle w:val="TableBodyText"/>
                    <w:jc w:val="left"/>
                  </w:pPr>
                  <w:r w:rsidRPr="00EF7969">
                    <w:t>Tony Wilmot</w:t>
                  </w:r>
                </w:p>
              </w:tc>
              <w:tc>
                <w:tcPr>
                  <w:tcW w:w="2126" w:type="dxa"/>
                  <w:shd w:val="clear" w:color="auto" w:fill="auto"/>
                </w:tcPr>
                <w:p w14:paraId="49A7BEDC" w14:textId="77777777" w:rsidR="009C6940" w:rsidRPr="00EF7969" w:rsidRDefault="009C6940" w:rsidP="009C6940">
                  <w:pPr>
                    <w:pStyle w:val="TableBodyText"/>
                  </w:pPr>
                  <w:r w:rsidRPr="00EF7969">
                    <w:t>1188</w:t>
                  </w:r>
                </w:p>
              </w:tc>
            </w:tr>
            <w:tr w:rsidR="009C6940" w:rsidRPr="00EF7969" w14:paraId="2A06A38E" w14:textId="77777777" w:rsidTr="009C6940">
              <w:tc>
                <w:tcPr>
                  <w:tcW w:w="6377" w:type="dxa"/>
                  <w:shd w:val="clear" w:color="auto" w:fill="auto"/>
                </w:tcPr>
                <w:p w14:paraId="3733957A" w14:textId="77777777" w:rsidR="009C6940" w:rsidRPr="00EF7969" w:rsidRDefault="009C6940" w:rsidP="009C6940">
                  <w:pPr>
                    <w:pStyle w:val="TableBodyText"/>
                    <w:jc w:val="left"/>
                  </w:pPr>
                  <w:r w:rsidRPr="00EF7969">
                    <w:t>Top End Association of Mental Health (TeamHEALTH)</w:t>
                  </w:r>
                </w:p>
              </w:tc>
              <w:tc>
                <w:tcPr>
                  <w:tcW w:w="2126" w:type="dxa"/>
                  <w:shd w:val="clear" w:color="auto" w:fill="auto"/>
                </w:tcPr>
                <w:p w14:paraId="50FA366C" w14:textId="77777777" w:rsidR="009C6940" w:rsidRPr="00EF7969" w:rsidRDefault="009C6940" w:rsidP="009C6940">
                  <w:pPr>
                    <w:pStyle w:val="TableBodyText"/>
                  </w:pPr>
                  <w:r w:rsidRPr="00EF7969">
                    <w:t>155, 756</w:t>
                  </w:r>
                </w:p>
              </w:tc>
            </w:tr>
            <w:tr w:rsidR="009C6940" w:rsidRPr="00EF7969" w14:paraId="587B9D71" w14:textId="77777777" w:rsidTr="009C6940">
              <w:tc>
                <w:tcPr>
                  <w:tcW w:w="6377" w:type="dxa"/>
                  <w:shd w:val="clear" w:color="auto" w:fill="auto"/>
                </w:tcPr>
                <w:p w14:paraId="5BBD3BA7" w14:textId="77777777" w:rsidR="009C6940" w:rsidRPr="00EF7969" w:rsidRDefault="009C6940" w:rsidP="009C6940">
                  <w:pPr>
                    <w:pStyle w:val="TableBodyText"/>
                    <w:jc w:val="left"/>
                  </w:pPr>
                  <w:r w:rsidRPr="00EF7969">
                    <w:t>Top End Women’s Legal Service Inc (TEWLS)</w:t>
                  </w:r>
                </w:p>
              </w:tc>
              <w:tc>
                <w:tcPr>
                  <w:tcW w:w="2126" w:type="dxa"/>
                  <w:shd w:val="clear" w:color="auto" w:fill="auto"/>
                </w:tcPr>
                <w:p w14:paraId="05A650EF" w14:textId="77777777" w:rsidR="009C6940" w:rsidRPr="00EF7969" w:rsidRDefault="009C6940" w:rsidP="009C6940">
                  <w:pPr>
                    <w:pStyle w:val="TableBodyText"/>
                  </w:pPr>
                  <w:r w:rsidRPr="00EF7969">
                    <w:t>328, 912</w:t>
                  </w:r>
                </w:p>
              </w:tc>
            </w:tr>
            <w:tr w:rsidR="009C6940" w:rsidRPr="00EF7969" w14:paraId="064881D8" w14:textId="77777777" w:rsidTr="009C6940">
              <w:tc>
                <w:tcPr>
                  <w:tcW w:w="6377" w:type="dxa"/>
                  <w:shd w:val="clear" w:color="auto" w:fill="auto"/>
                </w:tcPr>
                <w:p w14:paraId="1953CFDF" w14:textId="77777777" w:rsidR="009C6940" w:rsidRPr="00EF7969" w:rsidRDefault="009C6940" w:rsidP="009C6940">
                  <w:pPr>
                    <w:pStyle w:val="TableBodyText"/>
                    <w:jc w:val="left"/>
                  </w:pPr>
                  <w:r w:rsidRPr="00EF7969">
                    <w:t>Total Health Thermal Imaging</w:t>
                  </w:r>
                </w:p>
              </w:tc>
              <w:tc>
                <w:tcPr>
                  <w:tcW w:w="2126" w:type="dxa"/>
                  <w:shd w:val="clear" w:color="auto" w:fill="auto"/>
                </w:tcPr>
                <w:p w14:paraId="3F5A4CFE" w14:textId="77777777" w:rsidR="009C6940" w:rsidRPr="00EF7969" w:rsidRDefault="009C6940" w:rsidP="009C6940">
                  <w:pPr>
                    <w:pStyle w:val="TableBodyText"/>
                  </w:pPr>
                  <w:r w:rsidRPr="00EF7969">
                    <w:t>904</w:t>
                  </w:r>
                </w:p>
              </w:tc>
            </w:tr>
            <w:tr w:rsidR="009C6940" w:rsidRPr="00EF7969" w14:paraId="4847A69C" w14:textId="77777777" w:rsidTr="009C6940">
              <w:tc>
                <w:tcPr>
                  <w:tcW w:w="6377" w:type="dxa"/>
                  <w:shd w:val="clear" w:color="auto" w:fill="auto"/>
                </w:tcPr>
                <w:p w14:paraId="26A9FF95" w14:textId="77777777" w:rsidR="009C6940" w:rsidRPr="00EF7969" w:rsidRDefault="009C6940" w:rsidP="009C6940">
                  <w:pPr>
                    <w:pStyle w:val="TableBodyText"/>
                    <w:jc w:val="left"/>
                  </w:pPr>
                  <w:r w:rsidRPr="00EF7969">
                    <w:t>Transforming Australia’s Mental Health Service Systems (TAMHSS)</w:t>
                  </w:r>
                </w:p>
              </w:tc>
              <w:tc>
                <w:tcPr>
                  <w:tcW w:w="2126" w:type="dxa"/>
                  <w:shd w:val="clear" w:color="auto" w:fill="auto"/>
                </w:tcPr>
                <w:p w14:paraId="62BEAEE0" w14:textId="77777777" w:rsidR="009C6940" w:rsidRPr="00EF7969" w:rsidRDefault="009C6940" w:rsidP="009C6940">
                  <w:pPr>
                    <w:pStyle w:val="TableBodyText"/>
                  </w:pPr>
                  <w:r w:rsidRPr="00EF7969">
                    <w:t>919</w:t>
                  </w:r>
                </w:p>
              </w:tc>
            </w:tr>
            <w:tr w:rsidR="009C6940" w:rsidRPr="00EF7969" w14:paraId="1751E85A" w14:textId="77777777" w:rsidTr="009C6940">
              <w:tc>
                <w:tcPr>
                  <w:tcW w:w="6377" w:type="dxa"/>
                  <w:shd w:val="clear" w:color="auto" w:fill="auto"/>
                </w:tcPr>
                <w:p w14:paraId="7FCF8356" w14:textId="77777777" w:rsidR="009C6940" w:rsidRPr="00EF7969" w:rsidRDefault="009C6940" w:rsidP="009C6940">
                  <w:pPr>
                    <w:pStyle w:val="TableBodyText"/>
                    <w:jc w:val="left"/>
                  </w:pPr>
                  <w:r w:rsidRPr="00EF7969">
                    <w:t>Trevor Wilkinson</w:t>
                  </w:r>
                </w:p>
              </w:tc>
              <w:tc>
                <w:tcPr>
                  <w:tcW w:w="2126" w:type="dxa"/>
                  <w:shd w:val="clear" w:color="auto" w:fill="auto"/>
                </w:tcPr>
                <w:p w14:paraId="56EE842F" w14:textId="77777777" w:rsidR="009C6940" w:rsidRPr="00EF7969" w:rsidRDefault="009C6940" w:rsidP="009C6940">
                  <w:pPr>
                    <w:pStyle w:val="TableBodyText"/>
                  </w:pPr>
                  <w:r w:rsidRPr="00EF7969">
                    <w:t>1097</w:t>
                  </w:r>
                </w:p>
              </w:tc>
            </w:tr>
            <w:tr w:rsidR="009C6940" w:rsidRPr="00EF7969" w14:paraId="2483D1F1" w14:textId="77777777" w:rsidTr="009C6940">
              <w:tc>
                <w:tcPr>
                  <w:tcW w:w="6377" w:type="dxa"/>
                  <w:shd w:val="clear" w:color="auto" w:fill="auto"/>
                </w:tcPr>
                <w:p w14:paraId="3C4B800A" w14:textId="77777777" w:rsidR="009C6940" w:rsidRPr="00EF7969" w:rsidRDefault="009C6940" w:rsidP="009C6940">
                  <w:pPr>
                    <w:pStyle w:val="TableBodyText"/>
                    <w:jc w:val="left"/>
                  </w:pPr>
                  <w:r w:rsidRPr="00EF7969">
                    <w:t>Trinity Ryan</w:t>
                  </w:r>
                </w:p>
              </w:tc>
              <w:tc>
                <w:tcPr>
                  <w:tcW w:w="2126" w:type="dxa"/>
                  <w:shd w:val="clear" w:color="auto" w:fill="auto"/>
                </w:tcPr>
                <w:p w14:paraId="377BD414" w14:textId="77777777" w:rsidR="009C6940" w:rsidRPr="00EF7969" w:rsidRDefault="009C6940" w:rsidP="009C6940">
                  <w:pPr>
                    <w:pStyle w:val="TableBodyText"/>
                  </w:pPr>
                  <w:r w:rsidRPr="00EF7969">
                    <w:t>159</w:t>
                  </w:r>
                </w:p>
              </w:tc>
            </w:tr>
            <w:tr w:rsidR="009C6940" w:rsidRPr="00EF7969" w14:paraId="2753F6EB" w14:textId="77777777" w:rsidTr="009C6940">
              <w:tc>
                <w:tcPr>
                  <w:tcW w:w="6377" w:type="dxa"/>
                  <w:tcBorders>
                    <w:bottom w:val="single" w:sz="4" w:space="0" w:color="BFBFBF" w:themeColor="background1" w:themeShade="BF"/>
                  </w:tcBorders>
                  <w:shd w:val="clear" w:color="auto" w:fill="auto"/>
                </w:tcPr>
                <w:p w14:paraId="7019D9BF" w14:textId="77777777" w:rsidR="009C6940" w:rsidRPr="00EF7969" w:rsidRDefault="009C6940" w:rsidP="009C6940">
                  <w:pPr>
                    <w:pStyle w:val="TableBodyText"/>
                    <w:jc w:val="left"/>
                  </w:pPr>
                  <w:r w:rsidRPr="00EF7969">
                    <w:t>Triple P International</w:t>
                  </w:r>
                </w:p>
              </w:tc>
              <w:tc>
                <w:tcPr>
                  <w:tcW w:w="2126" w:type="dxa"/>
                  <w:tcBorders>
                    <w:bottom w:val="single" w:sz="4" w:space="0" w:color="BFBFBF" w:themeColor="background1" w:themeShade="BF"/>
                  </w:tcBorders>
                  <w:shd w:val="clear" w:color="auto" w:fill="auto"/>
                </w:tcPr>
                <w:p w14:paraId="2AC3745E" w14:textId="77777777" w:rsidR="009C6940" w:rsidRPr="00EF7969" w:rsidRDefault="009C6940" w:rsidP="009C6940">
                  <w:pPr>
                    <w:pStyle w:val="TableBodyText"/>
                  </w:pPr>
                  <w:r w:rsidRPr="00EF7969">
                    <w:t>859</w:t>
                  </w:r>
                </w:p>
              </w:tc>
            </w:tr>
          </w:tbl>
          <w:p w14:paraId="5B3454C2" w14:textId="77777777" w:rsidR="009C6940" w:rsidRPr="00EF7969" w:rsidRDefault="009C6940" w:rsidP="009C6940">
            <w:pPr>
              <w:pStyle w:val="Box"/>
            </w:pPr>
          </w:p>
        </w:tc>
      </w:tr>
      <w:tr w:rsidR="009C6940" w:rsidRPr="00EF7969" w14:paraId="3A5D0015" w14:textId="77777777" w:rsidTr="009C6940">
        <w:tc>
          <w:tcPr>
            <w:tcW w:w="8789" w:type="dxa"/>
            <w:tcBorders>
              <w:top w:val="nil"/>
              <w:left w:val="nil"/>
              <w:bottom w:val="nil"/>
              <w:right w:val="nil"/>
            </w:tcBorders>
            <w:shd w:val="clear" w:color="auto" w:fill="auto"/>
          </w:tcPr>
          <w:p w14:paraId="204CB8DF" w14:textId="77777777" w:rsidR="009C6940" w:rsidRPr="00EF7969" w:rsidRDefault="009C6940" w:rsidP="009C6940">
            <w:pPr>
              <w:pStyle w:val="Continued"/>
            </w:pPr>
            <w:r w:rsidRPr="00EF7969">
              <w:t>(continued next page)</w:t>
            </w:r>
          </w:p>
        </w:tc>
      </w:tr>
      <w:tr w:rsidR="009C6940" w:rsidRPr="00EF7969" w14:paraId="47FD8C22" w14:textId="77777777" w:rsidTr="009C6940">
        <w:tc>
          <w:tcPr>
            <w:tcW w:w="8789" w:type="dxa"/>
            <w:tcBorders>
              <w:top w:val="nil"/>
              <w:left w:val="nil"/>
              <w:bottom w:val="single" w:sz="6" w:space="0" w:color="78A22F"/>
              <w:right w:val="nil"/>
            </w:tcBorders>
            <w:shd w:val="clear" w:color="auto" w:fill="auto"/>
          </w:tcPr>
          <w:p w14:paraId="1CD8E608" w14:textId="77777777" w:rsidR="009C6940" w:rsidRPr="00EF7969" w:rsidRDefault="009C6940" w:rsidP="009C6940">
            <w:pPr>
              <w:pStyle w:val="Box"/>
              <w:spacing w:before="0" w:line="120" w:lineRule="exact"/>
            </w:pPr>
          </w:p>
        </w:tc>
      </w:tr>
      <w:tr w:rsidR="009C6940" w:rsidRPr="00EF7969" w14:paraId="47106729" w14:textId="77777777" w:rsidTr="009C6940">
        <w:tc>
          <w:tcPr>
            <w:tcW w:w="8789" w:type="dxa"/>
            <w:tcBorders>
              <w:top w:val="single" w:sz="6" w:space="0" w:color="78A22F"/>
              <w:left w:val="nil"/>
              <w:bottom w:val="nil"/>
              <w:right w:val="nil"/>
            </w:tcBorders>
          </w:tcPr>
          <w:p w14:paraId="64F5DC46" w14:textId="77777777" w:rsidR="009C6940" w:rsidRPr="00EF7969" w:rsidRDefault="009C6940" w:rsidP="009C6940">
            <w:pPr>
              <w:pStyle w:val="BoxSpaceBelow"/>
            </w:pPr>
          </w:p>
        </w:tc>
      </w:tr>
    </w:tbl>
    <w:p w14:paraId="5B5261CA"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47B58513" w14:textId="77777777" w:rsidTr="009C6940">
        <w:trPr>
          <w:tblHeader/>
        </w:trPr>
        <w:tc>
          <w:tcPr>
            <w:tcW w:w="8789" w:type="dxa"/>
            <w:tcBorders>
              <w:top w:val="single" w:sz="6" w:space="0" w:color="78A22F"/>
              <w:left w:val="nil"/>
              <w:bottom w:val="nil"/>
              <w:right w:val="nil"/>
            </w:tcBorders>
            <w:shd w:val="clear" w:color="auto" w:fill="auto"/>
          </w:tcPr>
          <w:p w14:paraId="027E70AE"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02A6ED35"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1130AC45"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19BEF6C9" w14:textId="77777777" w:rsidR="009C6940" w:rsidRPr="00EF7969" w:rsidRDefault="009C6940" w:rsidP="009C6940">
                  <w:pPr>
                    <w:pStyle w:val="TableColumnHeading"/>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4E0E2F12" w14:textId="77777777" w:rsidR="009C6940" w:rsidRPr="00EF7969" w:rsidRDefault="009C6940" w:rsidP="009C6940">
                  <w:pPr>
                    <w:pStyle w:val="TableColumnHeading"/>
                    <w:ind w:right="28"/>
                  </w:pPr>
                  <w:r w:rsidRPr="00EF7969">
                    <w:t>Submission no.</w:t>
                  </w:r>
                </w:p>
              </w:tc>
            </w:tr>
            <w:tr w:rsidR="009C6940" w:rsidRPr="00EF7969" w14:paraId="48DD035F" w14:textId="77777777" w:rsidTr="009C6940">
              <w:tc>
                <w:tcPr>
                  <w:tcW w:w="6377" w:type="dxa"/>
                  <w:shd w:val="clear" w:color="auto" w:fill="auto"/>
                </w:tcPr>
                <w:p w14:paraId="134D87AB" w14:textId="77777777" w:rsidR="009C6940" w:rsidRPr="007D6B81" w:rsidRDefault="009C6940" w:rsidP="009C6940">
                  <w:pPr>
                    <w:pStyle w:val="TableBodyText"/>
                    <w:spacing w:before="40"/>
                    <w:jc w:val="left"/>
                  </w:pPr>
                  <w:r w:rsidRPr="007D6B81">
                    <w:t>Unions NSW</w:t>
                  </w:r>
                </w:p>
              </w:tc>
              <w:tc>
                <w:tcPr>
                  <w:tcW w:w="2126" w:type="dxa"/>
                  <w:shd w:val="clear" w:color="auto" w:fill="auto"/>
                </w:tcPr>
                <w:p w14:paraId="205A723B" w14:textId="77777777" w:rsidR="009C6940" w:rsidRPr="007D6B81" w:rsidRDefault="009C6940" w:rsidP="009C6940">
                  <w:pPr>
                    <w:pStyle w:val="TableBodyText"/>
                    <w:spacing w:before="40"/>
                  </w:pPr>
                  <w:r w:rsidRPr="007D6B81">
                    <w:t>382</w:t>
                  </w:r>
                </w:p>
              </w:tc>
            </w:tr>
            <w:tr w:rsidR="009C6940" w:rsidRPr="00EF7969" w14:paraId="26678349" w14:textId="77777777" w:rsidTr="009C6940">
              <w:tc>
                <w:tcPr>
                  <w:tcW w:w="6377" w:type="dxa"/>
                  <w:shd w:val="clear" w:color="auto" w:fill="auto"/>
                </w:tcPr>
                <w:p w14:paraId="61D7275B" w14:textId="77777777" w:rsidR="009C6940" w:rsidRPr="00EF7969" w:rsidRDefault="009C6940" w:rsidP="009C6940">
                  <w:pPr>
                    <w:pStyle w:val="TableBodyText"/>
                    <w:jc w:val="left"/>
                  </w:pPr>
                  <w:r w:rsidRPr="00EF7969">
                    <w:t>United Synergies Ltd</w:t>
                  </w:r>
                </w:p>
              </w:tc>
              <w:tc>
                <w:tcPr>
                  <w:tcW w:w="2126" w:type="dxa"/>
                  <w:shd w:val="clear" w:color="auto" w:fill="auto"/>
                </w:tcPr>
                <w:p w14:paraId="160DB1B7" w14:textId="77777777" w:rsidR="009C6940" w:rsidRPr="00EF7969" w:rsidRDefault="009C6940" w:rsidP="009C6940">
                  <w:pPr>
                    <w:pStyle w:val="TableBodyText"/>
                  </w:pPr>
                  <w:r w:rsidRPr="00EF7969">
                    <w:t>682, 733</w:t>
                  </w:r>
                </w:p>
              </w:tc>
            </w:tr>
            <w:tr w:rsidR="009C6940" w:rsidRPr="00EF7969" w14:paraId="041620E3" w14:textId="77777777" w:rsidTr="009C6940">
              <w:tc>
                <w:tcPr>
                  <w:tcW w:w="6377" w:type="dxa"/>
                  <w:shd w:val="clear" w:color="auto" w:fill="auto"/>
                </w:tcPr>
                <w:p w14:paraId="6C245E22" w14:textId="77777777" w:rsidR="009C6940" w:rsidRPr="00EF7969" w:rsidRDefault="009C6940" w:rsidP="009C6940">
                  <w:pPr>
                    <w:pStyle w:val="TableBodyText"/>
                    <w:jc w:val="left"/>
                  </w:pPr>
                  <w:r>
                    <w:t>Uniting Vic.</w:t>
                  </w:r>
                  <w:r w:rsidRPr="00EF7969">
                    <w:t>Tas</w:t>
                  </w:r>
                </w:p>
              </w:tc>
              <w:tc>
                <w:tcPr>
                  <w:tcW w:w="2126" w:type="dxa"/>
                  <w:shd w:val="clear" w:color="auto" w:fill="auto"/>
                </w:tcPr>
                <w:p w14:paraId="4A3C3DA8" w14:textId="77777777" w:rsidR="009C6940" w:rsidRPr="00EF7969" w:rsidRDefault="009C6940" w:rsidP="009C6940">
                  <w:pPr>
                    <w:pStyle w:val="TableBodyText"/>
                  </w:pPr>
                  <w:r w:rsidRPr="00EF7969">
                    <w:t>95, 931</w:t>
                  </w:r>
                </w:p>
              </w:tc>
            </w:tr>
            <w:tr w:rsidR="009C6940" w:rsidRPr="00EF7969" w14:paraId="1530BA68" w14:textId="77777777" w:rsidTr="009C6940">
              <w:tc>
                <w:tcPr>
                  <w:tcW w:w="6377" w:type="dxa"/>
                  <w:shd w:val="clear" w:color="auto" w:fill="auto"/>
                </w:tcPr>
                <w:p w14:paraId="5FF8698C" w14:textId="77777777" w:rsidR="009C6940" w:rsidRPr="00EF7969" w:rsidRDefault="009C6940" w:rsidP="009C6940">
                  <w:pPr>
                    <w:pStyle w:val="TableBodyText"/>
                    <w:jc w:val="left"/>
                  </w:pPr>
                  <w:r w:rsidRPr="00EF7969">
                    <w:t>UnitingSA</w:t>
                  </w:r>
                </w:p>
              </w:tc>
              <w:tc>
                <w:tcPr>
                  <w:tcW w:w="2126" w:type="dxa"/>
                  <w:shd w:val="clear" w:color="auto" w:fill="auto"/>
                </w:tcPr>
                <w:p w14:paraId="57F60BD4" w14:textId="77777777" w:rsidR="009C6940" w:rsidRPr="00EF7969" w:rsidRDefault="009C6940" w:rsidP="009C6940">
                  <w:pPr>
                    <w:pStyle w:val="TableBodyText"/>
                  </w:pPr>
                  <w:r w:rsidRPr="00EF7969">
                    <w:t>807</w:t>
                  </w:r>
                </w:p>
              </w:tc>
            </w:tr>
            <w:tr w:rsidR="009C6940" w:rsidRPr="00EF7969" w14:paraId="0387C623" w14:textId="77777777" w:rsidTr="009C6940">
              <w:tc>
                <w:tcPr>
                  <w:tcW w:w="6377" w:type="dxa"/>
                  <w:shd w:val="clear" w:color="auto" w:fill="auto"/>
                </w:tcPr>
                <w:p w14:paraId="096BDAF6" w14:textId="77777777" w:rsidR="009C6940" w:rsidRPr="00EF7969" w:rsidRDefault="009C6940" w:rsidP="009C6940">
                  <w:pPr>
                    <w:pStyle w:val="TableBodyText"/>
                    <w:jc w:val="left"/>
                  </w:pPr>
                  <w:r w:rsidRPr="00EF7969">
                    <w:t>Universities Australia</w:t>
                  </w:r>
                </w:p>
              </w:tc>
              <w:tc>
                <w:tcPr>
                  <w:tcW w:w="2126" w:type="dxa"/>
                  <w:shd w:val="clear" w:color="auto" w:fill="auto"/>
                </w:tcPr>
                <w:p w14:paraId="09BBC52B" w14:textId="77777777" w:rsidR="009C6940" w:rsidRPr="00EF7969" w:rsidRDefault="009C6940" w:rsidP="009C6940">
                  <w:pPr>
                    <w:pStyle w:val="TableBodyText"/>
                  </w:pPr>
                  <w:r w:rsidRPr="00EF7969">
                    <w:t>251, 943</w:t>
                  </w:r>
                </w:p>
              </w:tc>
            </w:tr>
            <w:tr w:rsidR="009C6940" w:rsidRPr="00EF7969" w14:paraId="727D5D7A" w14:textId="77777777" w:rsidTr="009C6940">
              <w:tc>
                <w:tcPr>
                  <w:tcW w:w="6377" w:type="dxa"/>
                  <w:shd w:val="clear" w:color="auto" w:fill="auto"/>
                </w:tcPr>
                <w:p w14:paraId="0AC8D315" w14:textId="77777777" w:rsidR="009C6940" w:rsidRPr="00EF7969" w:rsidRDefault="009C6940" w:rsidP="009C6940">
                  <w:pPr>
                    <w:pStyle w:val="TableBodyText"/>
                    <w:jc w:val="left"/>
                  </w:pPr>
                  <w:r w:rsidRPr="00EF7969">
                    <w:t>University of New South Wales</w:t>
                  </w:r>
                </w:p>
              </w:tc>
              <w:tc>
                <w:tcPr>
                  <w:tcW w:w="2126" w:type="dxa"/>
                  <w:shd w:val="clear" w:color="auto" w:fill="auto"/>
                </w:tcPr>
                <w:p w14:paraId="5556801B" w14:textId="77777777" w:rsidR="009C6940" w:rsidRPr="00EF7969" w:rsidRDefault="009C6940" w:rsidP="009C6940">
                  <w:pPr>
                    <w:pStyle w:val="TableBodyText"/>
                  </w:pPr>
                  <w:r w:rsidRPr="00EF7969">
                    <w:t>860</w:t>
                  </w:r>
                </w:p>
              </w:tc>
            </w:tr>
            <w:tr w:rsidR="009C6940" w:rsidRPr="00EF7969" w14:paraId="3260A19D" w14:textId="77777777" w:rsidTr="009C6940">
              <w:tc>
                <w:tcPr>
                  <w:tcW w:w="6377" w:type="dxa"/>
                  <w:shd w:val="clear" w:color="auto" w:fill="auto"/>
                </w:tcPr>
                <w:p w14:paraId="4E781113" w14:textId="77777777" w:rsidR="009C6940" w:rsidRPr="00EF7969" w:rsidRDefault="009C6940" w:rsidP="009C6940">
                  <w:pPr>
                    <w:pStyle w:val="TableBodyText"/>
                    <w:jc w:val="left"/>
                  </w:pPr>
                  <w:r w:rsidRPr="00EF7969">
                    <w:t>Priority Research Centre Brain and Mental Health Research (PRCBHM) – University of Newcastle and Society for Mental Health Research</w:t>
                  </w:r>
                </w:p>
              </w:tc>
              <w:tc>
                <w:tcPr>
                  <w:tcW w:w="2126" w:type="dxa"/>
                  <w:shd w:val="clear" w:color="auto" w:fill="auto"/>
                </w:tcPr>
                <w:p w14:paraId="6F33D433" w14:textId="77777777" w:rsidR="009C6940" w:rsidRPr="00EF7969" w:rsidRDefault="009C6940" w:rsidP="009C6940">
                  <w:pPr>
                    <w:pStyle w:val="TableBodyText"/>
                  </w:pPr>
                  <w:r w:rsidRPr="00EF7969">
                    <w:t>759</w:t>
                  </w:r>
                </w:p>
              </w:tc>
            </w:tr>
            <w:tr w:rsidR="009C6940" w:rsidRPr="00EF7969" w14:paraId="72B1DBFD" w14:textId="77777777" w:rsidTr="009C6940">
              <w:tc>
                <w:tcPr>
                  <w:tcW w:w="6377" w:type="dxa"/>
                  <w:shd w:val="clear" w:color="auto" w:fill="auto"/>
                </w:tcPr>
                <w:p w14:paraId="4024CBE4" w14:textId="77777777" w:rsidR="009C6940" w:rsidRPr="00EF7969" w:rsidRDefault="009C6940" w:rsidP="009C6940">
                  <w:pPr>
                    <w:pStyle w:val="TableBodyText"/>
                    <w:jc w:val="left"/>
                  </w:pPr>
                  <w:r w:rsidRPr="00EF7969">
                    <w:t>University of Sydney Disability Action Plan Committee</w:t>
                  </w:r>
                </w:p>
              </w:tc>
              <w:tc>
                <w:tcPr>
                  <w:tcW w:w="2126" w:type="dxa"/>
                  <w:shd w:val="clear" w:color="auto" w:fill="auto"/>
                </w:tcPr>
                <w:p w14:paraId="5EAECB15" w14:textId="77777777" w:rsidR="009C6940" w:rsidRPr="00EF7969" w:rsidRDefault="009C6940" w:rsidP="009C6940">
                  <w:pPr>
                    <w:pStyle w:val="TableBodyText"/>
                  </w:pPr>
                  <w:r w:rsidRPr="00EF7969">
                    <w:t>276</w:t>
                  </w:r>
                </w:p>
              </w:tc>
            </w:tr>
            <w:tr w:rsidR="009C6940" w:rsidRPr="00EF7969" w14:paraId="20CF23D6" w14:textId="77777777" w:rsidTr="009C6940">
              <w:tc>
                <w:tcPr>
                  <w:tcW w:w="6377" w:type="dxa"/>
                  <w:shd w:val="clear" w:color="auto" w:fill="auto"/>
                </w:tcPr>
                <w:p w14:paraId="2C516050" w14:textId="77777777" w:rsidR="009C6940" w:rsidRPr="00EF7969" w:rsidRDefault="009C6940" w:rsidP="009C6940">
                  <w:pPr>
                    <w:pStyle w:val="TableBodyText"/>
                    <w:jc w:val="left"/>
                  </w:pPr>
                  <w:r w:rsidRPr="00EF7969">
                    <w:t>University of Technology Sydney</w:t>
                  </w:r>
                </w:p>
              </w:tc>
              <w:tc>
                <w:tcPr>
                  <w:tcW w:w="2126" w:type="dxa"/>
                  <w:shd w:val="clear" w:color="auto" w:fill="auto"/>
                </w:tcPr>
                <w:p w14:paraId="48E8AA03" w14:textId="77777777" w:rsidR="009C6940" w:rsidRPr="00EF7969" w:rsidRDefault="009C6940" w:rsidP="009C6940">
                  <w:pPr>
                    <w:pStyle w:val="TableBodyText"/>
                  </w:pPr>
                  <w:r w:rsidRPr="00EF7969">
                    <w:t>474</w:t>
                  </w:r>
                </w:p>
              </w:tc>
            </w:tr>
            <w:tr w:rsidR="009C6940" w:rsidRPr="00EF7969" w14:paraId="4C37DED2" w14:textId="77777777" w:rsidTr="009C6940">
              <w:tc>
                <w:tcPr>
                  <w:tcW w:w="6377" w:type="dxa"/>
                  <w:shd w:val="clear" w:color="auto" w:fill="auto"/>
                </w:tcPr>
                <w:p w14:paraId="459E8E0D" w14:textId="77777777" w:rsidR="009C6940" w:rsidRPr="00EF7969" w:rsidRDefault="009C6940" w:rsidP="009C6940">
                  <w:pPr>
                    <w:pStyle w:val="TableBodyText"/>
                    <w:jc w:val="left"/>
                  </w:pPr>
                  <w:r w:rsidRPr="00EF7969">
                    <w:t>Valentina Smith</w:t>
                  </w:r>
                </w:p>
              </w:tc>
              <w:tc>
                <w:tcPr>
                  <w:tcW w:w="2126" w:type="dxa"/>
                  <w:shd w:val="clear" w:color="auto" w:fill="auto"/>
                </w:tcPr>
                <w:p w14:paraId="6EBC633C" w14:textId="77777777" w:rsidR="009C6940" w:rsidRPr="00EF7969" w:rsidRDefault="009C6940" w:rsidP="009C6940">
                  <w:pPr>
                    <w:pStyle w:val="TableBodyText"/>
                  </w:pPr>
                  <w:r w:rsidRPr="00EF7969">
                    <w:t>1018</w:t>
                  </w:r>
                </w:p>
              </w:tc>
            </w:tr>
            <w:tr w:rsidR="009C6940" w:rsidRPr="00EF7969" w14:paraId="17B6B27A" w14:textId="77777777" w:rsidTr="009C6940">
              <w:tc>
                <w:tcPr>
                  <w:tcW w:w="6377" w:type="dxa"/>
                  <w:shd w:val="clear" w:color="auto" w:fill="auto"/>
                </w:tcPr>
                <w:p w14:paraId="166BF908" w14:textId="77777777" w:rsidR="009C6940" w:rsidRPr="00EF7969" w:rsidRDefault="009C6940" w:rsidP="009C6940">
                  <w:pPr>
                    <w:pStyle w:val="TableBodyText"/>
                    <w:jc w:val="left"/>
                  </w:pPr>
                  <w:r w:rsidRPr="00EF7969">
                    <w:t>Valerie Hansen</w:t>
                  </w:r>
                </w:p>
              </w:tc>
              <w:tc>
                <w:tcPr>
                  <w:tcW w:w="2126" w:type="dxa"/>
                  <w:shd w:val="clear" w:color="auto" w:fill="auto"/>
                </w:tcPr>
                <w:p w14:paraId="473D5A1C" w14:textId="77777777" w:rsidR="009C6940" w:rsidRPr="00EF7969" w:rsidRDefault="009C6940" w:rsidP="009C6940">
                  <w:pPr>
                    <w:pStyle w:val="TableBodyText"/>
                  </w:pPr>
                  <w:r w:rsidRPr="00EF7969">
                    <w:t>1093</w:t>
                  </w:r>
                </w:p>
              </w:tc>
            </w:tr>
            <w:tr w:rsidR="009C6940" w:rsidRPr="00EF7969" w14:paraId="55C20A6F" w14:textId="77777777" w:rsidTr="009C6940">
              <w:tc>
                <w:tcPr>
                  <w:tcW w:w="6377" w:type="dxa"/>
                  <w:shd w:val="clear" w:color="auto" w:fill="auto"/>
                </w:tcPr>
                <w:p w14:paraId="56E99EAD" w14:textId="77777777" w:rsidR="009C6940" w:rsidRPr="00EF7969" w:rsidRDefault="009C6940" w:rsidP="009C6940">
                  <w:pPr>
                    <w:pStyle w:val="TableBodyText"/>
                    <w:jc w:val="left"/>
                  </w:pPr>
                  <w:r w:rsidRPr="00EF7969">
                    <w:t>Vanessa Walker</w:t>
                  </w:r>
                </w:p>
              </w:tc>
              <w:tc>
                <w:tcPr>
                  <w:tcW w:w="2126" w:type="dxa"/>
                  <w:shd w:val="clear" w:color="auto" w:fill="auto"/>
                </w:tcPr>
                <w:p w14:paraId="5B794111" w14:textId="77777777" w:rsidR="009C6940" w:rsidRPr="00EF7969" w:rsidRDefault="009C6940" w:rsidP="009C6940">
                  <w:pPr>
                    <w:pStyle w:val="TableBodyText"/>
                  </w:pPr>
                  <w:r w:rsidRPr="00EF7969">
                    <w:t>992</w:t>
                  </w:r>
                </w:p>
              </w:tc>
            </w:tr>
            <w:tr w:rsidR="009C6940" w:rsidRPr="00EF7969" w14:paraId="08216EC2" w14:textId="77777777" w:rsidTr="009C6940">
              <w:tc>
                <w:tcPr>
                  <w:tcW w:w="6377" w:type="dxa"/>
                  <w:shd w:val="clear" w:color="auto" w:fill="auto"/>
                </w:tcPr>
                <w:p w14:paraId="10171553" w14:textId="77777777" w:rsidR="009C6940" w:rsidRPr="00EF7969" w:rsidRDefault="009C6940" w:rsidP="009C6940">
                  <w:pPr>
                    <w:pStyle w:val="TableBodyText"/>
                    <w:jc w:val="left"/>
                  </w:pPr>
                  <w:r w:rsidRPr="00EF7969">
                    <w:t>Vanguard Laundry Services</w:t>
                  </w:r>
                </w:p>
              </w:tc>
              <w:tc>
                <w:tcPr>
                  <w:tcW w:w="2126" w:type="dxa"/>
                  <w:shd w:val="clear" w:color="auto" w:fill="auto"/>
                </w:tcPr>
                <w:p w14:paraId="6099D230" w14:textId="77777777" w:rsidR="009C6940" w:rsidRPr="00EF7969" w:rsidRDefault="009C6940" w:rsidP="009C6940">
                  <w:pPr>
                    <w:pStyle w:val="TableBodyText"/>
                  </w:pPr>
                  <w:r w:rsidRPr="00EF7969">
                    <w:t>458</w:t>
                  </w:r>
                </w:p>
              </w:tc>
            </w:tr>
            <w:tr w:rsidR="009C6940" w:rsidRPr="00EF7969" w14:paraId="0852E2EE" w14:textId="77777777" w:rsidTr="009C6940">
              <w:tc>
                <w:tcPr>
                  <w:tcW w:w="6377" w:type="dxa"/>
                  <w:shd w:val="clear" w:color="auto" w:fill="auto"/>
                </w:tcPr>
                <w:p w14:paraId="05A2AA7F" w14:textId="77777777" w:rsidR="009C6940" w:rsidRPr="00EF7969" w:rsidRDefault="009C6940" w:rsidP="009C6940">
                  <w:pPr>
                    <w:pStyle w:val="TableBodyText"/>
                    <w:jc w:val="left"/>
                  </w:pPr>
                  <w:r w:rsidRPr="00EF7969">
                    <w:t>Vegan Australia</w:t>
                  </w:r>
                </w:p>
              </w:tc>
              <w:tc>
                <w:tcPr>
                  <w:tcW w:w="2126" w:type="dxa"/>
                  <w:shd w:val="clear" w:color="auto" w:fill="auto"/>
                </w:tcPr>
                <w:p w14:paraId="4C738F72" w14:textId="77777777" w:rsidR="009C6940" w:rsidRPr="00EF7969" w:rsidRDefault="009C6940" w:rsidP="009C6940">
                  <w:pPr>
                    <w:pStyle w:val="TableBodyText"/>
                  </w:pPr>
                  <w:r w:rsidRPr="00EF7969">
                    <w:t>223</w:t>
                  </w:r>
                </w:p>
              </w:tc>
            </w:tr>
            <w:tr w:rsidR="009C6940" w:rsidRPr="00EF7969" w14:paraId="65D040D8" w14:textId="77777777" w:rsidTr="009C6940">
              <w:tc>
                <w:tcPr>
                  <w:tcW w:w="6377" w:type="dxa"/>
                  <w:shd w:val="clear" w:color="auto" w:fill="auto"/>
                </w:tcPr>
                <w:p w14:paraId="6ED8881E" w14:textId="77777777" w:rsidR="009C6940" w:rsidRPr="00EF7969" w:rsidRDefault="009C6940" w:rsidP="009C6940">
                  <w:pPr>
                    <w:pStyle w:val="TableBodyText"/>
                    <w:jc w:val="left"/>
                  </w:pPr>
                  <w:r w:rsidRPr="00EF7969">
                    <w:t>VicHealth and Partners</w:t>
                  </w:r>
                </w:p>
              </w:tc>
              <w:tc>
                <w:tcPr>
                  <w:tcW w:w="2126" w:type="dxa"/>
                  <w:shd w:val="clear" w:color="auto" w:fill="auto"/>
                </w:tcPr>
                <w:p w14:paraId="03EAE7EE" w14:textId="77777777" w:rsidR="009C6940" w:rsidRPr="00EF7969" w:rsidRDefault="009C6940" w:rsidP="009C6940">
                  <w:pPr>
                    <w:pStyle w:val="TableBodyText"/>
                  </w:pPr>
                  <w:r w:rsidRPr="00EF7969">
                    <w:t>131</w:t>
                  </w:r>
                </w:p>
              </w:tc>
            </w:tr>
            <w:tr w:rsidR="009C6940" w:rsidRPr="00EF7969" w14:paraId="05D85265" w14:textId="77777777" w:rsidTr="009C6940">
              <w:tc>
                <w:tcPr>
                  <w:tcW w:w="6377" w:type="dxa"/>
                  <w:shd w:val="clear" w:color="auto" w:fill="auto"/>
                </w:tcPr>
                <w:p w14:paraId="01547ED5" w14:textId="77777777" w:rsidR="009C6940" w:rsidRPr="00EF7969" w:rsidRDefault="009C6940" w:rsidP="009C6940">
                  <w:pPr>
                    <w:pStyle w:val="TableBodyText"/>
                    <w:tabs>
                      <w:tab w:val="left" w:pos="1815"/>
                    </w:tabs>
                    <w:jc w:val="left"/>
                  </w:pPr>
                  <w:r w:rsidRPr="00EF7969">
                    <w:t>Victor Boyd</w:t>
                  </w:r>
                </w:p>
              </w:tc>
              <w:tc>
                <w:tcPr>
                  <w:tcW w:w="2126" w:type="dxa"/>
                  <w:shd w:val="clear" w:color="auto" w:fill="auto"/>
                </w:tcPr>
                <w:p w14:paraId="2192551F" w14:textId="77777777" w:rsidR="009C6940" w:rsidRPr="00EF7969" w:rsidRDefault="009C6940" w:rsidP="009C6940">
                  <w:pPr>
                    <w:pStyle w:val="TableBodyText"/>
                  </w:pPr>
                  <w:r w:rsidRPr="00EF7969">
                    <w:t>653</w:t>
                  </w:r>
                </w:p>
              </w:tc>
            </w:tr>
            <w:tr w:rsidR="009C6940" w:rsidRPr="00EF7969" w14:paraId="2F94952F" w14:textId="77777777" w:rsidTr="009C6940">
              <w:tc>
                <w:tcPr>
                  <w:tcW w:w="6377" w:type="dxa"/>
                  <w:shd w:val="clear" w:color="auto" w:fill="auto"/>
                </w:tcPr>
                <w:p w14:paraId="56DD9A49" w14:textId="77777777" w:rsidR="009C6940" w:rsidRPr="00EF7969" w:rsidRDefault="009C6940" w:rsidP="009C6940">
                  <w:pPr>
                    <w:pStyle w:val="TableBodyText"/>
                    <w:jc w:val="left"/>
                  </w:pPr>
                  <w:r w:rsidRPr="00EF7969">
                    <w:t>Victoria Hughes</w:t>
                  </w:r>
                </w:p>
              </w:tc>
              <w:tc>
                <w:tcPr>
                  <w:tcW w:w="2126" w:type="dxa"/>
                  <w:shd w:val="clear" w:color="auto" w:fill="auto"/>
                </w:tcPr>
                <w:p w14:paraId="0E74BD73" w14:textId="77777777" w:rsidR="009C6940" w:rsidRPr="00EF7969" w:rsidRDefault="009C6940" w:rsidP="009C6940">
                  <w:pPr>
                    <w:pStyle w:val="TableBodyText"/>
                  </w:pPr>
                  <w:r w:rsidRPr="00EF7969">
                    <w:t>571</w:t>
                  </w:r>
                </w:p>
              </w:tc>
            </w:tr>
            <w:tr w:rsidR="009C6940" w:rsidRPr="00EF7969" w14:paraId="5D61248E" w14:textId="77777777" w:rsidTr="009C6940">
              <w:tc>
                <w:tcPr>
                  <w:tcW w:w="6377" w:type="dxa"/>
                  <w:shd w:val="clear" w:color="auto" w:fill="auto"/>
                </w:tcPr>
                <w:p w14:paraId="722BEC96" w14:textId="77777777" w:rsidR="009C6940" w:rsidRPr="00EF7969" w:rsidRDefault="009C6940" w:rsidP="009C6940">
                  <w:pPr>
                    <w:pStyle w:val="TableBodyText"/>
                    <w:jc w:val="left"/>
                  </w:pPr>
                  <w:r w:rsidRPr="00EF7969">
                    <w:t>Victoria Legal Aid (VLA)</w:t>
                  </w:r>
                </w:p>
              </w:tc>
              <w:tc>
                <w:tcPr>
                  <w:tcW w:w="2126" w:type="dxa"/>
                  <w:shd w:val="clear" w:color="auto" w:fill="auto"/>
                </w:tcPr>
                <w:p w14:paraId="1A201F65" w14:textId="77777777" w:rsidR="009C6940" w:rsidRPr="00EF7969" w:rsidRDefault="009C6940" w:rsidP="009C6940">
                  <w:pPr>
                    <w:pStyle w:val="TableBodyText"/>
                  </w:pPr>
                  <w:r w:rsidRPr="00EF7969">
                    <w:t>500, 818</w:t>
                  </w:r>
                </w:p>
              </w:tc>
            </w:tr>
            <w:tr w:rsidR="009C6940" w:rsidRPr="00EF7969" w14:paraId="3C7CF056" w14:textId="77777777" w:rsidTr="009C6940">
              <w:tc>
                <w:tcPr>
                  <w:tcW w:w="6377" w:type="dxa"/>
                  <w:shd w:val="clear" w:color="auto" w:fill="auto"/>
                </w:tcPr>
                <w:p w14:paraId="72C444A2" w14:textId="77777777" w:rsidR="009C6940" w:rsidRPr="00EF7969" w:rsidRDefault="009C6940" w:rsidP="009C6940">
                  <w:pPr>
                    <w:pStyle w:val="TableBodyText"/>
                    <w:jc w:val="left"/>
                  </w:pPr>
                  <w:r w:rsidRPr="00EF7969">
                    <w:t>Victorian Aboriginal Children and Young People’s Alliance</w:t>
                  </w:r>
                </w:p>
              </w:tc>
              <w:tc>
                <w:tcPr>
                  <w:tcW w:w="2126" w:type="dxa"/>
                  <w:shd w:val="clear" w:color="auto" w:fill="auto"/>
                </w:tcPr>
                <w:p w14:paraId="6E89EE04" w14:textId="77777777" w:rsidR="009C6940" w:rsidRPr="00EF7969" w:rsidRDefault="009C6940" w:rsidP="009C6940">
                  <w:pPr>
                    <w:pStyle w:val="TableBodyText"/>
                  </w:pPr>
                  <w:r w:rsidRPr="00EF7969">
                    <w:t>240</w:t>
                  </w:r>
                </w:p>
              </w:tc>
            </w:tr>
            <w:tr w:rsidR="009C6940" w:rsidRPr="00EF7969" w14:paraId="0BFD3F05" w14:textId="77777777" w:rsidTr="009C6940">
              <w:tc>
                <w:tcPr>
                  <w:tcW w:w="6377" w:type="dxa"/>
                  <w:shd w:val="clear" w:color="auto" w:fill="auto"/>
                </w:tcPr>
                <w:p w14:paraId="201CE7D7" w14:textId="77777777" w:rsidR="009C6940" w:rsidRPr="00EF7969" w:rsidRDefault="009C6940" w:rsidP="009C6940">
                  <w:pPr>
                    <w:pStyle w:val="TableBodyText"/>
                    <w:jc w:val="left"/>
                  </w:pPr>
                  <w:r w:rsidRPr="00EF7969">
                    <w:t>Victorian Aboriginal Community Controlled Health Organisation (VACCHO)</w:t>
                  </w:r>
                </w:p>
              </w:tc>
              <w:tc>
                <w:tcPr>
                  <w:tcW w:w="2126" w:type="dxa"/>
                  <w:shd w:val="clear" w:color="auto" w:fill="auto"/>
                </w:tcPr>
                <w:p w14:paraId="0FF6D95B" w14:textId="77777777" w:rsidR="009C6940" w:rsidRPr="00EF7969" w:rsidRDefault="009C6940" w:rsidP="009C6940">
                  <w:pPr>
                    <w:pStyle w:val="TableBodyText"/>
                  </w:pPr>
                  <w:r w:rsidRPr="00EF7969">
                    <w:t>1201</w:t>
                  </w:r>
                </w:p>
              </w:tc>
            </w:tr>
            <w:tr w:rsidR="009C6940" w:rsidRPr="00EF7969" w14:paraId="038E9200" w14:textId="77777777" w:rsidTr="009C6940">
              <w:tc>
                <w:tcPr>
                  <w:tcW w:w="6377" w:type="dxa"/>
                  <w:shd w:val="clear" w:color="auto" w:fill="auto"/>
                </w:tcPr>
                <w:p w14:paraId="0D6756D2" w14:textId="77777777" w:rsidR="009C6940" w:rsidRPr="00EF7969" w:rsidRDefault="009C6940" w:rsidP="009C6940">
                  <w:pPr>
                    <w:pStyle w:val="TableBodyText"/>
                    <w:jc w:val="left"/>
                  </w:pPr>
                  <w:r w:rsidRPr="00EF7969">
                    <w:t>Victorian Aboriginal Community Services Association Limited (VACSAL)</w:t>
                  </w:r>
                </w:p>
              </w:tc>
              <w:tc>
                <w:tcPr>
                  <w:tcW w:w="2126" w:type="dxa"/>
                  <w:shd w:val="clear" w:color="auto" w:fill="auto"/>
                </w:tcPr>
                <w:p w14:paraId="507A6C03" w14:textId="77777777" w:rsidR="009C6940" w:rsidRPr="00EF7969" w:rsidRDefault="009C6940" w:rsidP="009C6940">
                  <w:pPr>
                    <w:pStyle w:val="TableBodyText"/>
                  </w:pPr>
                  <w:r w:rsidRPr="00EF7969">
                    <w:t>225</w:t>
                  </w:r>
                </w:p>
              </w:tc>
            </w:tr>
            <w:tr w:rsidR="009C6940" w:rsidRPr="00EF7969" w14:paraId="562BC0C8" w14:textId="77777777" w:rsidTr="009C6940">
              <w:tc>
                <w:tcPr>
                  <w:tcW w:w="6377" w:type="dxa"/>
                  <w:shd w:val="clear" w:color="auto" w:fill="auto"/>
                </w:tcPr>
                <w:p w14:paraId="0F83B47D" w14:textId="77777777" w:rsidR="009C6940" w:rsidRPr="00EF7969" w:rsidRDefault="009C6940" w:rsidP="009C6940">
                  <w:pPr>
                    <w:pStyle w:val="TableBodyText"/>
                    <w:jc w:val="left"/>
                  </w:pPr>
                  <w:r w:rsidRPr="00EF7969">
                    <w:t>Victorian Alcohol and Drug Association (VAADA)</w:t>
                  </w:r>
                </w:p>
              </w:tc>
              <w:tc>
                <w:tcPr>
                  <w:tcW w:w="2126" w:type="dxa"/>
                  <w:shd w:val="clear" w:color="auto" w:fill="auto"/>
                </w:tcPr>
                <w:p w14:paraId="4AAFD283" w14:textId="77777777" w:rsidR="009C6940" w:rsidRPr="00EF7969" w:rsidRDefault="009C6940" w:rsidP="009C6940">
                  <w:pPr>
                    <w:pStyle w:val="TableBodyText"/>
                  </w:pPr>
                  <w:r w:rsidRPr="00EF7969">
                    <w:t>403</w:t>
                  </w:r>
                </w:p>
              </w:tc>
            </w:tr>
            <w:tr w:rsidR="009C6940" w:rsidRPr="00EF7969" w14:paraId="4C749A2D" w14:textId="77777777" w:rsidTr="009C6940">
              <w:tc>
                <w:tcPr>
                  <w:tcW w:w="6377" w:type="dxa"/>
                  <w:shd w:val="clear" w:color="auto" w:fill="auto"/>
                </w:tcPr>
                <w:p w14:paraId="678FA6A6" w14:textId="77777777" w:rsidR="009C6940" w:rsidRPr="00EF7969" w:rsidRDefault="009C6940" w:rsidP="009C6940">
                  <w:pPr>
                    <w:pStyle w:val="TableBodyText"/>
                    <w:jc w:val="left"/>
                  </w:pPr>
                  <w:r w:rsidRPr="00EF7969">
                    <w:t>Victorian and Tasmanian PHN Alliance</w:t>
                  </w:r>
                </w:p>
              </w:tc>
              <w:tc>
                <w:tcPr>
                  <w:tcW w:w="2126" w:type="dxa"/>
                  <w:shd w:val="clear" w:color="auto" w:fill="auto"/>
                </w:tcPr>
                <w:p w14:paraId="0CF92106" w14:textId="77777777" w:rsidR="009C6940" w:rsidRPr="00EF7969" w:rsidRDefault="009C6940" w:rsidP="009C6940">
                  <w:pPr>
                    <w:pStyle w:val="TableBodyText"/>
                  </w:pPr>
                  <w:r w:rsidRPr="00EF7969">
                    <w:t>849, 1238</w:t>
                  </w:r>
                </w:p>
              </w:tc>
            </w:tr>
            <w:tr w:rsidR="009C6940" w:rsidRPr="00EF7969" w14:paraId="11A2266A" w14:textId="77777777" w:rsidTr="009C6940">
              <w:tc>
                <w:tcPr>
                  <w:tcW w:w="6377" w:type="dxa"/>
                  <w:shd w:val="clear" w:color="auto" w:fill="auto"/>
                </w:tcPr>
                <w:p w14:paraId="304B96A0" w14:textId="77777777" w:rsidR="009C6940" w:rsidRPr="00EF7969" w:rsidRDefault="009C6940" w:rsidP="009C6940">
                  <w:pPr>
                    <w:pStyle w:val="TableBodyText"/>
                    <w:jc w:val="left"/>
                  </w:pPr>
                  <w:r w:rsidRPr="00EF7969">
                    <w:t>Victorian Council of Social Service (VCOSS)</w:t>
                  </w:r>
                </w:p>
              </w:tc>
              <w:tc>
                <w:tcPr>
                  <w:tcW w:w="2126" w:type="dxa"/>
                  <w:shd w:val="clear" w:color="auto" w:fill="auto"/>
                </w:tcPr>
                <w:p w14:paraId="5EDE4FA4" w14:textId="77777777" w:rsidR="009C6940" w:rsidRPr="00EF7969" w:rsidRDefault="009C6940" w:rsidP="009C6940">
                  <w:pPr>
                    <w:pStyle w:val="TableBodyText"/>
                  </w:pPr>
                  <w:r w:rsidRPr="00EF7969">
                    <w:t>478</w:t>
                  </w:r>
                </w:p>
              </w:tc>
            </w:tr>
            <w:tr w:rsidR="009C6940" w:rsidRPr="00EF7969" w14:paraId="1BB585EA" w14:textId="77777777" w:rsidTr="009C6940">
              <w:tc>
                <w:tcPr>
                  <w:tcW w:w="6377" w:type="dxa"/>
                  <w:shd w:val="clear" w:color="auto" w:fill="auto"/>
                </w:tcPr>
                <w:p w14:paraId="14A87033" w14:textId="77777777" w:rsidR="009C6940" w:rsidRPr="00EF7969" w:rsidRDefault="009C6940" w:rsidP="009C6940">
                  <w:pPr>
                    <w:pStyle w:val="TableBodyText"/>
                    <w:jc w:val="left"/>
                  </w:pPr>
                  <w:r w:rsidRPr="00EF7969">
                    <w:t>Victorian Disability Services Commissioner</w:t>
                  </w:r>
                </w:p>
              </w:tc>
              <w:tc>
                <w:tcPr>
                  <w:tcW w:w="2126" w:type="dxa"/>
                  <w:shd w:val="clear" w:color="auto" w:fill="auto"/>
                </w:tcPr>
                <w:p w14:paraId="1CE51724" w14:textId="77777777" w:rsidR="009C6940" w:rsidRPr="00EF7969" w:rsidRDefault="009C6940" w:rsidP="009C6940">
                  <w:pPr>
                    <w:pStyle w:val="TableBodyText"/>
                  </w:pPr>
                  <w:r w:rsidRPr="00EF7969">
                    <w:t>268</w:t>
                  </w:r>
                </w:p>
              </w:tc>
            </w:tr>
            <w:tr w:rsidR="009C6940" w:rsidRPr="00EF7969" w14:paraId="31122F0D" w14:textId="77777777" w:rsidTr="009C6940">
              <w:tc>
                <w:tcPr>
                  <w:tcW w:w="6377" w:type="dxa"/>
                  <w:shd w:val="clear" w:color="auto" w:fill="auto"/>
                </w:tcPr>
                <w:p w14:paraId="1DDF2093" w14:textId="77777777" w:rsidR="009C6940" w:rsidRPr="00EF7969" w:rsidRDefault="009C6940" w:rsidP="009C6940">
                  <w:pPr>
                    <w:pStyle w:val="TableBodyText"/>
                    <w:jc w:val="left"/>
                  </w:pPr>
                  <w:r w:rsidRPr="00EF7969">
                    <w:t>Victorian Drug and Alcohol Association</w:t>
                  </w:r>
                  <w:r>
                    <w:t xml:space="preserve"> (VAADA)</w:t>
                  </w:r>
                </w:p>
              </w:tc>
              <w:tc>
                <w:tcPr>
                  <w:tcW w:w="2126" w:type="dxa"/>
                  <w:shd w:val="clear" w:color="auto" w:fill="auto"/>
                </w:tcPr>
                <w:p w14:paraId="13F17495" w14:textId="77777777" w:rsidR="009C6940" w:rsidRPr="00EF7969" w:rsidRDefault="009C6940" w:rsidP="009C6940">
                  <w:pPr>
                    <w:pStyle w:val="TableBodyText"/>
                  </w:pPr>
                  <w:r w:rsidRPr="00EF7969">
                    <w:t>1205</w:t>
                  </w:r>
                </w:p>
              </w:tc>
            </w:tr>
            <w:tr w:rsidR="009C6940" w:rsidRPr="00EF7969" w14:paraId="4A1096F4" w14:textId="77777777" w:rsidTr="009C6940">
              <w:tc>
                <w:tcPr>
                  <w:tcW w:w="6377" w:type="dxa"/>
                  <w:shd w:val="clear" w:color="auto" w:fill="auto"/>
                </w:tcPr>
                <w:p w14:paraId="21A3E509" w14:textId="77777777" w:rsidR="009C6940" w:rsidRPr="00EF7969" w:rsidRDefault="009C6940" w:rsidP="009C6940">
                  <w:pPr>
                    <w:pStyle w:val="TableBodyText"/>
                    <w:jc w:val="left"/>
                  </w:pPr>
                  <w:r w:rsidRPr="00EF7969">
                    <w:t>Victorian Government</w:t>
                  </w:r>
                </w:p>
              </w:tc>
              <w:tc>
                <w:tcPr>
                  <w:tcW w:w="2126" w:type="dxa"/>
                  <w:shd w:val="clear" w:color="auto" w:fill="auto"/>
                </w:tcPr>
                <w:p w14:paraId="27963F8C" w14:textId="77777777" w:rsidR="009C6940" w:rsidRPr="00EF7969" w:rsidRDefault="009C6940" w:rsidP="009C6940">
                  <w:pPr>
                    <w:pStyle w:val="TableBodyText"/>
                  </w:pPr>
                  <w:r w:rsidRPr="00EF7969">
                    <w:t>483, 1228</w:t>
                  </w:r>
                </w:p>
              </w:tc>
            </w:tr>
            <w:tr w:rsidR="009C6940" w:rsidRPr="00EF7969" w14:paraId="0348C17E" w14:textId="77777777" w:rsidTr="009C6940">
              <w:tc>
                <w:tcPr>
                  <w:tcW w:w="6377" w:type="dxa"/>
                  <w:shd w:val="clear" w:color="auto" w:fill="auto"/>
                </w:tcPr>
                <w:p w14:paraId="797BF836" w14:textId="77777777" w:rsidR="009C6940" w:rsidRPr="00EF7969" w:rsidRDefault="009C6940" w:rsidP="009C6940">
                  <w:pPr>
                    <w:pStyle w:val="TableBodyText"/>
                    <w:jc w:val="left"/>
                  </w:pPr>
                  <w:r w:rsidRPr="00EF7969">
                    <w:t>Victorian Institute of Forensic Mental Health</w:t>
                  </w:r>
                </w:p>
              </w:tc>
              <w:tc>
                <w:tcPr>
                  <w:tcW w:w="2126" w:type="dxa"/>
                  <w:shd w:val="clear" w:color="auto" w:fill="auto"/>
                </w:tcPr>
                <w:p w14:paraId="23EE2D33" w14:textId="77777777" w:rsidR="009C6940" w:rsidRPr="00EF7969" w:rsidRDefault="009C6940" w:rsidP="009C6940">
                  <w:pPr>
                    <w:pStyle w:val="TableBodyText"/>
                  </w:pPr>
                  <w:r w:rsidRPr="00EF7969">
                    <w:t>890</w:t>
                  </w:r>
                </w:p>
              </w:tc>
            </w:tr>
            <w:tr w:rsidR="009C6940" w:rsidRPr="00EF7969" w14:paraId="76497C3A" w14:textId="77777777" w:rsidTr="009C6940">
              <w:tc>
                <w:tcPr>
                  <w:tcW w:w="6377" w:type="dxa"/>
                  <w:shd w:val="clear" w:color="auto" w:fill="auto"/>
                </w:tcPr>
                <w:p w14:paraId="1933A896" w14:textId="77777777" w:rsidR="009C6940" w:rsidRPr="00EF7969" w:rsidRDefault="009C6940" w:rsidP="009C6940">
                  <w:pPr>
                    <w:pStyle w:val="TableBodyText"/>
                    <w:jc w:val="left"/>
                  </w:pPr>
                  <w:r w:rsidRPr="00EF7969">
                    <w:t>Victorian Mental Health Tribunal</w:t>
                  </w:r>
                </w:p>
              </w:tc>
              <w:tc>
                <w:tcPr>
                  <w:tcW w:w="2126" w:type="dxa"/>
                  <w:shd w:val="clear" w:color="auto" w:fill="auto"/>
                </w:tcPr>
                <w:p w14:paraId="6DD7439B" w14:textId="77777777" w:rsidR="009C6940" w:rsidRPr="00EF7969" w:rsidRDefault="009C6940" w:rsidP="009C6940">
                  <w:pPr>
                    <w:pStyle w:val="TableBodyText"/>
                  </w:pPr>
                  <w:r w:rsidRPr="00EF7969">
                    <w:t>748</w:t>
                  </w:r>
                </w:p>
              </w:tc>
            </w:tr>
            <w:tr w:rsidR="009C6940" w:rsidRPr="00EF7969" w14:paraId="77E4BB68" w14:textId="77777777" w:rsidTr="009C6940">
              <w:tc>
                <w:tcPr>
                  <w:tcW w:w="6377" w:type="dxa"/>
                  <w:shd w:val="clear" w:color="auto" w:fill="auto"/>
                </w:tcPr>
                <w:p w14:paraId="7C2FC510" w14:textId="77777777" w:rsidR="009C6940" w:rsidRPr="00EF7969" w:rsidRDefault="009C6940" w:rsidP="009C6940">
                  <w:pPr>
                    <w:pStyle w:val="TableBodyText"/>
                    <w:jc w:val="left"/>
                  </w:pPr>
                  <w:r w:rsidRPr="00EF7969">
                    <w:t>Victorian Mental Illness Awareness Council</w:t>
                  </w:r>
                </w:p>
              </w:tc>
              <w:tc>
                <w:tcPr>
                  <w:tcW w:w="2126" w:type="dxa"/>
                  <w:shd w:val="clear" w:color="auto" w:fill="auto"/>
                </w:tcPr>
                <w:p w14:paraId="4FA7EABA" w14:textId="77777777" w:rsidR="009C6940" w:rsidRPr="00EF7969" w:rsidRDefault="009C6940" w:rsidP="009C6940">
                  <w:pPr>
                    <w:pStyle w:val="TableBodyText"/>
                  </w:pPr>
                  <w:r w:rsidRPr="00EF7969">
                    <w:t>844</w:t>
                  </w:r>
                </w:p>
              </w:tc>
            </w:tr>
            <w:tr w:rsidR="009C6940" w:rsidRPr="00EF7969" w14:paraId="439FAC64" w14:textId="77777777" w:rsidTr="009C6940">
              <w:tc>
                <w:tcPr>
                  <w:tcW w:w="6377" w:type="dxa"/>
                  <w:shd w:val="clear" w:color="auto" w:fill="auto"/>
                </w:tcPr>
                <w:p w14:paraId="1CF67CD2" w14:textId="77777777" w:rsidR="009C6940" w:rsidRPr="00EF7969" w:rsidRDefault="009C6940" w:rsidP="009C6940">
                  <w:pPr>
                    <w:pStyle w:val="TableBodyText"/>
                    <w:jc w:val="left"/>
                  </w:pPr>
                  <w:r w:rsidRPr="00EF7969">
                    <w:t>Victorian Small Business Commission (VSBC)</w:t>
                  </w:r>
                </w:p>
              </w:tc>
              <w:tc>
                <w:tcPr>
                  <w:tcW w:w="2126" w:type="dxa"/>
                  <w:shd w:val="clear" w:color="auto" w:fill="auto"/>
                </w:tcPr>
                <w:p w14:paraId="371F3777" w14:textId="77777777" w:rsidR="009C6940" w:rsidRPr="00EF7969" w:rsidRDefault="009C6940" w:rsidP="009C6940">
                  <w:pPr>
                    <w:pStyle w:val="TableBodyText"/>
                  </w:pPr>
                  <w:r w:rsidRPr="00EF7969">
                    <w:t>230</w:t>
                  </w:r>
                </w:p>
              </w:tc>
            </w:tr>
            <w:tr w:rsidR="009C6940" w:rsidRPr="00EF7969" w14:paraId="503D543D" w14:textId="77777777" w:rsidTr="009C6940">
              <w:tc>
                <w:tcPr>
                  <w:tcW w:w="6377" w:type="dxa"/>
                  <w:shd w:val="clear" w:color="auto" w:fill="auto"/>
                </w:tcPr>
                <w:p w14:paraId="5FA56233" w14:textId="77777777" w:rsidR="009C6940" w:rsidRPr="00EF7969" w:rsidRDefault="009C6940" w:rsidP="009C6940">
                  <w:pPr>
                    <w:pStyle w:val="TableBodyText"/>
                    <w:jc w:val="left"/>
                  </w:pPr>
                  <w:r w:rsidRPr="00EF7969">
                    <w:t>Vikein Mouradian</w:t>
                  </w:r>
                </w:p>
              </w:tc>
              <w:tc>
                <w:tcPr>
                  <w:tcW w:w="2126" w:type="dxa"/>
                  <w:shd w:val="clear" w:color="auto" w:fill="auto"/>
                </w:tcPr>
                <w:p w14:paraId="66B5319D" w14:textId="77777777" w:rsidR="009C6940" w:rsidRPr="00EF7969" w:rsidRDefault="009C6940" w:rsidP="009C6940">
                  <w:pPr>
                    <w:pStyle w:val="TableBodyText"/>
                  </w:pPr>
                  <w:r w:rsidRPr="00EF7969">
                    <w:t>15</w:t>
                  </w:r>
                </w:p>
              </w:tc>
            </w:tr>
            <w:tr w:rsidR="009C6940" w:rsidRPr="00EF7969" w14:paraId="1B7688CB" w14:textId="77777777" w:rsidTr="009C6940">
              <w:tc>
                <w:tcPr>
                  <w:tcW w:w="6377" w:type="dxa"/>
                  <w:shd w:val="clear" w:color="auto" w:fill="auto"/>
                </w:tcPr>
                <w:p w14:paraId="5BD579D5" w14:textId="77777777" w:rsidR="009C6940" w:rsidRPr="00EF7969" w:rsidRDefault="009C6940" w:rsidP="009C6940">
                  <w:pPr>
                    <w:pStyle w:val="TableBodyText"/>
                    <w:jc w:val="left"/>
                  </w:pPr>
                  <w:r w:rsidRPr="00EF7969">
                    <w:t>Vikki Prior</w:t>
                  </w:r>
                </w:p>
              </w:tc>
              <w:tc>
                <w:tcPr>
                  <w:tcW w:w="2126" w:type="dxa"/>
                  <w:shd w:val="clear" w:color="auto" w:fill="auto"/>
                </w:tcPr>
                <w:p w14:paraId="27AFB9C5" w14:textId="77777777" w:rsidR="009C6940" w:rsidRPr="00EF7969" w:rsidRDefault="009C6940" w:rsidP="009C6940">
                  <w:pPr>
                    <w:pStyle w:val="TableBodyText"/>
                  </w:pPr>
                  <w:r w:rsidRPr="00EF7969">
                    <w:t>351</w:t>
                  </w:r>
                </w:p>
              </w:tc>
            </w:tr>
            <w:tr w:rsidR="009C6940" w:rsidRPr="00EF7969" w14:paraId="35F2D234" w14:textId="77777777" w:rsidTr="009C6940">
              <w:tc>
                <w:tcPr>
                  <w:tcW w:w="6377" w:type="dxa"/>
                  <w:shd w:val="clear" w:color="auto" w:fill="auto"/>
                </w:tcPr>
                <w:p w14:paraId="2D6A9F80" w14:textId="77777777" w:rsidR="009C6940" w:rsidRPr="00EF7969" w:rsidRDefault="009C6940" w:rsidP="009C6940">
                  <w:pPr>
                    <w:pStyle w:val="TableBodyText"/>
                    <w:jc w:val="left"/>
                  </w:pPr>
                  <w:r w:rsidRPr="00EF7969">
                    <w:t>Villoni Wuerfel</w:t>
                  </w:r>
                </w:p>
              </w:tc>
              <w:tc>
                <w:tcPr>
                  <w:tcW w:w="2126" w:type="dxa"/>
                  <w:shd w:val="clear" w:color="auto" w:fill="auto"/>
                </w:tcPr>
                <w:p w14:paraId="6E75BD7A" w14:textId="77777777" w:rsidR="009C6940" w:rsidRPr="00EF7969" w:rsidRDefault="009C6940" w:rsidP="009C6940">
                  <w:pPr>
                    <w:pStyle w:val="TableBodyText"/>
                  </w:pPr>
                  <w:r w:rsidRPr="00EF7969">
                    <w:t>1067</w:t>
                  </w:r>
                </w:p>
              </w:tc>
            </w:tr>
            <w:tr w:rsidR="009C6940" w:rsidRPr="00EF7969" w14:paraId="15BA185B" w14:textId="77777777" w:rsidTr="009C6940">
              <w:tc>
                <w:tcPr>
                  <w:tcW w:w="6377" w:type="dxa"/>
                  <w:shd w:val="clear" w:color="auto" w:fill="auto"/>
                </w:tcPr>
                <w:p w14:paraId="3F76E97C" w14:textId="77777777" w:rsidR="009C6940" w:rsidRPr="00EF7969" w:rsidRDefault="009C6940" w:rsidP="009C6940">
                  <w:pPr>
                    <w:pStyle w:val="TableBodyText"/>
                    <w:jc w:val="left"/>
                  </w:pPr>
                  <w:r w:rsidRPr="00EF7969">
                    <w:t>Volunteering and Contact ACT (VCA)</w:t>
                  </w:r>
                </w:p>
              </w:tc>
              <w:tc>
                <w:tcPr>
                  <w:tcW w:w="2126" w:type="dxa"/>
                  <w:shd w:val="clear" w:color="auto" w:fill="auto"/>
                </w:tcPr>
                <w:p w14:paraId="4FE816A8" w14:textId="77777777" w:rsidR="009C6940" w:rsidRPr="00EF7969" w:rsidRDefault="009C6940" w:rsidP="009C6940">
                  <w:pPr>
                    <w:pStyle w:val="TableBodyText"/>
                  </w:pPr>
                  <w:r w:rsidRPr="00EF7969">
                    <w:t>417</w:t>
                  </w:r>
                </w:p>
              </w:tc>
            </w:tr>
            <w:tr w:rsidR="009C6940" w:rsidRPr="00EF7969" w14:paraId="67EC00AC" w14:textId="77777777" w:rsidTr="009C6940">
              <w:tc>
                <w:tcPr>
                  <w:tcW w:w="6377" w:type="dxa"/>
                  <w:shd w:val="clear" w:color="auto" w:fill="auto"/>
                </w:tcPr>
                <w:p w14:paraId="1F450F10" w14:textId="77777777" w:rsidR="009C6940" w:rsidRPr="00EF7969" w:rsidRDefault="009C6940" w:rsidP="009C6940">
                  <w:pPr>
                    <w:pStyle w:val="TableBodyText"/>
                    <w:jc w:val="left"/>
                  </w:pPr>
                  <w:r w:rsidRPr="00EF7969">
                    <w:t>Volunteering Australia</w:t>
                  </w:r>
                </w:p>
              </w:tc>
              <w:tc>
                <w:tcPr>
                  <w:tcW w:w="2126" w:type="dxa"/>
                  <w:shd w:val="clear" w:color="auto" w:fill="auto"/>
                </w:tcPr>
                <w:p w14:paraId="375F8E89" w14:textId="77777777" w:rsidR="009C6940" w:rsidRPr="00EF7969" w:rsidRDefault="009C6940" w:rsidP="009C6940">
                  <w:pPr>
                    <w:pStyle w:val="TableBodyText"/>
                  </w:pPr>
                  <w:r w:rsidRPr="00EF7969">
                    <w:t>412</w:t>
                  </w:r>
                </w:p>
              </w:tc>
            </w:tr>
            <w:tr w:rsidR="009C6940" w:rsidRPr="00EF7969" w14:paraId="2BE0DA2F" w14:textId="77777777" w:rsidTr="009C6940">
              <w:tc>
                <w:tcPr>
                  <w:tcW w:w="6377" w:type="dxa"/>
                  <w:shd w:val="clear" w:color="auto" w:fill="auto"/>
                </w:tcPr>
                <w:p w14:paraId="63E2BDB2" w14:textId="77777777" w:rsidR="009C6940" w:rsidRPr="00EF7969" w:rsidRDefault="009C6940" w:rsidP="009C6940">
                  <w:pPr>
                    <w:pStyle w:val="TableBodyText"/>
                    <w:jc w:val="left"/>
                  </w:pPr>
                  <w:r w:rsidRPr="00EF7969">
                    <w:t>WA Primary Health Alliance</w:t>
                  </w:r>
                </w:p>
              </w:tc>
              <w:tc>
                <w:tcPr>
                  <w:tcW w:w="2126" w:type="dxa"/>
                  <w:shd w:val="clear" w:color="auto" w:fill="auto"/>
                </w:tcPr>
                <w:p w14:paraId="0C942F22" w14:textId="77777777" w:rsidR="009C6940" w:rsidRPr="00EF7969" w:rsidRDefault="009C6940" w:rsidP="009C6940">
                  <w:pPr>
                    <w:pStyle w:val="TableBodyText"/>
                  </w:pPr>
                  <w:r w:rsidRPr="00EF7969">
                    <w:t>722</w:t>
                  </w:r>
                </w:p>
              </w:tc>
            </w:tr>
            <w:tr w:rsidR="009C6940" w:rsidRPr="00EF7969" w14:paraId="2BE7C93F" w14:textId="77777777" w:rsidTr="009C6940">
              <w:tc>
                <w:tcPr>
                  <w:tcW w:w="6377" w:type="dxa"/>
                  <w:shd w:val="clear" w:color="auto" w:fill="auto"/>
                </w:tcPr>
                <w:p w14:paraId="6C1F04B4" w14:textId="77777777" w:rsidR="009C6940" w:rsidRPr="00EF7969" w:rsidRDefault="009C6940" w:rsidP="009C6940">
                  <w:pPr>
                    <w:pStyle w:val="TableBodyText"/>
                    <w:jc w:val="left"/>
                  </w:pPr>
                  <w:r w:rsidRPr="00EF7969">
                    <w:t>Warwick Smith</w:t>
                  </w:r>
                </w:p>
              </w:tc>
              <w:tc>
                <w:tcPr>
                  <w:tcW w:w="2126" w:type="dxa"/>
                  <w:shd w:val="clear" w:color="auto" w:fill="auto"/>
                </w:tcPr>
                <w:p w14:paraId="7D04601A" w14:textId="77777777" w:rsidR="009C6940" w:rsidRPr="00EF7969" w:rsidRDefault="009C6940" w:rsidP="009C6940">
                  <w:pPr>
                    <w:pStyle w:val="TableBodyText"/>
                  </w:pPr>
                  <w:r w:rsidRPr="00EF7969">
                    <w:t>937</w:t>
                  </w:r>
                </w:p>
              </w:tc>
            </w:tr>
            <w:tr w:rsidR="009C6940" w:rsidRPr="00EF7969" w14:paraId="00853B9F" w14:textId="77777777" w:rsidTr="009C4D6F">
              <w:tc>
                <w:tcPr>
                  <w:tcW w:w="6377" w:type="dxa"/>
                  <w:shd w:val="clear" w:color="auto" w:fill="auto"/>
                </w:tcPr>
                <w:p w14:paraId="76203CD7" w14:textId="77777777" w:rsidR="009C6940" w:rsidRPr="00EF7969" w:rsidRDefault="009C6940" w:rsidP="009C6940">
                  <w:pPr>
                    <w:pStyle w:val="TableBodyText"/>
                    <w:jc w:val="left"/>
                  </w:pPr>
                  <w:r w:rsidRPr="00EF7969">
                    <w:t>WayAhead Mental Health Association NSW Ltd</w:t>
                  </w:r>
                </w:p>
              </w:tc>
              <w:tc>
                <w:tcPr>
                  <w:tcW w:w="2126" w:type="dxa"/>
                  <w:shd w:val="clear" w:color="auto" w:fill="auto"/>
                </w:tcPr>
                <w:p w14:paraId="4DCB04D5" w14:textId="77777777" w:rsidR="009C6940" w:rsidRPr="00EF7969" w:rsidRDefault="009C6940" w:rsidP="009C6940">
                  <w:pPr>
                    <w:pStyle w:val="TableBodyText"/>
                  </w:pPr>
                  <w:r w:rsidRPr="00EF7969">
                    <w:t>310, 704</w:t>
                  </w:r>
                </w:p>
              </w:tc>
            </w:tr>
            <w:tr w:rsidR="009C6940" w:rsidRPr="00EF7969" w14:paraId="202D2BB0" w14:textId="77777777" w:rsidTr="009C4D6F">
              <w:tc>
                <w:tcPr>
                  <w:tcW w:w="6377" w:type="dxa"/>
                  <w:shd w:val="clear" w:color="auto" w:fill="auto"/>
                </w:tcPr>
                <w:p w14:paraId="124CE6E1" w14:textId="77777777" w:rsidR="009C6940" w:rsidRPr="00EF7969" w:rsidRDefault="009C6940" w:rsidP="009C6940">
                  <w:pPr>
                    <w:pStyle w:val="TableBodyText"/>
                    <w:jc w:val="left"/>
                  </w:pPr>
                  <w:r w:rsidRPr="00EF7969">
                    <w:t>Wayne C Utting</w:t>
                  </w:r>
                </w:p>
              </w:tc>
              <w:tc>
                <w:tcPr>
                  <w:tcW w:w="2126" w:type="dxa"/>
                  <w:shd w:val="clear" w:color="auto" w:fill="auto"/>
                </w:tcPr>
                <w:p w14:paraId="2B420E59" w14:textId="77777777" w:rsidR="009C6940" w:rsidRPr="00EF7969" w:rsidRDefault="009C6940" w:rsidP="009C6940">
                  <w:pPr>
                    <w:pStyle w:val="TableBodyText"/>
                  </w:pPr>
                  <w:r w:rsidRPr="00EF7969">
                    <w:t>1172</w:t>
                  </w:r>
                </w:p>
              </w:tc>
            </w:tr>
            <w:tr w:rsidR="009C4D6F" w:rsidRPr="00EF7969" w14:paraId="6E453AD1" w14:textId="77777777" w:rsidTr="009C4D6F">
              <w:tc>
                <w:tcPr>
                  <w:tcW w:w="6377" w:type="dxa"/>
                  <w:tcBorders>
                    <w:bottom w:val="single" w:sz="4" w:space="0" w:color="BFBFBF" w:themeColor="background1" w:themeShade="BF"/>
                  </w:tcBorders>
                  <w:shd w:val="clear" w:color="auto" w:fill="auto"/>
                </w:tcPr>
                <w:p w14:paraId="7FF1B55F" w14:textId="77777777" w:rsidR="009C4D6F" w:rsidRPr="00EF7969" w:rsidRDefault="009C4D6F" w:rsidP="009C4D6F">
                  <w:pPr>
                    <w:pStyle w:val="TableBodyText"/>
                    <w:spacing w:before="40"/>
                    <w:jc w:val="left"/>
                  </w:pPr>
                  <w:r w:rsidRPr="00EF7969">
                    <w:t>Wei</w:t>
                  </w:r>
                  <w:r w:rsidRPr="00EF7969">
                    <w:noBreakHyphen/>
                    <w:t>Chia Tseng</w:t>
                  </w:r>
                </w:p>
              </w:tc>
              <w:tc>
                <w:tcPr>
                  <w:tcW w:w="2126" w:type="dxa"/>
                  <w:tcBorders>
                    <w:bottom w:val="single" w:sz="4" w:space="0" w:color="BFBFBF" w:themeColor="background1" w:themeShade="BF"/>
                  </w:tcBorders>
                  <w:shd w:val="clear" w:color="auto" w:fill="auto"/>
                </w:tcPr>
                <w:p w14:paraId="76C7E911" w14:textId="77777777" w:rsidR="009C4D6F" w:rsidRPr="00EF7969" w:rsidRDefault="009C4D6F" w:rsidP="009C4D6F">
                  <w:pPr>
                    <w:pStyle w:val="TableBodyText"/>
                    <w:spacing w:before="40"/>
                  </w:pPr>
                  <w:r w:rsidRPr="00EF7969">
                    <w:t>341</w:t>
                  </w:r>
                </w:p>
              </w:tc>
            </w:tr>
          </w:tbl>
          <w:p w14:paraId="70EE57B0" w14:textId="77777777" w:rsidR="009C6940" w:rsidRPr="00EF7969" w:rsidRDefault="009C6940" w:rsidP="009C6940">
            <w:pPr>
              <w:pStyle w:val="Box"/>
            </w:pPr>
          </w:p>
        </w:tc>
      </w:tr>
      <w:tr w:rsidR="009C6940" w:rsidRPr="00EF7969" w14:paraId="270F405A" w14:textId="77777777" w:rsidTr="009C6940">
        <w:tc>
          <w:tcPr>
            <w:tcW w:w="8789" w:type="dxa"/>
            <w:tcBorders>
              <w:top w:val="nil"/>
              <w:left w:val="nil"/>
              <w:bottom w:val="nil"/>
              <w:right w:val="nil"/>
            </w:tcBorders>
            <w:shd w:val="clear" w:color="auto" w:fill="auto"/>
          </w:tcPr>
          <w:p w14:paraId="58E6BDE1" w14:textId="77777777" w:rsidR="009C6940" w:rsidRPr="00EF7969" w:rsidRDefault="009C6940" w:rsidP="009C6940">
            <w:pPr>
              <w:pStyle w:val="Continued"/>
            </w:pPr>
            <w:r w:rsidRPr="00EF7969">
              <w:t>(continued next page)</w:t>
            </w:r>
          </w:p>
        </w:tc>
      </w:tr>
      <w:tr w:rsidR="009C6940" w:rsidRPr="00EF7969" w14:paraId="061520F5" w14:textId="77777777" w:rsidTr="009C6940">
        <w:tc>
          <w:tcPr>
            <w:tcW w:w="8789" w:type="dxa"/>
            <w:tcBorders>
              <w:top w:val="nil"/>
              <w:left w:val="nil"/>
              <w:bottom w:val="single" w:sz="6" w:space="0" w:color="78A22F"/>
              <w:right w:val="nil"/>
            </w:tcBorders>
            <w:shd w:val="clear" w:color="auto" w:fill="auto"/>
          </w:tcPr>
          <w:p w14:paraId="0F247E7C" w14:textId="77777777" w:rsidR="009C6940" w:rsidRPr="00EF7969" w:rsidRDefault="009C6940" w:rsidP="009C6940">
            <w:pPr>
              <w:pStyle w:val="Box"/>
              <w:spacing w:before="0" w:line="120" w:lineRule="exact"/>
            </w:pPr>
          </w:p>
        </w:tc>
      </w:tr>
      <w:tr w:rsidR="009C6940" w:rsidRPr="00EF7969" w14:paraId="13B9A331" w14:textId="77777777" w:rsidTr="009C6940">
        <w:tc>
          <w:tcPr>
            <w:tcW w:w="8789" w:type="dxa"/>
            <w:tcBorders>
              <w:top w:val="single" w:sz="6" w:space="0" w:color="78A22F"/>
              <w:left w:val="nil"/>
              <w:bottom w:val="nil"/>
              <w:right w:val="nil"/>
            </w:tcBorders>
          </w:tcPr>
          <w:p w14:paraId="739E1C89" w14:textId="77777777" w:rsidR="009C6940" w:rsidRPr="00EF7969" w:rsidRDefault="009C6940" w:rsidP="009C6940">
            <w:pPr>
              <w:pStyle w:val="BoxSpaceBelow"/>
            </w:pPr>
          </w:p>
        </w:tc>
      </w:tr>
    </w:tbl>
    <w:p w14:paraId="53B6462C" w14:textId="77777777" w:rsidR="009C6940" w:rsidRPr="00EF7969" w:rsidRDefault="009C6940" w:rsidP="009C6940">
      <w:pPr>
        <w:pStyle w:val="BoxSpaceAbove"/>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9C6940" w:rsidRPr="00EF7969" w14:paraId="5B2383EF" w14:textId="77777777" w:rsidTr="009C6940">
        <w:trPr>
          <w:tblHeader/>
        </w:trPr>
        <w:tc>
          <w:tcPr>
            <w:tcW w:w="8789" w:type="dxa"/>
            <w:tcBorders>
              <w:top w:val="single" w:sz="6" w:space="0" w:color="78A22F"/>
              <w:left w:val="nil"/>
              <w:bottom w:val="nil"/>
              <w:right w:val="nil"/>
            </w:tcBorders>
            <w:shd w:val="clear" w:color="auto" w:fill="auto"/>
          </w:tcPr>
          <w:p w14:paraId="12AEE8BE" w14:textId="77777777" w:rsidR="009C6940" w:rsidRPr="00EF7969" w:rsidRDefault="009C6940" w:rsidP="009C6940">
            <w:pPr>
              <w:pStyle w:val="TableTitle"/>
            </w:pPr>
            <w:r w:rsidRPr="00EF7969">
              <w:rPr>
                <w:b w:val="0"/>
              </w:rPr>
              <w:t xml:space="preserve">Table </w:t>
            </w:r>
            <w:r>
              <w:rPr>
                <w:b w:val="0"/>
              </w:rPr>
              <w:t>B.</w:t>
            </w:r>
            <w:r w:rsidRPr="00EF7969">
              <w:rPr>
                <w:b w:val="0"/>
              </w:rPr>
              <w:t>1</w:t>
            </w:r>
            <w:r w:rsidRPr="00EF7969">
              <w:tab/>
            </w:r>
            <w:r w:rsidRPr="00EF7969">
              <w:rPr>
                <w:rStyle w:val="Continuedintitle"/>
              </w:rPr>
              <w:t>(continued)</w:t>
            </w:r>
          </w:p>
        </w:tc>
      </w:tr>
      <w:tr w:rsidR="009C6940" w:rsidRPr="00EF7969" w14:paraId="6453F325" w14:textId="77777777" w:rsidTr="009C6940">
        <w:tc>
          <w:tcPr>
            <w:tcW w:w="8789" w:type="dxa"/>
            <w:tcBorders>
              <w:top w:val="nil"/>
              <w:left w:val="nil"/>
              <w:bottom w:val="nil"/>
              <w:right w:val="nil"/>
            </w:tcBorders>
            <w:shd w:val="clear" w:color="auto" w:fill="auto"/>
          </w:tcPr>
          <w:tbl>
            <w:tblPr>
              <w:tblW w:w="4999" w:type="pct"/>
              <w:tblLayout w:type="fixed"/>
              <w:tblCellMar>
                <w:top w:w="28" w:type="dxa"/>
                <w:left w:w="0" w:type="dxa"/>
                <w:right w:w="0" w:type="dxa"/>
              </w:tblCellMar>
              <w:tblLook w:val="0000" w:firstRow="0" w:lastRow="0" w:firstColumn="0" w:lastColumn="0" w:noHBand="0" w:noVBand="0"/>
            </w:tblPr>
            <w:tblGrid>
              <w:gridCol w:w="6377"/>
              <w:gridCol w:w="2126"/>
            </w:tblGrid>
            <w:tr w:rsidR="009C6940" w:rsidRPr="00EF7969" w14:paraId="7DCB0BF1" w14:textId="77777777" w:rsidTr="009C6940">
              <w:trPr>
                <w:tblHeader/>
              </w:trPr>
              <w:tc>
                <w:tcPr>
                  <w:tcW w:w="6377" w:type="dxa"/>
                  <w:tcBorders>
                    <w:top w:val="single" w:sz="6" w:space="0" w:color="BFBFBF"/>
                    <w:bottom w:val="single" w:sz="6" w:space="0" w:color="BFBFBF"/>
                  </w:tcBorders>
                  <w:shd w:val="clear" w:color="auto" w:fill="auto"/>
                  <w:tcMar>
                    <w:top w:w="28" w:type="dxa"/>
                  </w:tcMar>
                </w:tcPr>
                <w:p w14:paraId="7C894987" w14:textId="77777777" w:rsidR="009C6940" w:rsidRPr="00EF7969" w:rsidRDefault="009C6940" w:rsidP="009C6940">
                  <w:pPr>
                    <w:pStyle w:val="TableColumnHeading"/>
                    <w:spacing w:after="0"/>
                    <w:jc w:val="left"/>
                  </w:pPr>
                  <w:r w:rsidRPr="00EF7969">
                    <w:t>Participant</w:t>
                  </w:r>
                </w:p>
              </w:tc>
              <w:tc>
                <w:tcPr>
                  <w:tcW w:w="2126" w:type="dxa"/>
                  <w:tcBorders>
                    <w:top w:val="single" w:sz="6" w:space="0" w:color="BFBFBF"/>
                    <w:bottom w:val="single" w:sz="6" w:space="0" w:color="BFBFBF"/>
                  </w:tcBorders>
                  <w:shd w:val="clear" w:color="auto" w:fill="auto"/>
                  <w:tcMar>
                    <w:top w:w="28" w:type="dxa"/>
                  </w:tcMar>
                </w:tcPr>
                <w:p w14:paraId="39D6BADA" w14:textId="77777777" w:rsidR="009C6940" w:rsidRPr="00EF7969" w:rsidRDefault="009C6940" w:rsidP="009C6940">
                  <w:pPr>
                    <w:pStyle w:val="TableColumnHeading"/>
                    <w:ind w:right="28"/>
                  </w:pPr>
                  <w:r w:rsidRPr="00EF7969">
                    <w:t>Submission no.</w:t>
                  </w:r>
                </w:p>
              </w:tc>
            </w:tr>
            <w:tr w:rsidR="009C6940" w:rsidRPr="00EF7969" w14:paraId="75761894" w14:textId="77777777" w:rsidTr="009C6940">
              <w:trPr>
                <w:tblHeader/>
              </w:trPr>
              <w:tc>
                <w:tcPr>
                  <w:tcW w:w="6377" w:type="dxa"/>
                  <w:shd w:val="clear" w:color="auto" w:fill="auto"/>
                  <w:tcMar>
                    <w:top w:w="28" w:type="dxa"/>
                  </w:tcMar>
                </w:tcPr>
                <w:p w14:paraId="71961914" w14:textId="77777777" w:rsidR="009C6940" w:rsidRPr="00EF7969" w:rsidRDefault="009C6940" w:rsidP="009C6940">
                  <w:pPr>
                    <w:pStyle w:val="TableBodyText"/>
                    <w:spacing w:before="40"/>
                    <w:jc w:val="left"/>
                  </w:pPr>
                </w:p>
              </w:tc>
              <w:tc>
                <w:tcPr>
                  <w:tcW w:w="2126" w:type="dxa"/>
                  <w:shd w:val="clear" w:color="auto" w:fill="auto"/>
                  <w:tcMar>
                    <w:top w:w="28" w:type="dxa"/>
                  </w:tcMar>
                </w:tcPr>
                <w:p w14:paraId="264D1046" w14:textId="77777777" w:rsidR="009C6940" w:rsidRPr="00EF7969" w:rsidRDefault="009C6940" w:rsidP="009C6940">
                  <w:pPr>
                    <w:pStyle w:val="TableBodyText"/>
                    <w:spacing w:before="40"/>
                  </w:pPr>
                </w:p>
              </w:tc>
            </w:tr>
            <w:tr w:rsidR="009C6940" w:rsidRPr="00EF7969" w14:paraId="03A13FF3" w14:textId="77777777" w:rsidTr="009C6940">
              <w:tc>
                <w:tcPr>
                  <w:tcW w:w="6377" w:type="dxa"/>
                  <w:shd w:val="clear" w:color="auto" w:fill="auto"/>
                </w:tcPr>
                <w:p w14:paraId="4E99ED16" w14:textId="77777777" w:rsidR="009C6940" w:rsidRPr="00EF7969" w:rsidRDefault="009C6940" w:rsidP="009C6940">
                  <w:pPr>
                    <w:pStyle w:val="TableBodyText"/>
                    <w:jc w:val="left"/>
                  </w:pPr>
                  <w:r>
                    <w:t>Wellbeing in Schools Australia</w:t>
                  </w:r>
                </w:p>
              </w:tc>
              <w:tc>
                <w:tcPr>
                  <w:tcW w:w="2126" w:type="dxa"/>
                  <w:shd w:val="clear" w:color="auto" w:fill="auto"/>
                </w:tcPr>
                <w:p w14:paraId="022940A2" w14:textId="77777777" w:rsidR="009C6940" w:rsidRPr="00EF7969" w:rsidRDefault="009C6940" w:rsidP="009C6940">
                  <w:pPr>
                    <w:pStyle w:val="TableBodyText"/>
                  </w:pPr>
                  <w:r>
                    <w:t>829</w:t>
                  </w:r>
                </w:p>
              </w:tc>
            </w:tr>
            <w:tr w:rsidR="009C6940" w:rsidRPr="00EF7969" w14:paraId="5BEE9ABB" w14:textId="77777777" w:rsidTr="009C6940">
              <w:tc>
                <w:tcPr>
                  <w:tcW w:w="6377" w:type="dxa"/>
                  <w:shd w:val="clear" w:color="auto" w:fill="auto"/>
                </w:tcPr>
                <w:p w14:paraId="5C1F107D" w14:textId="77777777" w:rsidR="009C6940" w:rsidRPr="00EF7969" w:rsidRDefault="009C6940" w:rsidP="009C6940">
                  <w:pPr>
                    <w:pStyle w:val="TableBodyText"/>
                    <w:jc w:val="left"/>
                  </w:pPr>
                  <w:r w:rsidRPr="00EF7969">
                    <w:t>Wellways Australia</w:t>
                  </w:r>
                </w:p>
              </w:tc>
              <w:tc>
                <w:tcPr>
                  <w:tcW w:w="2126" w:type="dxa"/>
                  <w:shd w:val="clear" w:color="auto" w:fill="auto"/>
                </w:tcPr>
                <w:p w14:paraId="2EC8799F" w14:textId="77777777" w:rsidR="009C6940" w:rsidRPr="00EF7969" w:rsidRDefault="009C6940" w:rsidP="009C6940">
                  <w:pPr>
                    <w:pStyle w:val="TableBodyText"/>
                  </w:pPr>
                  <w:r w:rsidRPr="00EF7969">
                    <w:t>396</w:t>
                  </w:r>
                </w:p>
              </w:tc>
            </w:tr>
            <w:tr w:rsidR="009C6940" w:rsidRPr="00EF7969" w14:paraId="737FD351" w14:textId="77777777" w:rsidTr="009C6940">
              <w:tc>
                <w:tcPr>
                  <w:tcW w:w="6377" w:type="dxa"/>
                  <w:shd w:val="clear" w:color="auto" w:fill="auto"/>
                </w:tcPr>
                <w:p w14:paraId="6BB2ED32" w14:textId="77777777" w:rsidR="009C6940" w:rsidRPr="00EF7969" w:rsidRDefault="009C6940" w:rsidP="009C6940">
                  <w:pPr>
                    <w:pStyle w:val="TableBodyText"/>
                    <w:jc w:val="left"/>
                  </w:pPr>
                  <w:r w:rsidRPr="00EF7969">
                    <w:t>Wenda Moore</w:t>
                  </w:r>
                </w:p>
              </w:tc>
              <w:tc>
                <w:tcPr>
                  <w:tcW w:w="2126" w:type="dxa"/>
                  <w:shd w:val="clear" w:color="auto" w:fill="auto"/>
                </w:tcPr>
                <w:p w14:paraId="4A427B45" w14:textId="77777777" w:rsidR="009C6940" w:rsidRPr="00EF7969" w:rsidRDefault="009C6940" w:rsidP="009C6940">
                  <w:pPr>
                    <w:pStyle w:val="TableBodyText"/>
                  </w:pPr>
                  <w:r w:rsidRPr="00EF7969">
                    <w:t>1085</w:t>
                  </w:r>
                </w:p>
              </w:tc>
            </w:tr>
            <w:tr w:rsidR="009C6940" w:rsidRPr="00EF7969" w14:paraId="40C2F8CF" w14:textId="77777777" w:rsidTr="009C6940">
              <w:tc>
                <w:tcPr>
                  <w:tcW w:w="6377" w:type="dxa"/>
                  <w:shd w:val="clear" w:color="auto" w:fill="auto"/>
                </w:tcPr>
                <w:p w14:paraId="09DAAEAF" w14:textId="77777777" w:rsidR="009C6940" w:rsidRPr="00EF7969" w:rsidRDefault="009C6940" w:rsidP="009C6940">
                  <w:pPr>
                    <w:pStyle w:val="TableBodyText"/>
                    <w:jc w:val="left"/>
                  </w:pPr>
                  <w:r w:rsidRPr="00EF7969">
                    <w:t>Wendy Gersh</w:t>
                  </w:r>
                </w:p>
              </w:tc>
              <w:tc>
                <w:tcPr>
                  <w:tcW w:w="2126" w:type="dxa"/>
                  <w:shd w:val="clear" w:color="auto" w:fill="auto"/>
                </w:tcPr>
                <w:p w14:paraId="256C248D" w14:textId="77777777" w:rsidR="009C6940" w:rsidRPr="00EF7969" w:rsidRDefault="009C6940" w:rsidP="009C6940">
                  <w:pPr>
                    <w:pStyle w:val="TableBodyText"/>
                  </w:pPr>
                  <w:r w:rsidRPr="00EF7969">
                    <w:t>585</w:t>
                  </w:r>
                </w:p>
              </w:tc>
            </w:tr>
            <w:tr w:rsidR="009C6940" w:rsidRPr="00EF7969" w14:paraId="5467FAB1" w14:textId="77777777" w:rsidTr="009C6940">
              <w:tc>
                <w:tcPr>
                  <w:tcW w:w="6377" w:type="dxa"/>
                  <w:shd w:val="clear" w:color="auto" w:fill="auto"/>
                </w:tcPr>
                <w:p w14:paraId="12CFF0E6" w14:textId="77777777" w:rsidR="009C6940" w:rsidRPr="00EF7969" w:rsidRDefault="009C6940" w:rsidP="009C6940">
                  <w:pPr>
                    <w:pStyle w:val="TableBodyText"/>
                    <w:jc w:val="left"/>
                  </w:pPr>
                  <w:r w:rsidRPr="00EF7969">
                    <w:t>Wendy Laupu</w:t>
                  </w:r>
                </w:p>
              </w:tc>
              <w:tc>
                <w:tcPr>
                  <w:tcW w:w="2126" w:type="dxa"/>
                  <w:shd w:val="clear" w:color="auto" w:fill="auto"/>
                </w:tcPr>
                <w:p w14:paraId="4E5956E9" w14:textId="77777777" w:rsidR="009C6940" w:rsidRPr="00EF7969" w:rsidRDefault="009C6940" w:rsidP="009C6940">
                  <w:pPr>
                    <w:pStyle w:val="TableBodyText"/>
                  </w:pPr>
                  <w:r w:rsidRPr="00EF7969">
                    <w:t>50</w:t>
                  </w:r>
                </w:p>
              </w:tc>
            </w:tr>
            <w:tr w:rsidR="009C6940" w:rsidRPr="00EF7969" w14:paraId="435992EF" w14:textId="77777777" w:rsidTr="009C6940">
              <w:tc>
                <w:tcPr>
                  <w:tcW w:w="6377" w:type="dxa"/>
                  <w:shd w:val="clear" w:color="auto" w:fill="auto"/>
                </w:tcPr>
                <w:p w14:paraId="34092E2B" w14:textId="77777777" w:rsidR="009C6940" w:rsidRPr="00EF7969" w:rsidRDefault="009C6940" w:rsidP="009C6940">
                  <w:pPr>
                    <w:pStyle w:val="TableBodyText"/>
                    <w:jc w:val="left"/>
                  </w:pPr>
                  <w:r w:rsidRPr="00EF7969">
                    <w:t>WentWest Limited</w:t>
                  </w:r>
                </w:p>
              </w:tc>
              <w:tc>
                <w:tcPr>
                  <w:tcW w:w="2126" w:type="dxa"/>
                  <w:shd w:val="clear" w:color="auto" w:fill="auto"/>
                </w:tcPr>
                <w:p w14:paraId="5F3D079A" w14:textId="77777777" w:rsidR="009C6940" w:rsidRPr="00EF7969" w:rsidRDefault="009C6940" w:rsidP="009C6940">
                  <w:pPr>
                    <w:pStyle w:val="TableBodyText"/>
                  </w:pPr>
                  <w:r w:rsidRPr="00EF7969">
                    <w:t>445, 788</w:t>
                  </w:r>
                </w:p>
              </w:tc>
            </w:tr>
            <w:tr w:rsidR="009C6940" w:rsidRPr="00EF7969" w14:paraId="05FDF64C" w14:textId="77777777" w:rsidTr="009C6940">
              <w:tc>
                <w:tcPr>
                  <w:tcW w:w="6377" w:type="dxa"/>
                  <w:shd w:val="clear" w:color="auto" w:fill="auto"/>
                </w:tcPr>
                <w:p w14:paraId="5E66BB8E" w14:textId="77777777" w:rsidR="009C6940" w:rsidRPr="00EF7969" w:rsidRDefault="009C6940" w:rsidP="009C6940">
                  <w:pPr>
                    <w:pStyle w:val="TableBodyText"/>
                    <w:jc w:val="left"/>
                  </w:pPr>
                  <w:r w:rsidRPr="00EF7969">
                    <w:t>WeParent</w:t>
                  </w:r>
                </w:p>
              </w:tc>
              <w:tc>
                <w:tcPr>
                  <w:tcW w:w="2126" w:type="dxa"/>
                  <w:shd w:val="clear" w:color="auto" w:fill="auto"/>
                </w:tcPr>
                <w:p w14:paraId="26362389" w14:textId="77777777" w:rsidR="009C6940" w:rsidRPr="00EF7969" w:rsidRDefault="009C6940" w:rsidP="009C6940">
                  <w:pPr>
                    <w:pStyle w:val="TableBodyText"/>
                  </w:pPr>
                  <w:r w:rsidRPr="00EF7969">
                    <w:t>554</w:t>
                  </w:r>
                </w:p>
              </w:tc>
            </w:tr>
            <w:tr w:rsidR="009C6940" w:rsidRPr="00EF7969" w14:paraId="296A19DB" w14:textId="77777777" w:rsidTr="009C6940">
              <w:tc>
                <w:tcPr>
                  <w:tcW w:w="6377" w:type="dxa"/>
                  <w:shd w:val="clear" w:color="auto" w:fill="auto"/>
                </w:tcPr>
                <w:p w14:paraId="7ADE6592" w14:textId="77777777" w:rsidR="009C6940" w:rsidRPr="00EF7969" w:rsidRDefault="009C6940" w:rsidP="009C6940">
                  <w:pPr>
                    <w:pStyle w:val="TableBodyText"/>
                    <w:jc w:val="left"/>
                  </w:pPr>
                  <w:r w:rsidRPr="00EF7969">
                    <w:t>Wesley Mission</w:t>
                  </w:r>
                </w:p>
              </w:tc>
              <w:tc>
                <w:tcPr>
                  <w:tcW w:w="2126" w:type="dxa"/>
                  <w:shd w:val="clear" w:color="auto" w:fill="auto"/>
                </w:tcPr>
                <w:p w14:paraId="40EB996F" w14:textId="77777777" w:rsidR="009C6940" w:rsidRPr="00EF7969" w:rsidRDefault="009C6940" w:rsidP="009C6940">
                  <w:pPr>
                    <w:pStyle w:val="TableBodyText"/>
                  </w:pPr>
                  <w:r w:rsidRPr="00EF7969">
                    <w:t>383, 840</w:t>
                  </w:r>
                </w:p>
              </w:tc>
            </w:tr>
            <w:tr w:rsidR="009C6940" w:rsidRPr="00EF7969" w14:paraId="1EDAB8F2" w14:textId="77777777" w:rsidTr="009C6940">
              <w:tc>
                <w:tcPr>
                  <w:tcW w:w="6377" w:type="dxa"/>
                  <w:shd w:val="clear" w:color="auto" w:fill="auto"/>
                </w:tcPr>
                <w:p w14:paraId="666EBAED" w14:textId="77777777" w:rsidR="009C6940" w:rsidRPr="00EF7969" w:rsidRDefault="009C6940" w:rsidP="009C6940">
                  <w:pPr>
                    <w:pStyle w:val="TableBodyText"/>
                    <w:jc w:val="left"/>
                  </w:pPr>
                  <w:r w:rsidRPr="00EF7969">
                    <w:t>Western Australian Association for Mental Health (WAAMH)</w:t>
                  </w:r>
                </w:p>
              </w:tc>
              <w:tc>
                <w:tcPr>
                  <w:tcW w:w="2126" w:type="dxa"/>
                  <w:shd w:val="clear" w:color="auto" w:fill="auto"/>
                </w:tcPr>
                <w:p w14:paraId="4106042B" w14:textId="77777777" w:rsidR="009C6940" w:rsidRPr="00EF7969" w:rsidRDefault="009C6940" w:rsidP="009C6940">
                  <w:pPr>
                    <w:pStyle w:val="TableBodyText"/>
                  </w:pPr>
                  <w:r w:rsidRPr="00EF7969">
                    <w:t>416, 1112</w:t>
                  </w:r>
                </w:p>
              </w:tc>
            </w:tr>
            <w:tr w:rsidR="009C6940" w:rsidRPr="00EF7969" w14:paraId="0D59E744" w14:textId="77777777" w:rsidTr="009C6940">
              <w:tc>
                <w:tcPr>
                  <w:tcW w:w="6377" w:type="dxa"/>
                  <w:shd w:val="clear" w:color="auto" w:fill="auto"/>
                </w:tcPr>
                <w:p w14:paraId="47F5CECA" w14:textId="77777777" w:rsidR="009C6940" w:rsidRPr="00EF7969" w:rsidRDefault="009C6940" w:rsidP="009C6940">
                  <w:pPr>
                    <w:pStyle w:val="TableBodyText"/>
                    <w:jc w:val="left"/>
                  </w:pPr>
                  <w:r w:rsidRPr="00EF7969">
                    <w:t>Western Australian Department of Local Government, Sport and Cultural Industries (DLGSC)</w:t>
                  </w:r>
                </w:p>
              </w:tc>
              <w:tc>
                <w:tcPr>
                  <w:tcW w:w="2126" w:type="dxa"/>
                  <w:shd w:val="clear" w:color="auto" w:fill="auto"/>
                </w:tcPr>
                <w:p w14:paraId="3C0B0209" w14:textId="77777777" w:rsidR="009C6940" w:rsidRPr="00EF7969" w:rsidRDefault="009C6940" w:rsidP="009C6940">
                  <w:pPr>
                    <w:pStyle w:val="TableBodyText"/>
                  </w:pPr>
                  <w:r w:rsidRPr="00EF7969">
                    <w:t>78</w:t>
                  </w:r>
                </w:p>
              </w:tc>
            </w:tr>
            <w:tr w:rsidR="009C6940" w:rsidRPr="00EF7969" w14:paraId="17004D56" w14:textId="77777777" w:rsidTr="009C6940">
              <w:tc>
                <w:tcPr>
                  <w:tcW w:w="6377" w:type="dxa"/>
                  <w:shd w:val="clear" w:color="auto" w:fill="auto"/>
                </w:tcPr>
                <w:p w14:paraId="4D09E6EE" w14:textId="77777777" w:rsidR="009C6940" w:rsidRPr="00EF7969" w:rsidRDefault="009C6940" w:rsidP="009C6940">
                  <w:pPr>
                    <w:pStyle w:val="TableBodyText"/>
                    <w:jc w:val="left"/>
                  </w:pPr>
                  <w:r w:rsidRPr="00EF7969">
                    <w:t>Western Australian Government</w:t>
                  </w:r>
                </w:p>
              </w:tc>
              <w:tc>
                <w:tcPr>
                  <w:tcW w:w="2126" w:type="dxa"/>
                  <w:shd w:val="clear" w:color="auto" w:fill="auto"/>
                </w:tcPr>
                <w:p w14:paraId="0FED2064" w14:textId="77777777" w:rsidR="009C6940" w:rsidRPr="00EF7969" w:rsidRDefault="009C6940" w:rsidP="009C6940">
                  <w:pPr>
                    <w:pStyle w:val="TableBodyText"/>
                  </w:pPr>
                  <w:r w:rsidRPr="00EF7969">
                    <w:t>1227</w:t>
                  </w:r>
                </w:p>
              </w:tc>
            </w:tr>
            <w:tr w:rsidR="009C6940" w:rsidRPr="00EF7969" w14:paraId="097B63F0" w14:textId="77777777" w:rsidTr="009C6940">
              <w:tc>
                <w:tcPr>
                  <w:tcW w:w="6377" w:type="dxa"/>
                  <w:shd w:val="clear" w:color="auto" w:fill="auto"/>
                </w:tcPr>
                <w:p w14:paraId="01A387C8" w14:textId="77777777" w:rsidR="009C6940" w:rsidRPr="00EF7969" w:rsidRDefault="009C6940" w:rsidP="009C6940">
                  <w:pPr>
                    <w:pStyle w:val="TableBodyText"/>
                    <w:jc w:val="left"/>
                  </w:pPr>
                  <w:r>
                    <w:t>Western Australian</w:t>
                  </w:r>
                  <w:r w:rsidRPr="009E7F00">
                    <w:t xml:space="preserve"> Chief Mental Health Advocate</w:t>
                  </w:r>
                </w:p>
              </w:tc>
              <w:tc>
                <w:tcPr>
                  <w:tcW w:w="2126" w:type="dxa"/>
                  <w:shd w:val="clear" w:color="auto" w:fill="auto"/>
                </w:tcPr>
                <w:p w14:paraId="799CA539" w14:textId="77777777" w:rsidR="009C6940" w:rsidRPr="00EF7969" w:rsidRDefault="009C6940" w:rsidP="009C6940">
                  <w:pPr>
                    <w:pStyle w:val="TableBodyText"/>
                  </w:pPr>
                  <w:r>
                    <w:t>934</w:t>
                  </w:r>
                </w:p>
              </w:tc>
            </w:tr>
            <w:tr w:rsidR="009C6940" w:rsidRPr="00EF7969" w14:paraId="30AD8B52" w14:textId="77777777" w:rsidTr="009C6940">
              <w:tc>
                <w:tcPr>
                  <w:tcW w:w="6377" w:type="dxa"/>
                  <w:shd w:val="clear" w:color="auto" w:fill="auto"/>
                </w:tcPr>
                <w:p w14:paraId="5DB5A050" w14:textId="77777777" w:rsidR="009C6940" w:rsidRPr="00EF7969" w:rsidRDefault="009C6940" w:rsidP="009C6940">
                  <w:pPr>
                    <w:pStyle w:val="TableBodyText"/>
                    <w:jc w:val="left"/>
                  </w:pPr>
                  <w:r w:rsidRPr="00EF7969">
                    <w:t>Western Australian Mental Health Commission</w:t>
                  </w:r>
                </w:p>
              </w:tc>
              <w:tc>
                <w:tcPr>
                  <w:tcW w:w="2126" w:type="dxa"/>
                  <w:shd w:val="clear" w:color="auto" w:fill="auto"/>
                </w:tcPr>
                <w:p w14:paraId="1BD40AC3" w14:textId="77777777" w:rsidR="009C6940" w:rsidRPr="00EF7969" w:rsidRDefault="009C6940" w:rsidP="009C6940">
                  <w:pPr>
                    <w:pStyle w:val="TableBodyText"/>
                  </w:pPr>
                  <w:r w:rsidRPr="00EF7969">
                    <w:t>259</w:t>
                  </w:r>
                </w:p>
              </w:tc>
            </w:tr>
            <w:tr w:rsidR="009C6940" w:rsidRPr="00EF7969" w14:paraId="7596C312" w14:textId="77777777" w:rsidTr="009C6940">
              <w:tc>
                <w:tcPr>
                  <w:tcW w:w="6377" w:type="dxa"/>
                  <w:shd w:val="clear" w:color="auto" w:fill="auto"/>
                </w:tcPr>
                <w:p w14:paraId="0CC69046" w14:textId="77777777" w:rsidR="009C6940" w:rsidRPr="00EF7969" w:rsidRDefault="009C6940" w:rsidP="009C6940">
                  <w:pPr>
                    <w:pStyle w:val="TableBodyText"/>
                    <w:jc w:val="left"/>
                  </w:pPr>
                  <w:r w:rsidRPr="00EF7969">
                    <w:t>Western Australian Network of Alcohol and Other Drug Agencies (WANADA)</w:t>
                  </w:r>
                </w:p>
              </w:tc>
              <w:tc>
                <w:tcPr>
                  <w:tcW w:w="2126" w:type="dxa"/>
                  <w:shd w:val="clear" w:color="auto" w:fill="auto"/>
                </w:tcPr>
                <w:p w14:paraId="38998BD9" w14:textId="77777777" w:rsidR="009C6940" w:rsidRPr="00EF7969" w:rsidRDefault="009C6940" w:rsidP="009C6940">
                  <w:pPr>
                    <w:pStyle w:val="TableBodyText"/>
                  </w:pPr>
                  <w:r w:rsidRPr="00EF7969">
                    <w:t>102</w:t>
                  </w:r>
                </w:p>
              </w:tc>
            </w:tr>
            <w:tr w:rsidR="009C6940" w:rsidRPr="00EF7969" w14:paraId="314197D9" w14:textId="77777777" w:rsidTr="009C6940">
              <w:tc>
                <w:tcPr>
                  <w:tcW w:w="6377" w:type="dxa"/>
                  <w:shd w:val="clear" w:color="auto" w:fill="auto"/>
                </w:tcPr>
                <w:p w14:paraId="33C66F11" w14:textId="77777777" w:rsidR="009C6940" w:rsidRPr="00EF7969" w:rsidRDefault="009C6940" w:rsidP="009C6940">
                  <w:pPr>
                    <w:pStyle w:val="TableBodyText"/>
                    <w:jc w:val="left"/>
                  </w:pPr>
                  <w:r w:rsidRPr="00EF7969">
                    <w:t>Western Sydney Community Forum (WSCF)</w:t>
                  </w:r>
                </w:p>
              </w:tc>
              <w:tc>
                <w:tcPr>
                  <w:tcW w:w="2126" w:type="dxa"/>
                  <w:shd w:val="clear" w:color="auto" w:fill="auto"/>
                </w:tcPr>
                <w:p w14:paraId="5E9FBDCF" w14:textId="77777777" w:rsidR="009C6940" w:rsidRPr="00EF7969" w:rsidRDefault="009C6940" w:rsidP="009C6940">
                  <w:pPr>
                    <w:pStyle w:val="TableBodyText"/>
                  </w:pPr>
                  <w:r w:rsidRPr="00EF7969">
                    <w:t>842</w:t>
                  </w:r>
                </w:p>
              </w:tc>
            </w:tr>
            <w:tr w:rsidR="009C6940" w:rsidRPr="00EF7969" w14:paraId="4EE0CE94" w14:textId="77777777" w:rsidTr="009C6940">
              <w:tc>
                <w:tcPr>
                  <w:tcW w:w="6377" w:type="dxa"/>
                  <w:shd w:val="clear" w:color="auto" w:fill="auto"/>
                </w:tcPr>
                <w:p w14:paraId="3C6B3E04" w14:textId="77777777" w:rsidR="009C6940" w:rsidRPr="00EF7969" w:rsidRDefault="009C6940" w:rsidP="009C6940">
                  <w:pPr>
                    <w:pStyle w:val="TableBodyText"/>
                    <w:jc w:val="left"/>
                  </w:pPr>
                  <w:r w:rsidRPr="00EF7969">
                    <w:t>William Archer-Blackwood</w:t>
                  </w:r>
                </w:p>
              </w:tc>
              <w:tc>
                <w:tcPr>
                  <w:tcW w:w="2126" w:type="dxa"/>
                  <w:shd w:val="clear" w:color="auto" w:fill="auto"/>
                </w:tcPr>
                <w:p w14:paraId="793705A7" w14:textId="77777777" w:rsidR="009C6940" w:rsidRPr="00EF7969" w:rsidRDefault="009C6940" w:rsidP="009C6940">
                  <w:pPr>
                    <w:pStyle w:val="TableBodyText"/>
                  </w:pPr>
                  <w:r w:rsidRPr="00EF7969">
                    <w:t>922</w:t>
                  </w:r>
                </w:p>
              </w:tc>
            </w:tr>
            <w:tr w:rsidR="009C6940" w:rsidRPr="00EF7969" w14:paraId="3F543BB4" w14:textId="77777777" w:rsidTr="009C6940">
              <w:tc>
                <w:tcPr>
                  <w:tcW w:w="6377" w:type="dxa"/>
                  <w:shd w:val="clear" w:color="auto" w:fill="auto"/>
                </w:tcPr>
                <w:p w14:paraId="2161E7CC" w14:textId="77777777" w:rsidR="009C6940" w:rsidRPr="00EF7969" w:rsidRDefault="009C6940" w:rsidP="009C6940">
                  <w:pPr>
                    <w:pStyle w:val="TableBodyText"/>
                    <w:jc w:val="left"/>
                  </w:pPr>
                  <w:r w:rsidRPr="00EF7969">
                    <w:t>Windana</w:t>
                  </w:r>
                </w:p>
              </w:tc>
              <w:tc>
                <w:tcPr>
                  <w:tcW w:w="2126" w:type="dxa"/>
                  <w:shd w:val="clear" w:color="auto" w:fill="auto"/>
                </w:tcPr>
                <w:p w14:paraId="44064364" w14:textId="77777777" w:rsidR="009C6940" w:rsidRPr="00EF7969" w:rsidRDefault="009C6940" w:rsidP="009C6940">
                  <w:pPr>
                    <w:pStyle w:val="TableBodyText"/>
                  </w:pPr>
                  <w:r w:rsidRPr="00EF7969">
                    <w:t>56, 738</w:t>
                  </w:r>
                </w:p>
              </w:tc>
            </w:tr>
            <w:tr w:rsidR="009C6940" w:rsidRPr="00EF7969" w14:paraId="14617CC8" w14:textId="77777777" w:rsidTr="009C6940">
              <w:tc>
                <w:tcPr>
                  <w:tcW w:w="6377" w:type="dxa"/>
                  <w:shd w:val="clear" w:color="auto" w:fill="auto"/>
                </w:tcPr>
                <w:p w14:paraId="1D834335" w14:textId="77777777" w:rsidR="009C6940" w:rsidRPr="00EF7969" w:rsidRDefault="009C6940" w:rsidP="009C6940">
                  <w:pPr>
                    <w:pStyle w:val="TableBodyText"/>
                    <w:jc w:val="left"/>
                  </w:pPr>
                  <w:r w:rsidRPr="00EF7969">
                    <w:t>WISE Employment</w:t>
                  </w:r>
                </w:p>
              </w:tc>
              <w:tc>
                <w:tcPr>
                  <w:tcW w:w="2126" w:type="dxa"/>
                  <w:shd w:val="clear" w:color="auto" w:fill="auto"/>
                </w:tcPr>
                <w:p w14:paraId="4FB6016C" w14:textId="77777777" w:rsidR="009C6940" w:rsidRPr="00EF7969" w:rsidRDefault="009C6940" w:rsidP="009C6940">
                  <w:pPr>
                    <w:pStyle w:val="TableBodyText"/>
                  </w:pPr>
                  <w:r w:rsidRPr="00EF7969">
                    <w:t>186, 1114</w:t>
                  </w:r>
                </w:p>
              </w:tc>
            </w:tr>
            <w:tr w:rsidR="009C6940" w:rsidRPr="00EF7969" w14:paraId="40CEFF69" w14:textId="77777777" w:rsidTr="009C6940">
              <w:tc>
                <w:tcPr>
                  <w:tcW w:w="6377" w:type="dxa"/>
                  <w:shd w:val="clear" w:color="auto" w:fill="auto"/>
                </w:tcPr>
                <w:p w14:paraId="7AFCB163" w14:textId="77777777" w:rsidR="009C6940" w:rsidRPr="00EF7969" w:rsidRDefault="009C6940" w:rsidP="009C6940">
                  <w:pPr>
                    <w:pStyle w:val="TableBodyText"/>
                    <w:jc w:val="left"/>
                  </w:pPr>
                  <w:r w:rsidRPr="00EF7969">
                    <w:t>Woden Community Service</w:t>
                  </w:r>
                </w:p>
              </w:tc>
              <w:tc>
                <w:tcPr>
                  <w:tcW w:w="2126" w:type="dxa"/>
                  <w:shd w:val="clear" w:color="auto" w:fill="auto"/>
                </w:tcPr>
                <w:p w14:paraId="4B2E0DAA" w14:textId="77777777" w:rsidR="009C6940" w:rsidRPr="00EF7969" w:rsidRDefault="009C6940" w:rsidP="009C6940">
                  <w:pPr>
                    <w:pStyle w:val="TableBodyText"/>
                  </w:pPr>
                  <w:r w:rsidRPr="00EF7969">
                    <w:t>25</w:t>
                  </w:r>
                </w:p>
              </w:tc>
            </w:tr>
            <w:tr w:rsidR="009C6940" w:rsidRPr="00EF7969" w14:paraId="25B3DEE7" w14:textId="77777777" w:rsidTr="009C6940">
              <w:tc>
                <w:tcPr>
                  <w:tcW w:w="6377" w:type="dxa"/>
                  <w:shd w:val="clear" w:color="auto" w:fill="auto"/>
                </w:tcPr>
                <w:p w14:paraId="60293203" w14:textId="77777777" w:rsidR="009C6940" w:rsidRPr="00EF7969" w:rsidRDefault="009C6940" w:rsidP="009C6940">
                  <w:pPr>
                    <w:pStyle w:val="TableBodyText"/>
                    <w:jc w:val="left"/>
                  </w:pPr>
                  <w:r w:rsidRPr="00EF7969">
                    <w:t>Women’s Health Victoria (WHV)</w:t>
                  </w:r>
                </w:p>
              </w:tc>
              <w:tc>
                <w:tcPr>
                  <w:tcW w:w="2126" w:type="dxa"/>
                  <w:shd w:val="clear" w:color="auto" w:fill="auto"/>
                </w:tcPr>
                <w:p w14:paraId="2770993F" w14:textId="77777777" w:rsidR="009C6940" w:rsidRPr="00EF7969" w:rsidRDefault="009C6940" w:rsidP="009C6940">
                  <w:pPr>
                    <w:pStyle w:val="TableBodyText"/>
                  </w:pPr>
                  <w:r w:rsidRPr="00EF7969">
                    <w:t>318, 773</w:t>
                  </w:r>
                </w:p>
              </w:tc>
            </w:tr>
            <w:tr w:rsidR="009C6940" w:rsidRPr="00EF7969" w14:paraId="13807802" w14:textId="77777777" w:rsidTr="009C6940">
              <w:tc>
                <w:tcPr>
                  <w:tcW w:w="6377" w:type="dxa"/>
                  <w:shd w:val="clear" w:color="auto" w:fill="auto"/>
                </w:tcPr>
                <w:p w14:paraId="007B15AB" w14:textId="77777777" w:rsidR="009C6940" w:rsidRPr="00EF7969" w:rsidRDefault="009C6940" w:rsidP="009C6940">
                  <w:pPr>
                    <w:pStyle w:val="TableBodyText"/>
                    <w:jc w:val="left"/>
                  </w:pPr>
                  <w:r w:rsidRPr="00EF7969">
                    <w:t>Woodville Alliance</w:t>
                  </w:r>
                </w:p>
              </w:tc>
              <w:tc>
                <w:tcPr>
                  <w:tcW w:w="2126" w:type="dxa"/>
                  <w:shd w:val="clear" w:color="auto" w:fill="auto"/>
                </w:tcPr>
                <w:p w14:paraId="0CFAFB1E" w14:textId="77777777" w:rsidR="009C6940" w:rsidRPr="00EF7969" w:rsidRDefault="009C6940" w:rsidP="009C6940">
                  <w:pPr>
                    <w:pStyle w:val="TableBodyText"/>
                  </w:pPr>
                  <w:r w:rsidRPr="00EF7969">
                    <w:t>1203</w:t>
                  </w:r>
                </w:p>
              </w:tc>
            </w:tr>
            <w:tr w:rsidR="009C6940" w:rsidRPr="00EF7969" w14:paraId="49213DF7" w14:textId="77777777" w:rsidTr="009C6940">
              <w:tc>
                <w:tcPr>
                  <w:tcW w:w="6377" w:type="dxa"/>
                  <w:shd w:val="clear" w:color="auto" w:fill="auto"/>
                </w:tcPr>
                <w:p w14:paraId="428895FE" w14:textId="77777777" w:rsidR="009C6940" w:rsidRPr="00EF7969" w:rsidRDefault="009C6940" w:rsidP="009C6940">
                  <w:pPr>
                    <w:pStyle w:val="TableBodyText"/>
                    <w:jc w:val="left"/>
                  </w:pPr>
                  <w:r w:rsidRPr="00EF7969">
                    <w:t>Working Well Together</w:t>
                  </w:r>
                </w:p>
              </w:tc>
              <w:tc>
                <w:tcPr>
                  <w:tcW w:w="2126" w:type="dxa"/>
                  <w:shd w:val="clear" w:color="auto" w:fill="auto"/>
                </w:tcPr>
                <w:p w14:paraId="0CEF0862" w14:textId="77777777" w:rsidR="009C6940" w:rsidRPr="00EF7969" w:rsidRDefault="009C6940" w:rsidP="009C6940">
                  <w:pPr>
                    <w:pStyle w:val="TableBodyText"/>
                  </w:pPr>
                  <w:r w:rsidRPr="00EF7969">
                    <w:t>266</w:t>
                  </w:r>
                </w:p>
              </w:tc>
            </w:tr>
            <w:tr w:rsidR="009C6940" w:rsidRPr="00EF7969" w14:paraId="56CC7F81" w14:textId="77777777" w:rsidTr="009C6940">
              <w:tc>
                <w:tcPr>
                  <w:tcW w:w="6377" w:type="dxa"/>
                  <w:shd w:val="clear" w:color="auto" w:fill="auto"/>
                </w:tcPr>
                <w:p w14:paraId="1B530692" w14:textId="77777777" w:rsidR="009C6940" w:rsidRPr="00EF7969" w:rsidRDefault="009C6940" w:rsidP="009C6940">
                  <w:pPr>
                    <w:pStyle w:val="TableBodyText"/>
                    <w:jc w:val="left"/>
                  </w:pPr>
                  <w:r w:rsidRPr="00EF7969">
                    <w:t>Worklink Group Ltd</w:t>
                  </w:r>
                </w:p>
              </w:tc>
              <w:tc>
                <w:tcPr>
                  <w:tcW w:w="2126" w:type="dxa"/>
                  <w:shd w:val="clear" w:color="auto" w:fill="auto"/>
                </w:tcPr>
                <w:p w14:paraId="5B2FE0B6" w14:textId="77777777" w:rsidR="009C6940" w:rsidRPr="00EF7969" w:rsidRDefault="009C6940" w:rsidP="009C6940">
                  <w:pPr>
                    <w:pStyle w:val="TableBodyText"/>
                  </w:pPr>
                  <w:r w:rsidRPr="00EF7969">
                    <w:t>611, 676</w:t>
                  </w:r>
                </w:p>
              </w:tc>
            </w:tr>
            <w:tr w:rsidR="009C6940" w:rsidRPr="00EF7969" w14:paraId="2B48423F" w14:textId="77777777" w:rsidTr="009C6940">
              <w:tc>
                <w:tcPr>
                  <w:tcW w:w="6377" w:type="dxa"/>
                  <w:shd w:val="clear" w:color="auto" w:fill="auto"/>
                </w:tcPr>
                <w:p w14:paraId="7E446C73" w14:textId="77777777" w:rsidR="009C6940" w:rsidRPr="00EF7969" w:rsidRDefault="009C6940" w:rsidP="009C6940">
                  <w:pPr>
                    <w:pStyle w:val="TableBodyText"/>
                    <w:jc w:val="left"/>
                  </w:pPr>
                  <w:r w:rsidRPr="00EF7969">
                    <w:t>yourtown</w:t>
                  </w:r>
                </w:p>
              </w:tc>
              <w:tc>
                <w:tcPr>
                  <w:tcW w:w="2126" w:type="dxa"/>
                  <w:shd w:val="clear" w:color="auto" w:fill="auto"/>
                </w:tcPr>
                <w:p w14:paraId="220169E5" w14:textId="77777777" w:rsidR="009C6940" w:rsidRPr="00EF7969" w:rsidRDefault="009C6940" w:rsidP="009C6940">
                  <w:pPr>
                    <w:pStyle w:val="TableBodyText"/>
                  </w:pPr>
                  <w:r w:rsidRPr="00EF7969">
                    <w:t>511, 917</w:t>
                  </w:r>
                </w:p>
              </w:tc>
            </w:tr>
            <w:tr w:rsidR="009C6940" w:rsidRPr="00EF7969" w14:paraId="24DB6673" w14:textId="77777777" w:rsidTr="009C6940">
              <w:tc>
                <w:tcPr>
                  <w:tcW w:w="6377" w:type="dxa"/>
                  <w:shd w:val="clear" w:color="auto" w:fill="auto"/>
                </w:tcPr>
                <w:p w14:paraId="0E222C61" w14:textId="77777777" w:rsidR="009C6940" w:rsidRPr="00EF7969" w:rsidRDefault="009C6940" w:rsidP="009C6940">
                  <w:pPr>
                    <w:pStyle w:val="TableBodyText"/>
                    <w:jc w:val="left"/>
                  </w:pPr>
                  <w:r w:rsidRPr="00EF7969">
                    <w:t>Youth Health Forum (Consumers Health Forum of Australia)</w:t>
                  </w:r>
                </w:p>
              </w:tc>
              <w:tc>
                <w:tcPr>
                  <w:tcW w:w="2126" w:type="dxa"/>
                  <w:shd w:val="clear" w:color="auto" w:fill="auto"/>
                </w:tcPr>
                <w:p w14:paraId="500D2F46" w14:textId="77777777" w:rsidR="009C6940" w:rsidRPr="00EF7969" w:rsidRDefault="009C6940" w:rsidP="009C6940">
                  <w:pPr>
                    <w:pStyle w:val="TableBodyText"/>
                  </w:pPr>
                  <w:r w:rsidRPr="00EF7969">
                    <w:t>404</w:t>
                  </w:r>
                </w:p>
              </w:tc>
            </w:tr>
            <w:tr w:rsidR="009C6940" w:rsidRPr="00EF7969" w14:paraId="24273C9C" w14:textId="77777777" w:rsidTr="009C6940">
              <w:tc>
                <w:tcPr>
                  <w:tcW w:w="6377" w:type="dxa"/>
                  <w:shd w:val="clear" w:color="auto" w:fill="auto"/>
                </w:tcPr>
                <w:p w14:paraId="0FF61156" w14:textId="77777777" w:rsidR="009C6940" w:rsidRPr="00EF7969" w:rsidRDefault="009C6940" w:rsidP="009C6940">
                  <w:pPr>
                    <w:pStyle w:val="TableBodyText"/>
                    <w:jc w:val="left"/>
                  </w:pPr>
                  <w:r w:rsidRPr="00EF7969">
                    <w:t>Youth Law Australia (YLA)</w:t>
                  </w:r>
                </w:p>
              </w:tc>
              <w:tc>
                <w:tcPr>
                  <w:tcW w:w="2126" w:type="dxa"/>
                  <w:shd w:val="clear" w:color="auto" w:fill="auto"/>
                </w:tcPr>
                <w:p w14:paraId="6E03D5A0" w14:textId="77777777" w:rsidR="009C6940" w:rsidRPr="00EF7969" w:rsidRDefault="009C6940" w:rsidP="009C6940">
                  <w:pPr>
                    <w:pStyle w:val="TableBodyText"/>
                  </w:pPr>
                  <w:r w:rsidRPr="00EF7969">
                    <w:t>433</w:t>
                  </w:r>
                </w:p>
              </w:tc>
            </w:tr>
            <w:tr w:rsidR="009C6940" w:rsidRPr="00EF7969" w14:paraId="26959B00" w14:textId="77777777" w:rsidTr="009C6940">
              <w:tc>
                <w:tcPr>
                  <w:tcW w:w="6377" w:type="dxa"/>
                  <w:shd w:val="clear" w:color="auto" w:fill="auto"/>
                </w:tcPr>
                <w:p w14:paraId="104CEC4A" w14:textId="77777777" w:rsidR="009C6940" w:rsidRPr="00EF7969" w:rsidRDefault="009C6940" w:rsidP="009C6940">
                  <w:pPr>
                    <w:pStyle w:val="TableBodyText"/>
                    <w:jc w:val="left"/>
                  </w:pPr>
                  <w:r w:rsidRPr="00EF7969">
                    <w:t>Youth Mental Health, North Metropolitan Health Service</w:t>
                  </w:r>
                </w:p>
              </w:tc>
              <w:tc>
                <w:tcPr>
                  <w:tcW w:w="2126" w:type="dxa"/>
                  <w:shd w:val="clear" w:color="auto" w:fill="auto"/>
                </w:tcPr>
                <w:p w14:paraId="72118E86" w14:textId="77777777" w:rsidR="009C6940" w:rsidRPr="00EF7969" w:rsidRDefault="009C6940" w:rsidP="009C6940">
                  <w:pPr>
                    <w:pStyle w:val="TableBodyText"/>
                  </w:pPr>
                  <w:r w:rsidRPr="00EF7969">
                    <w:t>99, 895</w:t>
                  </w:r>
                </w:p>
              </w:tc>
            </w:tr>
            <w:tr w:rsidR="009C6940" w:rsidRPr="00EF7969" w14:paraId="27F420EC" w14:textId="77777777" w:rsidTr="009C6940">
              <w:tc>
                <w:tcPr>
                  <w:tcW w:w="6377" w:type="dxa"/>
                  <w:shd w:val="clear" w:color="auto" w:fill="auto"/>
                </w:tcPr>
                <w:p w14:paraId="54680D44" w14:textId="77777777" w:rsidR="009C6940" w:rsidRPr="00EF7969" w:rsidRDefault="009C6940" w:rsidP="009C6940">
                  <w:pPr>
                    <w:pStyle w:val="TableBodyText"/>
                    <w:jc w:val="left"/>
                  </w:pPr>
                  <w:r w:rsidRPr="00EF7969">
                    <w:t>Yvette Litchfield</w:t>
                  </w:r>
                </w:p>
              </w:tc>
              <w:tc>
                <w:tcPr>
                  <w:tcW w:w="2126" w:type="dxa"/>
                  <w:shd w:val="clear" w:color="auto" w:fill="auto"/>
                </w:tcPr>
                <w:p w14:paraId="36D1C15F" w14:textId="77777777" w:rsidR="009C6940" w:rsidRPr="00EF7969" w:rsidRDefault="009C6940" w:rsidP="009C6940">
                  <w:pPr>
                    <w:pStyle w:val="TableBodyText"/>
                  </w:pPr>
                  <w:r w:rsidRPr="00EF7969">
                    <w:t>642</w:t>
                  </w:r>
                </w:p>
              </w:tc>
            </w:tr>
            <w:tr w:rsidR="009C6940" w:rsidRPr="00EF7969" w14:paraId="45E97A7A" w14:textId="77777777" w:rsidTr="009C6940">
              <w:tc>
                <w:tcPr>
                  <w:tcW w:w="6377" w:type="dxa"/>
                  <w:shd w:val="clear" w:color="auto" w:fill="auto"/>
                </w:tcPr>
                <w:p w14:paraId="5B9FB52E" w14:textId="77777777" w:rsidR="009C6940" w:rsidRPr="00EF7969" w:rsidRDefault="009C6940" w:rsidP="009C6940">
                  <w:pPr>
                    <w:pStyle w:val="TableBodyText"/>
                    <w:jc w:val="left"/>
                  </w:pPr>
                  <w:r w:rsidRPr="00EF7969">
                    <w:t>Zero Suicide Institute of Australasia</w:t>
                  </w:r>
                </w:p>
              </w:tc>
              <w:tc>
                <w:tcPr>
                  <w:tcW w:w="2126" w:type="dxa"/>
                  <w:shd w:val="clear" w:color="auto" w:fill="auto"/>
                </w:tcPr>
                <w:p w14:paraId="18F68F70" w14:textId="77777777" w:rsidR="009C6940" w:rsidRPr="00EF7969" w:rsidRDefault="009C6940" w:rsidP="009C6940">
                  <w:pPr>
                    <w:pStyle w:val="TableBodyText"/>
                  </w:pPr>
                  <w:r w:rsidRPr="00EF7969">
                    <w:t>671</w:t>
                  </w:r>
                </w:p>
              </w:tc>
            </w:tr>
            <w:tr w:rsidR="009C6940" w:rsidRPr="00EF7969" w14:paraId="1C36860A" w14:textId="77777777" w:rsidTr="009C6940">
              <w:tc>
                <w:tcPr>
                  <w:tcW w:w="6377" w:type="dxa"/>
                  <w:shd w:val="clear" w:color="auto" w:fill="auto"/>
                </w:tcPr>
                <w:p w14:paraId="290C7C67" w14:textId="77777777" w:rsidR="009C6940" w:rsidRPr="00EF7969" w:rsidRDefault="009C6940" w:rsidP="009C6940">
                  <w:pPr>
                    <w:pStyle w:val="TableBodyText"/>
                    <w:jc w:val="left"/>
                  </w:pPr>
                  <w:r w:rsidRPr="00EF7969">
                    <w:t>Zina Coraci</w:t>
                  </w:r>
                </w:p>
              </w:tc>
              <w:tc>
                <w:tcPr>
                  <w:tcW w:w="2126" w:type="dxa"/>
                  <w:shd w:val="clear" w:color="auto" w:fill="auto"/>
                </w:tcPr>
                <w:p w14:paraId="5F0D4C57" w14:textId="77777777" w:rsidR="009C6940" w:rsidRPr="00EF7969" w:rsidRDefault="009C6940" w:rsidP="009C6940">
                  <w:pPr>
                    <w:pStyle w:val="TableBodyText"/>
                  </w:pPr>
                  <w:r w:rsidRPr="00EF7969">
                    <w:t>1039</w:t>
                  </w:r>
                </w:p>
              </w:tc>
            </w:tr>
            <w:tr w:rsidR="009C6940" w:rsidRPr="00EF7969" w14:paraId="7C005ABE" w14:textId="77777777" w:rsidTr="009C6940">
              <w:tc>
                <w:tcPr>
                  <w:tcW w:w="6377" w:type="dxa"/>
                  <w:tcBorders>
                    <w:bottom w:val="single" w:sz="6" w:space="0" w:color="BFBFBF" w:themeColor="background1" w:themeShade="BF"/>
                  </w:tcBorders>
                  <w:shd w:val="clear" w:color="auto" w:fill="auto"/>
                </w:tcPr>
                <w:p w14:paraId="72C0FEB4" w14:textId="77777777" w:rsidR="009C6940" w:rsidRPr="00EF7969" w:rsidRDefault="009C6940" w:rsidP="009C6940">
                  <w:pPr>
                    <w:pStyle w:val="TableBodyText"/>
                    <w:jc w:val="left"/>
                  </w:pPr>
                  <w:r w:rsidRPr="00EF7969">
                    <w:t>Zsolt Szabo</w:t>
                  </w:r>
                </w:p>
              </w:tc>
              <w:tc>
                <w:tcPr>
                  <w:tcW w:w="2126" w:type="dxa"/>
                  <w:tcBorders>
                    <w:bottom w:val="single" w:sz="6" w:space="0" w:color="BFBFBF" w:themeColor="background1" w:themeShade="BF"/>
                  </w:tcBorders>
                  <w:shd w:val="clear" w:color="auto" w:fill="auto"/>
                </w:tcPr>
                <w:p w14:paraId="70F82DC2" w14:textId="77777777" w:rsidR="009C6940" w:rsidRPr="00EF7969" w:rsidRDefault="009C6940" w:rsidP="009C6940">
                  <w:pPr>
                    <w:pStyle w:val="TableBodyText"/>
                  </w:pPr>
                  <w:r w:rsidRPr="00EF7969">
                    <w:t>1028</w:t>
                  </w:r>
                </w:p>
              </w:tc>
            </w:tr>
          </w:tbl>
          <w:p w14:paraId="34A62130" w14:textId="77777777" w:rsidR="009C6940" w:rsidRPr="00EF7969" w:rsidRDefault="009C6940" w:rsidP="009C6940">
            <w:pPr>
              <w:pStyle w:val="Box"/>
            </w:pPr>
          </w:p>
        </w:tc>
      </w:tr>
      <w:tr w:rsidR="009C6940" w:rsidRPr="00EF7969" w14:paraId="3C53D274" w14:textId="77777777" w:rsidTr="009C6940">
        <w:tc>
          <w:tcPr>
            <w:tcW w:w="8789" w:type="dxa"/>
            <w:tcBorders>
              <w:top w:val="nil"/>
              <w:left w:val="nil"/>
              <w:bottom w:val="single" w:sz="6" w:space="0" w:color="78A22F"/>
              <w:right w:val="nil"/>
            </w:tcBorders>
            <w:shd w:val="clear" w:color="auto" w:fill="auto"/>
          </w:tcPr>
          <w:p w14:paraId="03A3C1F0" w14:textId="77777777" w:rsidR="009C6940" w:rsidRPr="00EF7969" w:rsidRDefault="009C6940" w:rsidP="009C6940">
            <w:pPr>
              <w:pStyle w:val="Box"/>
              <w:spacing w:before="0" w:line="120" w:lineRule="exact"/>
            </w:pPr>
          </w:p>
        </w:tc>
      </w:tr>
      <w:tr w:rsidR="009C6940" w:rsidRPr="00EF7969" w14:paraId="5F76639B" w14:textId="77777777" w:rsidTr="009C6940">
        <w:tc>
          <w:tcPr>
            <w:tcW w:w="8789" w:type="dxa"/>
            <w:tcBorders>
              <w:top w:val="single" w:sz="6" w:space="0" w:color="78A22F"/>
              <w:left w:val="nil"/>
              <w:bottom w:val="nil"/>
              <w:right w:val="nil"/>
            </w:tcBorders>
          </w:tcPr>
          <w:p w14:paraId="76BD83CE" w14:textId="77777777" w:rsidR="009C6940" w:rsidRPr="00EF7969" w:rsidRDefault="009C6940" w:rsidP="009C6940">
            <w:pPr>
              <w:pStyle w:val="BoxSpaceBelow"/>
            </w:pPr>
          </w:p>
        </w:tc>
      </w:tr>
    </w:tbl>
    <w:p w14:paraId="5BD80F31" w14:textId="77777777" w:rsidR="009C6940" w:rsidRPr="00EF7969" w:rsidRDefault="009C6940" w:rsidP="009C6940">
      <w:pPr>
        <w:pStyle w:val="BoxSpaceAbove"/>
        <w:keepLines/>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44E4B1CE" w14:textId="77777777" w:rsidTr="009C6940">
        <w:trPr>
          <w:tblHeader/>
        </w:trPr>
        <w:tc>
          <w:tcPr>
            <w:tcW w:w="5000" w:type="pct"/>
            <w:tcBorders>
              <w:top w:val="single" w:sz="6" w:space="0" w:color="78A22F"/>
              <w:left w:val="nil"/>
              <w:bottom w:val="nil"/>
              <w:right w:val="nil"/>
            </w:tcBorders>
            <w:shd w:val="clear" w:color="auto" w:fill="auto"/>
          </w:tcPr>
          <w:p w14:paraId="0ACBBB7F" w14:textId="77777777" w:rsidR="009C6940" w:rsidRPr="00EF7969" w:rsidRDefault="009C6940" w:rsidP="009C6940">
            <w:pPr>
              <w:pStyle w:val="TableTitle"/>
            </w:pPr>
            <w:r w:rsidRPr="00EF7969">
              <w:rPr>
                <w:b w:val="0"/>
              </w:rPr>
              <w:t xml:space="preserve">Table </w:t>
            </w:r>
            <w:r>
              <w:rPr>
                <w:b w:val="0"/>
              </w:rPr>
              <w:t>B.</w:t>
            </w:r>
            <w:r w:rsidRPr="00EF7969">
              <w:rPr>
                <w:b w:val="0"/>
              </w:rPr>
              <w:t>2</w:t>
            </w:r>
            <w:r w:rsidRPr="00EF7969">
              <w:tab/>
              <w:t>Emailed comments received</w:t>
            </w:r>
          </w:p>
        </w:tc>
      </w:tr>
      <w:tr w:rsidR="009C6940" w:rsidRPr="00EF7969" w14:paraId="63DE696B"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103"/>
              <w:gridCol w:w="1701"/>
              <w:gridCol w:w="1701"/>
            </w:tblGrid>
            <w:tr w:rsidR="009C6940" w:rsidRPr="00EF7969" w14:paraId="3619874C" w14:textId="77777777" w:rsidTr="009C6940">
              <w:trPr>
                <w:tblHeader/>
              </w:trPr>
              <w:tc>
                <w:tcPr>
                  <w:tcW w:w="3000" w:type="pct"/>
                  <w:tcBorders>
                    <w:top w:val="single" w:sz="6" w:space="0" w:color="BFBFBF"/>
                    <w:bottom w:val="single" w:sz="6" w:space="0" w:color="BFBFBF"/>
                  </w:tcBorders>
                  <w:shd w:val="clear" w:color="auto" w:fill="auto"/>
                  <w:tcMar>
                    <w:top w:w="28" w:type="dxa"/>
                  </w:tcMar>
                </w:tcPr>
                <w:p w14:paraId="14860E4B" w14:textId="77777777" w:rsidR="009C6940" w:rsidRPr="00EF7969" w:rsidRDefault="009C6940" w:rsidP="009C6940">
                  <w:pPr>
                    <w:pStyle w:val="TableColumnHeading"/>
                    <w:jc w:val="left"/>
                  </w:pPr>
                  <w:r w:rsidRPr="00EF7969">
                    <w:t>Type of respondent</w:t>
                  </w:r>
                </w:p>
              </w:tc>
              <w:tc>
                <w:tcPr>
                  <w:tcW w:w="1000" w:type="pct"/>
                  <w:tcBorders>
                    <w:top w:val="single" w:sz="6" w:space="0" w:color="BFBFBF"/>
                    <w:bottom w:val="single" w:sz="6" w:space="0" w:color="BFBFBF"/>
                  </w:tcBorders>
                  <w:shd w:val="clear" w:color="auto" w:fill="auto"/>
                  <w:tcMar>
                    <w:top w:w="28" w:type="dxa"/>
                  </w:tcMar>
                </w:tcPr>
                <w:p w14:paraId="75DF20A5" w14:textId="77777777" w:rsidR="009C6940" w:rsidRPr="00EF7969" w:rsidRDefault="009C6940" w:rsidP="009C6940">
                  <w:pPr>
                    <w:pStyle w:val="TableColumnHeading"/>
                    <w:ind w:right="28"/>
                  </w:pPr>
                  <w:r>
                    <w:t>Pre-draft</w:t>
                  </w:r>
                </w:p>
              </w:tc>
              <w:tc>
                <w:tcPr>
                  <w:tcW w:w="1000" w:type="pct"/>
                  <w:tcBorders>
                    <w:top w:val="single" w:sz="6" w:space="0" w:color="BFBFBF"/>
                    <w:bottom w:val="single" w:sz="6" w:space="0" w:color="BFBFBF"/>
                  </w:tcBorders>
                  <w:shd w:val="clear" w:color="auto" w:fill="auto"/>
                </w:tcPr>
                <w:p w14:paraId="0BF44C23" w14:textId="77777777" w:rsidR="009C6940" w:rsidRPr="00EF7969" w:rsidRDefault="009C6940" w:rsidP="009C6940">
                  <w:pPr>
                    <w:pStyle w:val="TableColumnHeading"/>
                    <w:ind w:right="28"/>
                  </w:pPr>
                  <w:r>
                    <w:t>Post-draft</w:t>
                  </w:r>
                </w:p>
              </w:tc>
            </w:tr>
            <w:tr w:rsidR="009C6940" w:rsidRPr="00EF7969" w14:paraId="2839B5C2" w14:textId="77777777" w:rsidTr="009C6940">
              <w:tc>
                <w:tcPr>
                  <w:tcW w:w="3000" w:type="pct"/>
                  <w:tcBorders>
                    <w:top w:val="single" w:sz="6" w:space="0" w:color="BFBFBF"/>
                  </w:tcBorders>
                </w:tcPr>
                <w:p w14:paraId="0C684B60" w14:textId="77777777" w:rsidR="009C6940" w:rsidRPr="00EF7969" w:rsidRDefault="009C6940" w:rsidP="009C6940">
                  <w:pPr>
                    <w:pStyle w:val="TableUnitsRow"/>
                    <w:jc w:val="left"/>
                  </w:pPr>
                  <w:r>
                    <w:t>User or c</w:t>
                  </w:r>
                  <w:r w:rsidRPr="00EF7969">
                    <w:t>onsumer of mental health services or supports</w:t>
                  </w:r>
                </w:p>
              </w:tc>
              <w:tc>
                <w:tcPr>
                  <w:tcW w:w="1000" w:type="pct"/>
                  <w:tcBorders>
                    <w:top w:val="single" w:sz="6" w:space="0" w:color="BFBFBF"/>
                  </w:tcBorders>
                </w:tcPr>
                <w:p w14:paraId="18205069" w14:textId="77777777" w:rsidR="009C6940" w:rsidRPr="00EF7969" w:rsidRDefault="009C6940" w:rsidP="009C6940">
                  <w:pPr>
                    <w:pStyle w:val="TableBodyText"/>
                    <w:spacing w:before="40"/>
                    <w:ind w:right="28"/>
                  </w:pPr>
                  <w:r>
                    <w:t>64</w:t>
                  </w:r>
                </w:p>
              </w:tc>
              <w:tc>
                <w:tcPr>
                  <w:tcW w:w="1000" w:type="pct"/>
                  <w:tcBorders>
                    <w:top w:val="single" w:sz="6" w:space="0" w:color="BFBFBF"/>
                  </w:tcBorders>
                </w:tcPr>
                <w:p w14:paraId="2AB977E7" w14:textId="77777777" w:rsidR="009C6940" w:rsidRPr="00EF7969" w:rsidRDefault="009C6940" w:rsidP="009C6940">
                  <w:pPr>
                    <w:pStyle w:val="TableBodyText"/>
                    <w:spacing w:before="40"/>
                    <w:ind w:right="28"/>
                  </w:pPr>
                  <w:r>
                    <w:t>44</w:t>
                  </w:r>
                </w:p>
              </w:tc>
            </w:tr>
            <w:tr w:rsidR="009C6940" w:rsidRPr="00EF7969" w14:paraId="20BCF3D8" w14:textId="77777777" w:rsidTr="009C6940">
              <w:tc>
                <w:tcPr>
                  <w:tcW w:w="3000" w:type="pct"/>
                </w:tcPr>
                <w:p w14:paraId="48FE88FA" w14:textId="77777777" w:rsidR="009C6940" w:rsidRPr="00EF7969" w:rsidRDefault="009C6940" w:rsidP="009C6940">
                  <w:pPr>
                    <w:pStyle w:val="TableBodyText"/>
                    <w:jc w:val="left"/>
                  </w:pPr>
                  <w:r w:rsidRPr="00EF7969">
                    <w:t>Carers or family members</w:t>
                  </w:r>
                </w:p>
              </w:tc>
              <w:tc>
                <w:tcPr>
                  <w:tcW w:w="1000" w:type="pct"/>
                </w:tcPr>
                <w:p w14:paraId="67D9ACD2" w14:textId="77777777" w:rsidR="009C6940" w:rsidRPr="00EF7969" w:rsidRDefault="009C6940" w:rsidP="009C6940">
                  <w:pPr>
                    <w:pStyle w:val="TableBodyText"/>
                    <w:ind w:right="28"/>
                  </w:pPr>
                  <w:r>
                    <w:t>34</w:t>
                  </w:r>
                </w:p>
              </w:tc>
              <w:tc>
                <w:tcPr>
                  <w:tcW w:w="1000" w:type="pct"/>
                </w:tcPr>
                <w:p w14:paraId="24C7D180" w14:textId="77777777" w:rsidR="009C6940" w:rsidRPr="00EF7969" w:rsidRDefault="009C6940" w:rsidP="009C6940">
                  <w:pPr>
                    <w:pStyle w:val="TableBodyText"/>
                    <w:ind w:right="28"/>
                  </w:pPr>
                  <w:r>
                    <w:t>31</w:t>
                  </w:r>
                </w:p>
              </w:tc>
            </w:tr>
            <w:tr w:rsidR="009C6940" w:rsidRPr="00EF7969" w14:paraId="5B1DC858" w14:textId="77777777" w:rsidTr="009C6940">
              <w:tc>
                <w:tcPr>
                  <w:tcW w:w="3000" w:type="pct"/>
                  <w:shd w:val="clear" w:color="auto" w:fill="auto"/>
                </w:tcPr>
                <w:p w14:paraId="0BE35EDE" w14:textId="77777777" w:rsidR="009C6940" w:rsidRPr="00EF7969" w:rsidRDefault="009C6940" w:rsidP="009C6940">
                  <w:pPr>
                    <w:pStyle w:val="TableBodyText"/>
                    <w:jc w:val="left"/>
                  </w:pPr>
                  <w:r w:rsidRPr="00EF7969">
                    <w:t>Mental health workers and providers</w:t>
                  </w:r>
                </w:p>
              </w:tc>
              <w:tc>
                <w:tcPr>
                  <w:tcW w:w="1000" w:type="pct"/>
                </w:tcPr>
                <w:p w14:paraId="2CBB235F" w14:textId="77777777" w:rsidR="009C6940" w:rsidRPr="00EF7969" w:rsidRDefault="009C6940" w:rsidP="009C6940">
                  <w:pPr>
                    <w:pStyle w:val="TableBodyText"/>
                    <w:ind w:right="28"/>
                  </w:pPr>
                  <w:r>
                    <w:t>40</w:t>
                  </w:r>
                </w:p>
              </w:tc>
              <w:tc>
                <w:tcPr>
                  <w:tcW w:w="1000" w:type="pct"/>
                </w:tcPr>
                <w:p w14:paraId="2248BA3F" w14:textId="77777777" w:rsidR="009C6940" w:rsidRPr="00EF7969" w:rsidRDefault="009C6940" w:rsidP="009C6940">
                  <w:pPr>
                    <w:pStyle w:val="TableBodyText"/>
                    <w:ind w:right="28"/>
                  </w:pPr>
                  <w:r>
                    <w:t>32</w:t>
                  </w:r>
                </w:p>
              </w:tc>
            </w:tr>
            <w:tr w:rsidR="009C6940" w:rsidRPr="00EF7969" w14:paraId="60DF842E" w14:textId="77777777" w:rsidTr="009C6940">
              <w:tc>
                <w:tcPr>
                  <w:tcW w:w="3000" w:type="pct"/>
                  <w:shd w:val="clear" w:color="auto" w:fill="auto"/>
                </w:tcPr>
                <w:p w14:paraId="209BC06C" w14:textId="77777777" w:rsidR="009C6940" w:rsidRPr="00EF7969" w:rsidRDefault="009C6940" w:rsidP="009C6940">
                  <w:pPr>
                    <w:pStyle w:val="TableBodyText"/>
                    <w:jc w:val="left"/>
                  </w:pPr>
                  <w:r w:rsidRPr="00EF7969">
                    <w:t>Other interest persons</w:t>
                  </w:r>
                </w:p>
              </w:tc>
              <w:tc>
                <w:tcPr>
                  <w:tcW w:w="1000" w:type="pct"/>
                </w:tcPr>
                <w:p w14:paraId="1231AAA8" w14:textId="77777777" w:rsidR="009C6940" w:rsidRPr="00EF7969" w:rsidRDefault="009C6940" w:rsidP="009C6940">
                  <w:pPr>
                    <w:pStyle w:val="TableBodyText"/>
                    <w:ind w:right="28"/>
                  </w:pPr>
                  <w:r>
                    <w:t>53</w:t>
                  </w:r>
                </w:p>
              </w:tc>
              <w:tc>
                <w:tcPr>
                  <w:tcW w:w="1000" w:type="pct"/>
                </w:tcPr>
                <w:p w14:paraId="166CA415" w14:textId="77777777" w:rsidR="009C6940" w:rsidRPr="00EF7969" w:rsidRDefault="009C6940" w:rsidP="009C6940">
                  <w:pPr>
                    <w:pStyle w:val="TableBodyText"/>
                    <w:ind w:right="28"/>
                  </w:pPr>
                  <w:r>
                    <w:t>58</w:t>
                  </w:r>
                </w:p>
              </w:tc>
            </w:tr>
            <w:tr w:rsidR="009C6940" w:rsidRPr="00EF7969" w14:paraId="4E083C56" w14:textId="77777777" w:rsidTr="009C6940">
              <w:tc>
                <w:tcPr>
                  <w:tcW w:w="3000" w:type="pct"/>
                  <w:tcBorders>
                    <w:bottom w:val="single" w:sz="6" w:space="0" w:color="BFBFBF"/>
                  </w:tcBorders>
                  <w:shd w:val="clear" w:color="auto" w:fill="auto"/>
                </w:tcPr>
                <w:p w14:paraId="79DECEA5" w14:textId="77777777" w:rsidR="009C6940" w:rsidRPr="00EF7969" w:rsidRDefault="009C6940" w:rsidP="009C6940">
                  <w:pPr>
                    <w:pStyle w:val="TableBodyText"/>
                    <w:jc w:val="left"/>
                  </w:pPr>
                  <w:r w:rsidRPr="00EF7969">
                    <w:t>Single focus on early childhood development</w:t>
                  </w:r>
                </w:p>
              </w:tc>
              <w:tc>
                <w:tcPr>
                  <w:tcW w:w="1000" w:type="pct"/>
                  <w:tcBorders>
                    <w:bottom w:val="single" w:sz="6" w:space="0" w:color="BFBFBF"/>
                  </w:tcBorders>
                </w:tcPr>
                <w:p w14:paraId="73AA8C65" w14:textId="77777777" w:rsidR="009C6940" w:rsidRPr="00EF7969" w:rsidRDefault="009C6940" w:rsidP="009C6940">
                  <w:pPr>
                    <w:pStyle w:val="TableBodyText"/>
                    <w:ind w:right="28"/>
                  </w:pPr>
                </w:p>
              </w:tc>
              <w:tc>
                <w:tcPr>
                  <w:tcW w:w="1000" w:type="pct"/>
                  <w:tcBorders>
                    <w:bottom w:val="single" w:sz="6" w:space="0" w:color="BFBFBF"/>
                  </w:tcBorders>
                </w:tcPr>
                <w:p w14:paraId="70D8F3A7" w14:textId="77777777" w:rsidR="009C6940" w:rsidRPr="00EF7969" w:rsidRDefault="009C6940" w:rsidP="009C6940">
                  <w:pPr>
                    <w:pStyle w:val="TableBodyText"/>
                    <w:ind w:right="28"/>
                  </w:pPr>
                  <w:r>
                    <w:t>77</w:t>
                  </w:r>
                </w:p>
              </w:tc>
            </w:tr>
          </w:tbl>
          <w:p w14:paraId="2CFF9406" w14:textId="77777777" w:rsidR="009C6940" w:rsidRPr="00EF7969" w:rsidRDefault="009C6940" w:rsidP="009C6940">
            <w:pPr>
              <w:pStyle w:val="Box"/>
              <w:keepLines/>
            </w:pPr>
          </w:p>
        </w:tc>
      </w:tr>
      <w:tr w:rsidR="009C6940" w:rsidRPr="00EF7969" w14:paraId="34180E9E" w14:textId="77777777" w:rsidTr="009C6940">
        <w:tc>
          <w:tcPr>
            <w:tcW w:w="5000" w:type="pct"/>
            <w:tcBorders>
              <w:top w:val="nil"/>
              <w:left w:val="nil"/>
              <w:bottom w:val="single" w:sz="6" w:space="0" w:color="78A22F"/>
              <w:right w:val="nil"/>
            </w:tcBorders>
            <w:shd w:val="clear" w:color="auto" w:fill="auto"/>
          </w:tcPr>
          <w:p w14:paraId="667F1366" w14:textId="77777777" w:rsidR="009C6940" w:rsidRPr="00EF7969" w:rsidRDefault="009C6940" w:rsidP="009C6940">
            <w:pPr>
              <w:pStyle w:val="Box"/>
              <w:keepLines/>
              <w:spacing w:before="0" w:line="120" w:lineRule="exact"/>
            </w:pPr>
          </w:p>
        </w:tc>
      </w:tr>
      <w:tr w:rsidR="009C6940" w:rsidRPr="00EF7969" w14:paraId="7A3171C8" w14:textId="77777777" w:rsidTr="009C6940">
        <w:tc>
          <w:tcPr>
            <w:tcW w:w="5000" w:type="pct"/>
            <w:tcBorders>
              <w:top w:val="single" w:sz="6" w:space="0" w:color="78A22F"/>
              <w:left w:val="nil"/>
              <w:bottom w:val="nil"/>
              <w:right w:val="nil"/>
            </w:tcBorders>
          </w:tcPr>
          <w:p w14:paraId="19F57FB8" w14:textId="77777777" w:rsidR="009C6940" w:rsidRPr="00EF7969" w:rsidRDefault="009C6940" w:rsidP="009C6940">
            <w:pPr>
              <w:pStyle w:val="BoxSpaceBelow"/>
              <w:keepNext/>
              <w:keepLines/>
            </w:pPr>
          </w:p>
        </w:tc>
      </w:tr>
    </w:tbl>
    <w:p w14:paraId="55E711D9" w14:textId="77777777" w:rsidR="009C6940" w:rsidRPr="00EF7969" w:rsidRDefault="009C6940" w:rsidP="009C6940">
      <w:pPr>
        <w:pStyle w:val="BoxSpaceAbove"/>
        <w:keepLines/>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EF7969" w14:paraId="6EB4A0FC" w14:textId="77777777" w:rsidTr="009C6940">
        <w:trPr>
          <w:tblHeader/>
        </w:trPr>
        <w:tc>
          <w:tcPr>
            <w:tcW w:w="5000" w:type="pct"/>
            <w:tcBorders>
              <w:top w:val="single" w:sz="6" w:space="0" w:color="78A22F"/>
              <w:left w:val="nil"/>
              <w:bottom w:val="nil"/>
              <w:right w:val="nil"/>
            </w:tcBorders>
            <w:shd w:val="clear" w:color="auto" w:fill="auto"/>
          </w:tcPr>
          <w:p w14:paraId="1CA485FB" w14:textId="77777777" w:rsidR="009C6940" w:rsidRPr="00EF7969" w:rsidRDefault="009C6940" w:rsidP="009C6940">
            <w:pPr>
              <w:pStyle w:val="TableTitle"/>
              <w:keepNext w:val="0"/>
              <w:keepLines w:val="0"/>
            </w:pPr>
            <w:r w:rsidRPr="00EF7969">
              <w:rPr>
                <w:b w:val="0"/>
              </w:rPr>
              <w:t xml:space="preserve">Table </w:t>
            </w:r>
            <w:r>
              <w:rPr>
                <w:b w:val="0"/>
              </w:rPr>
              <w:t>B.</w:t>
            </w:r>
            <w:r w:rsidRPr="00EF7969">
              <w:rPr>
                <w:b w:val="0"/>
              </w:rPr>
              <w:t>3</w:t>
            </w:r>
            <w:r w:rsidRPr="00EF7969">
              <w:tab/>
              <w:t>Consultations</w:t>
            </w:r>
          </w:p>
        </w:tc>
      </w:tr>
      <w:tr w:rsidR="009C6940" w:rsidRPr="00EF7969" w14:paraId="380C1593"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5"/>
            </w:tblGrid>
            <w:tr w:rsidR="009C6940" w:rsidRPr="00EF7969" w14:paraId="269E86A0" w14:textId="77777777" w:rsidTr="009C6940">
              <w:tc>
                <w:tcPr>
                  <w:tcW w:w="5000" w:type="pct"/>
                  <w:tcBorders>
                    <w:top w:val="single" w:sz="6" w:space="0" w:color="BFBFBF"/>
                  </w:tcBorders>
                </w:tcPr>
                <w:p w14:paraId="2290C33C" w14:textId="77777777" w:rsidR="009C6940" w:rsidRPr="00EF7969" w:rsidRDefault="009C6940" w:rsidP="009C6940">
                  <w:pPr>
                    <w:pStyle w:val="TableBodyText"/>
                    <w:spacing w:before="40"/>
                    <w:jc w:val="left"/>
                  </w:pPr>
                  <w:r w:rsidRPr="00EF7969">
                    <w:t>Aaron Frost</w:t>
                  </w:r>
                </w:p>
              </w:tc>
            </w:tr>
            <w:tr w:rsidR="009C6940" w:rsidRPr="00EF7969" w14:paraId="4316203E" w14:textId="77777777" w:rsidTr="009C6940">
              <w:tc>
                <w:tcPr>
                  <w:tcW w:w="5000" w:type="pct"/>
                </w:tcPr>
                <w:p w14:paraId="2A9F79F3" w14:textId="77777777" w:rsidR="009C6940" w:rsidRPr="00EF7969" w:rsidRDefault="009C6940" w:rsidP="009C6940">
                  <w:pPr>
                    <w:pStyle w:val="TableBodyText"/>
                    <w:jc w:val="left"/>
                  </w:pPr>
                  <w:r w:rsidRPr="00EF7969">
                    <w:t>Aboriginal Health Council of Western Australia</w:t>
                  </w:r>
                </w:p>
              </w:tc>
            </w:tr>
            <w:tr w:rsidR="009C6940" w:rsidRPr="00EF7969" w14:paraId="1A8337BB" w14:textId="77777777" w:rsidTr="009C6940">
              <w:tc>
                <w:tcPr>
                  <w:tcW w:w="5000" w:type="pct"/>
                  <w:shd w:val="clear" w:color="auto" w:fill="auto"/>
                </w:tcPr>
                <w:p w14:paraId="42DFB082" w14:textId="77777777" w:rsidR="009C6940" w:rsidRPr="00EF7969" w:rsidRDefault="009C6940" w:rsidP="009C6940">
                  <w:pPr>
                    <w:pStyle w:val="TableBodyText"/>
                    <w:jc w:val="left"/>
                  </w:pPr>
                  <w:r w:rsidRPr="00EF7969">
                    <w:t>Aboriginal Housing Office</w:t>
                  </w:r>
                </w:p>
              </w:tc>
            </w:tr>
            <w:tr w:rsidR="009C6940" w:rsidRPr="00EF7969" w14:paraId="409CB3AF" w14:textId="77777777" w:rsidTr="009C6940">
              <w:tc>
                <w:tcPr>
                  <w:tcW w:w="5000" w:type="pct"/>
                  <w:shd w:val="clear" w:color="auto" w:fill="auto"/>
                </w:tcPr>
                <w:p w14:paraId="36FDC5DE" w14:textId="77777777" w:rsidR="009C6940" w:rsidRPr="00EF7969" w:rsidRDefault="009C6940" w:rsidP="009C6940">
                  <w:pPr>
                    <w:pStyle w:val="TableBodyText"/>
                    <w:jc w:val="left"/>
                  </w:pPr>
                  <w:r w:rsidRPr="00EF7969">
                    <w:t>ACT Public Service</w:t>
                  </w:r>
                </w:p>
              </w:tc>
            </w:tr>
            <w:tr w:rsidR="009C6940" w:rsidRPr="00EF7969" w14:paraId="3D13C8E5" w14:textId="77777777" w:rsidTr="009C6940">
              <w:tc>
                <w:tcPr>
                  <w:tcW w:w="5000" w:type="pct"/>
                  <w:shd w:val="clear" w:color="auto" w:fill="auto"/>
                </w:tcPr>
                <w:p w14:paraId="56A618D7" w14:textId="77777777" w:rsidR="009C6940" w:rsidRPr="00EF7969" w:rsidRDefault="009C6940" w:rsidP="009C6940">
                  <w:pPr>
                    <w:pStyle w:val="TableBodyText"/>
                    <w:jc w:val="left"/>
                  </w:pPr>
                  <w:r w:rsidRPr="00EF7969">
                    <w:t>ACT Chief Minister, Treasury and Economic Development Directorate</w:t>
                  </w:r>
                </w:p>
              </w:tc>
            </w:tr>
            <w:tr w:rsidR="009C6940" w:rsidRPr="00EF7969" w14:paraId="4429FB6A" w14:textId="77777777" w:rsidTr="009C6940">
              <w:tc>
                <w:tcPr>
                  <w:tcW w:w="5000" w:type="pct"/>
                  <w:shd w:val="clear" w:color="auto" w:fill="auto"/>
                </w:tcPr>
                <w:p w14:paraId="3B0EDC66" w14:textId="77777777" w:rsidR="009C6940" w:rsidRPr="00EF7969" w:rsidRDefault="009C6940" w:rsidP="009C6940">
                  <w:pPr>
                    <w:pStyle w:val="TableBodyText"/>
                    <w:jc w:val="left"/>
                  </w:pPr>
                  <w:r w:rsidRPr="00EF7969">
                    <w:t>ACT Health Directorate</w:t>
                  </w:r>
                </w:p>
              </w:tc>
            </w:tr>
            <w:tr w:rsidR="009C6940" w:rsidRPr="00EF7969" w14:paraId="7E30C419" w14:textId="77777777" w:rsidTr="009C6940">
              <w:tc>
                <w:tcPr>
                  <w:tcW w:w="5000" w:type="pct"/>
                  <w:shd w:val="clear" w:color="auto" w:fill="auto"/>
                </w:tcPr>
                <w:p w14:paraId="199EDA7E" w14:textId="77777777" w:rsidR="009C6940" w:rsidRPr="00EF7969" w:rsidRDefault="009C6940" w:rsidP="009C6940">
                  <w:pPr>
                    <w:pStyle w:val="TableBodyText"/>
                    <w:jc w:val="left"/>
                  </w:pPr>
                  <w:r w:rsidRPr="00EF7969">
                    <w:t>ACT Corrective Services Directorate</w:t>
                  </w:r>
                </w:p>
              </w:tc>
            </w:tr>
            <w:tr w:rsidR="009C6940" w:rsidRPr="00EF7969" w14:paraId="3E6DDEB7" w14:textId="77777777" w:rsidTr="009C6940">
              <w:tc>
                <w:tcPr>
                  <w:tcW w:w="5000" w:type="pct"/>
                  <w:shd w:val="clear" w:color="auto" w:fill="auto"/>
                </w:tcPr>
                <w:p w14:paraId="2FDFF95B" w14:textId="77777777" w:rsidR="009C6940" w:rsidRPr="00EF7969" w:rsidRDefault="009C6940" w:rsidP="009C6940">
                  <w:pPr>
                    <w:pStyle w:val="TableBodyText"/>
                    <w:jc w:val="left"/>
                  </w:pPr>
                  <w:r w:rsidRPr="00EF7969">
                    <w:t>ACT Human Rights Commission</w:t>
                  </w:r>
                </w:p>
              </w:tc>
            </w:tr>
            <w:tr w:rsidR="009C6940" w:rsidRPr="00EF7969" w14:paraId="37EE6473" w14:textId="77777777" w:rsidTr="009C6940">
              <w:tc>
                <w:tcPr>
                  <w:tcW w:w="5000" w:type="pct"/>
                  <w:shd w:val="clear" w:color="auto" w:fill="auto"/>
                </w:tcPr>
                <w:p w14:paraId="1805F756" w14:textId="77777777" w:rsidR="009C6940" w:rsidRPr="00EF7969" w:rsidRDefault="009C6940" w:rsidP="009C6940">
                  <w:pPr>
                    <w:pStyle w:val="TableBodyText"/>
                    <w:jc w:val="left"/>
                  </w:pPr>
                  <w:r w:rsidRPr="00EF7969">
                    <w:t>ACT Education Directorate</w:t>
                  </w:r>
                </w:p>
              </w:tc>
            </w:tr>
            <w:tr w:rsidR="009C6940" w:rsidRPr="00EF7969" w14:paraId="7352F701" w14:textId="77777777" w:rsidTr="009C6940">
              <w:tc>
                <w:tcPr>
                  <w:tcW w:w="5000" w:type="pct"/>
                  <w:shd w:val="clear" w:color="auto" w:fill="auto"/>
                </w:tcPr>
                <w:p w14:paraId="4F90712F" w14:textId="77777777" w:rsidR="009C6940" w:rsidRPr="00EF7969" w:rsidRDefault="009C6940" w:rsidP="009C6940">
                  <w:pPr>
                    <w:pStyle w:val="TableBodyText"/>
                    <w:jc w:val="left"/>
                  </w:pPr>
                  <w:r w:rsidRPr="00EF7969">
                    <w:t>ACT Community Services Directorate</w:t>
                  </w:r>
                </w:p>
              </w:tc>
            </w:tr>
            <w:tr w:rsidR="009C6940" w:rsidRPr="00EF7969" w14:paraId="78D86050" w14:textId="77777777" w:rsidTr="009C6940">
              <w:tc>
                <w:tcPr>
                  <w:tcW w:w="5000" w:type="pct"/>
                  <w:shd w:val="clear" w:color="auto" w:fill="auto"/>
                </w:tcPr>
                <w:p w14:paraId="50DAE6E3" w14:textId="77777777" w:rsidR="009C6940" w:rsidRPr="00EF7969" w:rsidRDefault="009C6940" w:rsidP="009C6940">
                  <w:pPr>
                    <w:pStyle w:val="TableBodyText"/>
                    <w:ind w:right="28"/>
                    <w:jc w:val="left"/>
                  </w:pPr>
                  <w:r w:rsidRPr="00EF7969">
                    <w:t>Adult Community Mental Health Services (Parkside)</w:t>
                  </w:r>
                </w:p>
              </w:tc>
            </w:tr>
            <w:tr w:rsidR="009C6940" w:rsidRPr="00EF7969" w14:paraId="67E6FDC2" w14:textId="77777777" w:rsidTr="009C6940">
              <w:tc>
                <w:tcPr>
                  <w:tcW w:w="5000" w:type="pct"/>
                  <w:shd w:val="clear" w:color="auto" w:fill="auto"/>
                </w:tcPr>
                <w:p w14:paraId="1FF3D2B4" w14:textId="77777777" w:rsidR="009C6940" w:rsidRPr="00EF7969" w:rsidRDefault="009C6940" w:rsidP="009C6940">
                  <w:pPr>
                    <w:pStyle w:val="TableBodyText"/>
                    <w:ind w:right="28"/>
                    <w:jc w:val="left"/>
                  </w:pPr>
                  <w:r w:rsidRPr="00EF7969">
                    <w:t>Alan England</w:t>
                  </w:r>
                </w:p>
              </w:tc>
            </w:tr>
            <w:tr w:rsidR="009C6940" w:rsidRPr="00EF7969" w14:paraId="155E551F" w14:textId="77777777" w:rsidTr="009C6940">
              <w:tc>
                <w:tcPr>
                  <w:tcW w:w="5000" w:type="pct"/>
                  <w:shd w:val="clear" w:color="auto" w:fill="auto"/>
                </w:tcPr>
                <w:p w14:paraId="23A1E86D" w14:textId="77777777" w:rsidR="009C6940" w:rsidRPr="00EF7969" w:rsidRDefault="009C6940" w:rsidP="009C6940">
                  <w:pPr>
                    <w:pStyle w:val="TableBodyText"/>
                    <w:ind w:right="28"/>
                    <w:jc w:val="left"/>
                  </w:pPr>
                  <w:r w:rsidRPr="00EF7969">
                    <w:t>Alan Woodward</w:t>
                  </w:r>
                </w:p>
              </w:tc>
            </w:tr>
            <w:tr w:rsidR="009C6940" w:rsidRPr="00EF7969" w14:paraId="5DC491E3" w14:textId="77777777" w:rsidTr="009C6940">
              <w:tc>
                <w:tcPr>
                  <w:tcW w:w="5000" w:type="pct"/>
                  <w:shd w:val="clear" w:color="auto" w:fill="auto"/>
                </w:tcPr>
                <w:p w14:paraId="5EF45097" w14:textId="77777777" w:rsidR="009C6940" w:rsidRPr="00EF7969" w:rsidRDefault="009C6940" w:rsidP="009C6940">
                  <w:pPr>
                    <w:pStyle w:val="TableBodyText"/>
                    <w:ind w:right="28"/>
                    <w:jc w:val="left"/>
                  </w:pPr>
                  <w:r w:rsidRPr="00EF7969">
                    <w:t>Albury Wodonga Aboriginal Health Service</w:t>
                  </w:r>
                </w:p>
              </w:tc>
            </w:tr>
            <w:tr w:rsidR="009C6940" w:rsidRPr="00EF7969" w14:paraId="5EC09222" w14:textId="77777777" w:rsidTr="009C6940">
              <w:tc>
                <w:tcPr>
                  <w:tcW w:w="5000" w:type="pct"/>
                  <w:shd w:val="clear" w:color="auto" w:fill="auto"/>
                </w:tcPr>
                <w:p w14:paraId="591D93EB" w14:textId="77777777" w:rsidR="009C6940" w:rsidRPr="00EF7969" w:rsidRDefault="009C6940" w:rsidP="009C6940">
                  <w:pPr>
                    <w:pStyle w:val="TableBodyText"/>
                    <w:ind w:right="28"/>
                    <w:jc w:val="left"/>
                  </w:pPr>
                  <w:r w:rsidRPr="00EF7969">
                    <w:t>Alison Jones</w:t>
                  </w:r>
                </w:p>
              </w:tc>
            </w:tr>
            <w:tr w:rsidR="009C6940" w:rsidRPr="00EF7969" w14:paraId="1D27EB72" w14:textId="77777777" w:rsidTr="009C6940">
              <w:tc>
                <w:tcPr>
                  <w:tcW w:w="5000" w:type="pct"/>
                  <w:shd w:val="clear" w:color="auto" w:fill="auto"/>
                </w:tcPr>
                <w:p w14:paraId="1CB3148B" w14:textId="77777777" w:rsidR="009C6940" w:rsidRPr="00EF7969" w:rsidRDefault="009C6940" w:rsidP="009C6940">
                  <w:pPr>
                    <w:pStyle w:val="TableBodyText"/>
                    <w:ind w:right="28"/>
                    <w:jc w:val="left"/>
                  </w:pPr>
                  <w:r w:rsidRPr="00EF7969">
                    <w:t>Allan Fels</w:t>
                  </w:r>
                </w:p>
              </w:tc>
            </w:tr>
            <w:tr w:rsidR="009C6940" w:rsidRPr="00EF7969" w14:paraId="12F74276" w14:textId="77777777" w:rsidTr="009C6940">
              <w:tc>
                <w:tcPr>
                  <w:tcW w:w="5000" w:type="pct"/>
                  <w:shd w:val="clear" w:color="auto" w:fill="auto"/>
                </w:tcPr>
                <w:p w14:paraId="1F802AD0" w14:textId="77777777" w:rsidR="009C6940" w:rsidRPr="00EF7969" w:rsidRDefault="009C6940" w:rsidP="009C6940">
                  <w:pPr>
                    <w:pStyle w:val="TableBodyText"/>
                    <w:ind w:right="28"/>
                    <w:jc w:val="left"/>
                  </w:pPr>
                  <w:r w:rsidRPr="00EF7969">
                    <w:t>Andrew Robb</w:t>
                  </w:r>
                </w:p>
              </w:tc>
            </w:tr>
            <w:tr w:rsidR="009C6940" w:rsidRPr="00EF7969" w14:paraId="24645AF7" w14:textId="77777777" w:rsidTr="009C6940">
              <w:tc>
                <w:tcPr>
                  <w:tcW w:w="5000" w:type="pct"/>
                  <w:shd w:val="clear" w:color="auto" w:fill="auto"/>
                </w:tcPr>
                <w:p w14:paraId="32BD54A0" w14:textId="77777777" w:rsidR="009C6940" w:rsidRPr="00EF7969" w:rsidRDefault="009C6940" w:rsidP="009C6940">
                  <w:pPr>
                    <w:pStyle w:val="TableBodyText"/>
                    <w:ind w:right="28"/>
                    <w:jc w:val="left"/>
                  </w:pPr>
                  <w:r w:rsidRPr="00EF7969">
                    <w:t>Anthony Jorm</w:t>
                  </w:r>
                </w:p>
              </w:tc>
            </w:tr>
            <w:tr w:rsidR="009C6940" w:rsidRPr="00EF7969" w14:paraId="2CD8846F" w14:textId="77777777" w:rsidTr="009C6940">
              <w:tc>
                <w:tcPr>
                  <w:tcW w:w="5000" w:type="pct"/>
                  <w:shd w:val="clear" w:color="auto" w:fill="auto"/>
                </w:tcPr>
                <w:p w14:paraId="39026B3B" w14:textId="77777777" w:rsidR="009C6940" w:rsidRPr="00EF7969" w:rsidRDefault="009C6940" w:rsidP="009C6940">
                  <w:pPr>
                    <w:pStyle w:val="TableBodyText"/>
                    <w:ind w:right="28"/>
                    <w:jc w:val="left"/>
                  </w:pPr>
                  <w:r w:rsidRPr="00EF7969">
                    <w:t>Apunipima Cape York Health Council</w:t>
                  </w:r>
                </w:p>
              </w:tc>
            </w:tr>
            <w:tr w:rsidR="009C6940" w:rsidRPr="00EF7969" w14:paraId="6126271C" w14:textId="77777777" w:rsidTr="009C6940">
              <w:tc>
                <w:tcPr>
                  <w:tcW w:w="5000" w:type="pct"/>
                  <w:shd w:val="clear" w:color="auto" w:fill="auto"/>
                </w:tcPr>
                <w:p w14:paraId="095D738A" w14:textId="77777777" w:rsidR="009C6940" w:rsidRPr="00EF7969" w:rsidRDefault="009C6940" w:rsidP="009C6940">
                  <w:pPr>
                    <w:pStyle w:val="TableBodyText"/>
                    <w:ind w:right="28"/>
                    <w:jc w:val="left"/>
                  </w:pPr>
                  <w:r w:rsidRPr="00EF7969">
                    <w:t>ARAFMI Illawarra</w:t>
                  </w:r>
                </w:p>
              </w:tc>
            </w:tr>
            <w:tr w:rsidR="009C6940" w:rsidRPr="00EF7969" w14:paraId="03A9558D" w14:textId="77777777" w:rsidTr="009C6940">
              <w:tc>
                <w:tcPr>
                  <w:tcW w:w="5000" w:type="pct"/>
                  <w:shd w:val="clear" w:color="auto" w:fill="auto"/>
                </w:tcPr>
                <w:p w14:paraId="0FB73CEF" w14:textId="77777777" w:rsidR="009C6940" w:rsidRPr="00EF7969" w:rsidRDefault="009C6940" w:rsidP="009C6940">
                  <w:pPr>
                    <w:pStyle w:val="TableBodyText"/>
                    <w:ind w:right="28"/>
                    <w:jc w:val="left"/>
                  </w:pPr>
                  <w:r w:rsidRPr="00EF7969">
                    <w:t>Arie Frieberg</w:t>
                  </w:r>
                </w:p>
              </w:tc>
            </w:tr>
            <w:tr w:rsidR="009C6940" w:rsidRPr="00EF7969" w14:paraId="47C166AD" w14:textId="77777777" w:rsidTr="009C6940">
              <w:tc>
                <w:tcPr>
                  <w:tcW w:w="5000" w:type="pct"/>
                  <w:shd w:val="clear" w:color="auto" w:fill="auto"/>
                </w:tcPr>
                <w:p w14:paraId="1243A298" w14:textId="77777777" w:rsidR="009C6940" w:rsidRPr="00EF7969" w:rsidRDefault="009C6940" w:rsidP="009C6940">
                  <w:pPr>
                    <w:pStyle w:val="TableBodyText"/>
                    <w:ind w:right="28"/>
                    <w:jc w:val="left"/>
                  </w:pPr>
                  <w:r w:rsidRPr="00EF7969">
                    <w:t>Australian Bureau of Statistics</w:t>
                  </w:r>
                </w:p>
              </w:tc>
            </w:tr>
            <w:tr w:rsidR="009C6940" w:rsidRPr="00EF7969" w14:paraId="74F8BC63" w14:textId="77777777" w:rsidTr="009C6940">
              <w:tc>
                <w:tcPr>
                  <w:tcW w:w="5000" w:type="pct"/>
                  <w:shd w:val="clear" w:color="auto" w:fill="auto"/>
                </w:tcPr>
                <w:p w14:paraId="618CE34C" w14:textId="77777777" w:rsidR="009C6940" w:rsidRPr="00EF7969" w:rsidRDefault="009C6940" w:rsidP="009C6940">
                  <w:pPr>
                    <w:pStyle w:val="TableBodyText"/>
                    <w:ind w:right="28"/>
                    <w:jc w:val="left"/>
                  </w:pPr>
                  <w:r w:rsidRPr="00EF7969">
                    <w:t xml:space="preserve">Australian Clinical Trials Alliance </w:t>
                  </w:r>
                </w:p>
              </w:tc>
            </w:tr>
            <w:tr w:rsidR="009C6940" w:rsidRPr="00EF7969" w14:paraId="5447FA94" w14:textId="77777777" w:rsidTr="009C6940">
              <w:tc>
                <w:tcPr>
                  <w:tcW w:w="5000" w:type="pct"/>
                  <w:shd w:val="clear" w:color="auto" w:fill="auto"/>
                </w:tcPr>
                <w:p w14:paraId="056023BF" w14:textId="77777777" w:rsidR="009C6940" w:rsidRPr="00EF7969" w:rsidRDefault="009C6940" w:rsidP="009C6940">
                  <w:pPr>
                    <w:pStyle w:val="TableBodyText"/>
                    <w:ind w:right="28"/>
                    <w:jc w:val="left"/>
                  </w:pPr>
                  <w:r w:rsidRPr="00EF7969">
                    <w:t>Australian College of Mental Health Nurses</w:t>
                  </w:r>
                </w:p>
              </w:tc>
            </w:tr>
            <w:tr w:rsidR="009C6940" w:rsidRPr="00EF7969" w14:paraId="7E7312B2" w14:textId="77777777" w:rsidTr="009C6940">
              <w:tc>
                <w:tcPr>
                  <w:tcW w:w="5000" w:type="pct"/>
                  <w:shd w:val="clear" w:color="auto" w:fill="auto"/>
                </w:tcPr>
                <w:p w14:paraId="6864CF56" w14:textId="77777777" w:rsidR="009C6940" w:rsidRPr="00EF7969" w:rsidRDefault="009C6940" w:rsidP="009C6940">
                  <w:pPr>
                    <w:pStyle w:val="TableBodyText"/>
                    <w:ind w:right="28"/>
                    <w:jc w:val="left"/>
                  </w:pPr>
                  <w:r w:rsidRPr="00EF7969">
                    <w:t>Australian Council of Social Services</w:t>
                  </w:r>
                </w:p>
              </w:tc>
            </w:tr>
            <w:tr w:rsidR="009C6940" w:rsidRPr="00EF7969" w14:paraId="0510A7DA" w14:textId="77777777" w:rsidTr="009C6940">
              <w:tc>
                <w:tcPr>
                  <w:tcW w:w="5000" w:type="pct"/>
                  <w:shd w:val="clear" w:color="auto" w:fill="auto"/>
                </w:tcPr>
                <w:p w14:paraId="1FA12B8E" w14:textId="77777777" w:rsidR="009C6940" w:rsidRPr="00EF7969" w:rsidRDefault="009C6940" w:rsidP="009C6940">
                  <w:pPr>
                    <w:pStyle w:val="TableBodyText"/>
                    <w:ind w:right="28"/>
                    <w:jc w:val="left"/>
                  </w:pPr>
                  <w:r w:rsidRPr="00EF7969">
                    <w:t>Australian Council of Trade Union</w:t>
                  </w:r>
                </w:p>
              </w:tc>
            </w:tr>
            <w:tr w:rsidR="009C6940" w:rsidRPr="00EF7969" w14:paraId="16276F52" w14:textId="77777777" w:rsidTr="009C6940">
              <w:tc>
                <w:tcPr>
                  <w:tcW w:w="5000" w:type="pct"/>
                  <w:shd w:val="clear" w:color="auto" w:fill="auto"/>
                </w:tcPr>
                <w:p w14:paraId="6B0411B0" w14:textId="77777777" w:rsidR="009C6940" w:rsidRPr="00EF7969" w:rsidRDefault="009C6940" w:rsidP="009C6940">
                  <w:pPr>
                    <w:pStyle w:val="TableBodyText"/>
                    <w:ind w:right="28"/>
                    <w:jc w:val="left"/>
                  </w:pPr>
                  <w:r w:rsidRPr="00EF7969">
                    <w:t>Australian Counselling Association</w:t>
                  </w:r>
                </w:p>
              </w:tc>
            </w:tr>
            <w:tr w:rsidR="009C6940" w:rsidRPr="00EF7969" w14:paraId="7E7C3186" w14:textId="77777777" w:rsidTr="009C6940">
              <w:tc>
                <w:tcPr>
                  <w:tcW w:w="5000" w:type="pct"/>
                  <w:shd w:val="clear" w:color="auto" w:fill="auto"/>
                </w:tcPr>
                <w:p w14:paraId="01E6634D" w14:textId="77777777" w:rsidR="009C6940" w:rsidRPr="00EF7969" w:rsidRDefault="009C6940" w:rsidP="009C6940">
                  <w:pPr>
                    <w:pStyle w:val="TableBodyText"/>
                    <w:ind w:right="28"/>
                    <w:jc w:val="left"/>
                  </w:pPr>
                  <w:r w:rsidRPr="00EF7969">
                    <w:t>Australian Federal Police Association</w:t>
                  </w:r>
                </w:p>
              </w:tc>
            </w:tr>
            <w:tr w:rsidR="009C6940" w:rsidRPr="00EF7969" w14:paraId="6C25976E" w14:textId="77777777" w:rsidTr="009C6940">
              <w:tc>
                <w:tcPr>
                  <w:tcW w:w="5000" w:type="pct"/>
                  <w:shd w:val="clear" w:color="auto" w:fill="auto"/>
                </w:tcPr>
                <w:p w14:paraId="7D84D67E" w14:textId="77777777" w:rsidR="009C6940" w:rsidRPr="00EF7969" w:rsidRDefault="009C6940" w:rsidP="009C6940">
                  <w:pPr>
                    <w:pStyle w:val="TableBodyText"/>
                    <w:ind w:right="28"/>
                    <w:jc w:val="left"/>
                  </w:pPr>
                  <w:r w:rsidRPr="00EF7969">
                    <w:t xml:space="preserve">Australian Government Department of Education </w:t>
                  </w:r>
                </w:p>
              </w:tc>
            </w:tr>
            <w:tr w:rsidR="009C6940" w:rsidRPr="00EF7969" w14:paraId="28A87293" w14:textId="77777777" w:rsidTr="009C6940">
              <w:tc>
                <w:tcPr>
                  <w:tcW w:w="5000" w:type="pct"/>
                  <w:shd w:val="clear" w:color="auto" w:fill="auto"/>
                </w:tcPr>
                <w:p w14:paraId="792F5A4F" w14:textId="77777777" w:rsidR="009C6940" w:rsidRPr="00EF7969" w:rsidRDefault="009C6940" w:rsidP="009C6940">
                  <w:pPr>
                    <w:pStyle w:val="TableBodyText"/>
                    <w:ind w:right="28"/>
                    <w:jc w:val="left"/>
                  </w:pPr>
                  <w:r w:rsidRPr="00EF7969">
                    <w:t>Australian Government Department of Education, Skills and Employment</w:t>
                  </w:r>
                </w:p>
              </w:tc>
            </w:tr>
            <w:tr w:rsidR="009C6940" w:rsidRPr="00EF7969" w14:paraId="789F31B2" w14:textId="77777777" w:rsidTr="009C6940">
              <w:tc>
                <w:tcPr>
                  <w:tcW w:w="5000" w:type="pct"/>
                  <w:shd w:val="clear" w:color="auto" w:fill="auto"/>
                </w:tcPr>
                <w:p w14:paraId="61403E34" w14:textId="77777777" w:rsidR="009C6940" w:rsidRPr="00EF7969" w:rsidRDefault="009C6940" w:rsidP="009C6940">
                  <w:pPr>
                    <w:pStyle w:val="TableBodyText"/>
                    <w:ind w:right="28"/>
                    <w:jc w:val="left"/>
                  </w:pPr>
                  <w:r w:rsidRPr="00EF7969">
                    <w:t>Australian Government Department of Employment, Skills, Small and Family Business</w:t>
                  </w:r>
                </w:p>
              </w:tc>
            </w:tr>
            <w:tr w:rsidR="009C6940" w:rsidRPr="00EF7969" w14:paraId="2572A09B" w14:textId="77777777" w:rsidTr="009C6940">
              <w:tc>
                <w:tcPr>
                  <w:tcW w:w="5000" w:type="pct"/>
                  <w:tcBorders>
                    <w:bottom w:val="single" w:sz="4" w:space="0" w:color="BFBFBF" w:themeColor="background1" w:themeShade="BF"/>
                  </w:tcBorders>
                  <w:shd w:val="clear" w:color="auto" w:fill="auto"/>
                </w:tcPr>
                <w:p w14:paraId="0E426D95" w14:textId="77777777" w:rsidR="009C6940" w:rsidRPr="00EF7969" w:rsidRDefault="009C6940" w:rsidP="009C6940">
                  <w:pPr>
                    <w:pStyle w:val="TableBodyText"/>
                    <w:ind w:right="28"/>
                    <w:jc w:val="left"/>
                  </w:pPr>
                  <w:r w:rsidRPr="00EF7969">
                    <w:t>Australian Government Department of Finance</w:t>
                  </w:r>
                </w:p>
              </w:tc>
            </w:tr>
          </w:tbl>
          <w:p w14:paraId="39882BFB" w14:textId="77777777" w:rsidR="009C6940" w:rsidRPr="00EF7969" w:rsidRDefault="009C6940" w:rsidP="009C6940">
            <w:pPr>
              <w:pStyle w:val="Box"/>
            </w:pPr>
          </w:p>
        </w:tc>
      </w:tr>
      <w:tr w:rsidR="009C6940" w:rsidRPr="00EF7969" w14:paraId="3A67CA3E" w14:textId="77777777" w:rsidTr="009C6940">
        <w:tc>
          <w:tcPr>
            <w:tcW w:w="5000" w:type="pct"/>
            <w:tcBorders>
              <w:top w:val="nil"/>
              <w:left w:val="nil"/>
              <w:bottom w:val="nil"/>
              <w:right w:val="nil"/>
            </w:tcBorders>
            <w:shd w:val="clear" w:color="auto" w:fill="auto"/>
          </w:tcPr>
          <w:p w14:paraId="42A476A1" w14:textId="77777777" w:rsidR="009C6940" w:rsidRPr="00EF7969" w:rsidRDefault="009C6940" w:rsidP="009C6940">
            <w:pPr>
              <w:pStyle w:val="Continued"/>
              <w:spacing w:before="120"/>
            </w:pPr>
            <w:r w:rsidRPr="00EF7969">
              <w:t>(continued next page)</w:t>
            </w:r>
          </w:p>
        </w:tc>
      </w:tr>
      <w:tr w:rsidR="009C6940" w:rsidRPr="00EF7969" w14:paraId="6B09A761" w14:textId="77777777" w:rsidTr="009C6940">
        <w:tc>
          <w:tcPr>
            <w:tcW w:w="5000" w:type="pct"/>
            <w:tcBorders>
              <w:top w:val="nil"/>
              <w:left w:val="nil"/>
              <w:bottom w:val="single" w:sz="6" w:space="0" w:color="78A22F"/>
              <w:right w:val="nil"/>
            </w:tcBorders>
            <w:shd w:val="clear" w:color="auto" w:fill="auto"/>
          </w:tcPr>
          <w:p w14:paraId="3AC67880" w14:textId="77777777" w:rsidR="009C6940" w:rsidRPr="00EF7969" w:rsidRDefault="009C6940" w:rsidP="009C6940">
            <w:pPr>
              <w:pStyle w:val="Box"/>
              <w:spacing w:before="0" w:line="120" w:lineRule="exact"/>
            </w:pPr>
          </w:p>
        </w:tc>
      </w:tr>
      <w:tr w:rsidR="009C6940" w:rsidRPr="00EF7969" w14:paraId="4D878DE7" w14:textId="77777777" w:rsidTr="009C6940">
        <w:tc>
          <w:tcPr>
            <w:tcW w:w="5000" w:type="pct"/>
            <w:tcBorders>
              <w:top w:val="single" w:sz="6" w:space="0" w:color="78A22F"/>
              <w:left w:val="nil"/>
              <w:bottom w:val="nil"/>
              <w:right w:val="nil"/>
            </w:tcBorders>
          </w:tcPr>
          <w:p w14:paraId="6C672F1E" w14:textId="77777777" w:rsidR="009C6940" w:rsidRPr="00EF7969" w:rsidRDefault="009C6940" w:rsidP="009C6940">
            <w:pPr>
              <w:pStyle w:val="BoxSpaceBelow"/>
            </w:pPr>
          </w:p>
        </w:tc>
      </w:tr>
    </w:tbl>
    <w:p w14:paraId="645BC86F"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EF7969" w14:paraId="1CFA44A5" w14:textId="77777777" w:rsidTr="009C6940">
        <w:trPr>
          <w:tblHeader/>
        </w:trPr>
        <w:tc>
          <w:tcPr>
            <w:tcW w:w="5000" w:type="pct"/>
            <w:tcBorders>
              <w:top w:val="single" w:sz="6" w:space="0" w:color="78A22F"/>
              <w:left w:val="nil"/>
              <w:bottom w:val="nil"/>
              <w:right w:val="nil"/>
            </w:tcBorders>
            <w:shd w:val="clear" w:color="auto" w:fill="auto"/>
          </w:tcPr>
          <w:p w14:paraId="30252B48" w14:textId="77777777" w:rsidR="009C6940" w:rsidRPr="00EF7969" w:rsidRDefault="009C6940" w:rsidP="009C6940">
            <w:pPr>
              <w:pStyle w:val="TableTitle"/>
              <w:keepNext w:val="0"/>
              <w:keepLines w:val="0"/>
            </w:pPr>
            <w:r w:rsidRPr="00EF7969">
              <w:rPr>
                <w:b w:val="0"/>
              </w:rPr>
              <w:t xml:space="preserve">Table </w:t>
            </w:r>
            <w:r>
              <w:rPr>
                <w:b w:val="0"/>
              </w:rPr>
              <w:t>B.</w:t>
            </w:r>
            <w:r w:rsidRPr="00EF7969">
              <w:rPr>
                <w:b w:val="0"/>
              </w:rPr>
              <w:t>3</w:t>
            </w:r>
            <w:r w:rsidRPr="00EF7969">
              <w:tab/>
            </w:r>
            <w:r w:rsidRPr="00EF7969">
              <w:rPr>
                <w:rStyle w:val="Continuedintitle"/>
              </w:rPr>
              <w:t>(continued)</w:t>
            </w:r>
          </w:p>
        </w:tc>
      </w:tr>
      <w:tr w:rsidR="009C6940" w:rsidRPr="00EF7969" w14:paraId="0A015CA0" w14:textId="77777777" w:rsidTr="009C6940">
        <w:tc>
          <w:tcPr>
            <w:tcW w:w="5000" w:type="pct"/>
            <w:tcBorders>
              <w:top w:val="nil"/>
              <w:left w:val="nil"/>
              <w:bottom w:val="nil"/>
              <w:right w:val="nil"/>
            </w:tcBorders>
            <w:shd w:val="clear" w:color="auto" w:fill="auto"/>
          </w:tcPr>
          <w:tbl>
            <w:tblPr>
              <w:tblW w:w="5000" w:type="pct"/>
              <w:tblBorders>
                <w:top w:val="single" w:sz="4" w:space="0" w:color="BFBFBF" w:themeColor="background1" w:themeShade="BF"/>
                <w:bottom w:val="single" w:sz="4" w:space="0" w:color="BFBFBF" w:themeColor="background1" w:themeShade="BF"/>
              </w:tblBorders>
              <w:tblCellMar>
                <w:top w:w="28" w:type="dxa"/>
                <w:left w:w="0" w:type="dxa"/>
                <w:right w:w="0" w:type="dxa"/>
              </w:tblCellMar>
              <w:tblLook w:val="0000" w:firstRow="0" w:lastRow="0" w:firstColumn="0" w:lastColumn="0" w:noHBand="0" w:noVBand="0"/>
            </w:tblPr>
            <w:tblGrid>
              <w:gridCol w:w="8505"/>
            </w:tblGrid>
            <w:tr w:rsidR="009C6940" w:rsidRPr="00EF7969" w14:paraId="4B1783AF" w14:textId="77777777" w:rsidTr="009C6940">
              <w:tc>
                <w:tcPr>
                  <w:tcW w:w="5000" w:type="pct"/>
                  <w:shd w:val="clear" w:color="auto" w:fill="auto"/>
                </w:tcPr>
                <w:p w14:paraId="48283F77" w14:textId="77777777" w:rsidR="009C6940" w:rsidRPr="00EF7969" w:rsidRDefault="009C6940" w:rsidP="009C6940">
                  <w:pPr>
                    <w:pStyle w:val="TableBodyText"/>
                    <w:spacing w:before="40"/>
                    <w:ind w:right="28"/>
                    <w:jc w:val="left"/>
                  </w:pPr>
                  <w:r w:rsidRPr="00EF7969">
                    <w:t>Australian Government Department of Health</w:t>
                  </w:r>
                </w:p>
              </w:tc>
            </w:tr>
            <w:tr w:rsidR="009C6940" w:rsidRPr="00EF7969" w14:paraId="52CC1C00" w14:textId="77777777" w:rsidTr="009C6940">
              <w:tc>
                <w:tcPr>
                  <w:tcW w:w="5000" w:type="pct"/>
                  <w:shd w:val="clear" w:color="auto" w:fill="auto"/>
                </w:tcPr>
                <w:p w14:paraId="6023A70A" w14:textId="77777777" w:rsidR="009C6940" w:rsidRPr="00EF7969" w:rsidRDefault="009C6940" w:rsidP="009C6940">
                  <w:pPr>
                    <w:pStyle w:val="TableBodyText"/>
                    <w:ind w:right="28"/>
                    <w:jc w:val="left"/>
                  </w:pPr>
                  <w:r w:rsidRPr="00EF7969">
                    <w:t>Australian Government Department of Human Services</w:t>
                  </w:r>
                </w:p>
              </w:tc>
            </w:tr>
            <w:tr w:rsidR="009C6940" w:rsidRPr="00EF7969" w14:paraId="6CF6468B" w14:textId="77777777" w:rsidTr="009C6940">
              <w:tc>
                <w:tcPr>
                  <w:tcW w:w="5000" w:type="pct"/>
                  <w:shd w:val="clear" w:color="auto" w:fill="auto"/>
                </w:tcPr>
                <w:p w14:paraId="7B5AFF04" w14:textId="77777777" w:rsidR="009C6940" w:rsidRPr="00EF7969" w:rsidRDefault="009C6940" w:rsidP="009C6940">
                  <w:pPr>
                    <w:pStyle w:val="TableBodyText"/>
                    <w:ind w:right="28"/>
                    <w:jc w:val="left"/>
                  </w:pPr>
                  <w:r w:rsidRPr="00EF7969">
                    <w:t>Australian Government Department of Jobs and Small Business</w:t>
                  </w:r>
                </w:p>
              </w:tc>
            </w:tr>
            <w:tr w:rsidR="009C6940" w:rsidRPr="00EF7969" w14:paraId="139BAE4C" w14:textId="77777777" w:rsidTr="009C6940">
              <w:tc>
                <w:tcPr>
                  <w:tcW w:w="5000" w:type="pct"/>
                  <w:shd w:val="clear" w:color="auto" w:fill="auto"/>
                </w:tcPr>
                <w:p w14:paraId="3EFD39B5" w14:textId="77777777" w:rsidR="009C6940" w:rsidRPr="00EF7969" w:rsidRDefault="009C6940" w:rsidP="009C6940">
                  <w:pPr>
                    <w:pStyle w:val="TableBodyText"/>
                    <w:ind w:right="28"/>
                    <w:jc w:val="left"/>
                  </w:pPr>
                  <w:r w:rsidRPr="00EF7969">
                    <w:t>Australian Government Department of Prime Minister and Cabinet</w:t>
                  </w:r>
                  <w:r>
                    <w:t xml:space="preserve">  </w:t>
                  </w:r>
                </w:p>
              </w:tc>
            </w:tr>
            <w:tr w:rsidR="009C6940" w:rsidRPr="00EF7969" w14:paraId="2D4532A8" w14:textId="77777777" w:rsidTr="009C6940">
              <w:tc>
                <w:tcPr>
                  <w:tcW w:w="5000" w:type="pct"/>
                  <w:shd w:val="clear" w:color="auto" w:fill="auto"/>
                </w:tcPr>
                <w:p w14:paraId="567A4F68" w14:textId="77777777" w:rsidR="009C6940" w:rsidRDefault="009C6940" w:rsidP="009C6940">
                  <w:pPr>
                    <w:pStyle w:val="TableBodyText"/>
                    <w:ind w:right="28"/>
                    <w:jc w:val="left"/>
                  </w:pPr>
                  <w:r w:rsidRPr="00EF7969">
                    <w:t>Australian Government Department of Prime Minister and Cabinet</w:t>
                  </w:r>
                  <w:r>
                    <w:t xml:space="preserve"> –</w:t>
                  </w:r>
                  <w:r w:rsidRPr="00EF7969">
                    <w:t xml:space="preserve"> Indigenous Affairs</w:t>
                  </w:r>
                </w:p>
              </w:tc>
            </w:tr>
            <w:tr w:rsidR="009C6940" w:rsidRPr="00EF7969" w14:paraId="0A29A352" w14:textId="77777777" w:rsidTr="009C6940">
              <w:tc>
                <w:tcPr>
                  <w:tcW w:w="5000" w:type="pct"/>
                  <w:shd w:val="clear" w:color="auto" w:fill="auto"/>
                </w:tcPr>
                <w:p w14:paraId="52B523C2" w14:textId="77777777" w:rsidR="009C6940" w:rsidRPr="00EF7969" w:rsidRDefault="009C6940" w:rsidP="009C6940">
                  <w:pPr>
                    <w:pStyle w:val="TableBodyText"/>
                    <w:ind w:right="28"/>
                    <w:jc w:val="left"/>
                  </w:pPr>
                  <w:r>
                    <w:t>Australian Government Treasury</w:t>
                  </w:r>
                </w:p>
              </w:tc>
            </w:tr>
            <w:tr w:rsidR="009C6940" w:rsidRPr="00EF7969" w14:paraId="7C879478" w14:textId="77777777" w:rsidTr="009C6940">
              <w:tc>
                <w:tcPr>
                  <w:tcW w:w="5000" w:type="pct"/>
                  <w:shd w:val="clear" w:color="auto" w:fill="auto"/>
                </w:tcPr>
                <w:p w14:paraId="7A6B2C18" w14:textId="77777777" w:rsidR="009C6940" w:rsidRPr="00EF7969" w:rsidRDefault="009C6940" w:rsidP="009C6940">
                  <w:pPr>
                    <w:pStyle w:val="TableBodyText"/>
                    <w:ind w:right="28"/>
                    <w:jc w:val="left"/>
                  </w:pPr>
                  <w:r w:rsidRPr="00EF7969">
                    <w:t>Australian Government Department of Social Services</w:t>
                  </w:r>
                </w:p>
              </w:tc>
            </w:tr>
            <w:tr w:rsidR="009C6940" w:rsidRPr="00EF7969" w14:paraId="57AB1AC5" w14:textId="77777777" w:rsidTr="009C6940">
              <w:tc>
                <w:tcPr>
                  <w:tcW w:w="5000" w:type="pct"/>
                  <w:shd w:val="clear" w:color="auto" w:fill="auto"/>
                </w:tcPr>
                <w:p w14:paraId="7857B441" w14:textId="77777777" w:rsidR="009C6940" w:rsidRPr="00EF7969" w:rsidRDefault="009C6940" w:rsidP="009C6940">
                  <w:pPr>
                    <w:pStyle w:val="TableBodyText"/>
                    <w:ind w:right="28"/>
                    <w:jc w:val="left"/>
                  </w:pPr>
                  <w:r w:rsidRPr="00EF7969">
                    <w:t xml:space="preserve">Australian Housing and Urban Research Institute </w:t>
                  </w:r>
                </w:p>
              </w:tc>
            </w:tr>
            <w:tr w:rsidR="009C6940" w:rsidRPr="00EF7969" w14:paraId="5540651E" w14:textId="77777777" w:rsidTr="009C6940">
              <w:tc>
                <w:tcPr>
                  <w:tcW w:w="5000" w:type="pct"/>
                  <w:shd w:val="clear" w:color="auto" w:fill="auto"/>
                </w:tcPr>
                <w:p w14:paraId="5A2EECD4" w14:textId="77777777" w:rsidR="009C6940" w:rsidRPr="00EF7969" w:rsidRDefault="009C6940" w:rsidP="009C6940">
                  <w:pPr>
                    <w:pStyle w:val="TableBodyText"/>
                    <w:ind w:right="28"/>
                    <w:jc w:val="left"/>
                  </w:pPr>
                  <w:r w:rsidRPr="00EF7969">
                    <w:t>Australian Industry Group</w:t>
                  </w:r>
                </w:p>
              </w:tc>
            </w:tr>
            <w:tr w:rsidR="009C6940" w:rsidRPr="00EF7969" w14:paraId="5C833CD8" w14:textId="77777777" w:rsidTr="009C6940">
              <w:tc>
                <w:tcPr>
                  <w:tcW w:w="5000" w:type="pct"/>
                  <w:shd w:val="clear" w:color="auto" w:fill="auto"/>
                </w:tcPr>
                <w:p w14:paraId="22742384" w14:textId="77777777" w:rsidR="009C6940" w:rsidRPr="00EF7969" w:rsidRDefault="009C6940" w:rsidP="009C6940">
                  <w:pPr>
                    <w:pStyle w:val="TableBodyText"/>
                    <w:ind w:right="28"/>
                    <w:jc w:val="left"/>
                  </w:pPr>
                  <w:r w:rsidRPr="00EF7969">
                    <w:t>Australian Institute of Criminology</w:t>
                  </w:r>
                </w:p>
              </w:tc>
            </w:tr>
            <w:tr w:rsidR="009C6940" w:rsidRPr="00EF7969" w14:paraId="7B5FDA0A" w14:textId="77777777" w:rsidTr="009C6940">
              <w:tc>
                <w:tcPr>
                  <w:tcW w:w="5000" w:type="pct"/>
                  <w:shd w:val="clear" w:color="auto" w:fill="auto"/>
                </w:tcPr>
                <w:p w14:paraId="31C205A8" w14:textId="77777777" w:rsidR="009C6940" w:rsidRPr="00EF7969" w:rsidRDefault="009C6940" w:rsidP="009C6940">
                  <w:pPr>
                    <w:pStyle w:val="TableBodyText"/>
                    <w:ind w:right="28"/>
                    <w:jc w:val="left"/>
                  </w:pPr>
                  <w:r w:rsidRPr="00EF7969">
                    <w:t>Australian Institute of Family Studies</w:t>
                  </w:r>
                </w:p>
              </w:tc>
            </w:tr>
            <w:tr w:rsidR="009C6940" w:rsidRPr="00EF7969" w14:paraId="5ECFACDE" w14:textId="77777777" w:rsidTr="009C6940">
              <w:tc>
                <w:tcPr>
                  <w:tcW w:w="5000" w:type="pct"/>
                  <w:shd w:val="clear" w:color="auto" w:fill="auto"/>
                </w:tcPr>
                <w:p w14:paraId="273CB3EF" w14:textId="77777777" w:rsidR="009C6940" w:rsidRPr="00EF7969" w:rsidRDefault="009C6940" w:rsidP="009C6940">
                  <w:pPr>
                    <w:pStyle w:val="TableBodyText"/>
                    <w:ind w:right="28"/>
                    <w:jc w:val="left"/>
                  </w:pPr>
                  <w:r w:rsidRPr="00EF7969">
                    <w:t>Australian Institute of Health and Welfare</w:t>
                  </w:r>
                </w:p>
              </w:tc>
            </w:tr>
            <w:tr w:rsidR="009C6940" w:rsidRPr="00EF7969" w14:paraId="6B4D1458" w14:textId="77777777" w:rsidTr="009C6940">
              <w:tc>
                <w:tcPr>
                  <w:tcW w:w="5000" w:type="pct"/>
                  <w:shd w:val="clear" w:color="auto" w:fill="auto"/>
                </w:tcPr>
                <w:p w14:paraId="6027A0B4" w14:textId="77777777" w:rsidR="009C6940" w:rsidRPr="00EF7969" w:rsidRDefault="009C6940" w:rsidP="009C6940">
                  <w:pPr>
                    <w:pStyle w:val="TableBodyText"/>
                    <w:ind w:right="28"/>
                    <w:jc w:val="left"/>
                  </w:pPr>
                  <w:r w:rsidRPr="00EF7969">
                    <w:t>Australian Institute for Teaching and School Leadership</w:t>
                  </w:r>
                </w:p>
              </w:tc>
            </w:tr>
            <w:tr w:rsidR="009C6940" w:rsidRPr="00EF7969" w14:paraId="6A69E8DE" w14:textId="77777777" w:rsidTr="009C6940">
              <w:tc>
                <w:tcPr>
                  <w:tcW w:w="5000" w:type="pct"/>
                  <w:shd w:val="clear" w:color="auto" w:fill="auto"/>
                </w:tcPr>
                <w:p w14:paraId="071276F2" w14:textId="77777777" w:rsidR="009C6940" w:rsidRPr="00EF7969" w:rsidRDefault="009C6940" w:rsidP="009C6940">
                  <w:pPr>
                    <w:pStyle w:val="TableBodyText"/>
                    <w:ind w:right="28"/>
                    <w:jc w:val="left"/>
                  </w:pPr>
                  <w:r w:rsidRPr="00EF7969">
                    <w:t>Australian Medical Association</w:t>
                  </w:r>
                </w:p>
              </w:tc>
            </w:tr>
            <w:tr w:rsidR="009C6940" w:rsidRPr="00EF7969" w14:paraId="2E9777F7" w14:textId="77777777" w:rsidTr="009C6940">
              <w:tc>
                <w:tcPr>
                  <w:tcW w:w="5000" w:type="pct"/>
                  <w:shd w:val="clear" w:color="auto" w:fill="auto"/>
                </w:tcPr>
                <w:p w14:paraId="7C178D5F" w14:textId="77777777" w:rsidR="009C6940" w:rsidRPr="00EF7969" w:rsidRDefault="009C6940" w:rsidP="009C6940">
                  <w:pPr>
                    <w:pStyle w:val="TableBodyText"/>
                    <w:ind w:right="28"/>
                    <w:jc w:val="left"/>
                  </w:pPr>
                  <w:r w:rsidRPr="00EF7969">
                    <w:t>Australian Mental Health Outcomes and Classification Network</w:t>
                  </w:r>
                </w:p>
              </w:tc>
            </w:tr>
            <w:tr w:rsidR="009C6940" w:rsidRPr="00EF7969" w14:paraId="0F745D27" w14:textId="77777777" w:rsidTr="009C6940">
              <w:tc>
                <w:tcPr>
                  <w:tcW w:w="5000" w:type="pct"/>
                  <w:shd w:val="clear" w:color="auto" w:fill="auto"/>
                </w:tcPr>
                <w:p w14:paraId="03E1FB5A" w14:textId="77777777" w:rsidR="009C6940" w:rsidRPr="00EF7969" w:rsidRDefault="009C6940" w:rsidP="009C6940">
                  <w:pPr>
                    <w:pStyle w:val="TableBodyText"/>
                    <w:ind w:right="28"/>
                    <w:jc w:val="left"/>
                  </w:pPr>
                  <w:r w:rsidRPr="00EF7969">
                    <w:t>Australian Psychological Society</w:t>
                  </w:r>
                </w:p>
              </w:tc>
            </w:tr>
            <w:tr w:rsidR="009C6940" w:rsidRPr="00EF7969" w14:paraId="1EDD9760" w14:textId="77777777" w:rsidTr="009C6940">
              <w:tc>
                <w:tcPr>
                  <w:tcW w:w="5000" w:type="pct"/>
                  <w:shd w:val="clear" w:color="auto" w:fill="auto"/>
                </w:tcPr>
                <w:p w14:paraId="7E265025" w14:textId="77777777" w:rsidR="009C6940" w:rsidRPr="00EF7969" w:rsidRDefault="009C6940" w:rsidP="009C6940">
                  <w:pPr>
                    <w:pStyle w:val="TableBodyText"/>
                    <w:ind w:right="28"/>
                    <w:jc w:val="left"/>
                  </w:pPr>
                  <w:r w:rsidRPr="00EF7969">
                    <w:t>Australian Secondary Principals Association (Andrew Pierpoint)</w:t>
                  </w:r>
                </w:p>
              </w:tc>
            </w:tr>
            <w:tr w:rsidR="009C6940" w:rsidRPr="00EF7969" w14:paraId="792FBE65" w14:textId="77777777" w:rsidTr="009C6940">
              <w:tc>
                <w:tcPr>
                  <w:tcW w:w="5000" w:type="pct"/>
                  <w:shd w:val="clear" w:color="auto" w:fill="auto"/>
                </w:tcPr>
                <w:p w14:paraId="36050223" w14:textId="77777777" w:rsidR="009C6940" w:rsidRPr="00EF7969" w:rsidRDefault="009C6940" w:rsidP="009C6940">
                  <w:pPr>
                    <w:pStyle w:val="TableBodyText"/>
                    <w:ind w:right="28"/>
                    <w:jc w:val="left"/>
                  </w:pPr>
                  <w:r w:rsidRPr="00EF7969">
                    <w:t>Bendigo Community Health Services</w:t>
                  </w:r>
                </w:p>
              </w:tc>
            </w:tr>
            <w:tr w:rsidR="009C6940" w:rsidRPr="00EF7969" w14:paraId="48C86FDA" w14:textId="77777777" w:rsidTr="009C6940">
              <w:tc>
                <w:tcPr>
                  <w:tcW w:w="5000" w:type="pct"/>
                  <w:shd w:val="clear" w:color="auto" w:fill="auto"/>
                </w:tcPr>
                <w:p w14:paraId="37A8260C" w14:textId="77777777" w:rsidR="009C6940" w:rsidRPr="00EF7969" w:rsidRDefault="009C6940" w:rsidP="009C6940">
                  <w:pPr>
                    <w:pStyle w:val="TableBodyText"/>
                    <w:ind w:right="28"/>
                    <w:jc w:val="left"/>
                  </w:pPr>
                  <w:r w:rsidRPr="00EF7969">
                    <w:t>Bendigo Health</w:t>
                  </w:r>
                </w:p>
              </w:tc>
            </w:tr>
            <w:tr w:rsidR="009C6940" w:rsidRPr="00EF7969" w14:paraId="2E1A7242" w14:textId="77777777" w:rsidTr="009C6940">
              <w:tc>
                <w:tcPr>
                  <w:tcW w:w="5000" w:type="pct"/>
                  <w:shd w:val="clear" w:color="auto" w:fill="auto"/>
                </w:tcPr>
                <w:p w14:paraId="4C77E1B3" w14:textId="77777777" w:rsidR="009C6940" w:rsidRPr="00EF7969" w:rsidRDefault="009C6940" w:rsidP="009C6940">
                  <w:pPr>
                    <w:pStyle w:val="TableBodyText"/>
                    <w:ind w:right="28"/>
                    <w:jc w:val="left"/>
                  </w:pPr>
                  <w:r w:rsidRPr="00EF7969">
                    <w:t>Beyond Blue</w:t>
                  </w:r>
                </w:p>
              </w:tc>
            </w:tr>
            <w:tr w:rsidR="009C6940" w:rsidRPr="00EF7969" w14:paraId="1A2AE5EF" w14:textId="77777777" w:rsidTr="009C6940">
              <w:tc>
                <w:tcPr>
                  <w:tcW w:w="5000" w:type="pct"/>
                  <w:shd w:val="clear" w:color="auto" w:fill="auto"/>
                </w:tcPr>
                <w:p w14:paraId="479E2CD6" w14:textId="77777777" w:rsidR="009C6940" w:rsidRPr="00EF7969" w:rsidRDefault="009C6940" w:rsidP="009C6940">
                  <w:pPr>
                    <w:pStyle w:val="TableBodyText"/>
                    <w:ind w:right="28"/>
                    <w:jc w:val="left"/>
                  </w:pPr>
                  <w:r w:rsidRPr="00EF7969">
                    <w:t>Bill Buckingham</w:t>
                  </w:r>
                </w:p>
              </w:tc>
            </w:tr>
            <w:tr w:rsidR="009C6940" w:rsidRPr="00EF7969" w14:paraId="459B4844" w14:textId="77777777" w:rsidTr="009C6940">
              <w:tc>
                <w:tcPr>
                  <w:tcW w:w="5000" w:type="pct"/>
                  <w:shd w:val="clear" w:color="auto" w:fill="auto"/>
                </w:tcPr>
                <w:p w14:paraId="7AC3D3A5" w14:textId="77777777" w:rsidR="009C6940" w:rsidRPr="00EF7969" w:rsidRDefault="009C6940" w:rsidP="009C6940">
                  <w:pPr>
                    <w:pStyle w:val="TableBodyText"/>
                    <w:ind w:right="28"/>
                    <w:jc w:val="left"/>
                  </w:pPr>
                  <w:r w:rsidRPr="00EF7969">
                    <w:t>Black Dog Institute</w:t>
                  </w:r>
                </w:p>
              </w:tc>
            </w:tr>
            <w:tr w:rsidR="009C6940" w:rsidRPr="00EF7969" w14:paraId="63D8B018" w14:textId="77777777" w:rsidTr="009C6940">
              <w:tc>
                <w:tcPr>
                  <w:tcW w:w="5000" w:type="pct"/>
                  <w:shd w:val="clear" w:color="auto" w:fill="auto"/>
                </w:tcPr>
                <w:p w14:paraId="7130451F" w14:textId="77777777" w:rsidR="009C6940" w:rsidRPr="00EF7969" w:rsidRDefault="009C6940" w:rsidP="009C6940">
                  <w:pPr>
                    <w:pStyle w:val="TableBodyText"/>
                    <w:ind w:right="28"/>
                    <w:jc w:val="left"/>
                  </w:pPr>
                  <w:r w:rsidRPr="00EF7969">
                    <w:t>Bonny Parkinson</w:t>
                  </w:r>
                </w:p>
              </w:tc>
            </w:tr>
            <w:tr w:rsidR="009C6940" w:rsidRPr="00EF7969" w14:paraId="121F4258" w14:textId="77777777" w:rsidTr="009C6940">
              <w:tc>
                <w:tcPr>
                  <w:tcW w:w="5000" w:type="pct"/>
                  <w:shd w:val="clear" w:color="auto" w:fill="auto"/>
                </w:tcPr>
                <w:p w14:paraId="0AE8700C" w14:textId="77777777" w:rsidR="009C6940" w:rsidRPr="00EF7969" w:rsidRDefault="009C6940" w:rsidP="009C6940">
                  <w:pPr>
                    <w:pStyle w:val="TableBodyText"/>
                    <w:ind w:right="28"/>
                    <w:jc w:val="left"/>
                  </w:pPr>
                  <w:r w:rsidRPr="00EF7969">
                    <w:t>Brain and Mind Centre</w:t>
                  </w:r>
                </w:p>
              </w:tc>
            </w:tr>
            <w:tr w:rsidR="009C6940" w:rsidRPr="00EF7969" w14:paraId="5B3C44E4" w14:textId="77777777" w:rsidTr="009C6940">
              <w:tc>
                <w:tcPr>
                  <w:tcW w:w="5000" w:type="pct"/>
                  <w:shd w:val="clear" w:color="auto" w:fill="auto"/>
                </w:tcPr>
                <w:p w14:paraId="5440F678" w14:textId="77777777" w:rsidR="009C6940" w:rsidRPr="00EF7969" w:rsidRDefault="009C6940" w:rsidP="009C6940">
                  <w:pPr>
                    <w:pStyle w:val="TableBodyText"/>
                    <w:ind w:right="28"/>
                    <w:jc w:val="left"/>
                  </w:pPr>
                  <w:r w:rsidRPr="00EF7969">
                    <w:t xml:space="preserve">Brisbane North Primary Health Network </w:t>
                  </w:r>
                </w:p>
              </w:tc>
            </w:tr>
            <w:tr w:rsidR="009C6940" w:rsidRPr="00EF7969" w14:paraId="52F9428D" w14:textId="77777777" w:rsidTr="009C6940">
              <w:tc>
                <w:tcPr>
                  <w:tcW w:w="5000" w:type="pct"/>
                  <w:shd w:val="clear" w:color="auto" w:fill="auto"/>
                </w:tcPr>
                <w:p w14:paraId="322BBCDD" w14:textId="77777777" w:rsidR="009C6940" w:rsidRPr="00EF7969" w:rsidRDefault="009C6940" w:rsidP="009C6940">
                  <w:pPr>
                    <w:pStyle w:val="TableBodyText"/>
                    <w:ind w:right="28"/>
                    <w:jc w:val="left"/>
                  </w:pPr>
                  <w:r w:rsidRPr="00EF7969">
                    <w:t>Brotherhood of St Laurence</w:t>
                  </w:r>
                </w:p>
              </w:tc>
            </w:tr>
            <w:tr w:rsidR="009C6940" w:rsidRPr="00EF7969" w14:paraId="6AEFFA4B" w14:textId="77777777" w:rsidTr="009C6940">
              <w:tc>
                <w:tcPr>
                  <w:tcW w:w="5000" w:type="pct"/>
                  <w:shd w:val="clear" w:color="auto" w:fill="auto"/>
                </w:tcPr>
                <w:p w14:paraId="3F7AF403" w14:textId="77777777" w:rsidR="009C6940" w:rsidRPr="00EF7969" w:rsidRDefault="009C6940" w:rsidP="009C6940">
                  <w:pPr>
                    <w:pStyle w:val="TableBodyText"/>
                    <w:ind w:right="28"/>
                    <w:jc w:val="left"/>
                  </w:pPr>
                  <w:r w:rsidRPr="00EF7969">
                    <w:t>BUPA</w:t>
                  </w:r>
                </w:p>
              </w:tc>
            </w:tr>
            <w:tr w:rsidR="009C6940" w:rsidRPr="00EF7969" w14:paraId="310C2226" w14:textId="77777777" w:rsidTr="009C6940">
              <w:tc>
                <w:tcPr>
                  <w:tcW w:w="5000" w:type="pct"/>
                  <w:shd w:val="clear" w:color="auto" w:fill="auto"/>
                </w:tcPr>
                <w:p w14:paraId="1361FBF8" w14:textId="77777777" w:rsidR="009C6940" w:rsidRPr="00EF7969" w:rsidRDefault="009C6940" w:rsidP="009C6940">
                  <w:pPr>
                    <w:pStyle w:val="TableBodyText"/>
                    <w:ind w:right="28"/>
                    <w:jc w:val="left"/>
                  </w:pPr>
                  <w:r w:rsidRPr="00EF7969">
                    <w:t>Business SA</w:t>
                  </w:r>
                </w:p>
              </w:tc>
            </w:tr>
            <w:tr w:rsidR="009C6940" w:rsidRPr="00EF7969" w14:paraId="07B75605" w14:textId="77777777" w:rsidTr="009C6940">
              <w:tc>
                <w:tcPr>
                  <w:tcW w:w="5000" w:type="pct"/>
                  <w:shd w:val="clear" w:color="auto" w:fill="auto"/>
                </w:tcPr>
                <w:p w14:paraId="3986E977" w14:textId="77777777" w:rsidR="009C6940" w:rsidRPr="00EF7969" w:rsidRDefault="009C6940" w:rsidP="009C6940">
                  <w:pPr>
                    <w:pStyle w:val="TableBodyText"/>
                    <w:ind w:right="28"/>
                    <w:jc w:val="left"/>
                  </w:pPr>
                  <w:r w:rsidRPr="00EF7969">
                    <w:t>Butterfly Foundation</w:t>
                  </w:r>
                </w:p>
              </w:tc>
            </w:tr>
            <w:tr w:rsidR="009C6940" w:rsidRPr="00EF7969" w14:paraId="046B9A2B" w14:textId="77777777" w:rsidTr="009C6940">
              <w:tc>
                <w:tcPr>
                  <w:tcW w:w="5000" w:type="pct"/>
                  <w:shd w:val="clear" w:color="auto" w:fill="auto"/>
                </w:tcPr>
                <w:p w14:paraId="1F6BC4DA" w14:textId="77777777" w:rsidR="009C6940" w:rsidRPr="00EF7969" w:rsidRDefault="009C6940" w:rsidP="009C6940">
                  <w:pPr>
                    <w:pStyle w:val="TableBodyText"/>
                    <w:ind w:right="28"/>
                    <w:jc w:val="left"/>
                  </w:pPr>
                  <w:r w:rsidRPr="00EF7969">
                    <w:t>Call to Mind</w:t>
                  </w:r>
                </w:p>
              </w:tc>
            </w:tr>
            <w:tr w:rsidR="009C6940" w:rsidRPr="00EF7969" w14:paraId="17690EFD" w14:textId="77777777" w:rsidTr="009C6940">
              <w:tc>
                <w:tcPr>
                  <w:tcW w:w="5000" w:type="pct"/>
                  <w:shd w:val="clear" w:color="auto" w:fill="auto"/>
                </w:tcPr>
                <w:p w14:paraId="2F06153A" w14:textId="77777777" w:rsidR="009C6940" w:rsidRPr="00EF7969" w:rsidRDefault="009C6940" w:rsidP="009C6940">
                  <w:pPr>
                    <w:pStyle w:val="TableBodyText"/>
                    <w:ind w:right="28"/>
                    <w:jc w:val="left"/>
                  </w:pPr>
                  <w:r w:rsidRPr="00EF7969">
                    <w:t>Carers Australia</w:t>
                  </w:r>
                </w:p>
              </w:tc>
            </w:tr>
            <w:tr w:rsidR="009C6940" w:rsidRPr="00EF7969" w14:paraId="667E6204" w14:textId="77777777" w:rsidTr="009C6940">
              <w:tc>
                <w:tcPr>
                  <w:tcW w:w="5000" w:type="pct"/>
                  <w:shd w:val="clear" w:color="auto" w:fill="auto"/>
                </w:tcPr>
                <w:p w14:paraId="3470CD3D" w14:textId="77777777" w:rsidR="009C6940" w:rsidRPr="00EF7969" w:rsidRDefault="009C6940" w:rsidP="009C6940">
                  <w:pPr>
                    <w:pStyle w:val="TableBodyText"/>
                    <w:ind w:right="28"/>
                    <w:jc w:val="left"/>
                  </w:pPr>
                  <w:r w:rsidRPr="00EF7969">
                    <w:t>Caroline Johnson</w:t>
                  </w:r>
                </w:p>
              </w:tc>
            </w:tr>
            <w:tr w:rsidR="009C6940" w:rsidRPr="00EF7969" w14:paraId="58F72A7D" w14:textId="77777777" w:rsidTr="009C6940">
              <w:tc>
                <w:tcPr>
                  <w:tcW w:w="5000" w:type="pct"/>
                  <w:shd w:val="clear" w:color="auto" w:fill="auto"/>
                </w:tcPr>
                <w:p w14:paraId="198330E3" w14:textId="77777777" w:rsidR="009C6940" w:rsidRPr="00EF7969" w:rsidRDefault="009C6940" w:rsidP="009C6940">
                  <w:pPr>
                    <w:pStyle w:val="TableBodyText"/>
                    <w:ind w:right="28"/>
                    <w:jc w:val="left"/>
                  </w:pPr>
                  <w:r w:rsidRPr="00EF7969">
                    <w:t>Carolyn Davis</w:t>
                  </w:r>
                </w:p>
              </w:tc>
            </w:tr>
            <w:tr w:rsidR="009C6940" w:rsidRPr="00EF7969" w14:paraId="4F88E661" w14:textId="77777777" w:rsidTr="009C6940">
              <w:tc>
                <w:tcPr>
                  <w:tcW w:w="5000" w:type="pct"/>
                  <w:shd w:val="clear" w:color="auto" w:fill="auto"/>
                </w:tcPr>
                <w:p w14:paraId="1D25D5D4" w14:textId="77777777" w:rsidR="009C6940" w:rsidRPr="00EF7969" w:rsidRDefault="009C6940" w:rsidP="009C6940">
                  <w:pPr>
                    <w:pStyle w:val="TableBodyText"/>
                    <w:ind w:right="28"/>
                    <w:jc w:val="left"/>
                  </w:pPr>
                  <w:r w:rsidRPr="00EF7969">
                    <w:t xml:space="preserve">Cathy Mihalopoulos </w:t>
                  </w:r>
                </w:p>
              </w:tc>
            </w:tr>
            <w:tr w:rsidR="009C6940" w:rsidRPr="00EF7969" w14:paraId="232A7C00" w14:textId="77777777" w:rsidTr="009C6940">
              <w:tc>
                <w:tcPr>
                  <w:tcW w:w="5000" w:type="pct"/>
                  <w:shd w:val="clear" w:color="auto" w:fill="auto"/>
                </w:tcPr>
                <w:p w14:paraId="51FAF233" w14:textId="77777777" w:rsidR="009C6940" w:rsidRPr="00EF7969" w:rsidRDefault="009C6940" w:rsidP="009C6940">
                  <w:pPr>
                    <w:pStyle w:val="TableBodyText"/>
                    <w:ind w:right="28"/>
                    <w:jc w:val="left"/>
                  </w:pPr>
                  <w:r w:rsidRPr="00EF7969">
                    <w:t>Central Australia Health Services</w:t>
                  </w:r>
                </w:p>
              </w:tc>
            </w:tr>
            <w:tr w:rsidR="009C6940" w:rsidRPr="00EF7969" w14:paraId="51604408" w14:textId="77777777" w:rsidTr="009C6940">
              <w:tc>
                <w:tcPr>
                  <w:tcW w:w="5000" w:type="pct"/>
                  <w:shd w:val="clear" w:color="auto" w:fill="auto"/>
                </w:tcPr>
                <w:p w14:paraId="2FE3CDF0" w14:textId="77777777" w:rsidR="009C6940" w:rsidRPr="00EF7969" w:rsidRDefault="009C6940" w:rsidP="009C6940">
                  <w:pPr>
                    <w:pStyle w:val="TableBodyText"/>
                    <w:ind w:right="28"/>
                    <w:jc w:val="left"/>
                  </w:pPr>
                  <w:r w:rsidRPr="00EF7969">
                    <w:t>Central Australian Aboriginal Congress</w:t>
                  </w:r>
                </w:p>
              </w:tc>
            </w:tr>
            <w:tr w:rsidR="009C6940" w:rsidRPr="00EF7969" w14:paraId="394DC01E" w14:textId="77777777" w:rsidTr="009C6940">
              <w:tc>
                <w:tcPr>
                  <w:tcW w:w="5000" w:type="pct"/>
                  <w:shd w:val="clear" w:color="auto" w:fill="auto"/>
                </w:tcPr>
                <w:p w14:paraId="751ECA8F" w14:textId="77777777" w:rsidR="009C6940" w:rsidRPr="00EF7969" w:rsidRDefault="009C6940" w:rsidP="009C6940">
                  <w:pPr>
                    <w:pStyle w:val="TableBodyText"/>
                    <w:ind w:right="28"/>
                    <w:jc w:val="left"/>
                  </w:pPr>
                  <w:r w:rsidRPr="00EF7969">
                    <w:t>Centre for Community Child Health, The Royal Children’s Hospital</w:t>
                  </w:r>
                </w:p>
              </w:tc>
            </w:tr>
            <w:tr w:rsidR="009C6940" w:rsidRPr="00EF7969" w14:paraId="27D921C4" w14:textId="77777777" w:rsidTr="009C6940">
              <w:tc>
                <w:tcPr>
                  <w:tcW w:w="5000" w:type="pct"/>
                  <w:shd w:val="clear" w:color="auto" w:fill="auto"/>
                </w:tcPr>
                <w:p w14:paraId="76D01596" w14:textId="77777777" w:rsidR="009C6940" w:rsidRPr="00EF7969" w:rsidRDefault="009C6940" w:rsidP="009C6940">
                  <w:pPr>
                    <w:pStyle w:val="TableBodyText"/>
                    <w:ind w:right="28"/>
                    <w:jc w:val="left"/>
                  </w:pPr>
                  <w:r w:rsidRPr="00EF7969">
                    <w:t>Centre for Mental Health – Melbourne School of Population and Global Health, University of Melbourne</w:t>
                  </w:r>
                </w:p>
              </w:tc>
            </w:tr>
            <w:tr w:rsidR="009C6940" w:rsidRPr="00EF7969" w14:paraId="70D336C6" w14:textId="77777777" w:rsidTr="009C6940">
              <w:tc>
                <w:tcPr>
                  <w:tcW w:w="5000" w:type="pct"/>
                  <w:shd w:val="clear" w:color="auto" w:fill="auto"/>
                </w:tcPr>
                <w:p w14:paraId="4FF122DC" w14:textId="77777777" w:rsidR="009C6940" w:rsidRPr="00EF7969" w:rsidRDefault="009C6940" w:rsidP="009C6940">
                  <w:pPr>
                    <w:pStyle w:val="TableBodyText"/>
                    <w:ind w:right="28"/>
                    <w:jc w:val="left"/>
                  </w:pPr>
                  <w:r w:rsidRPr="00EF7969">
                    <w:t xml:space="preserve">Chief Psychiatrist for Tasmania </w:t>
                  </w:r>
                </w:p>
              </w:tc>
            </w:tr>
            <w:tr w:rsidR="009C6940" w:rsidRPr="00EF7969" w14:paraId="1ADCADFC" w14:textId="77777777" w:rsidTr="009C6940">
              <w:tc>
                <w:tcPr>
                  <w:tcW w:w="5000" w:type="pct"/>
                  <w:shd w:val="clear" w:color="auto" w:fill="auto"/>
                </w:tcPr>
                <w:p w14:paraId="71E93680" w14:textId="77777777" w:rsidR="009C6940" w:rsidRPr="00EF7969" w:rsidRDefault="009C6940" w:rsidP="009C6940">
                  <w:pPr>
                    <w:pStyle w:val="TableBodyText"/>
                    <w:ind w:right="28"/>
                    <w:jc w:val="left"/>
                  </w:pPr>
                  <w:r w:rsidRPr="00EF7969">
                    <w:t>Child and Adolescent Mental Health Services Tasmania (North West)</w:t>
                  </w:r>
                </w:p>
              </w:tc>
            </w:tr>
            <w:tr w:rsidR="009C6940" w:rsidRPr="00EF7969" w14:paraId="11DB72E7" w14:textId="77777777" w:rsidTr="009C6940">
              <w:tc>
                <w:tcPr>
                  <w:tcW w:w="5000" w:type="pct"/>
                  <w:shd w:val="clear" w:color="auto" w:fill="auto"/>
                </w:tcPr>
                <w:p w14:paraId="1F0B5C2A" w14:textId="77777777" w:rsidR="009C6940" w:rsidRPr="00EF7969" w:rsidRDefault="009C6940" w:rsidP="009C6940">
                  <w:pPr>
                    <w:pStyle w:val="TableBodyText"/>
                    <w:ind w:right="28"/>
                    <w:jc w:val="left"/>
                  </w:pPr>
                  <w:r w:rsidRPr="00EF7969">
                    <w:t>Clinical Research Unit for Anxiety and Depression</w:t>
                  </w:r>
                </w:p>
              </w:tc>
            </w:tr>
            <w:tr w:rsidR="009C6940" w:rsidRPr="00EF7969" w14:paraId="1B273C91" w14:textId="77777777" w:rsidTr="009C6940">
              <w:tc>
                <w:tcPr>
                  <w:tcW w:w="5000" w:type="pct"/>
                  <w:shd w:val="clear" w:color="auto" w:fill="auto"/>
                </w:tcPr>
                <w:p w14:paraId="2AD3D1E0" w14:textId="77777777" w:rsidR="009C6940" w:rsidRPr="00EF7969" w:rsidRDefault="009C6940" w:rsidP="009C6940">
                  <w:pPr>
                    <w:pStyle w:val="TableBodyText"/>
                    <w:ind w:right="28"/>
                    <w:jc w:val="left"/>
                  </w:pPr>
                  <w:r w:rsidRPr="00EF7969">
                    <w:t>Colony47</w:t>
                  </w:r>
                </w:p>
              </w:tc>
            </w:tr>
            <w:tr w:rsidR="009C6940" w:rsidRPr="00EF7969" w14:paraId="2463C968" w14:textId="77777777" w:rsidTr="009C6940">
              <w:tc>
                <w:tcPr>
                  <w:tcW w:w="5000" w:type="pct"/>
                  <w:shd w:val="clear" w:color="auto" w:fill="auto"/>
                </w:tcPr>
                <w:p w14:paraId="4B4B5760" w14:textId="77777777" w:rsidR="009C6940" w:rsidRPr="00EF7969" w:rsidRDefault="009C6940" w:rsidP="009C6940">
                  <w:pPr>
                    <w:pStyle w:val="TableBodyText"/>
                    <w:ind w:right="28"/>
                    <w:jc w:val="left"/>
                  </w:pPr>
                  <w:r w:rsidRPr="00EF7969">
                    <w:t>Consumers Health Forum of Australia</w:t>
                  </w:r>
                </w:p>
              </w:tc>
            </w:tr>
            <w:tr w:rsidR="009C6940" w:rsidRPr="00EF7969" w14:paraId="5C7B0570" w14:textId="77777777" w:rsidTr="009C6940">
              <w:tc>
                <w:tcPr>
                  <w:tcW w:w="5000" w:type="pct"/>
                  <w:shd w:val="clear" w:color="auto" w:fill="auto"/>
                </w:tcPr>
                <w:p w14:paraId="233251DB" w14:textId="77777777" w:rsidR="009C6940" w:rsidRPr="00EF7969" w:rsidRDefault="009C6940" w:rsidP="009C6940">
                  <w:pPr>
                    <w:pStyle w:val="TableBodyText"/>
                    <w:ind w:right="28"/>
                    <w:jc w:val="left"/>
                  </w:pPr>
                  <w:r w:rsidRPr="00EF7969">
                    <w:t>Coordinare (South Eastern Primary Health Network)</w:t>
                  </w:r>
                </w:p>
              </w:tc>
            </w:tr>
          </w:tbl>
          <w:p w14:paraId="768C9371" w14:textId="77777777" w:rsidR="009C6940" w:rsidRPr="00EF7969" w:rsidRDefault="009C6940" w:rsidP="009C6940">
            <w:pPr>
              <w:pStyle w:val="Box"/>
            </w:pPr>
          </w:p>
        </w:tc>
      </w:tr>
      <w:tr w:rsidR="009C6940" w:rsidRPr="00EF7969" w14:paraId="6A6F6B9D" w14:textId="77777777" w:rsidTr="009C6940">
        <w:tc>
          <w:tcPr>
            <w:tcW w:w="5000" w:type="pct"/>
            <w:tcBorders>
              <w:top w:val="nil"/>
              <w:left w:val="nil"/>
              <w:bottom w:val="nil"/>
              <w:right w:val="nil"/>
            </w:tcBorders>
            <w:shd w:val="clear" w:color="auto" w:fill="auto"/>
          </w:tcPr>
          <w:p w14:paraId="714B224A" w14:textId="77777777" w:rsidR="009C6940" w:rsidRPr="00EF7969" w:rsidRDefault="009C6940" w:rsidP="009C6940">
            <w:pPr>
              <w:pStyle w:val="Continued"/>
              <w:spacing w:before="120"/>
            </w:pPr>
            <w:r w:rsidRPr="00EF7969">
              <w:t>(continued next page)</w:t>
            </w:r>
          </w:p>
        </w:tc>
      </w:tr>
      <w:tr w:rsidR="009C6940" w:rsidRPr="00EF7969" w14:paraId="092D22E0" w14:textId="77777777" w:rsidTr="009C6940">
        <w:tc>
          <w:tcPr>
            <w:tcW w:w="5000" w:type="pct"/>
            <w:tcBorders>
              <w:top w:val="nil"/>
              <w:left w:val="nil"/>
              <w:bottom w:val="single" w:sz="6" w:space="0" w:color="78A22F"/>
              <w:right w:val="nil"/>
            </w:tcBorders>
            <w:shd w:val="clear" w:color="auto" w:fill="auto"/>
          </w:tcPr>
          <w:p w14:paraId="4F805441" w14:textId="77777777" w:rsidR="009C6940" w:rsidRPr="00EF7969" w:rsidRDefault="009C6940" w:rsidP="009C6940">
            <w:pPr>
              <w:pStyle w:val="Box"/>
              <w:spacing w:before="0" w:line="120" w:lineRule="exact"/>
            </w:pPr>
          </w:p>
        </w:tc>
      </w:tr>
      <w:tr w:rsidR="009C6940" w:rsidRPr="00EF7969" w14:paraId="3C4AB221" w14:textId="77777777" w:rsidTr="009C6940">
        <w:tc>
          <w:tcPr>
            <w:tcW w:w="5000" w:type="pct"/>
            <w:tcBorders>
              <w:top w:val="single" w:sz="6" w:space="0" w:color="78A22F"/>
              <w:left w:val="nil"/>
              <w:bottom w:val="nil"/>
              <w:right w:val="nil"/>
            </w:tcBorders>
          </w:tcPr>
          <w:p w14:paraId="239F9603" w14:textId="77777777" w:rsidR="009C6940" w:rsidRPr="00EF7969" w:rsidRDefault="009C6940" w:rsidP="009C6940">
            <w:pPr>
              <w:pStyle w:val="BoxSpaceBelow"/>
            </w:pPr>
          </w:p>
        </w:tc>
      </w:tr>
    </w:tbl>
    <w:p w14:paraId="18A068F1"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EF7969" w14:paraId="18AB6F23" w14:textId="77777777" w:rsidTr="009C6940">
        <w:tc>
          <w:tcPr>
            <w:tcW w:w="5000" w:type="pct"/>
            <w:tcBorders>
              <w:top w:val="single" w:sz="6" w:space="0" w:color="78A22F"/>
              <w:left w:val="nil"/>
              <w:bottom w:val="nil"/>
              <w:right w:val="nil"/>
            </w:tcBorders>
            <w:shd w:val="clear" w:color="auto" w:fill="auto"/>
          </w:tcPr>
          <w:p w14:paraId="5CE6ADEE" w14:textId="77777777" w:rsidR="009C6940" w:rsidRPr="00EF7969" w:rsidRDefault="009C6940" w:rsidP="009C6940">
            <w:pPr>
              <w:pStyle w:val="TableTitle"/>
              <w:keepNext w:val="0"/>
              <w:keepLines w:val="0"/>
            </w:pPr>
            <w:r w:rsidRPr="00EF7969">
              <w:rPr>
                <w:b w:val="0"/>
              </w:rPr>
              <w:t xml:space="preserve">Table </w:t>
            </w:r>
            <w:r>
              <w:rPr>
                <w:b w:val="0"/>
              </w:rPr>
              <w:t>B.</w:t>
            </w:r>
            <w:r w:rsidRPr="00EF7969">
              <w:rPr>
                <w:b w:val="0"/>
                <w:noProof/>
              </w:rPr>
              <w:t>3</w:t>
            </w:r>
            <w:r w:rsidRPr="00EF7969">
              <w:tab/>
            </w:r>
            <w:r w:rsidRPr="00EF7969">
              <w:rPr>
                <w:rStyle w:val="Continuedintitle"/>
              </w:rPr>
              <w:t>(continued)</w:t>
            </w:r>
          </w:p>
        </w:tc>
      </w:tr>
      <w:tr w:rsidR="009C6940" w:rsidRPr="00EF7969" w14:paraId="7AE22299" w14:textId="77777777" w:rsidTr="009C6940">
        <w:tc>
          <w:tcPr>
            <w:tcW w:w="5000" w:type="pct"/>
            <w:tcBorders>
              <w:top w:val="nil"/>
              <w:left w:val="nil"/>
              <w:bottom w:val="nil"/>
              <w:right w:val="nil"/>
            </w:tcBorders>
            <w:shd w:val="clear" w:color="auto" w:fill="auto"/>
          </w:tcPr>
          <w:tbl>
            <w:tblPr>
              <w:tblW w:w="5000" w:type="pct"/>
              <w:tblBorders>
                <w:top w:val="single" w:sz="6" w:space="0" w:color="BFBFBF"/>
              </w:tblBorders>
              <w:tblCellMar>
                <w:top w:w="28" w:type="dxa"/>
                <w:left w:w="0" w:type="dxa"/>
                <w:right w:w="0" w:type="dxa"/>
              </w:tblCellMar>
              <w:tblLook w:val="0000" w:firstRow="0" w:lastRow="0" w:firstColumn="0" w:lastColumn="0" w:noHBand="0" w:noVBand="0"/>
            </w:tblPr>
            <w:tblGrid>
              <w:gridCol w:w="8505"/>
            </w:tblGrid>
            <w:tr w:rsidR="009C6940" w:rsidRPr="00EF7969" w14:paraId="5B2C194F" w14:textId="77777777" w:rsidTr="009C6940">
              <w:tc>
                <w:tcPr>
                  <w:tcW w:w="5000" w:type="pct"/>
                </w:tcPr>
                <w:p w14:paraId="03D345DE" w14:textId="77777777" w:rsidR="009C6940" w:rsidRPr="00EF7969" w:rsidRDefault="009C6940" w:rsidP="009C6940">
                  <w:pPr>
                    <w:pStyle w:val="TableBodyText"/>
                    <w:spacing w:before="40"/>
                    <w:jc w:val="left"/>
                  </w:pPr>
                  <w:r w:rsidRPr="00EF7969">
                    <w:t>Darling Downs and West Moreton Primary Health Network</w:t>
                  </w:r>
                </w:p>
              </w:tc>
            </w:tr>
            <w:tr w:rsidR="009C6940" w:rsidRPr="00EF7969" w14:paraId="686DAF61" w14:textId="77777777" w:rsidTr="009C6940">
              <w:tc>
                <w:tcPr>
                  <w:tcW w:w="5000" w:type="pct"/>
                </w:tcPr>
                <w:p w14:paraId="45D3C65D" w14:textId="77777777" w:rsidR="009C6940" w:rsidRPr="00EF7969" w:rsidRDefault="009C6940" w:rsidP="009C6940">
                  <w:pPr>
                    <w:pStyle w:val="TableBodyText"/>
                    <w:jc w:val="left"/>
                  </w:pPr>
                  <w:r w:rsidRPr="00EF7969">
                    <w:t>Darren Coppin</w:t>
                  </w:r>
                </w:p>
              </w:tc>
            </w:tr>
            <w:tr w:rsidR="009C6940" w:rsidRPr="00EF7969" w14:paraId="12A95987" w14:textId="77777777" w:rsidTr="009C6940">
              <w:tc>
                <w:tcPr>
                  <w:tcW w:w="5000" w:type="pct"/>
                </w:tcPr>
                <w:p w14:paraId="52EE1506" w14:textId="77777777" w:rsidR="009C6940" w:rsidRPr="00EF7969" w:rsidRDefault="009C6940" w:rsidP="009C6940">
                  <w:pPr>
                    <w:pStyle w:val="TableBodyText"/>
                    <w:jc w:val="left"/>
                  </w:pPr>
                  <w:r w:rsidRPr="00EF7969">
                    <w:t>David Butt</w:t>
                  </w:r>
                </w:p>
              </w:tc>
            </w:tr>
            <w:tr w:rsidR="009C6940" w:rsidRPr="00EF7969" w14:paraId="71AC0DBB" w14:textId="77777777" w:rsidTr="009C6940">
              <w:tc>
                <w:tcPr>
                  <w:tcW w:w="5000" w:type="pct"/>
                </w:tcPr>
                <w:p w14:paraId="05DC5B6D" w14:textId="77777777" w:rsidR="009C6940" w:rsidRPr="00EF7969" w:rsidRDefault="009C6940" w:rsidP="009C6940">
                  <w:pPr>
                    <w:pStyle w:val="TableBodyText"/>
                    <w:jc w:val="left"/>
                  </w:pPr>
                  <w:r w:rsidRPr="00EF7969">
                    <w:t>Delmont Private Psychiatric Hospital</w:t>
                  </w:r>
                </w:p>
              </w:tc>
            </w:tr>
            <w:tr w:rsidR="009C6940" w:rsidRPr="00EF7969" w14:paraId="06F165E2" w14:textId="77777777" w:rsidTr="009C6940">
              <w:tc>
                <w:tcPr>
                  <w:tcW w:w="5000" w:type="pct"/>
                </w:tcPr>
                <w:p w14:paraId="7097B46B" w14:textId="77777777" w:rsidR="009C6940" w:rsidRPr="00EF7969" w:rsidRDefault="009C6940" w:rsidP="009C6940">
                  <w:pPr>
                    <w:pStyle w:val="TableBodyText"/>
                    <w:jc w:val="left"/>
                  </w:pPr>
                  <w:r w:rsidRPr="00EF7969">
                    <w:t>Directors of Student Services of Australia and New Zealand</w:t>
                  </w:r>
                </w:p>
              </w:tc>
            </w:tr>
            <w:tr w:rsidR="009C6940" w:rsidRPr="00EF7969" w14:paraId="6CB26228" w14:textId="77777777" w:rsidTr="009C6940">
              <w:tc>
                <w:tcPr>
                  <w:tcW w:w="5000" w:type="pct"/>
                </w:tcPr>
                <w:p w14:paraId="75DE5010" w14:textId="77777777" w:rsidR="009C6940" w:rsidRPr="00EF7969" w:rsidRDefault="009C6940" w:rsidP="009C6940">
                  <w:pPr>
                    <w:pStyle w:val="TableBodyText"/>
                    <w:jc w:val="left"/>
                  </w:pPr>
                  <w:r w:rsidRPr="00EF7969">
                    <w:t>Disability Advocacy Service</w:t>
                  </w:r>
                </w:p>
              </w:tc>
            </w:tr>
            <w:tr w:rsidR="009C6940" w:rsidRPr="00EF7969" w14:paraId="69324CCE" w14:textId="77777777" w:rsidTr="009C6940">
              <w:tc>
                <w:tcPr>
                  <w:tcW w:w="5000" w:type="pct"/>
                </w:tcPr>
                <w:p w14:paraId="126C8B8D" w14:textId="77777777" w:rsidR="009C6940" w:rsidRPr="00EF7969" w:rsidRDefault="009C6940" w:rsidP="009C6940">
                  <w:pPr>
                    <w:pStyle w:val="TableBodyText"/>
                    <w:jc w:val="left"/>
                  </w:pPr>
                  <w:r w:rsidRPr="00EF7969">
                    <w:t>Edward Koch Foundation</w:t>
                  </w:r>
                </w:p>
              </w:tc>
            </w:tr>
            <w:tr w:rsidR="009C6940" w:rsidRPr="00EF7969" w14:paraId="66625D79" w14:textId="77777777" w:rsidTr="009C6940">
              <w:tc>
                <w:tcPr>
                  <w:tcW w:w="5000" w:type="pct"/>
                </w:tcPr>
                <w:p w14:paraId="49B95799" w14:textId="77777777" w:rsidR="009C6940" w:rsidRPr="00EF7969" w:rsidRDefault="009C6940" w:rsidP="009C6940">
                  <w:pPr>
                    <w:pStyle w:val="TableBodyText"/>
                    <w:jc w:val="left"/>
                  </w:pPr>
                  <w:r w:rsidRPr="00EF7969">
                    <w:t xml:space="preserve">Eileen Baldry </w:t>
                  </w:r>
                </w:p>
              </w:tc>
            </w:tr>
            <w:tr w:rsidR="009C6940" w:rsidRPr="00EF7969" w14:paraId="782A42E2" w14:textId="77777777" w:rsidTr="009C6940">
              <w:tc>
                <w:tcPr>
                  <w:tcW w:w="5000" w:type="pct"/>
                </w:tcPr>
                <w:p w14:paraId="66A8E371" w14:textId="77777777" w:rsidR="009C6940" w:rsidRPr="00EF7969" w:rsidRDefault="009C6940" w:rsidP="009C6940">
                  <w:pPr>
                    <w:pStyle w:val="TableBodyText"/>
                    <w:jc w:val="left"/>
                  </w:pPr>
                  <w:r w:rsidRPr="00EF7969">
                    <w:t>Emma Donaldson</w:t>
                  </w:r>
                </w:p>
              </w:tc>
            </w:tr>
            <w:tr w:rsidR="009C6940" w:rsidRPr="00EF7969" w14:paraId="3A4896AB" w14:textId="77777777" w:rsidTr="009C6940">
              <w:tc>
                <w:tcPr>
                  <w:tcW w:w="5000" w:type="pct"/>
                </w:tcPr>
                <w:p w14:paraId="0854DA55" w14:textId="77777777" w:rsidR="009C6940" w:rsidRPr="00EF7969" w:rsidRDefault="009C6940" w:rsidP="009C6940">
                  <w:pPr>
                    <w:pStyle w:val="TableBodyText"/>
                    <w:jc w:val="left"/>
                  </w:pPr>
                  <w:r w:rsidRPr="00EF7969">
                    <w:t>Education First Youth Foyer</w:t>
                  </w:r>
                </w:p>
              </w:tc>
            </w:tr>
            <w:tr w:rsidR="009C6940" w:rsidRPr="00EF7969" w14:paraId="6EB5AE61" w14:textId="77777777" w:rsidTr="009C6940">
              <w:tc>
                <w:tcPr>
                  <w:tcW w:w="5000" w:type="pct"/>
                </w:tcPr>
                <w:p w14:paraId="0DC8E2E9" w14:textId="77777777" w:rsidR="009C6940" w:rsidRPr="00EF7969" w:rsidRDefault="009C6940" w:rsidP="009C6940">
                  <w:pPr>
                    <w:pStyle w:val="TableBodyText"/>
                    <w:jc w:val="left"/>
                  </w:pPr>
                  <w:r w:rsidRPr="00EF7969">
                    <w:t>Eo</w:t>
                  </w:r>
                  <w:r>
                    <w:t>i</w:t>
                  </w:r>
                  <w:r w:rsidRPr="00EF7969">
                    <w:t>n Killackey</w:t>
                  </w:r>
                </w:p>
              </w:tc>
            </w:tr>
            <w:tr w:rsidR="009C6940" w:rsidRPr="00EF7969" w14:paraId="65D03A6D" w14:textId="77777777" w:rsidTr="009C6940">
              <w:tc>
                <w:tcPr>
                  <w:tcW w:w="5000" w:type="pct"/>
                </w:tcPr>
                <w:p w14:paraId="4AEF9FBF" w14:textId="77777777" w:rsidR="009C6940" w:rsidRPr="00EF7969" w:rsidRDefault="009C6940" w:rsidP="009C6940">
                  <w:pPr>
                    <w:pStyle w:val="TableBodyText"/>
                    <w:jc w:val="left"/>
                  </w:pPr>
                  <w:r w:rsidRPr="00EF7969">
                    <w:t>eOrygen</w:t>
                  </w:r>
                </w:p>
              </w:tc>
            </w:tr>
            <w:tr w:rsidR="009C6940" w:rsidRPr="00EF7969" w14:paraId="3D76BB0A" w14:textId="77777777" w:rsidTr="009C6940">
              <w:tc>
                <w:tcPr>
                  <w:tcW w:w="5000" w:type="pct"/>
                </w:tcPr>
                <w:p w14:paraId="005E51DA" w14:textId="77777777" w:rsidR="009C6940" w:rsidRPr="00EF7969" w:rsidRDefault="009C6940" w:rsidP="009C6940">
                  <w:pPr>
                    <w:pStyle w:val="TableBodyText"/>
                    <w:jc w:val="left"/>
                  </w:pPr>
                  <w:r w:rsidRPr="00EF7969">
                    <w:t>Evaluate Consulting Pty Ltd</w:t>
                  </w:r>
                </w:p>
              </w:tc>
            </w:tr>
            <w:tr w:rsidR="009C6940" w:rsidRPr="00EF7969" w14:paraId="7CBCAD94" w14:textId="77777777" w:rsidTr="009C6940">
              <w:tc>
                <w:tcPr>
                  <w:tcW w:w="5000" w:type="pct"/>
                </w:tcPr>
                <w:p w14:paraId="0EF233DF" w14:textId="77777777" w:rsidR="009C6940" w:rsidRPr="00EF7969" w:rsidRDefault="009C6940" w:rsidP="009C6940">
                  <w:pPr>
                    <w:pStyle w:val="TableBodyText"/>
                    <w:jc w:val="left"/>
                  </w:pPr>
                  <w:r w:rsidRPr="00EF7969">
                    <w:t>Everymind</w:t>
                  </w:r>
                </w:p>
              </w:tc>
            </w:tr>
            <w:tr w:rsidR="009C6940" w:rsidRPr="00EF7969" w14:paraId="7B17715B" w14:textId="77777777" w:rsidTr="009C6940">
              <w:tc>
                <w:tcPr>
                  <w:tcW w:w="5000" w:type="pct"/>
                </w:tcPr>
                <w:p w14:paraId="6D5BF01D" w14:textId="77777777" w:rsidR="009C6940" w:rsidRPr="00EF7969" w:rsidRDefault="009C6940" w:rsidP="009C6940">
                  <w:pPr>
                    <w:pStyle w:val="TableBodyText"/>
                    <w:jc w:val="left"/>
                  </w:pPr>
                  <w:r w:rsidRPr="00EF7969">
                    <w:t>Faculty of Education and Arts, University of Newcastle</w:t>
                  </w:r>
                </w:p>
              </w:tc>
            </w:tr>
            <w:tr w:rsidR="009C6940" w:rsidRPr="00EF7969" w14:paraId="2B774454" w14:textId="77777777" w:rsidTr="009C6940">
              <w:tc>
                <w:tcPr>
                  <w:tcW w:w="5000" w:type="pct"/>
                </w:tcPr>
                <w:p w14:paraId="4D64B4C2" w14:textId="77777777" w:rsidR="009C6940" w:rsidRPr="00EF7969" w:rsidRDefault="009C6940" w:rsidP="009C6940">
                  <w:pPr>
                    <w:pStyle w:val="TableBodyText"/>
                    <w:jc w:val="left"/>
                  </w:pPr>
                  <w:r w:rsidRPr="00EF7969">
                    <w:t>Forensicare</w:t>
                  </w:r>
                </w:p>
              </w:tc>
            </w:tr>
            <w:tr w:rsidR="009C6940" w:rsidRPr="00EF7969" w14:paraId="223B3AF8" w14:textId="77777777" w:rsidTr="009C6940">
              <w:tc>
                <w:tcPr>
                  <w:tcW w:w="5000" w:type="pct"/>
                  <w:shd w:val="clear" w:color="auto" w:fill="auto"/>
                </w:tcPr>
                <w:p w14:paraId="198519CB" w14:textId="77777777" w:rsidR="009C6940" w:rsidRPr="00EF7969" w:rsidRDefault="009C6940" w:rsidP="009C6940">
                  <w:pPr>
                    <w:pStyle w:val="TableBodyText"/>
                    <w:jc w:val="left"/>
                  </w:pPr>
                  <w:r w:rsidRPr="00EF7969">
                    <w:t>Foyer Oxford</w:t>
                  </w:r>
                </w:p>
              </w:tc>
            </w:tr>
            <w:tr w:rsidR="009C6940" w:rsidRPr="00EF7969" w14:paraId="4426DCCA" w14:textId="77777777" w:rsidTr="009C6940">
              <w:tc>
                <w:tcPr>
                  <w:tcW w:w="5000" w:type="pct"/>
                  <w:shd w:val="clear" w:color="auto" w:fill="auto"/>
                </w:tcPr>
                <w:p w14:paraId="5551F4BD" w14:textId="77777777" w:rsidR="009C6940" w:rsidRPr="00EF7969" w:rsidRDefault="009C6940" w:rsidP="009C6940">
                  <w:pPr>
                    <w:pStyle w:val="TableBodyText"/>
                    <w:jc w:val="left"/>
                  </w:pPr>
                  <w:r w:rsidRPr="00EF7969">
                    <w:t>Gateway Health</w:t>
                  </w:r>
                </w:p>
              </w:tc>
            </w:tr>
            <w:tr w:rsidR="009C6940" w:rsidRPr="00EF7969" w14:paraId="34D89772" w14:textId="77777777" w:rsidTr="009C6940">
              <w:tc>
                <w:tcPr>
                  <w:tcW w:w="5000" w:type="pct"/>
                  <w:shd w:val="clear" w:color="auto" w:fill="auto"/>
                </w:tcPr>
                <w:p w14:paraId="21F0FAF7" w14:textId="77777777" w:rsidR="009C6940" w:rsidRPr="00EF7969" w:rsidRDefault="009C6940" w:rsidP="009C6940">
                  <w:pPr>
                    <w:pStyle w:val="TableBodyText"/>
                    <w:jc w:val="left"/>
                  </w:pPr>
                  <w:r w:rsidRPr="00EF7969">
                    <w:t>Gelnunga International High School (Wendy Johnson)</w:t>
                  </w:r>
                </w:p>
              </w:tc>
            </w:tr>
            <w:tr w:rsidR="009C6940" w:rsidRPr="00EF7969" w14:paraId="70F1FFB6" w14:textId="77777777" w:rsidTr="009C6940">
              <w:tc>
                <w:tcPr>
                  <w:tcW w:w="5000" w:type="pct"/>
                  <w:shd w:val="clear" w:color="auto" w:fill="auto"/>
                </w:tcPr>
                <w:p w14:paraId="7436AF5A" w14:textId="77777777" w:rsidR="009C6940" w:rsidRPr="00EF7969" w:rsidRDefault="009C6940" w:rsidP="009C6940">
                  <w:pPr>
                    <w:pStyle w:val="TableBodyText"/>
                    <w:ind w:right="28"/>
                    <w:jc w:val="left"/>
                  </w:pPr>
                  <w:r w:rsidRPr="00EF7969">
                    <w:t>Genia Janover</w:t>
                  </w:r>
                </w:p>
              </w:tc>
            </w:tr>
            <w:tr w:rsidR="009C6940" w:rsidRPr="00EF7969" w14:paraId="08D35E07" w14:textId="77777777" w:rsidTr="009C6940">
              <w:tc>
                <w:tcPr>
                  <w:tcW w:w="5000" w:type="pct"/>
                  <w:shd w:val="clear" w:color="auto" w:fill="auto"/>
                </w:tcPr>
                <w:p w14:paraId="0EEBD83D" w14:textId="77777777" w:rsidR="009C6940" w:rsidRPr="00EF7969" w:rsidRDefault="009C6940" w:rsidP="009C6940">
                  <w:pPr>
                    <w:pStyle w:val="TableBodyText"/>
                    <w:ind w:right="28"/>
                    <w:jc w:val="left"/>
                  </w:pPr>
                  <w:r w:rsidRPr="00EF7969">
                    <w:t>Geoff Waghorn</w:t>
                  </w:r>
                </w:p>
              </w:tc>
            </w:tr>
            <w:tr w:rsidR="009C6940" w:rsidRPr="00EF7969" w14:paraId="13F5D5DD" w14:textId="77777777" w:rsidTr="009C6940">
              <w:tc>
                <w:tcPr>
                  <w:tcW w:w="5000" w:type="pct"/>
                  <w:shd w:val="clear" w:color="auto" w:fill="auto"/>
                </w:tcPr>
                <w:p w14:paraId="2FCAD90F" w14:textId="77777777" w:rsidR="009C6940" w:rsidRPr="00EF7969" w:rsidRDefault="009C6940" w:rsidP="009C6940">
                  <w:pPr>
                    <w:pStyle w:val="TableBodyText"/>
                    <w:ind w:right="28"/>
                    <w:jc w:val="left"/>
                  </w:pPr>
                  <w:r w:rsidRPr="00EF7969">
                    <w:t>Gippsland Primary Health Network</w:t>
                  </w:r>
                </w:p>
              </w:tc>
            </w:tr>
            <w:tr w:rsidR="009C6940" w:rsidRPr="00EF7969" w14:paraId="60646E9E" w14:textId="77777777" w:rsidTr="009C6940">
              <w:tc>
                <w:tcPr>
                  <w:tcW w:w="5000" w:type="pct"/>
                  <w:shd w:val="clear" w:color="auto" w:fill="auto"/>
                </w:tcPr>
                <w:p w14:paraId="591A48B7" w14:textId="77777777" w:rsidR="009C6940" w:rsidRPr="00EF7969" w:rsidRDefault="009C6940" w:rsidP="009C6940">
                  <w:pPr>
                    <w:pStyle w:val="TableBodyText"/>
                    <w:ind w:right="28"/>
                    <w:jc w:val="left"/>
                  </w:pPr>
                  <w:r w:rsidRPr="00EF7969">
                    <w:t xml:space="preserve">Grand Pacific Health </w:t>
                  </w:r>
                </w:p>
              </w:tc>
            </w:tr>
            <w:tr w:rsidR="009C6940" w:rsidRPr="00EF7969" w14:paraId="4C695CD2" w14:textId="77777777" w:rsidTr="009C6940">
              <w:tc>
                <w:tcPr>
                  <w:tcW w:w="5000" w:type="pct"/>
                  <w:shd w:val="clear" w:color="auto" w:fill="auto"/>
                </w:tcPr>
                <w:p w14:paraId="07F490F3" w14:textId="77777777" w:rsidR="009C6940" w:rsidRPr="00EF7969" w:rsidRDefault="009C6940" w:rsidP="009C6940">
                  <w:pPr>
                    <w:pStyle w:val="TableBodyText"/>
                    <w:ind w:right="28"/>
                    <w:jc w:val="left"/>
                  </w:pPr>
                  <w:r w:rsidRPr="00EF7969">
                    <w:t>Grant Sara</w:t>
                  </w:r>
                </w:p>
              </w:tc>
            </w:tr>
            <w:tr w:rsidR="009C6940" w:rsidRPr="00EF7969" w14:paraId="7878BB1E" w14:textId="77777777" w:rsidTr="009C6940">
              <w:tc>
                <w:tcPr>
                  <w:tcW w:w="5000" w:type="pct"/>
                  <w:shd w:val="clear" w:color="auto" w:fill="auto"/>
                </w:tcPr>
                <w:p w14:paraId="011AB404" w14:textId="77777777" w:rsidR="009C6940" w:rsidRPr="00EF7969" w:rsidRDefault="009C6940" w:rsidP="009C6940">
                  <w:pPr>
                    <w:pStyle w:val="TableBodyText"/>
                    <w:ind w:right="28"/>
                    <w:jc w:val="left"/>
                  </w:pPr>
                  <w:r>
                    <w:t>Grattan Institute</w:t>
                  </w:r>
                </w:p>
              </w:tc>
            </w:tr>
            <w:tr w:rsidR="009C6940" w:rsidRPr="00EF7969" w14:paraId="44317A69" w14:textId="77777777" w:rsidTr="009C6940">
              <w:tc>
                <w:tcPr>
                  <w:tcW w:w="5000" w:type="pct"/>
                  <w:shd w:val="clear" w:color="auto" w:fill="auto"/>
                </w:tcPr>
                <w:p w14:paraId="4AAF5A8C" w14:textId="77777777" w:rsidR="009C6940" w:rsidRPr="00EF7969" w:rsidRDefault="009C6940" w:rsidP="009C6940">
                  <w:pPr>
                    <w:pStyle w:val="TableBodyText"/>
                    <w:ind w:right="28"/>
                    <w:jc w:val="left"/>
                  </w:pPr>
                  <w:r w:rsidRPr="00EF7969">
                    <w:t>HC Innovations</w:t>
                  </w:r>
                </w:p>
              </w:tc>
            </w:tr>
            <w:tr w:rsidR="009C6940" w:rsidRPr="00EF7969" w14:paraId="4A9AA059" w14:textId="77777777" w:rsidTr="009C6940">
              <w:tc>
                <w:tcPr>
                  <w:tcW w:w="5000" w:type="pct"/>
                  <w:shd w:val="clear" w:color="auto" w:fill="auto"/>
                </w:tcPr>
                <w:p w14:paraId="3931E7E9" w14:textId="77777777" w:rsidR="009C6940" w:rsidRPr="00EF7969" w:rsidRDefault="009C6940" w:rsidP="009C6940">
                  <w:pPr>
                    <w:pStyle w:val="TableBodyText"/>
                    <w:ind w:right="28"/>
                    <w:jc w:val="left"/>
                  </w:pPr>
                  <w:r w:rsidRPr="00EF7969">
                    <w:t>headspace</w:t>
                  </w:r>
                </w:p>
              </w:tc>
            </w:tr>
            <w:tr w:rsidR="009C6940" w:rsidRPr="00EF7969" w14:paraId="72CB5351" w14:textId="77777777" w:rsidTr="009C6940">
              <w:tc>
                <w:tcPr>
                  <w:tcW w:w="5000" w:type="pct"/>
                  <w:shd w:val="clear" w:color="auto" w:fill="auto"/>
                </w:tcPr>
                <w:p w14:paraId="290653D8" w14:textId="77777777" w:rsidR="009C6940" w:rsidRPr="00EF7969" w:rsidRDefault="009C6940" w:rsidP="009C6940">
                  <w:pPr>
                    <w:pStyle w:val="TableBodyText"/>
                    <w:ind w:right="28"/>
                    <w:jc w:val="left"/>
                  </w:pPr>
                  <w:r w:rsidRPr="00EF7969">
                    <w:t>headspace Toowoomba</w:t>
                  </w:r>
                </w:p>
              </w:tc>
            </w:tr>
            <w:tr w:rsidR="009C6940" w:rsidRPr="00EF7969" w14:paraId="57CE868B" w14:textId="77777777" w:rsidTr="009C6940">
              <w:tc>
                <w:tcPr>
                  <w:tcW w:w="5000" w:type="pct"/>
                  <w:shd w:val="clear" w:color="auto" w:fill="auto"/>
                </w:tcPr>
                <w:p w14:paraId="7D48400F" w14:textId="77777777" w:rsidR="009C6940" w:rsidRPr="00EF7969" w:rsidRDefault="009C6940" w:rsidP="009C6940">
                  <w:pPr>
                    <w:pStyle w:val="TableBodyText"/>
                    <w:ind w:right="28"/>
                    <w:jc w:val="left"/>
                  </w:pPr>
                  <w:r w:rsidRPr="00EF7969">
                    <w:t>headspace Wollongong</w:t>
                  </w:r>
                </w:p>
              </w:tc>
            </w:tr>
            <w:tr w:rsidR="009C6940" w:rsidRPr="00EF7969" w14:paraId="5D1EFFCE" w14:textId="77777777" w:rsidTr="009C6940">
              <w:tc>
                <w:tcPr>
                  <w:tcW w:w="5000" w:type="pct"/>
                  <w:shd w:val="clear" w:color="auto" w:fill="auto"/>
                </w:tcPr>
                <w:p w14:paraId="290C6F85" w14:textId="77777777" w:rsidR="009C6940" w:rsidRPr="00EF7969" w:rsidRDefault="009C6940" w:rsidP="009C6940">
                  <w:pPr>
                    <w:pStyle w:val="TableBodyText"/>
                    <w:ind w:right="28"/>
                    <w:jc w:val="left"/>
                  </w:pPr>
                  <w:r w:rsidRPr="00EF7969">
                    <w:t>Healing Foundation</w:t>
                  </w:r>
                </w:p>
              </w:tc>
            </w:tr>
            <w:tr w:rsidR="009C6940" w:rsidRPr="00EF7969" w14:paraId="3AC06D30" w14:textId="77777777" w:rsidTr="009C6940">
              <w:tc>
                <w:tcPr>
                  <w:tcW w:w="5000" w:type="pct"/>
                  <w:shd w:val="clear" w:color="auto" w:fill="auto"/>
                </w:tcPr>
                <w:p w14:paraId="09486E69" w14:textId="77777777" w:rsidR="009C6940" w:rsidRPr="00EF7969" w:rsidRDefault="009C6940" w:rsidP="009C6940">
                  <w:pPr>
                    <w:pStyle w:val="TableBodyText"/>
                    <w:ind w:right="28"/>
                    <w:jc w:val="left"/>
                  </w:pPr>
                  <w:r w:rsidRPr="00EF7969">
                    <w:t>Helen Milroy</w:t>
                  </w:r>
                </w:p>
              </w:tc>
            </w:tr>
            <w:tr w:rsidR="009C6940" w:rsidRPr="00EF7969" w14:paraId="705380AB" w14:textId="77777777" w:rsidTr="009C6940">
              <w:tc>
                <w:tcPr>
                  <w:tcW w:w="5000" w:type="pct"/>
                  <w:shd w:val="clear" w:color="auto" w:fill="auto"/>
                </w:tcPr>
                <w:p w14:paraId="0329A960" w14:textId="77777777" w:rsidR="009C6940" w:rsidRPr="00EF7969" w:rsidRDefault="009C6940" w:rsidP="009C6940">
                  <w:pPr>
                    <w:pStyle w:val="TableBodyText"/>
                    <w:ind w:right="28"/>
                    <w:jc w:val="left"/>
                  </w:pPr>
                  <w:r w:rsidRPr="00EF7969">
                    <w:t>Henry Cutler</w:t>
                  </w:r>
                </w:p>
              </w:tc>
            </w:tr>
            <w:tr w:rsidR="009C6940" w:rsidRPr="00EF7969" w14:paraId="091F4DC8" w14:textId="77777777" w:rsidTr="009C6940">
              <w:tc>
                <w:tcPr>
                  <w:tcW w:w="5000" w:type="pct"/>
                  <w:shd w:val="clear" w:color="auto" w:fill="auto"/>
                </w:tcPr>
                <w:p w14:paraId="4E7C1430" w14:textId="77777777" w:rsidR="009C6940" w:rsidRPr="00EF7969" w:rsidRDefault="009C6940" w:rsidP="009C6940">
                  <w:pPr>
                    <w:pStyle w:val="TableBodyText"/>
                    <w:ind w:right="28"/>
                    <w:jc w:val="left"/>
                  </w:pPr>
                  <w:r w:rsidRPr="00EF7969">
                    <w:t>Illawarra Shoalhaven Local Health District</w:t>
                  </w:r>
                </w:p>
              </w:tc>
            </w:tr>
            <w:tr w:rsidR="009C6940" w:rsidRPr="00EF7969" w14:paraId="0869F0CF" w14:textId="77777777" w:rsidTr="009C6940">
              <w:tc>
                <w:tcPr>
                  <w:tcW w:w="5000" w:type="pct"/>
                  <w:shd w:val="clear" w:color="auto" w:fill="auto"/>
                </w:tcPr>
                <w:p w14:paraId="10F7AB0E" w14:textId="77777777" w:rsidR="009C6940" w:rsidRPr="00EF7969" w:rsidRDefault="009C6940" w:rsidP="009C6940">
                  <w:pPr>
                    <w:pStyle w:val="TableBodyText"/>
                    <w:ind w:right="28"/>
                    <w:jc w:val="left"/>
                  </w:pPr>
                  <w:r w:rsidRPr="00EF7969">
                    <w:t>Independent Higher Education Australia</w:t>
                  </w:r>
                </w:p>
              </w:tc>
            </w:tr>
            <w:tr w:rsidR="009C6940" w:rsidRPr="00EF7969" w14:paraId="5B98C548" w14:textId="77777777" w:rsidTr="009C6940">
              <w:tc>
                <w:tcPr>
                  <w:tcW w:w="5000" w:type="pct"/>
                  <w:shd w:val="clear" w:color="auto" w:fill="auto"/>
                </w:tcPr>
                <w:p w14:paraId="6347FBEE" w14:textId="77777777" w:rsidR="009C6940" w:rsidRPr="00EF7969" w:rsidRDefault="009C6940" w:rsidP="009C6940">
                  <w:pPr>
                    <w:pStyle w:val="TableBodyText"/>
                    <w:ind w:right="28"/>
                    <w:jc w:val="left"/>
                  </w:pPr>
                  <w:r w:rsidRPr="00EF7969">
                    <w:t>Independent Hospital Pricing Authority</w:t>
                  </w:r>
                </w:p>
              </w:tc>
            </w:tr>
            <w:tr w:rsidR="009C6940" w:rsidRPr="00EF7969" w14:paraId="268F7318" w14:textId="77777777" w:rsidTr="009C6940">
              <w:tc>
                <w:tcPr>
                  <w:tcW w:w="5000" w:type="pct"/>
                  <w:shd w:val="clear" w:color="auto" w:fill="auto"/>
                </w:tcPr>
                <w:p w14:paraId="0ED5439C" w14:textId="77777777" w:rsidR="009C6940" w:rsidRPr="00EF7969" w:rsidRDefault="009C6940" w:rsidP="009C6940">
                  <w:pPr>
                    <w:pStyle w:val="TableBodyText"/>
                    <w:ind w:right="28"/>
                    <w:jc w:val="left"/>
                  </w:pPr>
                  <w:r w:rsidRPr="00EF7969">
                    <w:t>Institute of Clinical Psychologists</w:t>
                  </w:r>
                </w:p>
              </w:tc>
            </w:tr>
            <w:tr w:rsidR="009C6940" w:rsidRPr="00EF7969" w14:paraId="570C941E" w14:textId="77777777" w:rsidTr="009C6940">
              <w:tc>
                <w:tcPr>
                  <w:tcW w:w="5000" w:type="pct"/>
                  <w:shd w:val="clear" w:color="auto" w:fill="auto"/>
                </w:tcPr>
                <w:p w14:paraId="683F14C4" w14:textId="77777777" w:rsidR="009C6940" w:rsidRPr="00EF7969" w:rsidRDefault="009C6940" w:rsidP="009C6940">
                  <w:pPr>
                    <w:pStyle w:val="TableBodyText"/>
                    <w:ind w:right="28"/>
                    <w:jc w:val="left"/>
                  </w:pPr>
                  <w:r w:rsidRPr="00EF7969">
                    <w:t>Intensive Family Parenting Services</w:t>
                  </w:r>
                </w:p>
              </w:tc>
            </w:tr>
            <w:tr w:rsidR="009C6940" w:rsidRPr="00EF7969" w14:paraId="15E03FD6" w14:textId="77777777" w:rsidTr="009C6940">
              <w:tc>
                <w:tcPr>
                  <w:tcW w:w="5000" w:type="pct"/>
                  <w:shd w:val="clear" w:color="auto" w:fill="auto"/>
                </w:tcPr>
                <w:p w14:paraId="189B38D7" w14:textId="77777777" w:rsidR="009C6940" w:rsidRPr="00EF7969" w:rsidRDefault="009C6940" w:rsidP="009C6940">
                  <w:pPr>
                    <w:pStyle w:val="TableBodyText"/>
                    <w:ind w:right="28"/>
                    <w:jc w:val="left"/>
                  </w:pPr>
                  <w:r w:rsidRPr="00EF7969">
                    <w:t>Jacinta Hawgood – Australian Institute for Suicide Research and Prevention</w:t>
                  </w:r>
                </w:p>
              </w:tc>
            </w:tr>
            <w:tr w:rsidR="009C6940" w:rsidRPr="00EF7969" w14:paraId="6038EF54" w14:textId="77777777" w:rsidTr="009C6940">
              <w:tc>
                <w:tcPr>
                  <w:tcW w:w="5000" w:type="pct"/>
                  <w:shd w:val="clear" w:color="auto" w:fill="auto"/>
                </w:tcPr>
                <w:p w14:paraId="56FDC344" w14:textId="77777777" w:rsidR="009C6940" w:rsidRPr="00EF7969" w:rsidRDefault="009C6940" w:rsidP="009C6940">
                  <w:pPr>
                    <w:pStyle w:val="TableBodyText"/>
                    <w:ind w:right="28"/>
                    <w:jc w:val="left"/>
                  </w:pPr>
                  <w:r w:rsidRPr="00EF7969">
                    <w:t>James Ibrahim</w:t>
                  </w:r>
                </w:p>
              </w:tc>
            </w:tr>
            <w:tr w:rsidR="009C6940" w:rsidRPr="00EF7969" w14:paraId="21525DE5" w14:textId="77777777" w:rsidTr="009C6940">
              <w:tc>
                <w:tcPr>
                  <w:tcW w:w="5000" w:type="pct"/>
                  <w:shd w:val="clear" w:color="auto" w:fill="auto"/>
                </w:tcPr>
                <w:p w14:paraId="03424B60" w14:textId="77777777" w:rsidR="009C6940" w:rsidRPr="00EF7969" w:rsidRDefault="009C6940" w:rsidP="009C6940">
                  <w:pPr>
                    <w:pStyle w:val="TableBodyText"/>
                    <w:ind w:right="28"/>
                    <w:jc w:val="left"/>
                  </w:pPr>
                  <w:r w:rsidRPr="00EF7969">
                    <w:t>James Ogloff</w:t>
                  </w:r>
                </w:p>
              </w:tc>
            </w:tr>
            <w:tr w:rsidR="009C6940" w:rsidRPr="00EF7969" w14:paraId="53FE4113" w14:textId="77777777" w:rsidTr="009C6940">
              <w:tc>
                <w:tcPr>
                  <w:tcW w:w="5000" w:type="pct"/>
                  <w:shd w:val="clear" w:color="auto" w:fill="auto"/>
                </w:tcPr>
                <w:p w14:paraId="6FE8E0A0" w14:textId="77777777" w:rsidR="009C6940" w:rsidRPr="00EF7969" w:rsidRDefault="009C6940" w:rsidP="009C6940">
                  <w:pPr>
                    <w:pStyle w:val="TableBodyText"/>
                    <w:ind w:right="28"/>
                    <w:jc w:val="left"/>
                  </w:pPr>
                  <w:r w:rsidRPr="00EF7969">
                    <w:t>Jane Gunn</w:t>
                  </w:r>
                </w:p>
              </w:tc>
            </w:tr>
            <w:tr w:rsidR="009C6940" w:rsidRPr="00EF7969" w14:paraId="6F39D76A" w14:textId="77777777" w:rsidTr="009C6940">
              <w:tc>
                <w:tcPr>
                  <w:tcW w:w="5000" w:type="pct"/>
                  <w:shd w:val="clear" w:color="auto" w:fill="auto"/>
                </w:tcPr>
                <w:p w14:paraId="5C1365EB" w14:textId="77777777" w:rsidR="009C6940" w:rsidRPr="00EF7969" w:rsidRDefault="009C6940" w:rsidP="009C6940">
                  <w:pPr>
                    <w:pStyle w:val="TableBodyText"/>
                    <w:ind w:right="28"/>
                    <w:jc w:val="left"/>
                  </w:pPr>
                  <w:r w:rsidRPr="00EF7969">
                    <w:t xml:space="preserve">Jane Pirkis </w:t>
                  </w:r>
                </w:p>
              </w:tc>
            </w:tr>
            <w:tr w:rsidR="009C6940" w:rsidRPr="00EF7969" w14:paraId="2AB0F668" w14:textId="77777777" w:rsidTr="009C6940">
              <w:tc>
                <w:tcPr>
                  <w:tcW w:w="5000" w:type="pct"/>
                  <w:tcBorders>
                    <w:bottom w:val="nil"/>
                  </w:tcBorders>
                  <w:shd w:val="clear" w:color="auto" w:fill="auto"/>
                </w:tcPr>
                <w:p w14:paraId="1909DEB1" w14:textId="77777777" w:rsidR="009C6940" w:rsidRPr="00EF7969" w:rsidRDefault="009C6940" w:rsidP="009C6940">
                  <w:pPr>
                    <w:pStyle w:val="TableBodyText"/>
                    <w:ind w:right="28"/>
                    <w:jc w:val="left"/>
                  </w:pPr>
                  <w:r w:rsidRPr="00EF7969">
                    <w:t>Jenny Campbell</w:t>
                  </w:r>
                </w:p>
              </w:tc>
            </w:tr>
            <w:tr w:rsidR="009C6940" w:rsidRPr="00EF7969" w14:paraId="5F741619" w14:textId="77777777" w:rsidTr="009C6940">
              <w:tc>
                <w:tcPr>
                  <w:tcW w:w="5000" w:type="pct"/>
                  <w:tcBorders>
                    <w:top w:val="nil"/>
                    <w:bottom w:val="single" w:sz="4" w:space="0" w:color="BFBFBF" w:themeColor="background1" w:themeShade="BF"/>
                  </w:tcBorders>
                  <w:shd w:val="clear" w:color="auto" w:fill="auto"/>
                </w:tcPr>
                <w:p w14:paraId="61E9BFE8" w14:textId="77777777" w:rsidR="009C6940" w:rsidRPr="00EF7969" w:rsidRDefault="009C6940" w:rsidP="009C6940">
                  <w:pPr>
                    <w:pStyle w:val="TableBodyText"/>
                    <w:ind w:right="28"/>
                    <w:jc w:val="left"/>
                  </w:pPr>
                  <w:r w:rsidRPr="00EF7969">
                    <w:t>Jennifer Taylor</w:t>
                  </w:r>
                </w:p>
              </w:tc>
            </w:tr>
          </w:tbl>
          <w:p w14:paraId="0380AFBA" w14:textId="77777777" w:rsidR="009C6940" w:rsidRPr="00EF7969" w:rsidRDefault="009C6940" w:rsidP="009C6940">
            <w:pPr>
              <w:pStyle w:val="Box"/>
            </w:pPr>
          </w:p>
        </w:tc>
      </w:tr>
      <w:tr w:rsidR="009C6940" w:rsidRPr="00EF7969" w14:paraId="15C84154" w14:textId="77777777" w:rsidTr="009C6940">
        <w:tc>
          <w:tcPr>
            <w:tcW w:w="5000" w:type="pct"/>
            <w:tcBorders>
              <w:top w:val="nil"/>
              <w:left w:val="nil"/>
              <w:bottom w:val="nil"/>
              <w:right w:val="nil"/>
            </w:tcBorders>
            <w:shd w:val="clear" w:color="auto" w:fill="auto"/>
          </w:tcPr>
          <w:p w14:paraId="505631FB" w14:textId="77777777" w:rsidR="009C6940" w:rsidRPr="00EF7969" w:rsidRDefault="009C6940" w:rsidP="009C6940">
            <w:pPr>
              <w:pStyle w:val="Continued"/>
            </w:pPr>
            <w:r w:rsidRPr="00EF7969">
              <w:t>(continued next page)</w:t>
            </w:r>
          </w:p>
        </w:tc>
      </w:tr>
      <w:tr w:rsidR="009C6940" w:rsidRPr="00EF7969" w14:paraId="26DD7F86" w14:textId="77777777" w:rsidTr="009C6940">
        <w:tc>
          <w:tcPr>
            <w:tcW w:w="5000" w:type="pct"/>
            <w:tcBorders>
              <w:top w:val="nil"/>
              <w:left w:val="nil"/>
              <w:bottom w:val="single" w:sz="6" w:space="0" w:color="78A22F"/>
              <w:right w:val="nil"/>
            </w:tcBorders>
            <w:shd w:val="clear" w:color="auto" w:fill="auto"/>
          </w:tcPr>
          <w:p w14:paraId="3E7EF082" w14:textId="77777777" w:rsidR="009C6940" w:rsidRPr="00EF7969" w:rsidRDefault="009C6940" w:rsidP="009C6940">
            <w:pPr>
              <w:pStyle w:val="Box"/>
              <w:keepNext w:val="0"/>
              <w:widowControl w:val="0"/>
              <w:spacing w:before="0" w:line="120" w:lineRule="exact"/>
            </w:pPr>
          </w:p>
        </w:tc>
      </w:tr>
      <w:tr w:rsidR="009C6940" w:rsidRPr="00EF7969" w14:paraId="2153F851" w14:textId="77777777" w:rsidTr="009C6940">
        <w:tc>
          <w:tcPr>
            <w:tcW w:w="5000" w:type="pct"/>
            <w:tcBorders>
              <w:top w:val="single" w:sz="6" w:space="0" w:color="78A22F"/>
              <w:left w:val="nil"/>
              <w:bottom w:val="nil"/>
              <w:right w:val="nil"/>
            </w:tcBorders>
          </w:tcPr>
          <w:p w14:paraId="1A71F86C" w14:textId="77777777" w:rsidR="009C6940" w:rsidRPr="00EF7969" w:rsidRDefault="009C6940" w:rsidP="009C6940">
            <w:pPr>
              <w:pStyle w:val="BoxSpaceBelow"/>
            </w:pPr>
          </w:p>
        </w:tc>
      </w:tr>
    </w:tbl>
    <w:p w14:paraId="2D69EDEE"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EF7969" w14:paraId="5B274AAA" w14:textId="77777777" w:rsidTr="009C6940">
        <w:trPr>
          <w:tblHeader/>
        </w:trPr>
        <w:tc>
          <w:tcPr>
            <w:tcW w:w="5000" w:type="pct"/>
            <w:tcBorders>
              <w:top w:val="single" w:sz="6" w:space="0" w:color="78A22F"/>
              <w:left w:val="nil"/>
              <w:bottom w:val="nil"/>
              <w:right w:val="nil"/>
            </w:tcBorders>
            <w:shd w:val="clear" w:color="auto" w:fill="auto"/>
          </w:tcPr>
          <w:p w14:paraId="53D98745" w14:textId="77777777" w:rsidR="009C6940" w:rsidRPr="00EF7969" w:rsidRDefault="009C6940" w:rsidP="009C6940">
            <w:pPr>
              <w:pStyle w:val="TableTitle"/>
            </w:pPr>
            <w:r w:rsidRPr="00EF7969">
              <w:rPr>
                <w:b w:val="0"/>
              </w:rPr>
              <w:t xml:space="preserve">Table </w:t>
            </w:r>
            <w:r>
              <w:rPr>
                <w:b w:val="0"/>
              </w:rPr>
              <w:t>B.</w:t>
            </w:r>
            <w:r w:rsidRPr="00EF7969">
              <w:rPr>
                <w:b w:val="0"/>
                <w:noProof/>
              </w:rPr>
              <w:t>3</w:t>
            </w:r>
            <w:r w:rsidRPr="00EF7969">
              <w:tab/>
            </w:r>
            <w:r w:rsidRPr="00EF7969">
              <w:rPr>
                <w:rStyle w:val="Continuedintitle"/>
              </w:rPr>
              <w:t>(continued)</w:t>
            </w:r>
          </w:p>
        </w:tc>
      </w:tr>
      <w:tr w:rsidR="009C6940" w:rsidRPr="00EF7969" w14:paraId="70A32E2F" w14:textId="77777777" w:rsidTr="009C6940">
        <w:tc>
          <w:tcPr>
            <w:tcW w:w="5000" w:type="pct"/>
            <w:tcBorders>
              <w:top w:val="nil"/>
              <w:left w:val="nil"/>
              <w:bottom w:val="nil"/>
              <w:right w:val="nil"/>
            </w:tcBorders>
            <w:shd w:val="clear" w:color="auto" w:fill="auto"/>
          </w:tcPr>
          <w:tbl>
            <w:tblPr>
              <w:tblW w:w="5000" w:type="pct"/>
              <w:tblBorders>
                <w:top w:val="single" w:sz="6" w:space="0" w:color="BFBFBF"/>
              </w:tblBorders>
              <w:tblCellMar>
                <w:top w:w="28" w:type="dxa"/>
                <w:left w:w="0" w:type="dxa"/>
                <w:right w:w="0" w:type="dxa"/>
              </w:tblCellMar>
              <w:tblLook w:val="0000" w:firstRow="0" w:lastRow="0" w:firstColumn="0" w:lastColumn="0" w:noHBand="0" w:noVBand="0"/>
            </w:tblPr>
            <w:tblGrid>
              <w:gridCol w:w="8505"/>
            </w:tblGrid>
            <w:tr w:rsidR="009C6940" w:rsidRPr="00EF7969" w14:paraId="75245A7D" w14:textId="77777777" w:rsidTr="009C6940">
              <w:tc>
                <w:tcPr>
                  <w:tcW w:w="5000" w:type="pct"/>
                </w:tcPr>
                <w:p w14:paraId="0D684B7B" w14:textId="77777777" w:rsidR="009C6940" w:rsidRPr="00EF7969" w:rsidRDefault="009C6940" w:rsidP="009C6940">
                  <w:pPr>
                    <w:pStyle w:val="TableBodyText"/>
                    <w:spacing w:before="40"/>
                    <w:jc w:val="left"/>
                  </w:pPr>
                  <w:r w:rsidRPr="00EF7969">
                    <w:t>Jenny George – Converge International</w:t>
                  </w:r>
                </w:p>
              </w:tc>
            </w:tr>
            <w:tr w:rsidR="009C6940" w:rsidRPr="00EF7969" w14:paraId="1F3C4AE0" w14:textId="77777777" w:rsidTr="009C6940">
              <w:tc>
                <w:tcPr>
                  <w:tcW w:w="5000" w:type="pct"/>
                </w:tcPr>
                <w:p w14:paraId="0EB05F14" w14:textId="77777777" w:rsidR="009C6940" w:rsidRPr="00EF7969" w:rsidRDefault="009C6940" w:rsidP="009C6940">
                  <w:pPr>
                    <w:pStyle w:val="TableBodyText"/>
                    <w:jc w:val="left"/>
                  </w:pPr>
                  <w:r w:rsidRPr="00EF7969">
                    <w:t>Jesuit Social Services</w:t>
                  </w:r>
                </w:p>
              </w:tc>
            </w:tr>
            <w:tr w:rsidR="009C6940" w:rsidRPr="00EF7969" w14:paraId="181AAA39" w14:textId="77777777" w:rsidTr="009C6940">
              <w:tc>
                <w:tcPr>
                  <w:tcW w:w="5000" w:type="pct"/>
                </w:tcPr>
                <w:p w14:paraId="67112739" w14:textId="77777777" w:rsidR="009C6940" w:rsidRPr="00EF7969" w:rsidRDefault="009C6940" w:rsidP="009C6940">
                  <w:pPr>
                    <w:pStyle w:val="TableBodyText"/>
                    <w:jc w:val="left"/>
                  </w:pPr>
                  <w:r w:rsidRPr="00EF7969">
                    <w:t>Joe Coyne</w:t>
                  </w:r>
                </w:p>
              </w:tc>
            </w:tr>
            <w:tr w:rsidR="009C6940" w:rsidRPr="00EF7969" w14:paraId="0E08DEE0" w14:textId="77777777" w:rsidTr="009C6940">
              <w:tc>
                <w:tcPr>
                  <w:tcW w:w="5000" w:type="pct"/>
                </w:tcPr>
                <w:p w14:paraId="5201117E" w14:textId="77777777" w:rsidR="009C6940" w:rsidRPr="00EF7969" w:rsidRDefault="009C6940" w:rsidP="009C6940">
                  <w:pPr>
                    <w:pStyle w:val="TableBodyText"/>
                    <w:jc w:val="left"/>
                  </w:pPr>
                  <w:r w:rsidRPr="00EF7969">
                    <w:t>Julian McNally</w:t>
                  </w:r>
                </w:p>
              </w:tc>
            </w:tr>
            <w:tr w:rsidR="009C6940" w:rsidRPr="00EF7969" w14:paraId="0CF0535C" w14:textId="77777777" w:rsidTr="009C6940">
              <w:tc>
                <w:tcPr>
                  <w:tcW w:w="5000" w:type="pct"/>
                </w:tcPr>
                <w:p w14:paraId="055AF186" w14:textId="77777777" w:rsidR="009C6940" w:rsidRPr="00EF7969" w:rsidRDefault="009C6940" w:rsidP="009C6940">
                  <w:pPr>
                    <w:pStyle w:val="TableBodyText"/>
                    <w:jc w:val="left"/>
                  </w:pPr>
                  <w:r w:rsidRPr="00EF7969">
                    <w:t>Justice Action</w:t>
                  </w:r>
                </w:p>
              </w:tc>
            </w:tr>
            <w:tr w:rsidR="009C6940" w:rsidRPr="00EF7969" w14:paraId="67A403E7" w14:textId="77777777" w:rsidTr="009C6940">
              <w:tc>
                <w:tcPr>
                  <w:tcW w:w="5000" w:type="pct"/>
                </w:tcPr>
                <w:p w14:paraId="7ABAB44E" w14:textId="77777777" w:rsidR="009C6940" w:rsidRPr="00EF7969" w:rsidRDefault="009C6940" w:rsidP="009C6940">
                  <w:pPr>
                    <w:pStyle w:val="TableBodyText"/>
                    <w:jc w:val="left"/>
                  </w:pPr>
                  <w:r w:rsidRPr="00EF7969">
                    <w:t>Justice Health Unit – Melbourne School of Population and Global Health, University of Melbourne</w:t>
                  </w:r>
                </w:p>
              </w:tc>
            </w:tr>
            <w:tr w:rsidR="009C6940" w:rsidRPr="00EF7969" w14:paraId="3CBB9B5F" w14:textId="77777777" w:rsidTr="009C6940">
              <w:tc>
                <w:tcPr>
                  <w:tcW w:w="5000" w:type="pct"/>
                </w:tcPr>
                <w:p w14:paraId="1A36A098" w14:textId="77777777" w:rsidR="009C6940" w:rsidRPr="00EF7969" w:rsidRDefault="009C6940" w:rsidP="009C6940">
                  <w:pPr>
                    <w:pStyle w:val="TableBodyText"/>
                    <w:jc w:val="left"/>
                  </w:pPr>
                  <w:r w:rsidRPr="00EF7969">
                    <w:t>Latrobe Health Advocate</w:t>
                  </w:r>
                </w:p>
              </w:tc>
            </w:tr>
            <w:tr w:rsidR="009C6940" w:rsidRPr="00EF7969" w14:paraId="4B9E25A6" w14:textId="77777777" w:rsidTr="009C6940">
              <w:tc>
                <w:tcPr>
                  <w:tcW w:w="5000" w:type="pct"/>
                </w:tcPr>
                <w:p w14:paraId="04444F2D" w14:textId="77777777" w:rsidR="009C6940" w:rsidRPr="00EF7969" w:rsidRDefault="009C6940" w:rsidP="009C6940">
                  <w:pPr>
                    <w:pStyle w:val="TableBodyText"/>
                    <w:jc w:val="left"/>
                  </w:pPr>
                  <w:r w:rsidRPr="00EF7969">
                    <w:t>Leonie Segal</w:t>
                  </w:r>
                </w:p>
              </w:tc>
            </w:tr>
            <w:tr w:rsidR="009C6940" w:rsidRPr="00EF7969" w14:paraId="4BA2CA57" w14:textId="77777777" w:rsidTr="009C6940">
              <w:tc>
                <w:tcPr>
                  <w:tcW w:w="5000" w:type="pct"/>
                </w:tcPr>
                <w:p w14:paraId="0D1722E8" w14:textId="77777777" w:rsidR="009C6940" w:rsidRPr="00EF7969" w:rsidRDefault="009C6940" w:rsidP="009C6940">
                  <w:pPr>
                    <w:pStyle w:val="TableBodyText"/>
                    <w:jc w:val="left"/>
                  </w:pPr>
                  <w:r w:rsidRPr="00EF7969">
                    <w:t xml:space="preserve">Lesley Russell </w:t>
                  </w:r>
                </w:p>
              </w:tc>
            </w:tr>
            <w:tr w:rsidR="009C6940" w:rsidRPr="00EF7969" w14:paraId="120A8506" w14:textId="77777777" w:rsidTr="009C6940">
              <w:tc>
                <w:tcPr>
                  <w:tcW w:w="5000" w:type="pct"/>
                </w:tcPr>
                <w:p w14:paraId="3F393DF4" w14:textId="77777777" w:rsidR="009C6940" w:rsidRPr="00EF7969" w:rsidRDefault="009C6940" w:rsidP="009C6940">
                  <w:pPr>
                    <w:pStyle w:val="TableBodyText"/>
                    <w:jc w:val="left"/>
                  </w:pPr>
                  <w:r w:rsidRPr="00EF7969">
                    <w:t>Lifeline Central Australia</w:t>
                  </w:r>
                </w:p>
              </w:tc>
            </w:tr>
            <w:tr w:rsidR="009C6940" w:rsidRPr="00EF7969" w14:paraId="1BB3528D" w14:textId="77777777" w:rsidTr="009C6940">
              <w:tc>
                <w:tcPr>
                  <w:tcW w:w="5000" w:type="pct"/>
                </w:tcPr>
                <w:p w14:paraId="389DE051" w14:textId="77777777" w:rsidR="009C6940" w:rsidRPr="00EF7969" w:rsidRDefault="009C6940" w:rsidP="009C6940">
                  <w:pPr>
                    <w:pStyle w:val="TableBodyText"/>
                    <w:jc w:val="left"/>
                  </w:pPr>
                  <w:r w:rsidRPr="00EF7969">
                    <w:t>Lindsay Schofield</w:t>
                  </w:r>
                </w:p>
              </w:tc>
            </w:tr>
            <w:tr w:rsidR="009C6940" w:rsidRPr="00EF7969" w14:paraId="51EAD4E6" w14:textId="77777777" w:rsidTr="009C6940">
              <w:tc>
                <w:tcPr>
                  <w:tcW w:w="5000" w:type="pct"/>
                </w:tcPr>
                <w:p w14:paraId="4972BDDE" w14:textId="77777777" w:rsidR="009C6940" w:rsidRPr="00EF7969" w:rsidRDefault="009C6940" w:rsidP="009C6940">
                  <w:pPr>
                    <w:pStyle w:val="TableBodyText"/>
                    <w:jc w:val="left"/>
                  </w:pPr>
                  <w:r>
                    <w:t>Lisa Paul</w:t>
                  </w:r>
                </w:p>
              </w:tc>
            </w:tr>
            <w:tr w:rsidR="009C6940" w:rsidRPr="00EF7969" w14:paraId="5EF18172" w14:textId="77777777" w:rsidTr="009C6940">
              <w:tc>
                <w:tcPr>
                  <w:tcW w:w="5000" w:type="pct"/>
                </w:tcPr>
                <w:p w14:paraId="38F660EF" w14:textId="77777777" w:rsidR="009C6940" w:rsidRPr="00EF7969" w:rsidRDefault="009C6940" w:rsidP="009C6940">
                  <w:pPr>
                    <w:pStyle w:val="TableBodyText"/>
                    <w:jc w:val="left"/>
                  </w:pPr>
                  <w:r w:rsidRPr="00EF7969">
                    <w:t xml:space="preserve">Lisa Wood </w:t>
                  </w:r>
                  <w:r w:rsidRPr="00EF7969">
                    <w:noBreakHyphen/>
                    <w:t xml:space="preserve"> School of Population and Global Health, University of Western Australia</w:t>
                  </w:r>
                </w:p>
              </w:tc>
            </w:tr>
            <w:tr w:rsidR="009C6940" w:rsidRPr="00EF7969" w14:paraId="7FDB0DCC" w14:textId="77777777" w:rsidTr="009C6940">
              <w:tc>
                <w:tcPr>
                  <w:tcW w:w="5000" w:type="pct"/>
                </w:tcPr>
                <w:p w14:paraId="71FFDD56" w14:textId="77777777" w:rsidR="009C6940" w:rsidRPr="00EF7969" w:rsidRDefault="009C6940" w:rsidP="009C6940">
                  <w:pPr>
                    <w:pStyle w:val="TableBodyText"/>
                    <w:jc w:val="left"/>
                  </w:pPr>
                  <w:r w:rsidRPr="00EF7969">
                    <w:t>Liz Schroeder</w:t>
                  </w:r>
                </w:p>
              </w:tc>
            </w:tr>
            <w:tr w:rsidR="009C6940" w:rsidRPr="00EF7969" w14:paraId="3D4F2EEB" w14:textId="77777777" w:rsidTr="009C6940">
              <w:tc>
                <w:tcPr>
                  <w:tcW w:w="5000" w:type="pct"/>
                </w:tcPr>
                <w:p w14:paraId="11AD3822" w14:textId="77777777" w:rsidR="009C6940" w:rsidRPr="00EF7969" w:rsidRDefault="009C6940" w:rsidP="009C6940">
                  <w:pPr>
                    <w:pStyle w:val="TableBodyText"/>
                    <w:jc w:val="left"/>
                  </w:pPr>
                  <w:r w:rsidRPr="00EF7969">
                    <w:t>Liza Brock</w:t>
                  </w:r>
                </w:p>
              </w:tc>
            </w:tr>
            <w:tr w:rsidR="009C6940" w:rsidRPr="00EF7969" w14:paraId="064C6A26" w14:textId="77777777" w:rsidTr="009C6940">
              <w:tc>
                <w:tcPr>
                  <w:tcW w:w="5000" w:type="pct"/>
                </w:tcPr>
                <w:p w14:paraId="21C7BA8D" w14:textId="77777777" w:rsidR="009C6940" w:rsidRPr="00EF7969" w:rsidRDefault="009C6940" w:rsidP="009C6940">
                  <w:pPr>
                    <w:pStyle w:val="TableBodyText"/>
                    <w:jc w:val="left"/>
                  </w:pPr>
                  <w:r w:rsidRPr="00EF7969">
                    <w:t>Loddon Mallee Mental Health Carers Network</w:t>
                  </w:r>
                </w:p>
              </w:tc>
            </w:tr>
            <w:tr w:rsidR="009C6940" w:rsidRPr="00EF7969" w14:paraId="1ED75D64" w14:textId="77777777" w:rsidTr="009C6940">
              <w:tc>
                <w:tcPr>
                  <w:tcW w:w="5000" w:type="pct"/>
                </w:tcPr>
                <w:p w14:paraId="3C90ECC0" w14:textId="77777777" w:rsidR="009C6940" w:rsidRPr="00EF7969" w:rsidRDefault="009C6940" w:rsidP="009C6940">
                  <w:pPr>
                    <w:pStyle w:val="TableBodyText"/>
                    <w:jc w:val="left"/>
                  </w:pPr>
                  <w:r>
                    <w:t>Luis Salvador-Carulla – Australian National University</w:t>
                  </w:r>
                </w:p>
              </w:tc>
            </w:tr>
            <w:tr w:rsidR="009C6940" w:rsidRPr="00EF7969" w14:paraId="2ACCDECF" w14:textId="77777777" w:rsidTr="009C6940">
              <w:tc>
                <w:tcPr>
                  <w:tcW w:w="5000" w:type="pct"/>
                </w:tcPr>
                <w:p w14:paraId="47267E6C" w14:textId="77777777" w:rsidR="009C6940" w:rsidRPr="00EF7969" w:rsidRDefault="009C6940" w:rsidP="009C6940">
                  <w:pPr>
                    <w:pStyle w:val="TableBodyText"/>
                    <w:jc w:val="left"/>
                  </w:pPr>
                  <w:r w:rsidRPr="00EF7969">
                    <w:t>Lynette Pierce</w:t>
                  </w:r>
                </w:p>
              </w:tc>
            </w:tr>
            <w:tr w:rsidR="009C6940" w:rsidRPr="00EF7969" w14:paraId="797406D4" w14:textId="77777777" w:rsidTr="009C6940">
              <w:tc>
                <w:tcPr>
                  <w:tcW w:w="5000" w:type="pct"/>
                </w:tcPr>
                <w:p w14:paraId="108C826B" w14:textId="77777777" w:rsidR="009C6940" w:rsidRPr="00EF7969" w:rsidRDefault="009C6940" w:rsidP="009C6940">
                  <w:pPr>
                    <w:pStyle w:val="TableBodyText"/>
                    <w:jc w:val="left"/>
                  </w:pPr>
                  <w:r>
                    <w:t>Kevin Allan – Mental Health Commissioner of New Zealand</w:t>
                  </w:r>
                </w:p>
              </w:tc>
            </w:tr>
            <w:tr w:rsidR="009C6940" w:rsidRPr="00EF7969" w14:paraId="1CAAADDA" w14:textId="77777777" w:rsidTr="009C6940">
              <w:tc>
                <w:tcPr>
                  <w:tcW w:w="5000" w:type="pct"/>
                </w:tcPr>
                <w:p w14:paraId="7336E98D" w14:textId="77777777" w:rsidR="009C6940" w:rsidRPr="00EF7969" w:rsidRDefault="009C6940" w:rsidP="009C6940">
                  <w:pPr>
                    <w:pStyle w:val="TableBodyText"/>
                    <w:jc w:val="left"/>
                  </w:pPr>
                  <w:r w:rsidRPr="00EF7969">
                    <w:t>Marathon Health</w:t>
                  </w:r>
                </w:p>
              </w:tc>
            </w:tr>
            <w:tr w:rsidR="009C6940" w:rsidRPr="00EF7969" w14:paraId="4E870530" w14:textId="77777777" w:rsidTr="009C6940">
              <w:tc>
                <w:tcPr>
                  <w:tcW w:w="5000" w:type="pct"/>
                </w:tcPr>
                <w:p w14:paraId="5ADC3FC3" w14:textId="77777777" w:rsidR="009C6940" w:rsidRPr="00EF7969" w:rsidRDefault="009C6940" w:rsidP="009C6940">
                  <w:pPr>
                    <w:pStyle w:val="TableBodyText"/>
                    <w:jc w:val="left"/>
                  </w:pPr>
                  <w:r w:rsidRPr="00EF7969">
                    <w:t>Martin Hensher</w:t>
                  </w:r>
                </w:p>
              </w:tc>
            </w:tr>
            <w:tr w:rsidR="009C6940" w:rsidRPr="00EF7969" w14:paraId="7EEE87DB" w14:textId="77777777" w:rsidTr="009C6940">
              <w:tc>
                <w:tcPr>
                  <w:tcW w:w="5000" w:type="pct"/>
                </w:tcPr>
                <w:p w14:paraId="2CDEEB1D" w14:textId="77777777" w:rsidR="009C6940" w:rsidRPr="00EF7969" w:rsidRDefault="009C6940" w:rsidP="009C6940">
                  <w:pPr>
                    <w:pStyle w:val="TableBodyText"/>
                    <w:jc w:val="left"/>
                  </w:pPr>
                  <w:r w:rsidRPr="00EF7969">
                    <w:t>Margaret Grigg</w:t>
                  </w:r>
                </w:p>
              </w:tc>
            </w:tr>
            <w:tr w:rsidR="009C6940" w:rsidRPr="00EF7969" w14:paraId="422A0936" w14:textId="77777777" w:rsidTr="009C6940">
              <w:tc>
                <w:tcPr>
                  <w:tcW w:w="5000" w:type="pct"/>
                </w:tcPr>
                <w:p w14:paraId="1FDED1F9" w14:textId="77777777" w:rsidR="009C6940" w:rsidRPr="00EF7969" w:rsidRDefault="009C6940" w:rsidP="009C6940">
                  <w:pPr>
                    <w:pStyle w:val="TableBodyText"/>
                    <w:jc w:val="left"/>
                  </w:pPr>
                  <w:r w:rsidRPr="00EF7969">
                    <w:t>Marilyn Campbell</w:t>
                  </w:r>
                </w:p>
              </w:tc>
            </w:tr>
            <w:tr w:rsidR="009C6940" w:rsidRPr="00EF7969" w14:paraId="3E12301A" w14:textId="77777777" w:rsidTr="009C6940">
              <w:tc>
                <w:tcPr>
                  <w:tcW w:w="5000" w:type="pct"/>
                </w:tcPr>
                <w:p w14:paraId="61B02898" w14:textId="77777777" w:rsidR="009C6940" w:rsidRPr="00EF7969" w:rsidRDefault="009C6940" w:rsidP="009C6940">
                  <w:pPr>
                    <w:pStyle w:val="TableBodyText"/>
                    <w:jc w:val="left"/>
                  </w:pPr>
                  <w:r w:rsidRPr="00EF7969">
                    <w:t>Martin Knapp – Department of Health Policy, The London School of Economics and Political Science</w:t>
                  </w:r>
                </w:p>
              </w:tc>
            </w:tr>
            <w:tr w:rsidR="009C6940" w:rsidRPr="00EF7969" w14:paraId="6572BE5F" w14:textId="77777777" w:rsidTr="009C6940">
              <w:tc>
                <w:tcPr>
                  <w:tcW w:w="5000" w:type="pct"/>
                </w:tcPr>
                <w:p w14:paraId="5ACC29F7" w14:textId="77777777" w:rsidR="009C6940" w:rsidRPr="00EF7969" w:rsidRDefault="009C6940" w:rsidP="009C6940">
                  <w:pPr>
                    <w:pStyle w:val="TableBodyText"/>
                    <w:jc w:val="left"/>
                  </w:pPr>
                  <w:r w:rsidRPr="00EF7969">
                    <w:t>Maureen Dollard</w:t>
                  </w:r>
                </w:p>
              </w:tc>
            </w:tr>
            <w:tr w:rsidR="009C6940" w:rsidRPr="00EF7969" w14:paraId="1C1BF1A2" w14:textId="77777777" w:rsidTr="009C6940">
              <w:tc>
                <w:tcPr>
                  <w:tcW w:w="5000" w:type="pct"/>
                </w:tcPr>
                <w:p w14:paraId="7DFE33F3" w14:textId="77777777" w:rsidR="009C6940" w:rsidRPr="00EF7969" w:rsidRDefault="009C6940" w:rsidP="009C6940">
                  <w:pPr>
                    <w:pStyle w:val="TableBodyText"/>
                    <w:jc w:val="left"/>
                  </w:pPr>
                  <w:r w:rsidRPr="00EF7969">
                    <w:t>Matt Tyler</w:t>
                  </w:r>
                </w:p>
              </w:tc>
            </w:tr>
            <w:tr w:rsidR="009C6940" w:rsidRPr="00EF7969" w14:paraId="7761A919" w14:textId="77777777" w:rsidTr="009C6940">
              <w:tc>
                <w:tcPr>
                  <w:tcW w:w="5000" w:type="pct"/>
                  <w:shd w:val="clear" w:color="auto" w:fill="auto"/>
                </w:tcPr>
                <w:p w14:paraId="77118D2B" w14:textId="77777777" w:rsidR="009C6940" w:rsidRPr="00EF7969" w:rsidRDefault="009C6940" w:rsidP="009C6940">
                  <w:pPr>
                    <w:pStyle w:val="TableBodyText"/>
                    <w:ind w:right="28"/>
                    <w:jc w:val="left"/>
                  </w:pPr>
                  <w:r w:rsidRPr="00EF7969">
                    <w:t>MBS Review Taskforce</w:t>
                  </w:r>
                </w:p>
              </w:tc>
            </w:tr>
            <w:tr w:rsidR="009C6940" w:rsidRPr="00EF7969" w14:paraId="56BAF021" w14:textId="77777777" w:rsidTr="009C6940">
              <w:tc>
                <w:tcPr>
                  <w:tcW w:w="5000" w:type="pct"/>
                </w:tcPr>
                <w:p w14:paraId="78A1154C" w14:textId="77777777" w:rsidR="009C6940" w:rsidRPr="00EF7969" w:rsidRDefault="009C6940" w:rsidP="009C6940">
                  <w:pPr>
                    <w:pStyle w:val="TableBodyText"/>
                    <w:jc w:val="left"/>
                  </w:pPr>
                  <w:r w:rsidRPr="00EF7969">
                    <w:t>Melbourne Graduate School of Education (Jim Wattereston)</w:t>
                  </w:r>
                </w:p>
              </w:tc>
            </w:tr>
            <w:tr w:rsidR="009C6940" w:rsidRPr="00EF7969" w14:paraId="44819A3C" w14:textId="77777777" w:rsidTr="009C6940">
              <w:tc>
                <w:tcPr>
                  <w:tcW w:w="5000" w:type="pct"/>
                </w:tcPr>
                <w:p w14:paraId="5C9B1500" w14:textId="77777777" w:rsidR="009C6940" w:rsidRPr="00EF7969" w:rsidRDefault="009C6940" w:rsidP="009C6940">
                  <w:pPr>
                    <w:pStyle w:val="TableBodyText"/>
                    <w:jc w:val="left"/>
                  </w:pPr>
                  <w:r w:rsidRPr="00EF7969">
                    <w:t>Mental Health Association of Central Australia</w:t>
                  </w:r>
                </w:p>
              </w:tc>
            </w:tr>
            <w:tr w:rsidR="009C6940" w:rsidRPr="00EF7969" w14:paraId="0DD70AE0" w14:textId="77777777" w:rsidTr="009C6940">
              <w:tc>
                <w:tcPr>
                  <w:tcW w:w="5000" w:type="pct"/>
                </w:tcPr>
                <w:p w14:paraId="3B06C597" w14:textId="77777777" w:rsidR="009C6940" w:rsidRPr="00EF7969" w:rsidRDefault="009C6940" w:rsidP="009C6940">
                  <w:pPr>
                    <w:pStyle w:val="TableBodyText"/>
                    <w:jc w:val="left"/>
                  </w:pPr>
                  <w:r w:rsidRPr="00EF7969">
                    <w:t>Mental Health Australia</w:t>
                  </w:r>
                </w:p>
              </w:tc>
            </w:tr>
            <w:tr w:rsidR="009C6940" w:rsidRPr="00EF7969" w14:paraId="6E1698D5" w14:textId="77777777" w:rsidTr="009C6940">
              <w:tc>
                <w:tcPr>
                  <w:tcW w:w="5000" w:type="pct"/>
                </w:tcPr>
                <w:p w14:paraId="0DC8DEC3" w14:textId="77777777" w:rsidR="009C6940" w:rsidRPr="00EF7969" w:rsidRDefault="009C6940" w:rsidP="009C6940">
                  <w:pPr>
                    <w:pStyle w:val="TableBodyText"/>
                    <w:jc w:val="left"/>
                  </w:pPr>
                  <w:r w:rsidRPr="00EF7969">
                    <w:t>Mental Health Australia Policy Network</w:t>
                  </w:r>
                </w:p>
              </w:tc>
            </w:tr>
            <w:tr w:rsidR="009C6940" w:rsidRPr="00EF7969" w14:paraId="28F03809" w14:textId="77777777" w:rsidTr="009C6940">
              <w:tc>
                <w:tcPr>
                  <w:tcW w:w="5000" w:type="pct"/>
                </w:tcPr>
                <w:p w14:paraId="73F213D8" w14:textId="77777777" w:rsidR="009C6940" w:rsidRPr="00EF7969" w:rsidRDefault="009C6940" w:rsidP="009C6940">
                  <w:pPr>
                    <w:pStyle w:val="TableBodyText"/>
                    <w:ind w:right="28"/>
                    <w:jc w:val="left"/>
                  </w:pPr>
                  <w:r w:rsidRPr="00EF7969">
                    <w:t>Mental Health Australia’s CALD Mental Health Consumer and Carer Group</w:t>
                  </w:r>
                </w:p>
              </w:tc>
            </w:tr>
            <w:tr w:rsidR="009C6940" w:rsidRPr="00EF7969" w14:paraId="4F32D4B1" w14:textId="77777777" w:rsidTr="009C6940">
              <w:tc>
                <w:tcPr>
                  <w:tcW w:w="5000" w:type="pct"/>
                </w:tcPr>
                <w:p w14:paraId="22A280C5" w14:textId="77777777" w:rsidR="009C6940" w:rsidRPr="00EF7969" w:rsidRDefault="009C6940" w:rsidP="009C6940">
                  <w:pPr>
                    <w:pStyle w:val="TableBodyText"/>
                    <w:ind w:right="28"/>
                    <w:jc w:val="left"/>
                  </w:pPr>
                  <w:r>
                    <w:t>Mental Health Families and Friends Tasmania (MHFFTas)</w:t>
                  </w:r>
                </w:p>
              </w:tc>
            </w:tr>
            <w:tr w:rsidR="009C6940" w:rsidRPr="00EF7969" w14:paraId="30F8972B" w14:textId="77777777" w:rsidTr="009C6940">
              <w:tc>
                <w:tcPr>
                  <w:tcW w:w="5000" w:type="pct"/>
                </w:tcPr>
                <w:p w14:paraId="6C165CF2" w14:textId="77777777" w:rsidR="009C6940" w:rsidRPr="00EF7969" w:rsidRDefault="009C6940" w:rsidP="009C6940">
                  <w:pPr>
                    <w:pStyle w:val="TableBodyText"/>
                    <w:ind w:right="28"/>
                    <w:jc w:val="left"/>
                  </w:pPr>
                  <w:r w:rsidRPr="00EF7969">
                    <w:t>Mental Health Complaints Commissioner</w:t>
                  </w:r>
                </w:p>
              </w:tc>
            </w:tr>
            <w:tr w:rsidR="009C6940" w:rsidRPr="00EF7969" w14:paraId="6DECFC94" w14:textId="77777777" w:rsidTr="009C6940">
              <w:tc>
                <w:tcPr>
                  <w:tcW w:w="5000" w:type="pct"/>
                </w:tcPr>
                <w:p w14:paraId="4BCC0BC9" w14:textId="77777777" w:rsidR="009C6940" w:rsidRPr="00EF7969" w:rsidRDefault="009C6940" w:rsidP="009C6940">
                  <w:pPr>
                    <w:pStyle w:val="TableBodyText"/>
                    <w:ind w:right="28"/>
                    <w:jc w:val="left"/>
                  </w:pPr>
                  <w:r w:rsidRPr="00EF7969">
                    <w:t>Mental Health Coordinating Council</w:t>
                  </w:r>
                </w:p>
              </w:tc>
            </w:tr>
            <w:tr w:rsidR="009C6940" w:rsidRPr="00EF7969" w14:paraId="7458A3CB" w14:textId="77777777" w:rsidTr="009C6940">
              <w:tc>
                <w:tcPr>
                  <w:tcW w:w="5000" w:type="pct"/>
                </w:tcPr>
                <w:p w14:paraId="37A29C72" w14:textId="77777777" w:rsidR="009C6940" w:rsidRPr="00EF7969" w:rsidRDefault="009C6940" w:rsidP="009C6940">
                  <w:pPr>
                    <w:pStyle w:val="TableBodyText"/>
                    <w:ind w:right="28"/>
                    <w:jc w:val="left"/>
                  </w:pPr>
                  <w:r w:rsidRPr="00EF7969">
                    <w:t>Mental Health Council of Tasmania</w:t>
                  </w:r>
                </w:p>
              </w:tc>
            </w:tr>
            <w:tr w:rsidR="009C6940" w:rsidRPr="00EF7969" w14:paraId="4FDF9772" w14:textId="77777777" w:rsidTr="009C6940">
              <w:tc>
                <w:tcPr>
                  <w:tcW w:w="5000" w:type="pct"/>
                </w:tcPr>
                <w:p w14:paraId="07908F8C" w14:textId="77777777" w:rsidR="009C6940" w:rsidRPr="00EF7969" w:rsidRDefault="009C6940" w:rsidP="009C6940">
                  <w:pPr>
                    <w:pStyle w:val="TableBodyText"/>
                    <w:ind w:right="28"/>
                    <w:jc w:val="left"/>
                  </w:pPr>
                  <w:r w:rsidRPr="00EF7969">
                    <w:t>Mental Health Information Strategy Standing Committee</w:t>
                  </w:r>
                </w:p>
              </w:tc>
            </w:tr>
            <w:tr w:rsidR="009C6940" w:rsidRPr="00EF7969" w14:paraId="57621DD4" w14:textId="77777777" w:rsidTr="009C6940">
              <w:tc>
                <w:tcPr>
                  <w:tcW w:w="5000" w:type="pct"/>
                </w:tcPr>
                <w:p w14:paraId="4FC1C2FC" w14:textId="77777777" w:rsidR="009C6940" w:rsidRPr="00EF7969" w:rsidRDefault="009C6940" w:rsidP="009C6940">
                  <w:pPr>
                    <w:pStyle w:val="TableBodyText"/>
                    <w:ind w:right="28"/>
                    <w:jc w:val="left"/>
                  </w:pPr>
                  <w:r w:rsidRPr="00EF7969">
                    <w:t>Mental Health Legal Centre</w:t>
                  </w:r>
                </w:p>
              </w:tc>
            </w:tr>
            <w:tr w:rsidR="009C6940" w:rsidRPr="00EF7969" w14:paraId="4AA19333" w14:textId="77777777" w:rsidTr="009C6940">
              <w:tc>
                <w:tcPr>
                  <w:tcW w:w="5000" w:type="pct"/>
                </w:tcPr>
                <w:p w14:paraId="6A1F3783" w14:textId="77777777" w:rsidR="009C6940" w:rsidRPr="00EF7969" w:rsidRDefault="009C6940" w:rsidP="009C6940">
                  <w:pPr>
                    <w:pStyle w:val="TableBodyText"/>
                    <w:ind w:right="28"/>
                    <w:jc w:val="left"/>
                  </w:pPr>
                  <w:r w:rsidRPr="00EF7969">
                    <w:t>Mental Health Victoria Mentally Healthy Workplace Alliance - CEO Steering Group</w:t>
                  </w:r>
                </w:p>
              </w:tc>
            </w:tr>
            <w:tr w:rsidR="009C6940" w:rsidRPr="00EF7969" w14:paraId="0EBA9542" w14:textId="77777777" w:rsidTr="009C6940">
              <w:tc>
                <w:tcPr>
                  <w:tcW w:w="5000" w:type="pct"/>
                </w:tcPr>
                <w:p w14:paraId="3398F9F9" w14:textId="77777777" w:rsidR="009C6940" w:rsidRPr="00EF7969" w:rsidRDefault="009C6940" w:rsidP="009C6940">
                  <w:pPr>
                    <w:pStyle w:val="TableBodyText"/>
                    <w:ind w:right="28"/>
                    <w:jc w:val="left"/>
                  </w:pPr>
                  <w:r w:rsidRPr="00EF7969">
                    <w:t>Mental Illness Fellowship of Australia</w:t>
                  </w:r>
                  <w:r>
                    <w:t xml:space="preserve"> (MIFA)</w:t>
                  </w:r>
                </w:p>
              </w:tc>
            </w:tr>
            <w:tr w:rsidR="009C6940" w:rsidRPr="00EF7969" w14:paraId="4ACF4E32" w14:textId="77777777" w:rsidTr="009C6940">
              <w:tc>
                <w:tcPr>
                  <w:tcW w:w="5000" w:type="pct"/>
                </w:tcPr>
                <w:p w14:paraId="26FCC99D" w14:textId="77777777" w:rsidR="009C6940" w:rsidRPr="00EF7969" w:rsidRDefault="009C6940" w:rsidP="009C6940">
                  <w:pPr>
                    <w:pStyle w:val="TableBodyText"/>
                    <w:ind w:right="28"/>
                    <w:jc w:val="left"/>
                  </w:pPr>
                  <w:r w:rsidRPr="00EF7969">
                    <w:t>Michael Woods</w:t>
                  </w:r>
                </w:p>
              </w:tc>
            </w:tr>
            <w:tr w:rsidR="009C6940" w:rsidRPr="00EF7969" w14:paraId="7417344C" w14:textId="77777777" w:rsidTr="009C6940">
              <w:tc>
                <w:tcPr>
                  <w:tcW w:w="5000" w:type="pct"/>
                </w:tcPr>
                <w:p w14:paraId="0DF7BCEB" w14:textId="77777777" w:rsidR="009C6940" w:rsidRPr="00EF7969" w:rsidRDefault="009C6940" w:rsidP="009C6940">
                  <w:pPr>
                    <w:pStyle w:val="TableBodyText"/>
                    <w:ind w:right="28"/>
                    <w:jc w:val="left"/>
                  </w:pPr>
                  <w:r w:rsidRPr="00EF7969">
                    <w:t>Millbrook Rise</w:t>
                  </w:r>
                </w:p>
              </w:tc>
            </w:tr>
            <w:tr w:rsidR="009C6940" w:rsidRPr="00EF7969" w14:paraId="2319C1F9" w14:textId="77777777" w:rsidTr="009C6940">
              <w:tc>
                <w:tcPr>
                  <w:tcW w:w="5000" w:type="pct"/>
                  <w:tcBorders>
                    <w:bottom w:val="nil"/>
                  </w:tcBorders>
                </w:tcPr>
                <w:p w14:paraId="393E38E7" w14:textId="77777777" w:rsidR="009C6940" w:rsidRPr="00EF7969" w:rsidRDefault="009C6940" w:rsidP="009C6940">
                  <w:pPr>
                    <w:pStyle w:val="TableBodyText"/>
                    <w:ind w:right="28"/>
                    <w:jc w:val="left"/>
                  </w:pPr>
                  <w:r w:rsidRPr="00EF7969">
                    <w:t>Mind Australia</w:t>
                  </w:r>
                </w:p>
              </w:tc>
            </w:tr>
            <w:tr w:rsidR="009C6940" w:rsidRPr="00EF7969" w14:paraId="7C9CCA4F" w14:textId="77777777" w:rsidTr="009C6940">
              <w:tc>
                <w:tcPr>
                  <w:tcW w:w="5000" w:type="pct"/>
                  <w:tcBorders>
                    <w:top w:val="nil"/>
                    <w:bottom w:val="single" w:sz="4" w:space="0" w:color="BFBFBF" w:themeColor="background1" w:themeShade="BF"/>
                  </w:tcBorders>
                </w:tcPr>
                <w:p w14:paraId="2E332EF2" w14:textId="77777777" w:rsidR="009C6940" w:rsidRPr="00EF7969" w:rsidRDefault="009C6940" w:rsidP="009C6940">
                  <w:pPr>
                    <w:pStyle w:val="TableBodyText"/>
                    <w:ind w:right="28"/>
                    <w:jc w:val="left"/>
                  </w:pPr>
                  <w:r w:rsidRPr="00EF7969">
                    <w:t>MindSpot</w:t>
                  </w:r>
                </w:p>
              </w:tc>
            </w:tr>
          </w:tbl>
          <w:p w14:paraId="260A3515" w14:textId="77777777" w:rsidR="009C6940" w:rsidRPr="00EF7969" w:rsidRDefault="009C6940" w:rsidP="009C6940">
            <w:pPr>
              <w:pStyle w:val="Box"/>
            </w:pPr>
          </w:p>
        </w:tc>
      </w:tr>
      <w:tr w:rsidR="009C6940" w:rsidRPr="00EF7969" w14:paraId="2305D5EC" w14:textId="77777777" w:rsidTr="009C6940">
        <w:tc>
          <w:tcPr>
            <w:tcW w:w="5000" w:type="pct"/>
            <w:tcBorders>
              <w:top w:val="nil"/>
              <w:left w:val="nil"/>
              <w:bottom w:val="nil"/>
              <w:right w:val="nil"/>
            </w:tcBorders>
            <w:shd w:val="clear" w:color="auto" w:fill="auto"/>
          </w:tcPr>
          <w:p w14:paraId="3F2FACD2" w14:textId="77777777" w:rsidR="009C6940" w:rsidRPr="00EF7969" w:rsidRDefault="009C6940" w:rsidP="009C6940">
            <w:pPr>
              <w:pStyle w:val="Continued"/>
            </w:pPr>
            <w:r w:rsidRPr="00EF7969">
              <w:t>(continued next page)</w:t>
            </w:r>
          </w:p>
        </w:tc>
      </w:tr>
      <w:tr w:rsidR="009C6940" w:rsidRPr="00EF7969" w14:paraId="5ACBC669" w14:textId="77777777" w:rsidTr="009C6940">
        <w:tc>
          <w:tcPr>
            <w:tcW w:w="5000" w:type="pct"/>
            <w:tcBorders>
              <w:top w:val="nil"/>
              <w:left w:val="nil"/>
              <w:bottom w:val="single" w:sz="6" w:space="0" w:color="78A22F"/>
              <w:right w:val="nil"/>
            </w:tcBorders>
            <w:shd w:val="clear" w:color="auto" w:fill="auto"/>
          </w:tcPr>
          <w:p w14:paraId="31EC8C36" w14:textId="77777777" w:rsidR="009C6940" w:rsidRPr="00EF7969" w:rsidRDefault="009C6940" w:rsidP="009C6940">
            <w:pPr>
              <w:pStyle w:val="Box"/>
              <w:keepNext w:val="0"/>
              <w:widowControl w:val="0"/>
              <w:spacing w:before="0" w:line="120" w:lineRule="exact"/>
            </w:pPr>
          </w:p>
        </w:tc>
      </w:tr>
      <w:tr w:rsidR="009C6940" w:rsidRPr="00EF7969" w14:paraId="2BF85D04" w14:textId="77777777" w:rsidTr="009C6940">
        <w:tc>
          <w:tcPr>
            <w:tcW w:w="5000" w:type="pct"/>
            <w:tcBorders>
              <w:top w:val="single" w:sz="6" w:space="0" w:color="78A22F"/>
              <w:left w:val="nil"/>
              <w:bottom w:val="nil"/>
              <w:right w:val="nil"/>
            </w:tcBorders>
          </w:tcPr>
          <w:p w14:paraId="56879F55" w14:textId="77777777" w:rsidR="009C6940" w:rsidRPr="00EF7969" w:rsidRDefault="009C6940" w:rsidP="009C6940">
            <w:pPr>
              <w:pStyle w:val="BoxSpaceBelow"/>
            </w:pPr>
          </w:p>
        </w:tc>
      </w:tr>
    </w:tbl>
    <w:p w14:paraId="721533D3"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5BE48530" w14:textId="77777777" w:rsidTr="009C6940">
        <w:trPr>
          <w:tblHeader/>
        </w:trPr>
        <w:tc>
          <w:tcPr>
            <w:tcW w:w="5000" w:type="pct"/>
            <w:tcBorders>
              <w:top w:val="single" w:sz="6" w:space="0" w:color="78A22F"/>
              <w:left w:val="nil"/>
              <w:bottom w:val="nil"/>
              <w:right w:val="nil"/>
            </w:tcBorders>
            <w:shd w:val="clear" w:color="auto" w:fill="auto"/>
          </w:tcPr>
          <w:p w14:paraId="32720988" w14:textId="77777777" w:rsidR="009C6940" w:rsidRPr="00EF7969" w:rsidRDefault="009C6940" w:rsidP="009C6940">
            <w:pPr>
              <w:pStyle w:val="TableTitle"/>
            </w:pPr>
            <w:r w:rsidRPr="00EF7969">
              <w:rPr>
                <w:b w:val="0"/>
              </w:rPr>
              <w:t xml:space="preserve">Table </w:t>
            </w:r>
            <w:r>
              <w:rPr>
                <w:b w:val="0"/>
              </w:rPr>
              <w:t>B.</w:t>
            </w:r>
            <w:r w:rsidRPr="00EF7969">
              <w:rPr>
                <w:b w:val="0"/>
                <w:noProof/>
              </w:rPr>
              <w:t>3</w:t>
            </w:r>
            <w:r w:rsidRPr="00EF7969">
              <w:tab/>
            </w:r>
            <w:r w:rsidRPr="00EF7969">
              <w:rPr>
                <w:rStyle w:val="Continuedintitle"/>
              </w:rPr>
              <w:t>(continued)</w:t>
            </w:r>
          </w:p>
        </w:tc>
      </w:tr>
      <w:tr w:rsidR="009C6940" w:rsidRPr="00EF7969" w14:paraId="534ED6A6" w14:textId="77777777" w:rsidTr="009C6940">
        <w:tc>
          <w:tcPr>
            <w:tcW w:w="5000" w:type="pct"/>
            <w:tcBorders>
              <w:top w:val="nil"/>
              <w:left w:val="nil"/>
              <w:bottom w:val="nil"/>
              <w:right w:val="nil"/>
            </w:tcBorders>
            <w:shd w:val="clear" w:color="auto" w:fill="auto"/>
          </w:tcPr>
          <w:tbl>
            <w:tblPr>
              <w:tblW w:w="17010" w:type="dxa"/>
              <w:tblBorders>
                <w:top w:val="single" w:sz="6" w:space="0" w:color="BFBFBF"/>
              </w:tblBorders>
              <w:tblCellMar>
                <w:top w:w="28" w:type="dxa"/>
                <w:left w:w="0" w:type="dxa"/>
                <w:right w:w="0" w:type="dxa"/>
              </w:tblCellMar>
              <w:tblLook w:val="0000" w:firstRow="0" w:lastRow="0" w:firstColumn="0" w:lastColumn="0" w:noHBand="0" w:noVBand="0"/>
            </w:tblPr>
            <w:tblGrid>
              <w:gridCol w:w="8505"/>
              <w:gridCol w:w="8505"/>
            </w:tblGrid>
            <w:tr w:rsidR="009C6940" w:rsidRPr="00EF7969" w14:paraId="276EA237" w14:textId="77777777" w:rsidTr="009C6940">
              <w:tc>
                <w:tcPr>
                  <w:tcW w:w="2500" w:type="pct"/>
                </w:tcPr>
                <w:p w14:paraId="68D67A05" w14:textId="77777777" w:rsidR="009C6940" w:rsidRPr="00EF7969" w:rsidRDefault="009C6940" w:rsidP="009C6940">
                  <w:pPr>
                    <w:pStyle w:val="TableBodyText"/>
                    <w:spacing w:before="40"/>
                    <w:jc w:val="left"/>
                  </w:pPr>
                  <w:r w:rsidRPr="00EF7969">
                    <w:t>Mission Australia</w:t>
                  </w:r>
                </w:p>
              </w:tc>
              <w:tc>
                <w:tcPr>
                  <w:tcW w:w="2500" w:type="pct"/>
                </w:tcPr>
                <w:p w14:paraId="07140E20" w14:textId="77777777" w:rsidR="009C6940" w:rsidRPr="00EF7969" w:rsidRDefault="009C6940" w:rsidP="009C6940">
                  <w:pPr>
                    <w:pStyle w:val="TableBodyText"/>
                    <w:jc w:val="left"/>
                  </w:pPr>
                </w:p>
              </w:tc>
            </w:tr>
            <w:tr w:rsidR="009C6940" w:rsidRPr="00EF7969" w14:paraId="5D6B4897" w14:textId="77777777" w:rsidTr="009C6940">
              <w:tc>
                <w:tcPr>
                  <w:tcW w:w="2500" w:type="pct"/>
                </w:tcPr>
                <w:p w14:paraId="5A51E17C" w14:textId="77777777" w:rsidR="009C6940" w:rsidRPr="00EF7969" w:rsidRDefault="009C6940" w:rsidP="009C6940">
                  <w:pPr>
                    <w:pStyle w:val="TableBodyText"/>
                    <w:jc w:val="left"/>
                  </w:pPr>
                  <w:r w:rsidRPr="00EF7969">
                    <w:t>Murdoch Children’s Research Institute, The Royal Children’s Hospital</w:t>
                  </w:r>
                </w:p>
              </w:tc>
              <w:tc>
                <w:tcPr>
                  <w:tcW w:w="2500" w:type="pct"/>
                </w:tcPr>
                <w:p w14:paraId="12443328" w14:textId="77777777" w:rsidR="009C6940" w:rsidRPr="00EF7969" w:rsidRDefault="009C6940" w:rsidP="009C6940">
                  <w:pPr>
                    <w:pStyle w:val="TableBodyText"/>
                    <w:jc w:val="left"/>
                  </w:pPr>
                </w:p>
              </w:tc>
            </w:tr>
            <w:tr w:rsidR="009C6940" w:rsidRPr="00EF7969" w14:paraId="307612E4" w14:textId="77777777" w:rsidTr="009C6940">
              <w:tc>
                <w:tcPr>
                  <w:tcW w:w="2500" w:type="pct"/>
                </w:tcPr>
                <w:p w14:paraId="77CCB87F" w14:textId="77777777" w:rsidR="009C6940" w:rsidRPr="00EF7969" w:rsidRDefault="009C6940" w:rsidP="009C6940">
                  <w:pPr>
                    <w:pStyle w:val="TableBodyText"/>
                    <w:jc w:val="left"/>
                  </w:pPr>
                  <w:r w:rsidRPr="00EF7969">
                    <w:t>Murray Primary Health Network</w:t>
                  </w:r>
                </w:p>
              </w:tc>
              <w:tc>
                <w:tcPr>
                  <w:tcW w:w="2500" w:type="pct"/>
                </w:tcPr>
                <w:p w14:paraId="03CED2B5" w14:textId="77777777" w:rsidR="009C6940" w:rsidRPr="00EF7969" w:rsidRDefault="009C6940" w:rsidP="009C6940">
                  <w:pPr>
                    <w:pStyle w:val="TableBodyText"/>
                    <w:jc w:val="left"/>
                  </w:pPr>
                </w:p>
              </w:tc>
            </w:tr>
            <w:tr w:rsidR="009C6940" w:rsidRPr="00EF7969" w14:paraId="23CFA9C6" w14:textId="77777777" w:rsidTr="009C6940">
              <w:tc>
                <w:tcPr>
                  <w:tcW w:w="2500" w:type="pct"/>
                </w:tcPr>
                <w:p w14:paraId="3CBF83F4" w14:textId="77777777" w:rsidR="009C6940" w:rsidRPr="00EF7969" w:rsidRDefault="009C6940" w:rsidP="009C6940">
                  <w:pPr>
                    <w:pStyle w:val="TableBodyText"/>
                    <w:jc w:val="left"/>
                  </w:pPr>
                  <w:r w:rsidRPr="00EF7969">
                    <w:t>Murrumbidgee Local Health District</w:t>
                  </w:r>
                </w:p>
              </w:tc>
              <w:tc>
                <w:tcPr>
                  <w:tcW w:w="2500" w:type="pct"/>
                </w:tcPr>
                <w:p w14:paraId="1A35FA4A" w14:textId="77777777" w:rsidR="009C6940" w:rsidRPr="00EF7969" w:rsidRDefault="009C6940" w:rsidP="009C6940">
                  <w:pPr>
                    <w:pStyle w:val="TableBodyText"/>
                    <w:jc w:val="left"/>
                  </w:pPr>
                </w:p>
              </w:tc>
            </w:tr>
            <w:tr w:rsidR="009C6940" w:rsidRPr="00EF7969" w14:paraId="39933DB1" w14:textId="77777777" w:rsidTr="009C6940">
              <w:tc>
                <w:tcPr>
                  <w:tcW w:w="2500" w:type="pct"/>
                </w:tcPr>
                <w:p w14:paraId="70B0CFF1" w14:textId="77777777" w:rsidR="009C6940" w:rsidRPr="00EF7969" w:rsidRDefault="009C6940" w:rsidP="009C6940">
                  <w:pPr>
                    <w:pStyle w:val="TableBodyText"/>
                    <w:jc w:val="left"/>
                  </w:pPr>
                  <w:r w:rsidRPr="00EF7969">
                    <w:t>Murrumbidgee Primary Health Network</w:t>
                  </w:r>
                </w:p>
              </w:tc>
              <w:tc>
                <w:tcPr>
                  <w:tcW w:w="2500" w:type="pct"/>
                </w:tcPr>
                <w:p w14:paraId="4A264789" w14:textId="77777777" w:rsidR="009C6940" w:rsidRPr="00EF7969" w:rsidRDefault="009C6940" w:rsidP="009C6940">
                  <w:pPr>
                    <w:pStyle w:val="TableBodyText"/>
                    <w:jc w:val="left"/>
                  </w:pPr>
                </w:p>
              </w:tc>
            </w:tr>
            <w:tr w:rsidR="009C6940" w:rsidRPr="00EF7969" w14:paraId="757268E0" w14:textId="77777777" w:rsidTr="009C6940">
              <w:tc>
                <w:tcPr>
                  <w:tcW w:w="2500" w:type="pct"/>
                </w:tcPr>
                <w:p w14:paraId="60B290DB" w14:textId="77777777" w:rsidR="009C6940" w:rsidRPr="00EF7969" w:rsidRDefault="009C6940" w:rsidP="009C6940">
                  <w:pPr>
                    <w:pStyle w:val="TableBodyText"/>
                    <w:jc w:val="left"/>
                  </w:pPr>
                  <w:r w:rsidRPr="00EF7969">
                    <w:t>National Aboriginal Community Controlled Health Organisation</w:t>
                  </w:r>
                </w:p>
              </w:tc>
              <w:tc>
                <w:tcPr>
                  <w:tcW w:w="2500" w:type="pct"/>
                </w:tcPr>
                <w:p w14:paraId="3D6C0E6E" w14:textId="77777777" w:rsidR="009C6940" w:rsidRPr="00EF7969" w:rsidRDefault="009C6940" w:rsidP="009C6940">
                  <w:pPr>
                    <w:pStyle w:val="TableBodyText"/>
                    <w:jc w:val="left"/>
                  </w:pPr>
                </w:p>
              </w:tc>
            </w:tr>
            <w:tr w:rsidR="009C6940" w:rsidRPr="00EF7969" w14:paraId="7AFB2690" w14:textId="77777777" w:rsidTr="009C6940">
              <w:tc>
                <w:tcPr>
                  <w:tcW w:w="2500" w:type="pct"/>
                </w:tcPr>
                <w:p w14:paraId="412E4E30" w14:textId="77777777" w:rsidR="009C6940" w:rsidRPr="00EF7969" w:rsidRDefault="009C6940" w:rsidP="009C6940">
                  <w:pPr>
                    <w:pStyle w:val="TableBodyText"/>
                    <w:jc w:val="left"/>
                  </w:pPr>
                  <w:r w:rsidRPr="00EF7969">
                    <w:t>National Disability Insurance Agency</w:t>
                  </w:r>
                </w:p>
              </w:tc>
              <w:tc>
                <w:tcPr>
                  <w:tcW w:w="2500" w:type="pct"/>
                </w:tcPr>
                <w:p w14:paraId="287A682C" w14:textId="77777777" w:rsidR="009C6940" w:rsidRPr="00EF7969" w:rsidRDefault="009C6940" w:rsidP="009C6940">
                  <w:pPr>
                    <w:pStyle w:val="TableBodyText"/>
                    <w:jc w:val="left"/>
                  </w:pPr>
                </w:p>
              </w:tc>
            </w:tr>
            <w:tr w:rsidR="009C6940" w:rsidRPr="00EF7969" w14:paraId="3F91907B" w14:textId="77777777" w:rsidTr="009C6940">
              <w:tc>
                <w:tcPr>
                  <w:tcW w:w="2500" w:type="pct"/>
                </w:tcPr>
                <w:p w14:paraId="10036690" w14:textId="77777777" w:rsidR="009C6940" w:rsidRPr="00EF7969" w:rsidRDefault="009C6940" w:rsidP="009C6940">
                  <w:pPr>
                    <w:pStyle w:val="TableBodyText"/>
                    <w:jc w:val="left"/>
                  </w:pPr>
                  <w:r w:rsidRPr="00EF7969">
                    <w:t>National Employment Services Association</w:t>
                  </w:r>
                </w:p>
              </w:tc>
              <w:tc>
                <w:tcPr>
                  <w:tcW w:w="2500" w:type="pct"/>
                </w:tcPr>
                <w:p w14:paraId="6D826CB7" w14:textId="77777777" w:rsidR="009C6940" w:rsidRPr="00EF7969" w:rsidRDefault="009C6940" w:rsidP="009C6940">
                  <w:pPr>
                    <w:pStyle w:val="TableBodyText"/>
                    <w:jc w:val="left"/>
                  </w:pPr>
                </w:p>
              </w:tc>
            </w:tr>
            <w:tr w:rsidR="009C6940" w:rsidRPr="00EF7969" w14:paraId="72C20D86" w14:textId="77777777" w:rsidTr="009C6940">
              <w:tc>
                <w:tcPr>
                  <w:tcW w:w="2500" w:type="pct"/>
                </w:tcPr>
                <w:p w14:paraId="4E609D05" w14:textId="77777777" w:rsidR="009C6940" w:rsidRPr="00EF7969" w:rsidRDefault="009C6940" w:rsidP="009C6940">
                  <w:pPr>
                    <w:pStyle w:val="TableBodyText"/>
                    <w:jc w:val="left"/>
                  </w:pPr>
                  <w:r w:rsidRPr="00C4669C">
                    <w:t>National Health Practitioner Ombudsman and Privacy Commissioner</w:t>
                  </w:r>
                </w:p>
              </w:tc>
              <w:tc>
                <w:tcPr>
                  <w:tcW w:w="2500" w:type="pct"/>
                </w:tcPr>
                <w:p w14:paraId="6B749697" w14:textId="77777777" w:rsidR="009C6940" w:rsidRPr="00EF7969" w:rsidRDefault="009C6940" w:rsidP="009C6940">
                  <w:pPr>
                    <w:pStyle w:val="TableBodyText"/>
                    <w:jc w:val="left"/>
                  </w:pPr>
                </w:p>
              </w:tc>
            </w:tr>
            <w:tr w:rsidR="009C6940" w:rsidRPr="00EF7969" w14:paraId="74208934" w14:textId="77777777" w:rsidTr="009C6940">
              <w:tc>
                <w:tcPr>
                  <w:tcW w:w="2500" w:type="pct"/>
                </w:tcPr>
                <w:p w14:paraId="198DB276" w14:textId="77777777" w:rsidR="009C6940" w:rsidRPr="00EF7969" w:rsidRDefault="009C6940" w:rsidP="009C6940">
                  <w:pPr>
                    <w:pStyle w:val="TableBodyText"/>
                    <w:jc w:val="left"/>
                  </w:pPr>
                  <w:r w:rsidRPr="00EF7969">
                    <w:t>National Indigenous Australians Agency</w:t>
                  </w:r>
                </w:p>
              </w:tc>
              <w:tc>
                <w:tcPr>
                  <w:tcW w:w="2500" w:type="pct"/>
                </w:tcPr>
                <w:p w14:paraId="6C04182E" w14:textId="77777777" w:rsidR="009C6940" w:rsidRPr="00EF7969" w:rsidRDefault="009C6940" w:rsidP="009C6940">
                  <w:pPr>
                    <w:pStyle w:val="TableBodyText"/>
                    <w:jc w:val="left"/>
                  </w:pPr>
                </w:p>
              </w:tc>
            </w:tr>
            <w:tr w:rsidR="009C6940" w:rsidRPr="00EF7969" w14:paraId="7EE196B6" w14:textId="77777777" w:rsidTr="009C6940">
              <w:tc>
                <w:tcPr>
                  <w:tcW w:w="2500" w:type="pct"/>
                </w:tcPr>
                <w:p w14:paraId="1F3C90B2" w14:textId="77777777" w:rsidR="009C6940" w:rsidRPr="00EF7969" w:rsidRDefault="009C6940" w:rsidP="009C6940">
                  <w:pPr>
                    <w:pStyle w:val="TableBodyText"/>
                    <w:jc w:val="left"/>
                  </w:pPr>
                  <w:r w:rsidRPr="00EF7969">
                    <w:t>National Mental Health Commission</w:t>
                  </w:r>
                </w:p>
              </w:tc>
              <w:tc>
                <w:tcPr>
                  <w:tcW w:w="2500" w:type="pct"/>
                </w:tcPr>
                <w:p w14:paraId="7187B96E" w14:textId="77777777" w:rsidR="009C6940" w:rsidRPr="00EF7969" w:rsidRDefault="009C6940" w:rsidP="009C6940">
                  <w:pPr>
                    <w:pStyle w:val="TableBodyText"/>
                    <w:jc w:val="left"/>
                  </w:pPr>
                </w:p>
              </w:tc>
            </w:tr>
            <w:tr w:rsidR="009C6940" w:rsidRPr="00EF7969" w14:paraId="70F19D7E" w14:textId="77777777" w:rsidTr="009C6940">
              <w:tc>
                <w:tcPr>
                  <w:tcW w:w="2500" w:type="pct"/>
                </w:tcPr>
                <w:p w14:paraId="2F5FB7BC" w14:textId="77777777" w:rsidR="009C6940" w:rsidRPr="00EF7969" w:rsidRDefault="009C6940" w:rsidP="009C6940">
                  <w:pPr>
                    <w:pStyle w:val="TableBodyText"/>
                    <w:jc w:val="left"/>
                  </w:pPr>
                  <w:r w:rsidRPr="00EF7969">
                    <w:t>National Mental Health Consumer and Carer Forum (NMHCCF)</w:t>
                  </w:r>
                </w:p>
              </w:tc>
              <w:tc>
                <w:tcPr>
                  <w:tcW w:w="2500" w:type="pct"/>
                </w:tcPr>
                <w:p w14:paraId="06186544" w14:textId="77777777" w:rsidR="009C6940" w:rsidRPr="00EF7969" w:rsidRDefault="009C6940" w:rsidP="009C6940">
                  <w:pPr>
                    <w:pStyle w:val="TableBodyText"/>
                    <w:jc w:val="left"/>
                  </w:pPr>
                </w:p>
              </w:tc>
            </w:tr>
            <w:tr w:rsidR="009C6940" w:rsidRPr="00EF7969" w14:paraId="5274BBE1" w14:textId="77777777" w:rsidTr="009C6940">
              <w:tc>
                <w:tcPr>
                  <w:tcW w:w="2500" w:type="pct"/>
                </w:tcPr>
                <w:p w14:paraId="0033E908" w14:textId="77777777" w:rsidR="009C6940" w:rsidRPr="00EF7969" w:rsidRDefault="009C6940" w:rsidP="009C6940">
                  <w:pPr>
                    <w:pStyle w:val="TableBodyText"/>
                    <w:jc w:val="left"/>
                  </w:pPr>
                  <w:r w:rsidRPr="00EF7969">
                    <w:t>National Social Security Rights Network</w:t>
                  </w:r>
                </w:p>
              </w:tc>
              <w:tc>
                <w:tcPr>
                  <w:tcW w:w="2500" w:type="pct"/>
                </w:tcPr>
                <w:p w14:paraId="627F8DEE" w14:textId="77777777" w:rsidR="009C6940" w:rsidRPr="00EF7969" w:rsidRDefault="009C6940" w:rsidP="009C6940">
                  <w:pPr>
                    <w:pStyle w:val="TableBodyText"/>
                    <w:jc w:val="left"/>
                  </w:pPr>
                </w:p>
              </w:tc>
            </w:tr>
            <w:tr w:rsidR="009C6940" w:rsidRPr="00EF7969" w14:paraId="3EF58D42" w14:textId="77777777" w:rsidTr="009C6940">
              <w:tc>
                <w:tcPr>
                  <w:tcW w:w="2500" w:type="pct"/>
                </w:tcPr>
                <w:p w14:paraId="6358757C" w14:textId="77777777" w:rsidR="009C6940" w:rsidRPr="00EF7969" w:rsidRDefault="009C6940" w:rsidP="009C6940">
                  <w:pPr>
                    <w:pStyle w:val="TableBodyText"/>
                    <w:jc w:val="left"/>
                  </w:pPr>
                  <w:r w:rsidRPr="00EF7969">
                    <w:t>National Suicide Prevention Project Reference Group</w:t>
                  </w:r>
                </w:p>
              </w:tc>
              <w:tc>
                <w:tcPr>
                  <w:tcW w:w="2500" w:type="pct"/>
                </w:tcPr>
                <w:p w14:paraId="53A01294" w14:textId="77777777" w:rsidR="009C6940" w:rsidRPr="00EF7969" w:rsidRDefault="009C6940" w:rsidP="009C6940">
                  <w:pPr>
                    <w:pStyle w:val="TableBodyText"/>
                    <w:jc w:val="left"/>
                  </w:pPr>
                </w:p>
              </w:tc>
            </w:tr>
            <w:tr w:rsidR="009C6940" w:rsidRPr="00EF7969" w14:paraId="7230FFF0" w14:textId="77777777" w:rsidTr="009C6940">
              <w:tc>
                <w:tcPr>
                  <w:tcW w:w="2500" w:type="pct"/>
                </w:tcPr>
                <w:p w14:paraId="6D39007B" w14:textId="77777777" w:rsidR="009C6940" w:rsidRPr="00EF7969" w:rsidRDefault="009C6940" w:rsidP="009C6940">
                  <w:pPr>
                    <w:pStyle w:val="TableBodyText"/>
                    <w:jc w:val="left"/>
                  </w:pPr>
                  <w:r>
                    <w:t>Nation</w:t>
                  </w:r>
                  <w:r w:rsidRPr="00EF7969">
                    <w:t>al Suicide Prevention Taskforce</w:t>
                  </w:r>
                </w:p>
              </w:tc>
              <w:tc>
                <w:tcPr>
                  <w:tcW w:w="2500" w:type="pct"/>
                </w:tcPr>
                <w:p w14:paraId="3ED450EA" w14:textId="77777777" w:rsidR="009C6940" w:rsidRPr="00EF7969" w:rsidRDefault="009C6940" w:rsidP="009C6940">
                  <w:pPr>
                    <w:pStyle w:val="TableBodyText"/>
                    <w:jc w:val="left"/>
                  </w:pPr>
                </w:p>
              </w:tc>
            </w:tr>
            <w:tr w:rsidR="009C6940" w:rsidRPr="00EF7969" w14:paraId="2241B75F" w14:textId="77777777" w:rsidTr="009C6940">
              <w:tc>
                <w:tcPr>
                  <w:tcW w:w="2500" w:type="pct"/>
                </w:tcPr>
                <w:p w14:paraId="5CD79FB5" w14:textId="77777777" w:rsidR="009C6940" w:rsidRPr="00EF7969" w:rsidRDefault="009C6940" w:rsidP="009C6940">
                  <w:pPr>
                    <w:pStyle w:val="TableBodyText"/>
                    <w:jc w:val="left"/>
                  </w:pPr>
                  <w:r w:rsidRPr="00EF7969">
                    <w:t>National Workforce Centre for Child Mental Health</w:t>
                  </w:r>
                </w:p>
              </w:tc>
              <w:tc>
                <w:tcPr>
                  <w:tcW w:w="2500" w:type="pct"/>
                </w:tcPr>
                <w:p w14:paraId="5716D6F7" w14:textId="77777777" w:rsidR="009C6940" w:rsidRPr="00EF7969" w:rsidRDefault="009C6940" w:rsidP="009C6940">
                  <w:pPr>
                    <w:pStyle w:val="TableBodyText"/>
                    <w:jc w:val="left"/>
                  </w:pPr>
                </w:p>
              </w:tc>
            </w:tr>
            <w:tr w:rsidR="009C6940" w:rsidRPr="00EF7969" w14:paraId="1BED90AE" w14:textId="77777777" w:rsidTr="009C6940">
              <w:tc>
                <w:tcPr>
                  <w:tcW w:w="2500" w:type="pct"/>
                </w:tcPr>
                <w:p w14:paraId="4E2471BB" w14:textId="77777777" w:rsidR="009C6940" w:rsidRPr="00EF7969" w:rsidRDefault="009C6940" w:rsidP="009C6940">
                  <w:pPr>
                    <w:pStyle w:val="TableBodyText"/>
                    <w:jc w:val="left"/>
                  </w:pPr>
                  <w:r w:rsidRPr="00EF7969">
                    <w:t>Neami Wollongong</w:t>
                  </w:r>
                </w:p>
              </w:tc>
              <w:tc>
                <w:tcPr>
                  <w:tcW w:w="2500" w:type="pct"/>
                </w:tcPr>
                <w:p w14:paraId="672BF1F1" w14:textId="77777777" w:rsidR="009C6940" w:rsidRPr="00EF7969" w:rsidRDefault="009C6940" w:rsidP="009C6940">
                  <w:pPr>
                    <w:pStyle w:val="TableBodyText"/>
                    <w:jc w:val="left"/>
                  </w:pPr>
                </w:p>
              </w:tc>
            </w:tr>
            <w:tr w:rsidR="009C6940" w:rsidRPr="00EF7969" w14:paraId="5C8E52CE" w14:textId="77777777" w:rsidTr="009C6940">
              <w:tc>
                <w:tcPr>
                  <w:tcW w:w="2500" w:type="pct"/>
                </w:tcPr>
                <w:p w14:paraId="03D42CCB" w14:textId="77777777" w:rsidR="009C6940" w:rsidRPr="00EF7969" w:rsidRDefault="009C6940" w:rsidP="009C6940">
                  <w:pPr>
                    <w:pStyle w:val="TableBodyText"/>
                    <w:jc w:val="left"/>
                  </w:pPr>
                  <w:r w:rsidRPr="00EF7969">
                    <w:t>Nicola Reavley</w:t>
                  </w:r>
                </w:p>
              </w:tc>
              <w:tc>
                <w:tcPr>
                  <w:tcW w:w="2500" w:type="pct"/>
                </w:tcPr>
                <w:p w14:paraId="7DC72974" w14:textId="77777777" w:rsidR="009C6940" w:rsidRPr="00EF7969" w:rsidRDefault="009C6940" w:rsidP="009C6940">
                  <w:pPr>
                    <w:pStyle w:val="TableBodyText"/>
                    <w:jc w:val="left"/>
                  </w:pPr>
                </w:p>
              </w:tc>
            </w:tr>
            <w:tr w:rsidR="009C6940" w:rsidRPr="00EF7969" w14:paraId="32D54F58" w14:textId="77777777" w:rsidTr="009C6940">
              <w:tc>
                <w:tcPr>
                  <w:tcW w:w="2500" w:type="pct"/>
                </w:tcPr>
                <w:p w14:paraId="5B0B98DA" w14:textId="77777777" w:rsidR="009C6940" w:rsidRPr="00EF7969" w:rsidRDefault="009C6940" w:rsidP="009C6940">
                  <w:pPr>
                    <w:pStyle w:val="TableBodyText"/>
                    <w:jc w:val="left"/>
                  </w:pPr>
                  <w:r w:rsidRPr="00EF7969">
                    <w:t>Nolan House (Albury Wodonga Health)</w:t>
                  </w:r>
                </w:p>
              </w:tc>
              <w:tc>
                <w:tcPr>
                  <w:tcW w:w="2500" w:type="pct"/>
                </w:tcPr>
                <w:p w14:paraId="66F3D23D" w14:textId="77777777" w:rsidR="009C6940" w:rsidRPr="00EF7969" w:rsidRDefault="009C6940" w:rsidP="009C6940">
                  <w:pPr>
                    <w:pStyle w:val="TableBodyText"/>
                    <w:jc w:val="left"/>
                  </w:pPr>
                </w:p>
              </w:tc>
            </w:tr>
            <w:tr w:rsidR="009C6940" w:rsidRPr="00EF7969" w14:paraId="0FCE5779" w14:textId="77777777" w:rsidTr="009C6940">
              <w:tc>
                <w:tcPr>
                  <w:tcW w:w="2500" w:type="pct"/>
                </w:tcPr>
                <w:p w14:paraId="3C51AD00" w14:textId="77777777" w:rsidR="009C6940" w:rsidRPr="00EF7969" w:rsidRDefault="009C6940" w:rsidP="009C6940">
                  <w:pPr>
                    <w:pStyle w:val="TableBodyText"/>
                    <w:jc w:val="left"/>
                  </w:pPr>
                  <w:r w:rsidRPr="00EF7969">
                    <w:t>North West Melbourne Primary Health Network</w:t>
                  </w:r>
                </w:p>
              </w:tc>
              <w:tc>
                <w:tcPr>
                  <w:tcW w:w="2500" w:type="pct"/>
                </w:tcPr>
                <w:p w14:paraId="24669E29" w14:textId="77777777" w:rsidR="009C6940" w:rsidRPr="00EF7969" w:rsidRDefault="009C6940" w:rsidP="009C6940">
                  <w:pPr>
                    <w:pStyle w:val="TableBodyText"/>
                    <w:jc w:val="left"/>
                  </w:pPr>
                </w:p>
              </w:tc>
            </w:tr>
            <w:tr w:rsidR="009C6940" w:rsidRPr="00EF7969" w14:paraId="73189F61" w14:textId="77777777" w:rsidTr="009C6940">
              <w:tc>
                <w:tcPr>
                  <w:tcW w:w="2500" w:type="pct"/>
                </w:tcPr>
                <w:p w14:paraId="79FE88DB" w14:textId="77777777" w:rsidR="009C6940" w:rsidRPr="00EF7969" w:rsidRDefault="009C6940" w:rsidP="009C6940">
                  <w:pPr>
                    <w:pStyle w:val="TableBodyText"/>
                    <w:jc w:val="left"/>
                  </w:pPr>
                  <w:r w:rsidRPr="00EF7969">
                    <w:t>Northern Queensland Primary Health Network</w:t>
                  </w:r>
                </w:p>
              </w:tc>
              <w:tc>
                <w:tcPr>
                  <w:tcW w:w="2500" w:type="pct"/>
                </w:tcPr>
                <w:p w14:paraId="34D539D6" w14:textId="77777777" w:rsidR="009C6940" w:rsidRPr="00EF7969" w:rsidRDefault="009C6940" w:rsidP="009C6940">
                  <w:pPr>
                    <w:pStyle w:val="TableBodyText"/>
                    <w:jc w:val="left"/>
                  </w:pPr>
                </w:p>
              </w:tc>
            </w:tr>
            <w:tr w:rsidR="009C6940" w:rsidRPr="00EF7969" w14:paraId="752C8301" w14:textId="77777777" w:rsidTr="009C6940">
              <w:tc>
                <w:tcPr>
                  <w:tcW w:w="2500" w:type="pct"/>
                </w:tcPr>
                <w:p w14:paraId="12A747E0" w14:textId="77777777" w:rsidR="009C6940" w:rsidRPr="00EF7969" w:rsidRDefault="009C6940" w:rsidP="009C6940">
                  <w:pPr>
                    <w:pStyle w:val="TableBodyText"/>
                    <w:jc w:val="left"/>
                  </w:pPr>
                  <w:r w:rsidRPr="00EF7969">
                    <w:t>NovoPsych</w:t>
                  </w:r>
                </w:p>
              </w:tc>
              <w:tc>
                <w:tcPr>
                  <w:tcW w:w="2500" w:type="pct"/>
                </w:tcPr>
                <w:p w14:paraId="367D04C3" w14:textId="77777777" w:rsidR="009C6940" w:rsidRPr="00EF7969" w:rsidRDefault="009C6940" w:rsidP="009C6940">
                  <w:pPr>
                    <w:pStyle w:val="TableBodyText"/>
                    <w:jc w:val="left"/>
                  </w:pPr>
                </w:p>
              </w:tc>
            </w:tr>
            <w:tr w:rsidR="009C6940" w:rsidRPr="00EF7969" w14:paraId="711552EE" w14:textId="77777777" w:rsidTr="009C6940">
              <w:tc>
                <w:tcPr>
                  <w:tcW w:w="2500" w:type="pct"/>
                </w:tcPr>
                <w:p w14:paraId="47AAB938" w14:textId="77777777" w:rsidR="009C6940" w:rsidRPr="00EF7969" w:rsidRDefault="009C6940" w:rsidP="009C6940">
                  <w:pPr>
                    <w:pStyle w:val="TableBodyText"/>
                    <w:jc w:val="left"/>
                  </w:pPr>
                  <w:r w:rsidRPr="00EF7969">
                    <w:t>NPY Women’s Council</w:t>
                  </w:r>
                </w:p>
              </w:tc>
              <w:tc>
                <w:tcPr>
                  <w:tcW w:w="2500" w:type="pct"/>
                </w:tcPr>
                <w:p w14:paraId="7B907CEC" w14:textId="77777777" w:rsidR="009C6940" w:rsidRPr="00EF7969" w:rsidRDefault="009C6940" w:rsidP="009C6940">
                  <w:pPr>
                    <w:pStyle w:val="TableBodyText"/>
                    <w:jc w:val="left"/>
                  </w:pPr>
                </w:p>
              </w:tc>
            </w:tr>
            <w:tr w:rsidR="009C6940" w:rsidRPr="00EF7969" w14:paraId="62AA7EE8" w14:textId="77777777" w:rsidTr="009C6940">
              <w:tc>
                <w:tcPr>
                  <w:tcW w:w="2500" w:type="pct"/>
                </w:tcPr>
                <w:p w14:paraId="5A1B7590" w14:textId="77777777" w:rsidR="009C6940" w:rsidRPr="00EF7969" w:rsidRDefault="009C6940" w:rsidP="009C6940">
                  <w:pPr>
                    <w:pStyle w:val="TableBodyText"/>
                    <w:jc w:val="left"/>
                  </w:pPr>
                  <w:r w:rsidRPr="00EF7969">
                    <w:t>NSW Department of Premier and Cabinet</w:t>
                  </w:r>
                </w:p>
              </w:tc>
              <w:tc>
                <w:tcPr>
                  <w:tcW w:w="2500" w:type="pct"/>
                </w:tcPr>
                <w:p w14:paraId="6A79EDF3" w14:textId="77777777" w:rsidR="009C6940" w:rsidRPr="00EF7969" w:rsidRDefault="009C6940" w:rsidP="009C6940">
                  <w:pPr>
                    <w:pStyle w:val="TableBodyText"/>
                    <w:jc w:val="left"/>
                  </w:pPr>
                </w:p>
              </w:tc>
            </w:tr>
            <w:tr w:rsidR="009C6940" w:rsidRPr="00EF7969" w14:paraId="536BC8A2" w14:textId="77777777" w:rsidTr="009C6940">
              <w:tc>
                <w:tcPr>
                  <w:tcW w:w="2500" w:type="pct"/>
                </w:tcPr>
                <w:p w14:paraId="41D37F3F" w14:textId="77777777" w:rsidR="009C6940" w:rsidRPr="00EF7969" w:rsidRDefault="009C6940" w:rsidP="009C6940">
                  <w:pPr>
                    <w:pStyle w:val="TableBodyText"/>
                    <w:jc w:val="left"/>
                  </w:pPr>
                  <w:r w:rsidRPr="00EF7969">
                    <w:t>NSW Education Standards Authority</w:t>
                  </w:r>
                </w:p>
              </w:tc>
              <w:tc>
                <w:tcPr>
                  <w:tcW w:w="2500" w:type="pct"/>
                </w:tcPr>
                <w:p w14:paraId="69C55C1E" w14:textId="77777777" w:rsidR="009C6940" w:rsidRPr="00EF7969" w:rsidRDefault="009C6940" w:rsidP="009C6940">
                  <w:pPr>
                    <w:pStyle w:val="TableBodyText"/>
                    <w:jc w:val="left"/>
                  </w:pPr>
                </w:p>
              </w:tc>
            </w:tr>
            <w:tr w:rsidR="009C6940" w:rsidRPr="00EF7969" w14:paraId="584305D6" w14:textId="77777777" w:rsidTr="009C6940">
              <w:tc>
                <w:tcPr>
                  <w:tcW w:w="2500" w:type="pct"/>
                </w:tcPr>
                <w:p w14:paraId="68FCD19B" w14:textId="77777777" w:rsidR="009C6940" w:rsidRPr="00EF7969" w:rsidRDefault="009C6940" w:rsidP="009C6940">
                  <w:pPr>
                    <w:pStyle w:val="TableBodyText"/>
                    <w:jc w:val="left"/>
                  </w:pPr>
                  <w:r w:rsidRPr="00EF7969">
                    <w:t>NSW Family and Community Services</w:t>
                  </w:r>
                </w:p>
              </w:tc>
              <w:tc>
                <w:tcPr>
                  <w:tcW w:w="2500" w:type="pct"/>
                </w:tcPr>
                <w:p w14:paraId="46021095" w14:textId="77777777" w:rsidR="009C6940" w:rsidRPr="00EF7969" w:rsidRDefault="009C6940" w:rsidP="009C6940">
                  <w:pPr>
                    <w:pStyle w:val="TableBodyText"/>
                    <w:jc w:val="left"/>
                  </w:pPr>
                </w:p>
              </w:tc>
            </w:tr>
            <w:tr w:rsidR="009C6940" w:rsidRPr="00EF7969" w14:paraId="339AD6BC" w14:textId="77777777" w:rsidTr="009C6940">
              <w:tc>
                <w:tcPr>
                  <w:tcW w:w="2500" w:type="pct"/>
                </w:tcPr>
                <w:p w14:paraId="1E43B730" w14:textId="77777777" w:rsidR="009C6940" w:rsidRPr="00EF7969" w:rsidRDefault="009C6940" w:rsidP="009C6940">
                  <w:pPr>
                    <w:pStyle w:val="TableBodyText"/>
                    <w:jc w:val="left"/>
                  </w:pPr>
                  <w:r w:rsidRPr="00EF7969">
                    <w:t>NSW Health</w:t>
                  </w:r>
                </w:p>
              </w:tc>
              <w:tc>
                <w:tcPr>
                  <w:tcW w:w="2500" w:type="pct"/>
                </w:tcPr>
                <w:p w14:paraId="26D77B1D" w14:textId="77777777" w:rsidR="009C6940" w:rsidRPr="00EF7969" w:rsidRDefault="009C6940" w:rsidP="009C6940">
                  <w:pPr>
                    <w:pStyle w:val="TableBodyText"/>
                    <w:jc w:val="left"/>
                  </w:pPr>
                </w:p>
              </w:tc>
            </w:tr>
            <w:tr w:rsidR="009C6940" w:rsidRPr="00EF7969" w14:paraId="461225AF" w14:textId="77777777" w:rsidTr="009C6940">
              <w:tc>
                <w:tcPr>
                  <w:tcW w:w="2500" w:type="pct"/>
                </w:tcPr>
                <w:p w14:paraId="562CC3E9" w14:textId="77777777" w:rsidR="009C6940" w:rsidRPr="00EF7969" w:rsidRDefault="009C6940" w:rsidP="009C6940">
                  <w:pPr>
                    <w:pStyle w:val="TableBodyText"/>
                    <w:jc w:val="left"/>
                  </w:pPr>
                  <w:r w:rsidRPr="00EF7969">
                    <w:t>NSW Mental Health Commission</w:t>
                  </w:r>
                </w:p>
              </w:tc>
              <w:tc>
                <w:tcPr>
                  <w:tcW w:w="2500" w:type="pct"/>
                </w:tcPr>
                <w:p w14:paraId="0E64A4C7" w14:textId="77777777" w:rsidR="009C6940" w:rsidRPr="00EF7969" w:rsidRDefault="009C6940" w:rsidP="009C6940">
                  <w:pPr>
                    <w:pStyle w:val="TableBodyText"/>
                    <w:jc w:val="left"/>
                  </w:pPr>
                </w:p>
              </w:tc>
            </w:tr>
            <w:tr w:rsidR="009C6940" w:rsidRPr="00EF7969" w14:paraId="5E6E74B0" w14:textId="77777777" w:rsidTr="009C6940">
              <w:tc>
                <w:tcPr>
                  <w:tcW w:w="2500" w:type="pct"/>
                </w:tcPr>
                <w:p w14:paraId="413C77AD" w14:textId="77777777" w:rsidR="009C6940" w:rsidRPr="00EF7969" w:rsidRDefault="009C6940" w:rsidP="009C6940">
                  <w:pPr>
                    <w:pStyle w:val="TableBodyText"/>
                    <w:jc w:val="left"/>
                  </w:pPr>
                  <w:r w:rsidRPr="00EF7969">
                    <w:t>NSW Police Mental Health Intervention Team</w:t>
                  </w:r>
                </w:p>
              </w:tc>
              <w:tc>
                <w:tcPr>
                  <w:tcW w:w="2500" w:type="pct"/>
                </w:tcPr>
                <w:p w14:paraId="47C7FE2A" w14:textId="77777777" w:rsidR="009C6940" w:rsidRPr="00EF7969" w:rsidRDefault="009C6940" w:rsidP="009C6940">
                  <w:pPr>
                    <w:pStyle w:val="TableBodyText"/>
                    <w:jc w:val="left"/>
                  </w:pPr>
                </w:p>
              </w:tc>
            </w:tr>
            <w:tr w:rsidR="009C6940" w:rsidRPr="00EF7969" w14:paraId="09C3F50C" w14:textId="77777777" w:rsidTr="009C6940">
              <w:tc>
                <w:tcPr>
                  <w:tcW w:w="2500" w:type="pct"/>
                </w:tcPr>
                <w:p w14:paraId="4E7F5F33" w14:textId="77777777" w:rsidR="009C6940" w:rsidRPr="00EF7969" w:rsidRDefault="009C6940" w:rsidP="009C6940">
                  <w:pPr>
                    <w:pStyle w:val="TableBodyText"/>
                    <w:jc w:val="left"/>
                  </w:pPr>
                  <w:r w:rsidRPr="00EF7969">
                    <w:t>NT Aboriginal Medical Services Alliance</w:t>
                  </w:r>
                </w:p>
              </w:tc>
              <w:tc>
                <w:tcPr>
                  <w:tcW w:w="2500" w:type="pct"/>
                </w:tcPr>
                <w:p w14:paraId="07740A83" w14:textId="77777777" w:rsidR="009C6940" w:rsidRPr="00EF7969" w:rsidRDefault="009C6940" w:rsidP="009C6940">
                  <w:pPr>
                    <w:pStyle w:val="TableBodyText"/>
                    <w:jc w:val="left"/>
                  </w:pPr>
                </w:p>
              </w:tc>
            </w:tr>
            <w:tr w:rsidR="009C6940" w:rsidRPr="00EF7969" w14:paraId="35FCE175" w14:textId="77777777" w:rsidTr="009C6940">
              <w:tc>
                <w:tcPr>
                  <w:tcW w:w="2500" w:type="pct"/>
                </w:tcPr>
                <w:p w14:paraId="3D9C7C57" w14:textId="77777777" w:rsidR="009C6940" w:rsidRPr="00EF7969" w:rsidRDefault="009C6940" w:rsidP="009C6940">
                  <w:pPr>
                    <w:pStyle w:val="TableBodyText"/>
                    <w:jc w:val="left"/>
                  </w:pPr>
                  <w:r w:rsidRPr="00EF7969">
                    <w:t>NT Association of Alcohol and Other Drug Agencies</w:t>
                  </w:r>
                </w:p>
              </w:tc>
              <w:tc>
                <w:tcPr>
                  <w:tcW w:w="2500" w:type="pct"/>
                </w:tcPr>
                <w:p w14:paraId="375AEB2D" w14:textId="77777777" w:rsidR="009C6940" w:rsidRPr="00EF7969" w:rsidRDefault="009C6940" w:rsidP="009C6940">
                  <w:pPr>
                    <w:pStyle w:val="TableBodyText"/>
                    <w:jc w:val="left"/>
                  </w:pPr>
                </w:p>
              </w:tc>
            </w:tr>
            <w:tr w:rsidR="009C6940" w:rsidRPr="00EF7969" w14:paraId="4558B4BC" w14:textId="77777777" w:rsidTr="009C6940">
              <w:tc>
                <w:tcPr>
                  <w:tcW w:w="2500" w:type="pct"/>
                </w:tcPr>
                <w:p w14:paraId="4162239D" w14:textId="77777777" w:rsidR="009C6940" w:rsidRPr="00EF7969" w:rsidRDefault="009C6940" w:rsidP="009C6940">
                  <w:pPr>
                    <w:pStyle w:val="TableBodyText"/>
                    <w:jc w:val="left"/>
                  </w:pPr>
                  <w:r w:rsidRPr="00EF7969">
                    <w:t>NT Council of Social Services</w:t>
                  </w:r>
                </w:p>
              </w:tc>
              <w:tc>
                <w:tcPr>
                  <w:tcW w:w="2500" w:type="pct"/>
                </w:tcPr>
                <w:p w14:paraId="6CFD1D44" w14:textId="77777777" w:rsidR="009C6940" w:rsidRPr="00EF7969" w:rsidRDefault="009C6940" w:rsidP="009C6940">
                  <w:pPr>
                    <w:pStyle w:val="TableBodyText"/>
                    <w:jc w:val="left"/>
                  </w:pPr>
                </w:p>
              </w:tc>
            </w:tr>
            <w:tr w:rsidR="009C6940" w:rsidRPr="00EF7969" w14:paraId="15595313" w14:textId="77777777" w:rsidTr="009C6940">
              <w:tc>
                <w:tcPr>
                  <w:tcW w:w="2500" w:type="pct"/>
                </w:tcPr>
                <w:p w14:paraId="771A7406" w14:textId="77777777" w:rsidR="009C6940" w:rsidRPr="00EF7969" w:rsidRDefault="009C6940" w:rsidP="009C6940">
                  <w:pPr>
                    <w:pStyle w:val="TableBodyText"/>
                    <w:jc w:val="left"/>
                  </w:pPr>
                  <w:r w:rsidRPr="00EF7969">
                    <w:t>NT Department of Chief Minister</w:t>
                  </w:r>
                </w:p>
              </w:tc>
              <w:tc>
                <w:tcPr>
                  <w:tcW w:w="2500" w:type="pct"/>
                </w:tcPr>
                <w:p w14:paraId="4CE20151" w14:textId="77777777" w:rsidR="009C6940" w:rsidRPr="00EF7969" w:rsidRDefault="009C6940" w:rsidP="009C6940">
                  <w:pPr>
                    <w:pStyle w:val="TableBodyText"/>
                    <w:jc w:val="left"/>
                  </w:pPr>
                </w:p>
              </w:tc>
            </w:tr>
            <w:tr w:rsidR="009C6940" w:rsidRPr="00EF7969" w14:paraId="68DF0B76" w14:textId="77777777" w:rsidTr="009C6940">
              <w:tc>
                <w:tcPr>
                  <w:tcW w:w="2500" w:type="pct"/>
                </w:tcPr>
                <w:p w14:paraId="1ED4C0CB" w14:textId="77777777" w:rsidR="009C6940" w:rsidRPr="00EF7969" w:rsidRDefault="009C6940" w:rsidP="009C6940">
                  <w:pPr>
                    <w:pStyle w:val="TableBodyText"/>
                    <w:jc w:val="left"/>
                  </w:pPr>
                  <w:r w:rsidRPr="00EF7969">
                    <w:t>NT Department of Education</w:t>
                  </w:r>
                </w:p>
              </w:tc>
              <w:tc>
                <w:tcPr>
                  <w:tcW w:w="2500" w:type="pct"/>
                </w:tcPr>
                <w:p w14:paraId="62F4EAC2" w14:textId="77777777" w:rsidR="009C6940" w:rsidRPr="00EF7969" w:rsidRDefault="009C6940" w:rsidP="009C6940">
                  <w:pPr>
                    <w:pStyle w:val="TableBodyText"/>
                    <w:jc w:val="left"/>
                  </w:pPr>
                </w:p>
              </w:tc>
            </w:tr>
            <w:tr w:rsidR="009C6940" w:rsidRPr="00EF7969" w14:paraId="48700A0F" w14:textId="77777777" w:rsidTr="009C6940">
              <w:tc>
                <w:tcPr>
                  <w:tcW w:w="2500" w:type="pct"/>
                </w:tcPr>
                <w:p w14:paraId="4FC798CA" w14:textId="77777777" w:rsidR="009C6940" w:rsidRPr="00EF7969" w:rsidRDefault="009C6940" w:rsidP="009C6940">
                  <w:pPr>
                    <w:pStyle w:val="TableBodyText"/>
                    <w:jc w:val="left"/>
                  </w:pPr>
                  <w:r w:rsidRPr="00EF7969">
                    <w:t>NT Department of Health</w:t>
                  </w:r>
                </w:p>
              </w:tc>
              <w:tc>
                <w:tcPr>
                  <w:tcW w:w="2500" w:type="pct"/>
                </w:tcPr>
                <w:p w14:paraId="373D5EF1" w14:textId="77777777" w:rsidR="009C6940" w:rsidRPr="00EF7969" w:rsidRDefault="009C6940" w:rsidP="009C6940">
                  <w:pPr>
                    <w:pStyle w:val="TableBodyText"/>
                    <w:jc w:val="left"/>
                  </w:pPr>
                </w:p>
              </w:tc>
            </w:tr>
            <w:tr w:rsidR="009C6940" w:rsidRPr="00EF7969" w14:paraId="6DD71A3D" w14:textId="77777777" w:rsidTr="009C6940">
              <w:tc>
                <w:tcPr>
                  <w:tcW w:w="2500" w:type="pct"/>
                </w:tcPr>
                <w:p w14:paraId="0D3EB85F" w14:textId="77777777" w:rsidR="009C6940" w:rsidRPr="00EF7969" w:rsidRDefault="009C6940" w:rsidP="009C6940">
                  <w:pPr>
                    <w:pStyle w:val="TableBodyText"/>
                    <w:jc w:val="left"/>
                  </w:pPr>
                  <w:r w:rsidRPr="00EF7969">
                    <w:t>NT Department of the Attorney</w:t>
                  </w:r>
                  <w:r w:rsidRPr="00EF7969">
                    <w:noBreakHyphen/>
                    <w:t>General and Justice</w:t>
                  </w:r>
                </w:p>
              </w:tc>
              <w:tc>
                <w:tcPr>
                  <w:tcW w:w="2500" w:type="pct"/>
                </w:tcPr>
                <w:p w14:paraId="3A33BC99" w14:textId="77777777" w:rsidR="009C6940" w:rsidRPr="00EF7969" w:rsidRDefault="009C6940" w:rsidP="009C6940">
                  <w:pPr>
                    <w:pStyle w:val="TableBodyText"/>
                    <w:jc w:val="left"/>
                  </w:pPr>
                </w:p>
              </w:tc>
            </w:tr>
            <w:tr w:rsidR="009C6940" w:rsidRPr="00EF7969" w14:paraId="40B45F1B" w14:textId="77777777" w:rsidTr="009C6940">
              <w:tc>
                <w:tcPr>
                  <w:tcW w:w="2500" w:type="pct"/>
                </w:tcPr>
                <w:p w14:paraId="70167C23" w14:textId="77777777" w:rsidR="009C6940" w:rsidRPr="00EF7969" w:rsidRDefault="009C6940" w:rsidP="009C6940">
                  <w:pPr>
                    <w:pStyle w:val="TableBodyText"/>
                    <w:jc w:val="left"/>
                  </w:pPr>
                  <w:r w:rsidRPr="00EF7969">
                    <w:t>NT Mental Health Coalition</w:t>
                  </w:r>
                </w:p>
              </w:tc>
              <w:tc>
                <w:tcPr>
                  <w:tcW w:w="2500" w:type="pct"/>
                </w:tcPr>
                <w:p w14:paraId="29A52CCC" w14:textId="77777777" w:rsidR="009C6940" w:rsidRPr="00EF7969" w:rsidRDefault="009C6940" w:rsidP="009C6940">
                  <w:pPr>
                    <w:pStyle w:val="TableBodyText"/>
                    <w:jc w:val="left"/>
                  </w:pPr>
                </w:p>
              </w:tc>
            </w:tr>
            <w:tr w:rsidR="009C6940" w:rsidRPr="00EF7969" w14:paraId="1705236C" w14:textId="77777777" w:rsidTr="009C6940">
              <w:tc>
                <w:tcPr>
                  <w:tcW w:w="2500" w:type="pct"/>
                </w:tcPr>
                <w:p w14:paraId="62B17635" w14:textId="77777777" w:rsidR="009C6940" w:rsidRPr="00EF7969" w:rsidRDefault="009C6940" w:rsidP="009C6940">
                  <w:pPr>
                    <w:pStyle w:val="TableBodyText"/>
                    <w:jc w:val="left"/>
                  </w:pPr>
                  <w:r w:rsidRPr="00EF7969">
                    <w:t>NT Mental Illness Fellowship of Australia</w:t>
                  </w:r>
                </w:p>
              </w:tc>
              <w:tc>
                <w:tcPr>
                  <w:tcW w:w="2500" w:type="pct"/>
                </w:tcPr>
                <w:p w14:paraId="4D10C291" w14:textId="77777777" w:rsidR="009C6940" w:rsidRPr="00EF7969" w:rsidRDefault="009C6940" w:rsidP="009C6940">
                  <w:pPr>
                    <w:pStyle w:val="TableBodyText"/>
                    <w:jc w:val="left"/>
                  </w:pPr>
                </w:p>
              </w:tc>
            </w:tr>
            <w:tr w:rsidR="009C6940" w:rsidRPr="00EF7969" w14:paraId="7B950CBF" w14:textId="77777777" w:rsidTr="009C6940">
              <w:tc>
                <w:tcPr>
                  <w:tcW w:w="2500" w:type="pct"/>
                </w:tcPr>
                <w:p w14:paraId="3B2CAB8B" w14:textId="77777777" w:rsidR="009C6940" w:rsidRPr="00EF7969" w:rsidRDefault="009C6940" w:rsidP="009C6940">
                  <w:pPr>
                    <w:pStyle w:val="TableBodyText"/>
                    <w:jc w:val="left"/>
                  </w:pPr>
                  <w:r w:rsidRPr="00EF7969">
                    <w:t xml:space="preserve">NT Primary Health Network </w:t>
                  </w:r>
                </w:p>
              </w:tc>
              <w:tc>
                <w:tcPr>
                  <w:tcW w:w="2500" w:type="pct"/>
                </w:tcPr>
                <w:p w14:paraId="3BBDCE03" w14:textId="77777777" w:rsidR="009C6940" w:rsidRPr="00EF7969" w:rsidRDefault="009C6940" w:rsidP="009C6940">
                  <w:pPr>
                    <w:pStyle w:val="TableBodyText"/>
                    <w:jc w:val="left"/>
                  </w:pPr>
                </w:p>
              </w:tc>
            </w:tr>
            <w:tr w:rsidR="009C6940" w:rsidRPr="00EF7969" w14:paraId="6553DDF8" w14:textId="77777777" w:rsidTr="009C6940">
              <w:tc>
                <w:tcPr>
                  <w:tcW w:w="2500" w:type="pct"/>
                </w:tcPr>
                <w:p w14:paraId="2016FC6A" w14:textId="77777777" w:rsidR="009C6940" w:rsidRPr="00EF7969" w:rsidRDefault="009C6940" w:rsidP="009C6940">
                  <w:pPr>
                    <w:pStyle w:val="TableBodyText"/>
                    <w:jc w:val="left"/>
                  </w:pPr>
                  <w:r w:rsidRPr="00EF7969">
                    <w:t xml:space="preserve">Office for Mental Health and Wellbeing </w:t>
                  </w:r>
                </w:p>
              </w:tc>
              <w:tc>
                <w:tcPr>
                  <w:tcW w:w="2500" w:type="pct"/>
                </w:tcPr>
                <w:p w14:paraId="2CDE4042" w14:textId="77777777" w:rsidR="009C6940" w:rsidRPr="00EF7969" w:rsidRDefault="009C6940" w:rsidP="009C6940">
                  <w:pPr>
                    <w:pStyle w:val="TableBodyText"/>
                    <w:jc w:val="left"/>
                  </w:pPr>
                </w:p>
              </w:tc>
            </w:tr>
            <w:tr w:rsidR="009C6940" w:rsidRPr="00EF7969" w14:paraId="74AE5281" w14:textId="77777777" w:rsidTr="009C6940">
              <w:tc>
                <w:tcPr>
                  <w:tcW w:w="2500" w:type="pct"/>
                </w:tcPr>
                <w:p w14:paraId="5D77638F" w14:textId="77777777" w:rsidR="009C6940" w:rsidRPr="00EF7969" w:rsidRDefault="009C6940" w:rsidP="009C6940">
                  <w:pPr>
                    <w:pStyle w:val="TableBodyText"/>
                    <w:jc w:val="left"/>
                  </w:pPr>
                  <w:r w:rsidRPr="00EF7969">
                    <w:t>One Door Sydney</w:t>
                  </w:r>
                </w:p>
              </w:tc>
              <w:tc>
                <w:tcPr>
                  <w:tcW w:w="2500" w:type="pct"/>
                </w:tcPr>
                <w:p w14:paraId="48335771" w14:textId="77777777" w:rsidR="009C6940" w:rsidRPr="00EF7969" w:rsidRDefault="009C6940" w:rsidP="009C6940">
                  <w:pPr>
                    <w:pStyle w:val="TableBodyText"/>
                    <w:jc w:val="left"/>
                  </w:pPr>
                </w:p>
              </w:tc>
            </w:tr>
            <w:tr w:rsidR="009C6940" w:rsidRPr="00EF7969" w14:paraId="63685FC0" w14:textId="77777777" w:rsidTr="009C6940">
              <w:tc>
                <w:tcPr>
                  <w:tcW w:w="2500" w:type="pct"/>
                </w:tcPr>
                <w:p w14:paraId="5EA01181" w14:textId="77777777" w:rsidR="009C6940" w:rsidRPr="00EF7969" w:rsidRDefault="009C6940" w:rsidP="009C6940">
                  <w:pPr>
                    <w:pStyle w:val="TableBodyText"/>
                    <w:jc w:val="left"/>
                  </w:pPr>
                  <w:r w:rsidRPr="00EF7969">
                    <w:t>One Door Wagga Wagga</w:t>
                  </w:r>
                </w:p>
              </w:tc>
              <w:tc>
                <w:tcPr>
                  <w:tcW w:w="2500" w:type="pct"/>
                </w:tcPr>
                <w:p w14:paraId="3DCC5868" w14:textId="77777777" w:rsidR="009C6940" w:rsidRPr="00EF7969" w:rsidRDefault="009C6940" w:rsidP="009C6940">
                  <w:pPr>
                    <w:pStyle w:val="TableBodyText"/>
                    <w:jc w:val="left"/>
                  </w:pPr>
                </w:p>
              </w:tc>
            </w:tr>
            <w:tr w:rsidR="009C6940" w:rsidRPr="00EF7969" w14:paraId="59EB946A" w14:textId="77777777" w:rsidTr="009C6940">
              <w:tc>
                <w:tcPr>
                  <w:tcW w:w="2500" w:type="pct"/>
                </w:tcPr>
                <w:p w14:paraId="362E3E04" w14:textId="77777777" w:rsidR="009C6940" w:rsidRPr="00EF7969" w:rsidRDefault="009C6940" w:rsidP="009C6940">
                  <w:pPr>
                    <w:pStyle w:val="TableBodyText"/>
                    <w:jc w:val="left"/>
                  </w:pPr>
                  <w:r w:rsidRPr="00EF7969">
                    <w:t>Orygen</w:t>
                  </w:r>
                </w:p>
              </w:tc>
              <w:tc>
                <w:tcPr>
                  <w:tcW w:w="2500" w:type="pct"/>
                </w:tcPr>
                <w:p w14:paraId="270DDD32" w14:textId="77777777" w:rsidR="009C6940" w:rsidRPr="00EF7969" w:rsidRDefault="009C6940" w:rsidP="009C6940">
                  <w:pPr>
                    <w:pStyle w:val="TableBodyText"/>
                    <w:jc w:val="left"/>
                  </w:pPr>
                </w:p>
              </w:tc>
            </w:tr>
            <w:tr w:rsidR="009C6940" w:rsidRPr="00EF7969" w14:paraId="434E868E" w14:textId="77777777" w:rsidTr="009C6940">
              <w:tc>
                <w:tcPr>
                  <w:tcW w:w="2500" w:type="pct"/>
                  <w:tcBorders>
                    <w:bottom w:val="single" w:sz="4" w:space="0" w:color="D9D9D9"/>
                  </w:tcBorders>
                </w:tcPr>
                <w:p w14:paraId="3DA98AC3" w14:textId="77777777" w:rsidR="009C6940" w:rsidRPr="00EF7969" w:rsidRDefault="009C6940" w:rsidP="009C6940">
                  <w:pPr>
                    <w:pStyle w:val="TableBodyText"/>
                    <w:jc w:val="left"/>
                  </w:pPr>
                  <w:r w:rsidRPr="00EF7969">
                    <w:t>Outback Futures</w:t>
                  </w:r>
                </w:p>
              </w:tc>
              <w:tc>
                <w:tcPr>
                  <w:tcW w:w="2500" w:type="pct"/>
                </w:tcPr>
                <w:p w14:paraId="2C3D3607" w14:textId="77777777" w:rsidR="009C6940" w:rsidRPr="00EF7969" w:rsidRDefault="009C6940" w:rsidP="009C6940">
                  <w:pPr>
                    <w:pStyle w:val="TableBodyText"/>
                    <w:jc w:val="left"/>
                  </w:pPr>
                </w:p>
              </w:tc>
            </w:tr>
          </w:tbl>
          <w:p w14:paraId="368CD186" w14:textId="77777777" w:rsidR="009C6940" w:rsidRPr="00EF7969" w:rsidRDefault="009C6940" w:rsidP="009C6940">
            <w:pPr>
              <w:pStyle w:val="Box"/>
            </w:pPr>
          </w:p>
        </w:tc>
      </w:tr>
      <w:tr w:rsidR="009C6940" w:rsidRPr="00EF7969" w14:paraId="582A3668" w14:textId="77777777" w:rsidTr="009C6940">
        <w:tc>
          <w:tcPr>
            <w:tcW w:w="5000" w:type="pct"/>
            <w:tcBorders>
              <w:top w:val="nil"/>
              <w:left w:val="nil"/>
              <w:bottom w:val="nil"/>
              <w:right w:val="nil"/>
            </w:tcBorders>
            <w:shd w:val="clear" w:color="auto" w:fill="auto"/>
          </w:tcPr>
          <w:p w14:paraId="128D7766" w14:textId="77777777" w:rsidR="009C6940" w:rsidRPr="00EF7969" w:rsidRDefault="009C6940" w:rsidP="009C6940">
            <w:pPr>
              <w:pStyle w:val="Continued"/>
              <w:spacing w:before="120"/>
            </w:pPr>
            <w:r w:rsidRPr="00EF7969">
              <w:t>(continued next page)</w:t>
            </w:r>
          </w:p>
        </w:tc>
      </w:tr>
      <w:tr w:rsidR="009C6940" w:rsidRPr="00EF7969" w14:paraId="5A515A4B" w14:textId="77777777" w:rsidTr="009C6940">
        <w:tc>
          <w:tcPr>
            <w:tcW w:w="5000" w:type="pct"/>
            <w:tcBorders>
              <w:top w:val="nil"/>
              <w:left w:val="nil"/>
              <w:bottom w:val="single" w:sz="6" w:space="0" w:color="78A22F"/>
              <w:right w:val="nil"/>
            </w:tcBorders>
            <w:shd w:val="clear" w:color="auto" w:fill="auto"/>
          </w:tcPr>
          <w:p w14:paraId="66761004" w14:textId="77777777" w:rsidR="009C6940" w:rsidRPr="00EF7969" w:rsidRDefault="009C6940" w:rsidP="009C6940">
            <w:pPr>
              <w:pStyle w:val="Box"/>
              <w:keepNext w:val="0"/>
              <w:widowControl w:val="0"/>
              <w:spacing w:before="0" w:line="120" w:lineRule="exact"/>
            </w:pPr>
          </w:p>
        </w:tc>
      </w:tr>
      <w:tr w:rsidR="009C6940" w:rsidRPr="00EF7969" w14:paraId="28B6BE32" w14:textId="77777777" w:rsidTr="009C6940">
        <w:tc>
          <w:tcPr>
            <w:tcW w:w="5000" w:type="pct"/>
            <w:tcBorders>
              <w:top w:val="single" w:sz="6" w:space="0" w:color="78A22F"/>
              <w:left w:val="nil"/>
              <w:bottom w:val="nil"/>
              <w:right w:val="nil"/>
            </w:tcBorders>
          </w:tcPr>
          <w:p w14:paraId="7E01DE36" w14:textId="77777777" w:rsidR="009C6940" w:rsidRPr="00EF7969" w:rsidRDefault="009C6940" w:rsidP="009C6940">
            <w:pPr>
              <w:pStyle w:val="BoxSpaceBelow"/>
            </w:pPr>
          </w:p>
        </w:tc>
      </w:tr>
    </w:tbl>
    <w:p w14:paraId="05AB5251"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429E91B7" w14:textId="77777777" w:rsidTr="009C6940">
        <w:trPr>
          <w:tblHeader/>
        </w:trPr>
        <w:tc>
          <w:tcPr>
            <w:tcW w:w="5000" w:type="pct"/>
            <w:tcBorders>
              <w:top w:val="single" w:sz="6" w:space="0" w:color="78A22F"/>
              <w:left w:val="nil"/>
              <w:bottom w:val="nil"/>
              <w:right w:val="nil"/>
            </w:tcBorders>
            <w:shd w:val="clear" w:color="auto" w:fill="auto"/>
          </w:tcPr>
          <w:p w14:paraId="1881B236" w14:textId="77777777" w:rsidR="009C6940" w:rsidRPr="00EF7969" w:rsidRDefault="009C6940" w:rsidP="009C6940">
            <w:pPr>
              <w:pStyle w:val="TableTitle"/>
            </w:pPr>
            <w:r w:rsidRPr="00EF7969">
              <w:rPr>
                <w:b w:val="0"/>
              </w:rPr>
              <w:t xml:space="preserve">Table </w:t>
            </w:r>
            <w:r>
              <w:rPr>
                <w:b w:val="0"/>
              </w:rPr>
              <w:t>B.</w:t>
            </w:r>
            <w:r w:rsidRPr="00EF7969">
              <w:rPr>
                <w:b w:val="0"/>
                <w:noProof/>
              </w:rPr>
              <w:t>3</w:t>
            </w:r>
            <w:r w:rsidRPr="00EF7969">
              <w:tab/>
            </w:r>
            <w:r w:rsidRPr="00EF7969">
              <w:rPr>
                <w:rStyle w:val="Continuedintitle"/>
              </w:rPr>
              <w:t>(continued)</w:t>
            </w:r>
          </w:p>
        </w:tc>
      </w:tr>
      <w:tr w:rsidR="009C6940" w:rsidRPr="00EF7969" w14:paraId="7A1674AB" w14:textId="77777777" w:rsidTr="009C6940">
        <w:tc>
          <w:tcPr>
            <w:tcW w:w="5000" w:type="pct"/>
            <w:tcBorders>
              <w:top w:val="nil"/>
              <w:left w:val="nil"/>
              <w:bottom w:val="nil"/>
              <w:right w:val="nil"/>
            </w:tcBorders>
            <w:shd w:val="clear" w:color="auto" w:fill="auto"/>
          </w:tcPr>
          <w:tbl>
            <w:tblPr>
              <w:tblW w:w="17010" w:type="dxa"/>
              <w:tblBorders>
                <w:top w:val="single" w:sz="6" w:space="0" w:color="BFBFBF"/>
              </w:tblBorders>
              <w:tblCellMar>
                <w:top w:w="28" w:type="dxa"/>
                <w:left w:w="0" w:type="dxa"/>
                <w:right w:w="0" w:type="dxa"/>
              </w:tblCellMar>
              <w:tblLook w:val="0000" w:firstRow="0" w:lastRow="0" w:firstColumn="0" w:lastColumn="0" w:noHBand="0" w:noVBand="0"/>
            </w:tblPr>
            <w:tblGrid>
              <w:gridCol w:w="8505"/>
              <w:gridCol w:w="8505"/>
            </w:tblGrid>
            <w:tr w:rsidR="009C6940" w:rsidRPr="00EF7969" w14:paraId="7D67F286" w14:textId="77777777" w:rsidTr="009C6940">
              <w:tc>
                <w:tcPr>
                  <w:tcW w:w="2500" w:type="pct"/>
                </w:tcPr>
                <w:p w14:paraId="5848F9FD" w14:textId="77777777" w:rsidR="009C6940" w:rsidRPr="00EF7969" w:rsidRDefault="009C6940" w:rsidP="009C6940">
                  <w:pPr>
                    <w:pStyle w:val="TableBodyText"/>
                    <w:spacing w:before="40"/>
                    <w:jc w:val="left"/>
                  </w:pPr>
                  <w:r w:rsidRPr="00EF7969">
                    <w:t>OzHelp</w:t>
                  </w:r>
                </w:p>
              </w:tc>
              <w:tc>
                <w:tcPr>
                  <w:tcW w:w="2500" w:type="pct"/>
                </w:tcPr>
                <w:p w14:paraId="02AB36F4" w14:textId="77777777" w:rsidR="009C6940" w:rsidRPr="00EF7969" w:rsidRDefault="009C6940" w:rsidP="009C6940">
                  <w:pPr>
                    <w:pStyle w:val="TableBodyText"/>
                    <w:jc w:val="left"/>
                  </w:pPr>
                </w:p>
              </w:tc>
            </w:tr>
            <w:tr w:rsidR="009C6940" w:rsidRPr="00EF7969" w14:paraId="0E512AE4" w14:textId="77777777" w:rsidTr="009C6940">
              <w:tc>
                <w:tcPr>
                  <w:tcW w:w="2500" w:type="pct"/>
                </w:tcPr>
                <w:p w14:paraId="17CFEE41" w14:textId="77777777" w:rsidR="009C6940" w:rsidRDefault="009C6940" w:rsidP="009C6940">
                  <w:pPr>
                    <w:pStyle w:val="TableBodyText"/>
                    <w:jc w:val="left"/>
                  </w:pPr>
                  <w:r w:rsidRPr="00EF7969">
                    <w:t>Pandsi</w:t>
                  </w:r>
                </w:p>
              </w:tc>
              <w:tc>
                <w:tcPr>
                  <w:tcW w:w="2500" w:type="pct"/>
                </w:tcPr>
                <w:p w14:paraId="1EF3E97D" w14:textId="77777777" w:rsidR="009C6940" w:rsidRPr="00EF7969" w:rsidRDefault="009C6940" w:rsidP="009C6940">
                  <w:pPr>
                    <w:pStyle w:val="TableBodyText"/>
                    <w:jc w:val="left"/>
                  </w:pPr>
                </w:p>
              </w:tc>
            </w:tr>
            <w:tr w:rsidR="009C6940" w:rsidRPr="00EF7969" w14:paraId="71E92548" w14:textId="77777777" w:rsidTr="009C6940">
              <w:tc>
                <w:tcPr>
                  <w:tcW w:w="2500" w:type="pct"/>
                </w:tcPr>
                <w:p w14:paraId="5AE7356F" w14:textId="77777777" w:rsidR="009C6940" w:rsidRPr="00EF7969" w:rsidRDefault="009C6940" w:rsidP="009C6940">
                  <w:pPr>
                    <w:pStyle w:val="TableBodyText"/>
                    <w:jc w:val="left"/>
                  </w:pPr>
                  <w:r w:rsidRPr="00EF7969">
                    <w:t>Peer Participation in Mental Health Service Network</w:t>
                  </w:r>
                </w:p>
              </w:tc>
              <w:tc>
                <w:tcPr>
                  <w:tcW w:w="2500" w:type="pct"/>
                </w:tcPr>
                <w:p w14:paraId="72F9BD89" w14:textId="77777777" w:rsidR="009C6940" w:rsidRPr="00EF7969" w:rsidRDefault="009C6940" w:rsidP="009C6940">
                  <w:pPr>
                    <w:pStyle w:val="TableBodyText"/>
                    <w:jc w:val="left"/>
                  </w:pPr>
                </w:p>
              </w:tc>
            </w:tr>
            <w:tr w:rsidR="009C6940" w:rsidRPr="00EF7969" w14:paraId="33012298" w14:textId="77777777" w:rsidTr="009C6940">
              <w:tc>
                <w:tcPr>
                  <w:tcW w:w="2500" w:type="pct"/>
                </w:tcPr>
                <w:p w14:paraId="18482662" w14:textId="77777777" w:rsidR="009C6940" w:rsidRPr="00EF7969" w:rsidRDefault="009C6940" w:rsidP="009C6940">
                  <w:pPr>
                    <w:pStyle w:val="TableBodyText"/>
                    <w:jc w:val="left"/>
                  </w:pPr>
                  <w:r w:rsidRPr="00EF7969">
                    <w:t>Peggy Brown</w:t>
                  </w:r>
                </w:p>
              </w:tc>
              <w:tc>
                <w:tcPr>
                  <w:tcW w:w="2500" w:type="pct"/>
                </w:tcPr>
                <w:p w14:paraId="22F52E62" w14:textId="77777777" w:rsidR="009C6940" w:rsidRPr="00EF7969" w:rsidRDefault="009C6940" w:rsidP="009C6940">
                  <w:pPr>
                    <w:pStyle w:val="TableBodyText"/>
                    <w:jc w:val="left"/>
                  </w:pPr>
                </w:p>
              </w:tc>
            </w:tr>
            <w:tr w:rsidR="009C6940" w:rsidRPr="00EF7969" w14:paraId="6F2222BD" w14:textId="77777777" w:rsidTr="009C6940">
              <w:tc>
                <w:tcPr>
                  <w:tcW w:w="2500" w:type="pct"/>
                </w:tcPr>
                <w:p w14:paraId="4D98F583" w14:textId="77777777" w:rsidR="009C6940" w:rsidRPr="00EF7969" w:rsidRDefault="009C6940" w:rsidP="009C6940">
                  <w:pPr>
                    <w:pStyle w:val="TableBodyText"/>
                    <w:jc w:val="left"/>
                  </w:pPr>
                  <w:r w:rsidRPr="00EF7969">
                    <w:t>Philip Burgess</w:t>
                  </w:r>
                </w:p>
              </w:tc>
              <w:tc>
                <w:tcPr>
                  <w:tcW w:w="2500" w:type="pct"/>
                </w:tcPr>
                <w:p w14:paraId="000F89B2" w14:textId="77777777" w:rsidR="009C6940" w:rsidRPr="00EF7969" w:rsidRDefault="009C6940" w:rsidP="009C6940">
                  <w:pPr>
                    <w:pStyle w:val="TableBodyText"/>
                    <w:jc w:val="left"/>
                  </w:pPr>
                </w:p>
              </w:tc>
            </w:tr>
            <w:tr w:rsidR="009C6940" w:rsidRPr="00EF7969" w14:paraId="140EF706" w14:textId="77777777" w:rsidTr="009C6940">
              <w:tc>
                <w:tcPr>
                  <w:tcW w:w="2500" w:type="pct"/>
                </w:tcPr>
                <w:p w14:paraId="0B9BABE5" w14:textId="77777777" w:rsidR="009C6940" w:rsidRPr="00EF7969" w:rsidRDefault="009C6940" w:rsidP="009C6940">
                  <w:pPr>
                    <w:pStyle w:val="TableBodyText"/>
                    <w:jc w:val="left"/>
                  </w:pPr>
                  <w:r w:rsidRPr="00EF7969">
                    <w:t>Primary Health Network Tasmania</w:t>
                  </w:r>
                </w:p>
              </w:tc>
              <w:tc>
                <w:tcPr>
                  <w:tcW w:w="2500" w:type="pct"/>
                </w:tcPr>
                <w:p w14:paraId="6E1E1B6C" w14:textId="77777777" w:rsidR="009C6940" w:rsidRPr="00EF7969" w:rsidRDefault="009C6940" w:rsidP="009C6940">
                  <w:pPr>
                    <w:pStyle w:val="TableBodyText"/>
                    <w:jc w:val="left"/>
                  </w:pPr>
                </w:p>
              </w:tc>
            </w:tr>
            <w:tr w:rsidR="009C6940" w:rsidRPr="00EF7969" w14:paraId="210CAFB7" w14:textId="77777777" w:rsidTr="009C6940">
              <w:tc>
                <w:tcPr>
                  <w:tcW w:w="2500" w:type="pct"/>
                </w:tcPr>
                <w:p w14:paraId="1D274D2A" w14:textId="77777777" w:rsidR="009C6940" w:rsidRPr="00EF7969" w:rsidRDefault="009C6940" w:rsidP="009C6940">
                  <w:pPr>
                    <w:pStyle w:val="TableBodyText"/>
                    <w:jc w:val="left"/>
                  </w:pPr>
                  <w:r w:rsidRPr="00EF7969">
                    <w:t>Qantas</w:t>
                  </w:r>
                </w:p>
              </w:tc>
              <w:tc>
                <w:tcPr>
                  <w:tcW w:w="2500" w:type="pct"/>
                </w:tcPr>
                <w:p w14:paraId="07C80FA4" w14:textId="77777777" w:rsidR="009C6940" w:rsidRPr="00EF7969" w:rsidRDefault="009C6940" w:rsidP="009C6940">
                  <w:pPr>
                    <w:pStyle w:val="TableBodyText"/>
                    <w:jc w:val="left"/>
                  </w:pPr>
                </w:p>
              </w:tc>
            </w:tr>
            <w:tr w:rsidR="009C6940" w:rsidRPr="00EF7969" w14:paraId="272E91F8" w14:textId="77777777" w:rsidTr="009C6940">
              <w:tc>
                <w:tcPr>
                  <w:tcW w:w="2500" w:type="pct"/>
                </w:tcPr>
                <w:p w14:paraId="7EBDCE9A" w14:textId="77777777" w:rsidR="009C6940" w:rsidRPr="00EF7969" w:rsidRDefault="009C6940" w:rsidP="009C6940">
                  <w:pPr>
                    <w:pStyle w:val="TableBodyText"/>
                    <w:jc w:val="left"/>
                  </w:pPr>
                  <w:r w:rsidRPr="00EF7969">
                    <w:t>QBE Insurance</w:t>
                  </w:r>
                </w:p>
              </w:tc>
              <w:tc>
                <w:tcPr>
                  <w:tcW w:w="2500" w:type="pct"/>
                </w:tcPr>
                <w:p w14:paraId="52ABE2F4" w14:textId="77777777" w:rsidR="009C6940" w:rsidRPr="00EF7969" w:rsidRDefault="009C6940" w:rsidP="009C6940">
                  <w:pPr>
                    <w:pStyle w:val="TableBodyText"/>
                    <w:jc w:val="left"/>
                  </w:pPr>
                </w:p>
              </w:tc>
            </w:tr>
            <w:tr w:rsidR="009C6940" w:rsidRPr="00EF7969" w14:paraId="389F4E80" w14:textId="77777777" w:rsidTr="009C6940">
              <w:tc>
                <w:tcPr>
                  <w:tcW w:w="2500" w:type="pct"/>
                </w:tcPr>
                <w:p w14:paraId="40A29D14" w14:textId="77777777" w:rsidR="009C6940" w:rsidRPr="00EF7969" w:rsidRDefault="009C6940" w:rsidP="009C6940">
                  <w:pPr>
                    <w:pStyle w:val="TableBodyText"/>
                    <w:jc w:val="left"/>
                  </w:pPr>
                  <w:r>
                    <w:t>Queensland</w:t>
                  </w:r>
                  <w:r w:rsidRPr="00EF7969">
                    <w:t xml:space="preserve"> Alliance for Mental Health</w:t>
                  </w:r>
                </w:p>
              </w:tc>
              <w:tc>
                <w:tcPr>
                  <w:tcW w:w="2500" w:type="pct"/>
                </w:tcPr>
                <w:p w14:paraId="3970D4C5" w14:textId="77777777" w:rsidR="009C6940" w:rsidRPr="00EF7969" w:rsidRDefault="009C6940" w:rsidP="009C6940">
                  <w:pPr>
                    <w:pStyle w:val="TableBodyText"/>
                    <w:jc w:val="left"/>
                  </w:pPr>
                </w:p>
              </w:tc>
            </w:tr>
            <w:tr w:rsidR="009C6940" w:rsidRPr="00EF7969" w14:paraId="2D800410" w14:textId="77777777" w:rsidTr="009C6940">
              <w:tc>
                <w:tcPr>
                  <w:tcW w:w="2500" w:type="pct"/>
                </w:tcPr>
                <w:p w14:paraId="52936289" w14:textId="77777777" w:rsidR="009C6940" w:rsidRPr="00EF7969" w:rsidRDefault="009C6940" w:rsidP="009C6940">
                  <w:pPr>
                    <w:pStyle w:val="TableBodyText"/>
                    <w:jc w:val="left"/>
                  </w:pPr>
                  <w:r>
                    <w:t>Queensland</w:t>
                  </w:r>
                  <w:r w:rsidRPr="00EF7969">
                    <w:t xml:space="preserve"> Centre for Mental Health Research</w:t>
                  </w:r>
                </w:p>
              </w:tc>
              <w:tc>
                <w:tcPr>
                  <w:tcW w:w="2500" w:type="pct"/>
                </w:tcPr>
                <w:p w14:paraId="7B37FA08" w14:textId="77777777" w:rsidR="009C6940" w:rsidRPr="00EF7969" w:rsidRDefault="009C6940" w:rsidP="009C6940">
                  <w:pPr>
                    <w:pStyle w:val="TableBodyText"/>
                    <w:jc w:val="left"/>
                  </w:pPr>
                </w:p>
              </w:tc>
            </w:tr>
            <w:tr w:rsidR="009C6940" w:rsidRPr="00EF7969" w14:paraId="03D93C34" w14:textId="77777777" w:rsidTr="009C6940">
              <w:tc>
                <w:tcPr>
                  <w:tcW w:w="2500" w:type="pct"/>
                </w:tcPr>
                <w:p w14:paraId="232896BB" w14:textId="77777777" w:rsidR="009C6940" w:rsidRPr="00EF7969" w:rsidRDefault="009C6940" w:rsidP="009C6940">
                  <w:pPr>
                    <w:pStyle w:val="TableBodyText"/>
                    <w:jc w:val="left"/>
                  </w:pPr>
                  <w:r>
                    <w:t>Queensland</w:t>
                  </w:r>
                  <w:r w:rsidRPr="00EF7969">
                    <w:t xml:space="preserve"> Department Communities, Disability Services and Seniors</w:t>
                  </w:r>
                </w:p>
              </w:tc>
              <w:tc>
                <w:tcPr>
                  <w:tcW w:w="2500" w:type="pct"/>
                </w:tcPr>
                <w:p w14:paraId="672B5142" w14:textId="77777777" w:rsidR="009C6940" w:rsidRPr="00EF7969" w:rsidRDefault="009C6940" w:rsidP="009C6940">
                  <w:pPr>
                    <w:pStyle w:val="TableBodyText"/>
                    <w:jc w:val="left"/>
                  </w:pPr>
                </w:p>
              </w:tc>
            </w:tr>
            <w:tr w:rsidR="009C6940" w:rsidRPr="00EF7969" w14:paraId="264A08BA" w14:textId="77777777" w:rsidTr="009C6940">
              <w:tc>
                <w:tcPr>
                  <w:tcW w:w="2500" w:type="pct"/>
                </w:tcPr>
                <w:p w14:paraId="3FE74798" w14:textId="77777777" w:rsidR="009C6940" w:rsidRPr="00EF7969" w:rsidRDefault="009C6940" w:rsidP="009C6940">
                  <w:pPr>
                    <w:pStyle w:val="TableBodyText"/>
                    <w:jc w:val="left"/>
                  </w:pPr>
                  <w:r>
                    <w:t>Queensland</w:t>
                  </w:r>
                  <w:r w:rsidRPr="00EF7969">
                    <w:t xml:space="preserve"> Department of Housing and Public Works</w:t>
                  </w:r>
                </w:p>
              </w:tc>
              <w:tc>
                <w:tcPr>
                  <w:tcW w:w="2500" w:type="pct"/>
                </w:tcPr>
                <w:p w14:paraId="26B26E9B" w14:textId="77777777" w:rsidR="009C6940" w:rsidRPr="00EF7969" w:rsidRDefault="009C6940" w:rsidP="009C6940">
                  <w:pPr>
                    <w:pStyle w:val="TableBodyText"/>
                    <w:jc w:val="left"/>
                  </w:pPr>
                </w:p>
              </w:tc>
            </w:tr>
            <w:tr w:rsidR="009C6940" w:rsidRPr="00EF7969" w14:paraId="54352A7D" w14:textId="77777777" w:rsidTr="009C6940">
              <w:tc>
                <w:tcPr>
                  <w:tcW w:w="2500" w:type="pct"/>
                </w:tcPr>
                <w:p w14:paraId="013D87F0" w14:textId="77777777" w:rsidR="009C6940" w:rsidRPr="00EF7969" w:rsidRDefault="009C6940" w:rsidP="009C6940">
                  <w:pPr>
                    <w:pStyle w:val="TableBodyText"/>
                    <w:jc w:val="left"/>
                  </w:pPr>
                  <w:r>
                    <w:t>Queensland</w:t>
                  </w:r>
                  <w:r w:rsidRPr="00EF7969">
                    <w:t xml:space="preserve"> Health</w:t>
                  </w:r>
                </w:p>
              </w:tc>
              <w:tc>
                <w:tcPr>
                  <w:tcW w:w="2500" w:type="pct"/>
                </w:tcPr>
                <w:p w14:paraId="3094B6CA" w14:textId="77777777" w:rsidR="009C6940" w:rsidRPr="00EF7969" w:rsidRDefault="009C6940" w:rsidP="009C6940">
                  <w:pPr>
                    <w:pStyle w:val="TableBodyText"/>
                    <w:jc w:val="left"/>
                  </w:pPr>
                </w:p>
              </w:tc>
            </w:tr>
            <w:tr w:rsidR="009C6940" w:rsidRPr="00EF7969" w14:paraId="1BB7B14E" w14:textId="77777777" w:rsidTr="009C6940">
              <w:tc>
                <w:tcPr>
                  <w:tcW w:w="2500" w:type="pct"/>
                </w:tcPr>
                <w:p w14:paraId="16ABF137" w14:textId="77777777" w:rsidR="009C6940" w:rsidRPr="00EF7969" w:rsidRDefault="009C6940" w:rsidP="009C6940">
                  <w:pPr>
                    <w:pStyle w:val="TableBodyText"/>
                    <w:jc w:val="left"/>
                  </w:pPr>
                  <w:r>
                    <w:t>Queensland</w:t>
                  </w:r>
                  <w:r w:rsidRPr="00EF7969">
                    <w:t xml:space="preserve"> Mental Health Commission</w:t>
                  </w:r>
                </w:p>
              </w:tc>
              <w:tc>
                <w:tcPr>
                  <w:tcW w:w="2500" w:type="pct"/>
                </w:tcPr>
                <w:p w14:paraId="5D518712" w14:textId="77777777" w:rsidR="009C6940" w:rsidRPr="00EF7969" w:rsidRDefault="009C6940" w:rsidP="009C6940">
                  <w:pPr>
                    <w:pStyle w:val="TableBodyText"/>
                    <w:jc w:val="left"/>
                  </w:pPr>
                </w:p>
              </w:tc>
            </w:tr>
            <w:tr w:rsidR="009C6940" w:rsidRPr="00EF7969" w14:paraId="151E5EBB" w14:textId="77777777" w:rsidTr="009C6940">
              <w:tc>
                <w:tcPr>
                  <w:tcW w:w="2500" w:type="pct"/>
                </w:tcPr>
                <w:p w14:paraId="7119C929" w14:textId="77777777" w:rsidR="009C6940" w:rsidRPr="00EF7969" w:rsidRDefault="009C6940" w:rsidP="009C6940">
                  <w:pPr>
                    <w:pStyle w:val="TableBodyText"/>
                    <w:jc w:val="left"/>
                  </w:pPr>
                  <w:r>
                    <w:t>Queensland</w:t>
                  </w:r>
                  <w:r w:rsidRPr="00EF7969">
                    <w:t xml:space="preserve"> Office of the Chief Psychiatrist</w:t>
                  </w:r>
                </w:p>
              </w:tc>
              <w:tc>
                <w:tcPr>
                  <w:tcW w:w="2500" w:type="pct"/>
                </w:tcPr>
                <w:p w14:paraId="05472335" w14:textId="77777777" w:rsidR="009C6940" w:rsidRPr="00EF7969" w:rsidRDefault="009C6940" w:rsidP="009C6940">
                  <w:pPr>
                    <w:pStyle w:val="TableBodyText"/>
                    <w:jc w:val="left"/>
                  </w:pPr>
                </w:p>
              </w:tc>
            </w:tr>
            <w:tr w:rsidR="009C6940" w:rsidRPr="00EF7969" w14:paraId="5A7CA65D" w14:textId="77777777" w:rsidTr="009C6940">
              <w:tc>
                <w:tcPr>
                  <w:tcW w:w="2500" w:type="pct"/>
                </w:tcPr>
                <w:p w14:paraId="4924E16F" w14:textId="77777777" w:rsidR="009C6940" w:rsidRPr="00EF7969" w:rsidRDefault="009C6940" w:rsidP="009C6940">
                  <w:pPr>
                    <w:pStyle w:val="TableBodyText"/>
                    <w:jc w:val="left"/>
                  </w:pPr>
                  <w:r w:rsidRPr="00EF7969">
                    <w:t>Recovery Camp</w:t>
                  </w:r>
                </w:p>
              </w:tc>
              <w:tc>
                <w:tcPr>
                  <w:tcW w:w="2500" w:type="pct"/>
                </w:tcPr>
                <w:p w14:paraId="26E92D54" w14:textId="77777777" w:rsidR="009C6940" w:rsidRPr="00EF7969" w:rsidRDefault="009C6940" w:rsidP="009C6940">
                  <w:pPr>
                    <w:pStyle w:val="TableBodyText"/>
                    <w:jc w:val="left"/>
                  </w:pPr>
                </w:p>
              </w:tc>
            </w:tr>
            <w:tr w:rsidR="009C6940" w:rsidRPr="00EF7969" w14:paraId="4DB6F3D6" w14:textId="77777777" w:rsidTr="009C6940">
              <w:tc>
                <w:tcPr>
                  <w:tcW w:w="2500" w:type="pct"/>
                </w:tcPr>
                <w:p w14:paraId="7B07161F" w14:textId="77777777" w:rsidR="009C6940" w:rsidRPr="00EF7969" w:rsidRDefault="009C6940" w:rsidP="009C6940">
                  <w:pPr>
                    <w:pStyle w:val="TableBodyText"/>
                    <w:jc w:val="left"/>
                  </w:pPr>
                  <w:r w:rsidRPr="00EF7969">
                    <w:t>Regional and Rural Mental Health Services</w:t>
                  </w:r>
                </w:p>
              </w:tc>
              <w:tc>
                <w:tcPr>
                  <w:tcW w:w="2500" w:type="pct"/>
                </w:tcPr>
                <w:p w14:paraId="59E8A962" w14:textId="77777777" w:rsidR="009C6940" w:rsidRPr="00EF7969" w:rsidRDefault="009C6940" w:rsidP="009C6940">
                  <w:pPr>
                    <w:pStyle w:val="TableBodyText"/>
                    <w:jc w:val="left"/>
                  </w:pPr>
                </w:p>
              </w:tc>
            </w:tr>
            <w:tr w:rsidR="009C6940" w:rsidRPr="00EF7969" w14:paraId="05A1BA7C" w14:textId="77777777" w:rsidTr="009C6940">
              <w:tc>
                <w:tcPr>
                  <w:tcW w:w="2500" w:type="pct"/>
                </w:tcPr>
                <w:p w14:paraId="7EB52D68" w14:textId="77777777" w:rsidR="009C6940" w:rsidRPr="00EF7969" w:rsidRDefault="009C6940" w:rsidP="009C6940">
                  <w:pPr>
                    <w:pStyle w:val="TableBodyText"/>
                    <w:jc w:val="left"/>
                  </w:pPr>
                  <w:r w:rsidRPr="00EF7969">
                    <w:t>Regional Australia Institute</w:t>
                  </w:r>
                </w:p>
              </w:tc>
              <w:tc>
                <w:tcPr>
                  <w:tcW w:w="2500" w:type="pct"/>
                </w:tcPr>
                <w:p w14:paraId="079BF8BA" w14:textId="77777777" w:rsidR="009C6940" w:rsidRPr="00EF7969" w:rsidRDefault="009C6940" w:rsidP="009C6940">
                  <w:pPr>
                    <w:pStyle w:val="TableBodyText"/>
                    <w:jc w:val="left"/>
                  </w:pPr>
                </w:p>
              </w:tc>
            </w:tr>
            <w:tr w:rsidR="009C6940" w:rsidRPr="00EF7969" w14:paraId="72437C9A" w14:textId="77777777" w:rsidTr="009C6940">
              <w:tc>
                <w:tcPr>
                  <w:tcW w:w="2500" w:type="pct"/>
                </w:tcPr>
                <w:p w14:paraId="287BE264" w14:textId="77777777" w:rsidR="009C6940" w:rsidRPr="00EF7969" w:rsidRDefault="009C6940" w:rsidP="009C6940">
                  <w:pPr>
                    <w:pStyle w:val="TableBodyText"/>
                    <w:jc w:val="left"/>
                  </w:pPr>
                  <w:r w:rsidRPr="00EF7969">
                    <w:t>Relationships Australia</w:t>
                  </w:r>
                </w:p>
              </w:tc>
              <w:tc>
                <w:tcPr>
                  <w:tcW w:w="2500" w:type="pct"/>
                </w:tcPr>
                <w:p w14:paraId="33A8EAC6" w14:textId="77777777" w:rsidR="009C6940" w:rsidRPr="00EF7969" w:rsidRDefault="009C6940" w:rsidP="009C6940">
                  <w:pPr>
                    <w:pStyle w:val="TableBodyText"/>
                    <w:jc w:val="left"/>
                  </w:pPr>
                </w:p>
              </w:tc>
            </w:tr>
            <w:tr w:rsidR="009C6940" w:rsidRPr="00EF7969" w14:paraId="0B87FC1C" w14:textId="77777777" w:rsidTr="009C6940">
              <w:tc>
                <w:tcPr>
                  <w:tcW w:w="2500" w:type="pct"/>
                </w:tcPr>
                <w:p w14:paraId="22101583" w14:textId="77777777" w:rsidR="009C6940" w:rsidRPr="00EF7969" w:rsidRDefault="009C6940" w:rsidP="009C6940">
                  <w:pPr>
                    <w:pStyle w:val="TableBodyText"/>
                    <w:jc w:val="left"/>
                  </w:pPr>
                  <w:r w:rsidRPr="00EF7969">
                    <w:t>Relationships Australia South Australia</w:t>
                  </w:r>
                </w:p>
              </w:tc>
              <w:tc>
                <w:tcPr>
                  <w:tcW w:w="2500" w:type="pct"/>
                </w:tcPr>
                <w:p w14:paraId="5E15F5EA" w14:textId="77777777" w:rsidR="009C6940" w:rsidRPr="00EF7969" w:rsidRDefault="009C6940" w:rsidP="009C6940">
                  <w:pPr>
                    <w:pStyle w:val="TableBodyText"/>
                    <w:jc w:val="left"/>
                  </w:pPr>
                </w:p>
              </w:tc>
            </w:tr>
            <w:tr w:rsidR="009C6940" w:rsidRPr="00EF7969" w14:paraId="1BA15AFE" w14:textId="77777777" w:rsidTr="009C6940">
              <w:tc>
                <w:tcPr>
                  <w:tcW w:w="2500" w:type="pct"/>
                </w:tcPr>
                <w:p w14:paraId="7ADF7970" w14:textId="77777777" w:rsidR="009C6940" w:rsidRPr="00EF7969" w:rsidRDefault="009C6940" w:rsidP="009C6940">
                  <w:pPr>
                    <w:pStyle w:val="TableBodyText"/>
                    <w:jc w:val="left"/>
                  </w:pPr>
                  <w:r>
                    <w:t>Review of the Clinical Governance of Public Mental Health Services in Western Australia Panel</w:t>
                  </w:r>
                </w:p>
              </w:tc>
              <w:tc>
                <w:tcPr>
                  <w:tcW w:w="2500" w:type="pct"/>
                </w:tcPr>
                <w:p w14:paraId="6A42B186" w14:textId="77777777" w:rsidR="009C6940" w:rsidRPr="00EF7969" w:rsidRDefault="009C6940" w:rsidP="009C6940">
                  <w:pPr>
                    <w:pStyle w:val="TableBodyText"/>
                    <w:jc w:val="left"/>
                  </w:pPr>
                </w:p>
              </w:tc>
            </w:tr>
            <w:tr w:rsidR="009C6940" w:rsidRPr="00EF7969" w14:paraId="0AA5E25D" w14:textId="77777777" w:rsidTr="009C6940">
              <w:tc>
                <w:tcPr>
                  <w:tcW w:w="2500" w:type="pct"/>
                </w:tcPr>
                <w:p w14:paraId="182C78AD" w14:textId="77777777" w:rsidR="009C6940" w:rsidRPr="00EF7969" w:rsidRDefault="009C6940" w:rsidP="009C6940">
                  <w:pPr>
                    <w:pStyle w:val="TableBodyText"/>
                    <w:jc w:val="left"/>
                  </w:pPr>
                  <w:r w:rsidRPr="00EF7969">
                    <w:t>Richardson and Lyons</w:t>
                  </w:r>
                </w:p>
              </w:tc>
              <w:tc>
                <w:tcPr>
                  <w:tcW w:w="2500" w:type="pct"/>
                </w:tcPr>
                <w:p w14:paraId="7D1E3360" w14:textId="77777777" w:rsidR="009C6940" w:rsidRPr="00EF7969" w:rsidRDefault="009C6940" w:rsidP="009C6940">
                  <w:pPr>
                    <w:pStyle w:val="TableBodyText"/>
                    <w:jc w:val="left"/>
                  </w:pPr>
                </w:p>
              </w:tc>
            </w:tr>
            <w:tr w:rsidR="009C6940" w:rsidRPr="00EF7969" w14:paraId="3512291B" w14:textId="77777777" w:rsidTr="009C6940">
              <w:tc>
                <w:tcPr>
                  <w:tcW w:w="2500" w:type="pct"/>
                </w:tcPr>
                <w:p w14:paraId="18E9C043" w14:textId="77777777" w:rsidR="009C6940" w:rsidRPr="00EF7969" w:rsidRDefault="009C6940" w:rsidP="009C6940">
                  <w:pPr>
                    <w:pStyle w:val="TableBodyText"/>
                    <w:jc w:val="left"/>
                  </w:pPr>
                  <w:r w:rsidRPr="00EF7969">
                    <w:t>Rivendell Clinic (North West Private Hospital)</w:t>
                  </w:r>
                </w:p>
              </w:tc>
              <w:tc>
                <w:tcPr>
                  <w:tcW w:w="2500" w:type="pct"/>
                </w:tcPr>
                <w:p w14:paraId="5A817FD6" w14:textId="77777777" w:rsidR="009C6940" w:rsidRPr="00EF7969" w:rsidRDefault="009C6940" w:rsidP="009C6940">
                  <w:pPr>
                    <w:pStyle w:val="TableBodyText"/>
                    <w:jc w:val="left"/>
                  </w:pPr>
                </w:p>
              </w:tc>
            </w:tr>
            <w:tr w:rsidR="009C6940" w:rsidRPr="00EF7969" w14:paraId="0B41D44B" w14:textId="77777777" w:rsidTr="009C6940">
              <w:tc>
                <w:tcPr>
                  <w:tcW w:w="2500" w:type="pct"/>
                </w:tcPr>
                <w:p w14:paraId="14BFCE06" w14:textId="77777777" w:rsidR="009C6940" w:rsidRPr="00EF7969" w:rsidRDefault="009C6940" w:rsidP="009C6940">
                  <w:pPr>
                    <w:pStyle w:val="TableBodyText"/>
                    <w:jc w:val="left"/>
                  </w:pPr>
                  <w:r w:rsidRPr="00EF7969">
                    <w:t>Rod Astbury</w:t>
                  </w:r>
                </w:p>
              </w:tc>
              <w:tc>
                <w:tcPr>
                  <w:tcW w:w="2500" w:type="pct"/>
                </w:tcPr>
                <w:p w14:paraId="1D4F6E29" w14:textId="77777777" w:rsidR="009C6940" w:rsidRPr="00EF7969" w:rsidRDefault="009C6940" w:rsidP="009C6940">
                  <w:pPr>
                    <w:pStyle w:val="TableBodyText"/>
                    <w:jc w:val="left"/>
                  </w:pPr>
                </w:p>
              </w:tc>
            </w:tr>
            <w:tr w:rsidR="009C6940" w:rsidRPr="00EF7969" w14:paraId="088A3B7A" w14:textId="77777777" w:rsidTr="009C6940">
              <w:tc>
                <w:tcPr>
                  <w:tcW w:w="2500" w:type="pct"/>
                </w:tcPr>
                <w:p w14:paraId="7779F9F7" w14:textId="77777777" w:rsidR="009C6940" w:rsidRPr="00EF7969" w:rsidRDefault="009C6940" w:rsidP="009C6940">
                  <w:pPr>
                    <w:pStyle w:val="TableBodyText"/>
                    <w:jc w:val="left"/>
                  </w:pPr>
                  <w:r w:rsidRPr="00EF7969">
                    <w:t>Rosebud Secondary College (Clorinda Semienowcz)</w:t>
                  </w:r>
                </w:p>
              </w:tc>
              <w:tc>
                <w:tcPr>
                  <w:tcW w:w="2500" w:type="pct"/>
                </w:tcPr>
                <w:p w14:paraId="1D7765D4" w14:textId="77777777" w:rsidR="009C6940" w:rsidRPr="00EF7969" w:rsidRDefault="009C6940" w:rsidP="009C6940">
                  <w:pPr>
                    <w:pStyle w:val="TableBodyText"/>
                    <w:jc w:val="left"/>
                  </w:pPr>
                </w:p>
              </w:tc>
            </w:tr>
            <w:tr w:rsidR="009C6940" w:rsidRPr="00EF7969" w14:paraId="23AFABBA" w14:textId="77777777" w:rsidTr="009C6940">
              <w:tc>
                <w:tcPr>
                  <w:tcW w:w="2500" w:type="pct"/>
                </w:tcPr>
                <w:p w14:paraId="3A187968" w14:textId="77777777" w:rsidR="009C6940" w:rsidRPr="00EF7969" w:rsidRDefault="009C6940" w:rsidP="009C6940">
                  <w:pPr>
                    <w:pStyle w:val="TableBodyText"/>
                    <w:jc w:val="left"/>
                  </w:pPr>
                  <w:r w:rsidRPr="00EF7969">
                    <w:t>Roses in the Ocean</w:t>
                  </w:r>
                </w:p>
              </w:tc>
              <w:tc>
                <w:tcPr>
                  <w:tcW w:w="2500" w:type="pct"/>
                </w:tcPr>
                <w:p w14:paraId="57F66C90" w14:textId="77777777" w:rsidR="009C6940" w:rsidRPr="00EF7969" w:rsidRDefault="009C6940" w:rsidP="009C6940">
                  <w:pPr>
                    <w:pStyle w:val="TableBodyText"/>
                    <w:jc w:val="left"/>
                  </w:pPr>
                </w:p>
              </w:tc>
            </w:tr>
            <w:tr w:rsidR="009C6940" w:rsidRPr="00EF7969" w14:paraId="1CF19A9F" w14:textId="77777777" w:rsidTr="009C6940">
              <w:tc>
                <w:tcPr>
                  <w:tcW w:w="2500" w:type="pct"/>
                </w:tcPr>
                <w:p w14:paraId="255BC920" w14:textId="77777777" w:rsidR="009C6940" w:rsidRPr="00EF7969" w:rsidRDefault="009C6940" w:rsidP="009C6940">
                  <w:pPr>
                    <w:pStyle w:val="TableBodyText"/>
                    <w:jc w:val="left"/>
                  </w:pPr>
                  <w:r w:rsidRPr="00EF7969">
                    <w:t>Rowena Jacobs</w:t>
                  </w:r>
                </w:p>
              </w:tc>
              <w:tc>
                <w:tcPr>
                  <w:tcW w:w="2500" w:type="pct"/>
                </w:tcPr>
                <w:p w14:paraId="4D3FA033" w14:textId="77777777" w:rsidR="009C6940" w:rsidRPr="00EF7969" w:rsidRDefault="009C6940" w:rsidP="009C6940">
                  <w:pPr>
                    <w:pStyle w:val="TableBodyText"/>
                    <w:jc w:val="left"/>
                  </w:pPr>
                </w:p>
              </w:tc>
            </w:tr>
            <w:tr w:rsidR="009C6940" w:rsidRPr="00EF7969" w14:paraId="7531195F" w14:textId="77777777" w:rsidTr="009C6940">
              <w:tc>
                <w:tcPr>
                  <w:tcW w:w="2500" w:type="pct"/>
                </w:tcPr>
                <w:p w14:paraId="7BC59449" w14:textId="77777777" w:rsidR="009C6940" w:rsidRPr="00EF7969" w:rsidRDefault="009C6940" w:rsidP="009C6940">
                  <w:pPr>
                    <w:pStyle w:val="TableBodyText"/>
                    <w:jc w:val="left"/>
                  </w:pPr>
                  <w:r w:rsidRPr="00EF7969">
                    <w:t>Roy Fagan Centre</w:t>
                  </w:r>
                </w:p>
              </w:tc>
              <w:tc>
                <w:tcPr>
                  <w:tcW w:w="2500" w:type="pct"/>
                </w:tcPr>
                <w:p w14:paraId="65D69C25" w14:textId="77777777" w:rsidR="009C6940" w:rsidRPr="00EF7969" w:rsidRDefault="009C6940" w:rsidP="009C6940">
                  <w:pPr>
                    <w:pStyle w:val="TableBodyText"/>
                    <w:jc w:val="left"/>
                  </w:pPr>
                </w:p>
              </w:tc>
            </w:tr>
            <w:tr w:rsidR="009C6940" w:rsidRPr="00EF7969" w14:paraId="783267B8" w14:textId="77777777" w:rsidTr="009C6940">
              <w:tc>
                <w:tcPr>
                  <w:tcW w:w="2500" w:type="pct"/>
                </w:tcPr>
                <w:p w14:paraId="77A73ADC" w14:textId="77777777" w:rsidR="009C6940" w:rsidRPr="00EF7969" w:rsidRDefault="009C6940" w:rsidP="009C6940">
                  <w:pPr>
                    <w:pStyle w:val="TableBodyText"/>
                    <w:jc w:val="left"/>
                  </w:pPr>
                  <w:r w:rsidRPr="00EF7969">
                    <w:t>Royal Australian and New Zealand College of Psychiatrists</w:t>
                  </w:r>
                </w:p>
              </w:tc>
              <w:tc>
                <w:tcPr>
                  <w:tcW w:w="2500" w:type="pct"/>
                </w:tcPr>
                <w:p w14:paraId="6589F2BF" w14:textId="77777777" w:rsidR="009C6940" w:rsidRPr="00EF7969" w:rsidRDefault="009C6940" w:rsidP="009C6940">
                  <w:pPr>
                    <w:pStyle w:val="TableBodyText"/>
                    <w:jc w:val="left"/>
                  </w:pPr>
                </w:p>
              </w:tc>
            </w:tr>
            <w:tr w:rsidR="009C6940" w:rsidRPr="00EF7969" w14:paraId="536507A4" w14:textId="77777777" w:rsidTr="009C6940">
              <w:tc>
                <w:tcPr>
                  <w:tcW w:w="2500" w:type="pct"/>
                </w:tcPr>
                <w:p w14:paraId="40C1F1FC" w14:textId="77777777" w:rsidR="009C6940" w:rsidRPr="00EF7969" w:rsidRDefault="009C6940" w:rsidP="009C6940">
                  <w:pPr>
                    <w:pStyle w:val="TableBodyText"/>
                    <w:jc w:val="left"/>
                  </w:pPr>
                  <w:r w:rsidRPr="00EF7969">
                    <w:t>Royal Australian College of General Practitioners</w:t>
                  </w:r>
                </w:p>
              </w:tc>
              <w:tc>
                <w:tcPr>
                  <w:tcW w:w="2500" w:type="pct"/>
                </w:tcPr>
                <w:p w14:paraId="6B6D1900" w14:textId="77777777" w:rsidR="009C6940" w:rsidRPr="00EF7969" w:rsidRDefault="009C6940" w:rsidP="009C6940">
                  <w:pPr>
                    <w:pStyle w:val="TableBodyText"/>
                    <w:jc w:val="left"/>
                  </w:pPr>
                </w:p>
              </w:tc>
            </w:tr>
            <w:tr w:rsidR="009C6940" w:rsidRPr="00EF7969" w14:paraId="612B64B2" w14:textId="77777777" w:rsidTr="009C6940">
              <w:tc>
                <w:tcPr>
                  <w:tcW w:w="2500" w:type="pct"/>
                </w:tcPr>
                <w:p w14:paraId="65E2F51E" w14:textId="77777777" w:rsidR="009C6940" w:rsidRPr="00EF7969" w:rsidRDefault="009C6940" w:rsidP="009C6940">
                  <w:pPr>
                    <w:pStyle w:val="TableBodyText"/>
                    <w:jc w:val="left"/>
                  </w:pPr>
                  <w:r w:rsidRPr="00EF7969">
                    <w:t>Royal North Shore Hospital</w:t>
                  </w:r>
                </w:p>
              </w:tc>
              <w:tc>
                <w:tcPr>
                  <w:tcW w:w="2500" w:type="pct"/>
                </w:tcPr>
                <w:p w14:paraId="4EE2783C" w14:textId="77777777" w:rsidR="009C6940" w:rsidRPr="00EF7969" w:rsidRDefault="009C6940" w:rsidP="009C6940">
                  <w:pPr>
                    <w:pStyle w:val="TableBodyText"/>
                    <w:jc w:val="left"/>
                  </w:pPr>
                </w:p>
              </w:tc>
            </w:tr>
            <w:tr w:rsidR="009C6940" w:rsidRPr="00EF7969" w14:paraId="7111042D" w14:textId="77777777" w:rsidTr="009C6940">
              <w:tc>
                <w:tcPr>
                  <w:tcW w:w="2500" w:type="pct"/>
                </w:tcPr>
                <w:p w14:paraId="58C2E4C4" w14:textId="77777777" w:rsidR="009C6940" w:rsidRPr="00EF7969" w:rsidRDefault="009C6940" w:rsidP="009C6940">
                  <w:pPr>
                    <w:pStyle w:val="TableBodyText"/>
                    <w:jc w:val="left"/>
                  </w:pPr>
                  <w:r w:rsidRPr="00EF7969">
                    <w:t>Rural &amp; Remote Mental Health</w:t>
                  </w:r>
                </w:p>
              </w:tc>
              <w:tc>
                <w:tcPr>
                  <w:tcW w:w="2500" w:type="pct"/>
                </w:tcPr>
                <w:p w14:paraId="47CF26D1" w14:textId="77777777" w:rsidR="009C6940" w:rsidRPr="00EF7969" w:rsidRDefault="009C6940" w:rsidP="009C6940">
                  <w:pPr>
                    <w:pStyle w:val="TableBodyText"/>
                    <w:jc w:val="left"/>
                  </w:pPr>
                </w:p>
              </w:tc>
            </w:tr>
            <w:tr w:rsidR="009C6940" w:rsidRPr="00EF7969" w14:paraId="25A1A87C" w14:textId="77777777" w:rsidTr="009C6940">
              <w:tc>
                <w:tcPr>
                  <w:tcW w:w="2500" w:type="pct"/>
                </w:tcPr>
                <w:p w14:paraId="34DA33E6" w14:textId="77777777" w:rsidR="009C6940" w:rsidRPr="00EF7969" w:rsidRDefault="009C6940" w:rsidP="009C6940">
                  <w:pPr>
                    <w:pStyle w:val="TableBodyText"/>
                    <w:jc w:val="left"/>
                  </w:pPr>
                  <w:r w:rsidRPr="00EF7969">
                    <w:t>Rural Health Tasmania</w:t>
                  </w:r>
                </w:p>
              </w:tc>
              <w:tc>
                <w:tcPr>
                  <w:tcW w:w="2500" w:type="pct"/>
                </w:tcPr>
                <w:p w14:paraId="3205DAA5" w14:textId="77777777" w:rsidR="009C6940" w:rsidRPr="00EF7969" w:rsidRDefault="009C6940" w:rsidP="009C6940">
                  <w:pPr>
                    <w:pStyle w:val="TableBodyText"/>
                    <w:jc w:val="left"/>
                  </w:pPr>
                </w:p>
              </w:tc>
            </w:tr>
            <w:tr w:rsidR="009C6940" w:rsidRPr="00EF7969" w14:paraId="4F23D939" w14:textId="77777777" w:rsidTr="009C6940">
              <w:tc>
                <w:tcPr>
                  <w:tcW w:w="2500" w:type="pct"/>
                </w:tcPr>
                <w:p w14:paraId="45C96DE5" w14:textId="77777777" w:rsidR="009C6940" w:rsidRPr="00EF7969" w:rsidRDefault="009C6940" w:rsidP="009C6940">
                  <w:pPr>
                    <w:pStyle w:val="TableBodyText"/>
                    <w:jc w:val="left"/>
                  </w:pPr>
                  <w:r w:rsidRPr="00EF7969">
                    <w:t>Ryde Community Centre</w:t>
                  </w:r>
                </w:p>
              </w:tc>
              <w:tc>
                <w:tcPr>
                  <w:tcW w:w="2500" w:type="pct"/>
                </w:tcPr>
                <w:p w14:paraId="5B89C3A8" w14:textId="77777777" w:rsidR="009C6940" w:rsidRPr="00EF7969" w:rsidRDefault="009C6940" w:rsidP="009C6940">
                  <w:pPr>
                    <w:pStyle w:val="TableBodyText"/>
                    <w:jc w:val="left"/>
                  </w:pPr>
                </w:p>
              </w:tc>
            </w:tr>
            <w:tr w:rsidR="009C6940" w:rsidRPr="00EF7969" w14:paraId="6D885C62" w14:textId="77777777" w:rsidTr="009C6940">
              <w:tc>
                <w:tcPr>
                  <w:tcW w:w="2500" w:type="pct"/>
                </w:tcPr>
                <w:p w14:paraId="2D514DB4" w14:textId="77777777" w:rsidR="009C6940" w:rsidRPr="00EF7969" w:rsidRDefault="009C6940" w:rsidP="009C6940">
                  <w:pPr>
                    <w:pStyle w:val="TableBodyText"/>
                    <w:jc w:val="left"/>
                  </w:pPr>
                  <w:r w:rsidRPr="00EF7969">
                    <w:t>Safe Work Australia</w:t>
                  </w:r>
                </w:p>
              </w:tc>
              <w:tc>
                <w:tcPr>
                  <w:tcW w:w="2500" w:type="pct"/>
                </w:tcPr>
                <w:p w14:paraId="231EBEBF" w14:textId="77777777" w:rsidR="009C6940" w:rsidRPr="00EF7969" w:rsidRDefault="009C6940" w:rsidP="009C6940">
                  <w:pPr>
                    <w:pStyle w:val="TableBodyText"/>
                    <w:jc w:val="left"/>
                  </w:pPr>
                </w:p>
              </w:tc>
            </w:tr>
            <w:tr w:rsidR="009C6940" w:rsidRPr="00EF7969" w14:paraId="34703951" w14:textId="77777777" w:rsidTr="009C6940">
              <w:tc>
                <w:tcPr>
                  <w:tcW w:w="2500" w:type="pct"/>
                </w:tcPr>
                <w:p w14:paraId="234D01E1" w14:textId="77777777" w:rsidR="009C6940" w:rsidRPr="00EF7969" w:rsidRDefault="009C6940" w:rsidP="009C6940">
                  <w:pPr>
                    <w:pStyle w:val="TableBodyText"/>
                    <w:jc w:val="left"/>
                  </w:pPr>
                  <w:r w:rsidRPr="00EF7969">
                    <w:t>SA Department of Education</w:t>
                  </w:r>
                </w:p>
              </w:tc>
              <w:tc>
                <w:tcPr>
                  <w:tcW w:w="2500" w:type="pct"/>
                </w:tcPr>
                <w:p w14:paraId="5C4DEC54" w14:textId="77777777" w:rsidR="009C6940" w:rsidRPr="00EF7969" w:rsidRDefault="009C6940" w:rsidP="009C6940">
                  <w:pPr>
                    <w:pStyle w:val="TableBodyText"/>
                    <w:jc w:val="left"/>
                  </w:pPr>
                </w:p>
              </w:tc>
            </w:tr>
            <w:tr w:rsidR="009C6940" w:rsidRPr="00EF7969" w14:paraId="0C986476" w14:textId="77777777" w:rsidTr="009C6940">
              <w:tc>
                <w:tcPr>
                  <w:tcW w:w="2500" w:type="pct"/>
                </w:tcPr>
                <w:p w14:paraId="5053BA5B" w14:textId="77777777" w:rsidR="009C6940" w:rsidRPr="00EF7969" w:rsidRDefault="009C6940" w:rsidP="009C6940">
                  <w:pPr>
                    <w:pStyle w:val="TableBodyText"/>
                    <w:jc w:val="left"/>
                  </w:pPr>
                  <w:r>
                    <w:t>SA Department of Health</w:t>
                  </w:r>
                </w:p>
              </w:tc>
              <w:tc>
                <w:tcPr>
                  <w:tcW w:w="2500" w:type="pct"/>
                </w:tcPr>
                <w:p w14:paraId="37211E69" w14:textId="77777777" w:rsidR="009C6940" w:rsidRPr="00EF7969" w:rsidRDefault="009C6940" w:rsidP="009C6940">
                  <w:pPr>
                    <w:pStyle w:val="TableBodyText"/>
                    <w:jc w:val="left"/>
                  </w:pPr>
                </w:p>
              </w:tc>
            </w:tr>
            <w:tr w:rsidR="009C6940" w:rsidRPr="00EF7969" w14:paraId="2B1E27DB" w14:textId="77777777" w:rsidTr="009C6940">
              <w:tc>
                <w:tcPr>
                  <w:tcW w:w="2500" w:type="pct"/>
                </w:tcPr>
                <w:p w14:paraId="4D52ACD4" w14:textId="77777777" w:rsidR="009C6940" w:rsidRPr="00EF7969" w:rsidRDefault="009C6940" w:rsidP="009C6940">
                  <w:pPr>
                    <w:pStyle w:val="TableBodyText"/>
                    <w:jc w:val="left"/>
                  </w:pPr>
                  <w:r w:rsidRPr="00EF7969">
                    <w:t>SA Mental Health CALD Community Conversation</w:t>
                  </w:r>
                </w:p>
              </w:tc>
              <w:tc>
                <w:tcPr>
                  <w:tcW w:w="2500" w:type="pct"/>
                </w:tcPr>
                <w:p w14:paraId="77BD1010" w14:textId="77777777" w:rsidR="009C6940" w:rsidRPr="00EF7969" w:rsidRDefault="009C6940" w:rsidP="009C6940">
                  <w:pPr>
                    <w:pStyle w:val="TableBodyText"/>
                    <w:jc w:val="left"/>
                  </w:pPr>
                </w:p>
              </w:tc>
            </w:tr>
            <w:tr w:rsidR="009C6940" w:rsidRPr="00EF7969" w14:paraId="6A790722" w14:textId="77777777" w:rsidTr="009C6940">
              <w:tc>
                <w:tcPr>
                  <w:tcW w:w="2500" w:type="pct"/>
                </w:tcPr>
                <w:p w14:paraId="3EEBC1B8" w14:textId="77777777" w:rsidR="009C6940" w:rsidRPr="00EF7969" w:rsidRDefault="009C6940" w:rsidP="009C6940">
                  <w:pPr>
                    <w:pStyle w:val="TableBodyText"/>
                    <w:jc w:val="left"/>
                  </w:pPr>
                  <w:r w:rsidRPr="00EF7969">
                    <w:t>SA Mental Health Commission</w:t>
                  </w:r>
                </w:p>
              </w:tc>
              <w:tc>
                <w:tcPr>
                  <w:tcW w:w="2500" w:type="pct"/>
                </w:tcPr>
                <w:p w14:paraId="75737C6B" w14:textId="77777777" w:rsidR="009C6940" w:rsidRPr="00EF7969" w:rsidRDefault="009C6940" w:rsidP="009C6940">
                  <w:pPr>
                    <w:pStyle w:val="TableBodyText"/>
                    <w:jc w:val="left"/>
                  </w:pPr>
                </w:p>
              </w:tc>
            </w:tr>
            <w:tr w:rsidR="009C6940" w:rsidRPr="00EF7969" w14:paraId="4E7EA126" w14:textId="77777777" w:rsidTr="009C6940">
              <w:tc>
                <w:tcPr>
                  <w:tcW w:w="2500" w:type="pct"/>
                </w:tcPr>
                <w:p w14:paraId="4013A3B4" w14:textId="77777777" w:rsidR="009C6940" w:rsidRPr="00EF7969" w:rsidRDefault="009C6940" w:rsidP="009C6940">
                  <w:pPr>
                    <w:pStyle w:val="TableBodyText"/>
                    <w:jc w:val="left"/>
                  </w:pPr>
                  <w:r w:rsidRPr="00EF7969">
                    <w:t>SA Mental Health Commission’s Youth Advisory Group</w:t>
                  </w:r>
                </w:p>
              </w:tc>
              <w:tc>
                <w:tcPr>
                  <w:tcW w:w="2500" w:type="pct"/>
                </w:tcPr>
                <w:p w14:paraId="4C7C1000" w14:textId="77777777" w:rsidR="009C6940" w:rsidRPr="00EF7969" w:rsidRDefault="009C6940" w:rsidP="009C6940">
                  <w:pPr>
                    <w:pStyle w:val="TableBodyText"/>
                    <w:jc w:val="left"/>
                  </w:pPr>
                </w:p>
              </w:tc>
            </w:tr>
            <w:tr w:rsidR="009C6940" w:rsidRPr="00EF7969" w14:paraId="64F72D5A" w14:textId="77777777" w:rsidTr="009C6940">
              <w:tc>
                <w:tcPr>
                  <w:tcW w:w="2500" w:type="pct"/>
                </w:tcPr>
                <w:p w14:paraId="6AF8FDC7" w14:textId="77777777" w:rsidR="009C6940" w:rsidRPr="00EF7969" w:rsidRDefault="009C6940" w:rsidP="009C6940">
                  <w:pPr>
                    <w:pStyle w:val="TableBodyText"/>
                    <w:jc w:val="left"/>
                  </w:pPr>
                  <w:r w:rsidRPr="00EF7969">
                    <w:t>SA Office of the Chief Psychiatrist</w:t>
                  </w:r>
                </w:p>
              </w:tc>
              <w:tc>
                <w:tcPr>
                  <w:tcW w:w="2500" w:type="pct"/>
                </w:tcPr>
                <w:p w14:paraId="6D2CA65D" w14:textId="77777777" w:rsidR="009C6940" w:rsidRPr="00EF7969" w:rsidRDefault="009C6940" w:rsidP="009C6940">
                  <w:pPr>
                    <w:pStyle w:val="TableBodyText"/>
                    <w:jc w:val="left"/>
                  </w:pPr>
                </w:p>
              </w:tc>
            </w:tr>
            <w:tr w:rsidR="009C6940" w:rsidRPr="00EF7969" w14:paraId="7D0EF66A" w14:textId="77777777" w:rsidTr="009C6940">
              <w:tc>
                <w:tcPr>
                  <w:tcW w:w="2500" w:type="pct"/>
                </w:tcPr>
                <w:p w14:paraId="7993C15D" w14:textId="77777777" w:rsidR="009C6940" w:rsidRPr="00EF7969" w:rsidRDefault="009C6940" w:rsidP="009C6940">
                  <w:pPr>
                    <w:pStyle w:val="TableBodyText"/>
                    <w:jc w:val="left"/>
                  </w:pPr>
                  <w:r w:rsidRPr="00EF7969">
                    <w:t>Sally Sinclair</w:t>
                  </w:r>
                </w:p>
              </w:tc>
              <w:tc>
                <w:tcPr>
                  <w:tcW w:w="2500" w:type="pct"/>
                </w:tcPr>
                <w:p w14:paraId="346E0DAA" w14:textId="77777777" w:rsidR="009C6940" w:rsidRPr="00EF7969" w:rsidRDefault="009C6940" w:rsidP="009C6940">
                  <w:pPr>
                    <w:pStyle w:val="TableBodyText"/>
                    <w:jc w:val="left"/>
                  </w:pPr>
                </w:p>
              </w:tc>
            </w:tr>
            <w:tr w:rsidR="009C6940" w:rsidRPr="00EF7969" w14:paraId="47340650" w14:textId="77777777" w:rsidTr="009C6940">
              <w:tc>
                <w:tcPr>
                  <w:tcW w:w="2500" w:type="pct"/>
                </w:tcPr>
                <w:p w14:paraId="42104189" w14:textId="77777777" w:rsidR="009C6940" w:rsidRPr="00EF7969" w:rsidRDefault="009C6940" w:rsidP="009C6940">
                  <w:pPr>
                    <w:pStyle w:val="TableBodyText"/>
                    <w:ind w:right="28"/>
                    <w:jc w:val="left"/>
                  </w:pPr>
                  <w:r w:rsidRPr="00EF7969">
                    <w:t>SA Office of the Public Advocate</w:t>
                  </w:r>
                </w:p>
              </w:tc>
              <w:tc>
                <w:tcPr>
                  <w:tcW w:w="2500" w:type="pct"/>
                  <w:shd w:val="clear" w:color="auto" w:fill="auto"/>
                </w:tcPr>
                <w:p w14:paraId="04AEF685" w14:textId="77777777" w:rsidR="009C6940" w:rsidRPr="00EF7969" w:rsidRDefault="009C6940" w:rsidP="009C6940">
                  <w:pPr>
                    <w:pStyle w:val="TableBodyText"/>
                    <w:ind w:right="28"/>
                    <w:jc w:val="left"/>
                  </w:pPr>
                </w:p>
              </w:tc>
            </w:tr>
            <w:tr w:rsidR="009C6940" w:rsidRPr="00EF7969" w14:paraId="51481434" w14:textId="77777777" w:rsidTr="009C6940">
              <w:tc>
                <w:tcPr>
                  <w:tcW w:w="2500" w:type="pct"/>
                  <w:tcBorders>
                    <w:bottom w:val="single" w:sz="4" w:space="0" w:color="D9D9D9"/>
                  </w:tcBorders>
                </w:tcPr>
                <w:p w14:paraId="31E2F52B" w14:textId="77777777" w:rsidR="009C6940" w:rsidRPr="00EF7969" w:rsidRDefault="009C6940" w:rsidP="009C6940">
                  <w:pPr>
                    <w:pStyle w:val="TableBodyText"/>
                    <w:jc w:val="left"/>
                  </w:pPr>
                  <w:r w:rsidRPr="00EF7969">
                    <w:t>School of Education and Professional Studies – Griffith University</w:t>
                  </w:r>
                </w:p>
              </w:tc>
              <w:tc>
                <w:tcPr>
                  <w:tcW w:w="2500" w:type="pct"/>
                  <w:shd w:val="clear" w:color="auto" w:fill="auto"/>
                </w:tcPr>
                <w:p w14:paraId="6AE43EBF" w14:textId="77777777" w:rsidR="009C6940" w:rsidRPr="00EF7969" w:rsidRDefault="009C6940" w:rsidP="009C6940">
                  <w:pPr>
                    <w:pStyle w:val="TableBodyText"/>
                    <w:jc w:val="left"/>
                  </w:pPr>
                </w:p>
              </w:tc>
            </w:tr>
          </w:tbl>
          <w:p w14:paraId="553C019B" w14:textId="77777777" w:rsidR="009C6940" w:rsidRPr="00EF7969" w:rsidRDefault="009C6940" w:rsidP="009C6940">
            <w:pPr>
              <w:pStyle w:val="Box"/>
            </w:pPr>
          </w:p>
        </w:tc>
      </w:tr>
      <w:tr w:rsidR="009C6940" w:rsidRPr="00EF7969" w14:paraId="2B43E2A6" w14:textId="77777777" w:rsidTr="009C6940">
        <w:tc>
          <w:tcPr>
            <w:tcW w:w="5000" w:type="pct"/>
            <w:tcBorders>
              <w:top w:val="nil"/>
              <w:left w:val="nil"/>
              <w:bottom w:val="nil"/>
              <w:right w:val="nil"/>
            </w:tcBorders>
            <w:shd w:val="clear" w:color="auto" w:fill="auto"/>
          </w:tcPr>
          <w:p w14:paraId="4A86AA66" w14:textId="77777777" w:rsidR="009C6940" w:rsidRPr="00EF7969" w:rsidRDefault="009C6940" w:rsidP="009C6940">
            <w:pPr>
              <w:pStyle w:val="Continued"/>
            </w:pPr>
            <w:r w:rsidRPr="00EF7969">
              <w:t>(continued next page)</w:t>
            </w:r>
          </w:p>
        </w:tc>
      </w:tr>
      <w:tr w:rsidR="009C6940" w:rsidRPr="00EF7969" w14:paraId="41BAECF4" w14:textId="77777777" w:rsidTr="009C6940">
        <w:tc>
          <w:tcPr>
            <w:tcW w:w="5000" w:type="pct"/>
            <w:tcBorders>
              <w:top w:val="nil"/>
              <w:left w:val="nil"/>
              <w:bottom w:val="single" w:sz="6" w:space="0" w:color="78A22F"/>
              <w:right w:val="nil"/>
            </w:tcBorders>
            <w:shd w:val="clear" w:color="auto" w:fill="auto"/>
          </w:tcPr>
          <w:p w14:paraId="665ABABE" w14:textId="77777777" w:rsidR="009C6940" w:rsidRPr="00EF7969" w:rsidRDefault="009C6940" w:rsidP="009C6940">
            <w:pPr>
              <w:pStyle w:val="Box"/>
              <w:keepNext w:val="0"/>
              <w:widowControl w:val="0"/>
              <w:spacing w:before="0" w:line="120" w:lineRule="exact"/>
            </w:pPr>
          </w:p>
        </w:tc>
      </w:tr>
      <w:tr w:rsidR="009C6940" w:rsidRPr="00EF7969" w14:paraId="04211397" w14:textId="77777777" w:rsidTr="009C6940">
        <w:tc>
          <w:tcPr>
            <w:tcW w:w="5000" w:type="pct"/>
            <w:tcBorders>
              <w:top w:val="single" w:sz="6" w:space="0" w:color="78A22F"/>
              <w:left w:val="nil"/>
              <w:bottom w:val="nil"/>
              <w:right w:val="nil"/>
            </w:tcBorders>
          </w:tcPr>
          <w:p w14:paraId="3B2135FE" w14:textId="77777777" w:rsidR="009C6940" w:rsidRPr="00EF7969" w:rsidRDefault="009C6940" w:rsidP="009C6940">
            <w:pPr>
              <w:pStyle w:val="BoxSpaceBelow"/>
            </w:pPr>
          </w:p>
        </w:tc>
      </w:tr>
    </w:tbl>
    <w:p w14:paraId="03F931D2"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2DCE5B80" w14:textId="77777777" w:rsidTr="009C6940">
        <w:trPr>
          <w:tblHeader/>
        </w:trPr>
        <w:tc>
          <w:tcPr>
            <w:tcW w:w="5000" w:type="pct"/>
            <w:tcBorders>
              <w:top w:val="single" w:sz="6" w:space="0" w:color="78A22F"/>
              <w:left w:val="nil"/>
              <w:bottom w:val="nil"/>
              <w:right w:val="nil"/>
            </w:tcBorders>
            <w:shd w:val="clear" w:color="auto" w:fill="auto"/>
          </w:tcPr>
          <w:p w14:paraId="09F8EDFB" w14:textId="77777777" w:rsidR="009C6940" w:rsidRPr="00EF7969" w:rsidRDefault="009C6940" w:rsidP="009C6940">
            <w:pPr>
              <w:pStyle w:val="TableTitle"/>
            </w:pPr>
            <w:r w:rsidRPr="00EF7969">
              <w:rPr>
                <w:b w:val="0"/>
              </w:rPr>
              <w:t xml:space="preserve">Table </w:t>
            </w:r>
            <w:r>
              <w:rPr>
                <w:b w:val="0"/>
              </w:rPr>
              <w:t>B.</w:t>
            </w:r>
            <w:r w:rsidRPr="00EF7969">
              <w:rPr>
                <w:b w:val="0"/>
                <w:noProof/>
              </w:rPr>
              <w:t>3</w:t>
            </w:r>
            <w:r w:rsidRPr="00EF7969">
              <w:tab/>
            </w:r>
            <w:r w:rsidRPr="00EF7969">
              <w:rPr>
                <w:rStyle w:val="Continuedintitle"/>
              </w:rPr>
              <w:t>(continued)</w:t>
            </w:r>
          </w:p>
        </w:tc>
      </w:tr>
      <w:tr w:rsidR="009C6940" w:rsidRPr="00EF7969" w14:paraId="56D8BD73" w14:textId="77777777" w:rsidTr="009C6940">
        <w:tc>
          <w:tcPr>
            <w:tcW w:w="5000" w:type="pct"/>
            <w:tcBorders>
              <w:top w:val="nil"/>
              <w:left w:val="nil"/>
              <w:bottom w:val="nil"/>
              <w:right w:val="nil"/>
            </w:tcBorders>
            <w:shd w:val="clear" w:color="auto" w:fill="auto"/>
          </w:tcPr>
          <w:tbl>
            <w:tblPr>
              <w:tblW w:w="17010" w:type="dxa"/>
              <w:tblBorders>
                <w:top w:val="single" w:sz="6" w:space="0" w:color="BFBFBF"/>
              </w:tblBorders>
              <w:tblCellMar>
                <w:top w:w="28" w:type="dxa"/>
                <w:left w:w="0" w:type="dxa"/>
                <w:right w:w="0" w:type="dxa"/>
              </w:tblCellMar>
              <w:tblLook w:val="0000" w:firstRow="0" w:lastRow="0" w:firstColumn="0" w:lastColumn="0" w:noHBand="0" w:noVBand="0"/>
            </w:tblPr>
            <w:tblGrid>
              <w:gridCol w:w="8505"/>
              <w:gridCol w:w="8505"/>
            </w:tblGrid>
            <w:tr w:rsidR="009C6940" w:rsidRPr="00EF7969" w14:paraId="10B51D95" w14:textId="77777777" w:rsidTr="009C6940">
              <w:tc>
                <w:tcPr>
                  <w:tcW w:w="2500" w:type="pct"/>
                </w:tcPr>
                <w:p w14:paraId="60990282" w14:textId="77777777" w:rsidR="009C6940" w:rsidRPr="00EF7969" w:rsidRDefault="009C6940" w:rsidP="009C6940">
                  <w:pPr>
                    <w:pStyle w:val="TableBodyText"/>
                    <w:spacing w:before="40"/>
                    <w:ind w:right="28"/>
                    <w:jc w:val="left"/>
                  </w:pPr>
                  <w:r w:rsidRPr="00EF7969">
                    <w:t>School of Public Health – University of Queensland</w:t>
                  </w:r>
                </w:p>
              </w:tc>
              <w:tc>
                <w:tcPr>
                  <w:tcW w:w="2500" w:type="pct"/>
                  <w:shd w:val="clear" w:color="auto" w:fill="auto"/>
                </w:tcPr>
                <w:p w14:paraId="69021A3A" w14:textId="77777777" w:rsidR="009C6940" w:rsidRPr="00EF7969" w:rsidRDefault="009C6940" w:rsidP="009C6940">
                  <w:pPr>
                    <w:pStyle w:val="TableBodyText"/>
                    <w:ind w:right="28"/>
                    <w:jc w:val="left"/>
                  </w:pPr>
                </w:p>
              </w:tc>
            </w:tr>
            <w:tr w:rsidR="009C6940" w:rsidRPr="00EF7969" w14:paraId="0D4FCC8F" w14:textId="77777777" w:rsidTr="009C6940">
              <w:tc>
                <w:tcPr>
                  <w:tcW w:w="2500" w:type="pct"/>
                </w:tcPr>
                <w:p w14:paraId="0F3C8FEF" w14:textId="77777777" w:rsidR="009C6940" w:rsidRPr="00EF7969" w:rsidRDefault="009C6940" w:rsidP="009C6940">
                  <w:pPr>
                    <w:pStyle w:val="TableBodyText"/>
                    <w:ind w:right="28"/>
                    <w:jc w:val="left"/>
                  </w:pPr>
                  <w:r w:rsidRPr="00EF7969">
                    <w:t>Sebastian Rosenberg</w:t>
                  </w:r>
                </w:p>
              </w:tc>
              <w:tc>
                <w:tcPr>
                  <w:tcW w:w="2500" w:type="pct"/>
                  <w:shd w:val="clear" w:color="auto" w:fill="auto"/>
                </w:tcPr>
                <w:p w14:paraId="216A7D26" w14:textId="77777777" w:rsidR="009C6940" w:rsidRPr="00EF7969" w:rsidRDefault="009C6940" w:rsidP="009C6940">
                  <w:pPr>
                    <w:pStyle w:val="TableBodyText"/>
                    <w:ind w:right="28"/>
                    <w:jc w:val="left"/>
                  </w:pPr>
                </w:p>
              </w:tc>
            </w:tr>
            <w:tr w:rsidR="009C6940" w:rsidRPr="00EF7969" w14:paraId="0B614E59" w14:textId="77777777" w:rsidTr="009C6940">
              <w:tc>
                <w:tcPr>
                  <w:tcW w:w="2500" w:type="pct"/>
                </w:tcPr>
                <w:p w14:paraId="496754CD" w14:textId="77777777" w:rsidR="009C6940" w:rsidRPr="00EF7969" w:rsidRDefault="009C6940" w:rsidP="009C6940">
                  <w:pPr>
                    <w:pStyle w:val="TableBodyText"/>
                    <w:ind w:right="28"/>
                    <w:jc w:val="left"/>
                  </w:pPr>
                  <w:r w:rsidRPr="00EF7969">
                    <w:t>South Adelaide Local Health Network</w:t>
                  </w:r>
                </w:p>
              </w:tc>
              <w:tc>
                <w:tcPr>
                  <w:tcW w:w="2500" w:type="pct"/>
                  <w:shd w:val="clear" w:color="auto" w:fill="auto"/>
                </w:tcPr>
                <w:p w14:paraId="1C2D27EC" w14:textId="77777777" w:rsidR="009C6940" w:rsidRPr="00EF7969" w:rsidRDefault="009C6940" w:rsidP="009C6940">
                  <w:pPr>
                    <w:pStyle w:val="TableBodyText"/>
                    <w:ind w:right="28"/>
                    <w:jc w:val="left"/>
                  </w:pPr>
                </w:p>
              </w:tc>
            </w:tr>
            <w:tr w:rsidR="009C6940" w:rsidRPr="00EF7969" w14:paraId="4CC369B9" w14:textId="77777777" w:rsidTr="009C6940">
              <w:tc>
                <w:tcPr>
                  <w:tcW w:w="2500" w:type="pct"/>
                </w:tcPr>
                <w:p w14:paraId="2F0755FE" w14:textId="77777777" w:rsidR="009C6940" w:rsidRPr="00EF7969" w:rsidRDefault="009C6940" w:rsidP="009C6940">
                  <w:pPr>
                    <w:pStyle w:val="TableBodyText"/>
                    <w:ind w:right="28"/>
                    <w:jc w:val="left"/>
                  </w:pPr>
                  <w:r w:rsidRPr="00EF7969">
                    <w:t>South East Melbourne Primary Health Network</w:t>
                  </w:r>
                </w:p>
              </w:tc>
              <w:tc>
                <w:tcPr>
                  <w:tcW w:w="2500" w:type="pct"/>
                  <w:shd w:val="clear" w:color="auto" w:fill="auto"/>
                </w:tcPr>
                <w:p w14:paraId="477ACAD0" w14:textId="77777777" w:rsidR="009C6940" w:rsidRPr="00EF7969" w:rsidRDefault="009C6940" w:rsidP="009C6940">
                  <w:pPr>
                    <w:pStyle w:val="TableBodyText"/>
                    <w:ind w:right="28"/>
                    <w:jc w:val="left"/>
                  </w:pPr>
                </w:p>
              </w:tc>
            </w:tr>
            <w:tr w:rsidR="009C6940" w:rsidRPr="00EF7969" w14:paraId="72E96EE5" w14:textId="77777777" w:rsidTr="009C6940">
              <w:tc>
                <w:tcPr>
                  <w:tcW w:w="2500" w:type="pct"/>
                </w:tcPr>
                <w:p w14:paraId="7FBBC814" w14:textId="77777777" w:rsidR="009C6940" w:rsidRPr="00EF7969" w:rsidRDefault="009C6940" w:rsidP="009C6940">
                  <w:pPr>
                    <w:pStyle w:val="TableBodyText"/>
                    <w:ind w:right="28"/>
                    <w:jc w:val="left"/>
                  </w:pPr>
                  <w:r w:rsidRPr="00EF7969">
                    <w:t>Specialist Aboriginal Mental Health Service</w:t>
                  </w:r>
                </w:p>
              </w:tc>
              <w:tc>
                <w:tcPr>
                  <w:tcW w:w="2500" w:type="pct"/>
                  <w:shd w:val="clear" w:color="auto" w:fill="auto"/>
                </w:tcPr>
                <w:p w14:paraId="61F79A5B" w14:textId="77777777" w:rsidR="009C6940" w:rsidRPr="00EF7969" w:rsidRDefault="009C6940" w:rsidP="009C6940">
                  <w:pPr>
                    <w:pStyle w:val="TableBodyText"/>
                    <w:ind w:right="28"/>
                    <w:jc w:val="left"/>
                  </w:pPr>
                </w:p>
              </w:tc>
            </w:tr>
            <w:tr w:rsidR="009C6940" w:rsidRPr="00EF7969" w14:paraId="22F7D5D6" w14:textId="77777777" w:rsidTr="009C6940">
              <w:tc>
                <w:tcPr>
                  <w:tcW w:w="2500" w:type="pct"/>
                </w:tcPr>
                <w:p w14:paraId="00503F3B" w14:textId="77777777" w:rsidR="009C6940" w:rsidRPr="00EF7969" w:rsidRDefault="009C6940" w:rsidP="009C6940">
                  <w:pPr>
                    <w:pStyle w:val="TableBodyText"/>
                    <w:ind w:right="28"/>
                    <w:jc w:val="left"/>
                  </w:pPr>
                  <w:r w:rsidRPr="00EF7969">
                    <w:t>St. Charles Borromeo Primary School</w:t>
                  </w:r>
                </w:p>
              </w:tc>
              <w:tc>
                <w:tcPr>
                  <w:tcW w:w="2500" w:type="pct"/>
                  <w:shd w:val="clear" w:color="auto" w:fill="auto"/>
                </w:tcPr>
                <w:p w14:paraId="21966D9D" w14:textId="77777777" w:rsidR="009C6940" w:rsidRPr="00EF7969" w:rsidRDefault="009C6940" w:rsidP="009C6940">
                  <w:pPr>
                    <w:pStyle w:val="TableBodyText"/>
                    <w:ind w:right="28"/>
                    <w:jc w:val="left"/>
                  </w:pPr>
                </w:p>
              </w:tc>
            </w:tr>
            <w:tr w:rsidR="009C6940" w:rsidRPr="00EF7969" w14:paraId="3648D674" w14:textId="77777777" w:rsidTr="009C6940">
              <w:tc>
                <w:tcPr>
                  <w:tcW w:w="2500" w:type="pct"/>
                </w:tcPr>
                <w:p w14:paraId="18D344A4" w14:textId="77777777" w:rsidR="009C6940" w:rsidRPr="00EF7969" w:rsidRDefault="009C6940" w:rsidP="009C6940">
                  <w:pPr>
                    <w:pStyle w:val="TableBodyText"/>
                    <w:ind w:right="28"/>
                    <w:jc w:val="left"/>
                  </w:pPr>
                  <w:r w:rsidRPr="00EF7969">
                    <w:t xml:space="preserve">Steps Employment </w:t>
                  </w:r>
                </w:p>
              </w:tc>
              <w:tc>
                <w:tcPr>
                  <w:tcW w:w="2500" w:type="pct"/>
                  <w:shd w:val="clear" w:color="auto" w:fill="auto"/>
                </w:tcPr>
                <w:p w14:paraId="7BFD0F82" w14:textId="77777777" w:rsidR="009C6940" w:rsidRPr="00EF7969" w:rsidRDefault="009C6940" w:rsidP="009C6940">
                  <w:pPr>
                    <w:pStyle w:val="TableBodyText"/>
                    <w:ind w:right="28"/>
                    <w:jc w:val="left"/>
                  </w:pPr>
                </w:p>
              </w:tc>
            </w:tr>
            <w:tr w:rsidR="009C6940" w:rsidRPr="00EF7969" w14:paraId="5B6BFCC1" w14:textId="77777777" w:rsidTr="009C6940">
              <w:tc>
                <w:tcPr>
                  <w:tcW w:w="2500" w:type="pct"/>
                </w:tcPr>
                <w:p w14:paraId="2357ED18" w14:textId="77777777" w:rsidR="009C6940" w:rsidRPr="00EF7969" w:rsidRDefault="009C6940" w:rsidP="009C6940">
                  <w:pPr>
                    <w:pStyle w:val="TableBodyText"/>
                    <w:ind w:right="28"/>
                    <w:jc w:val="left"/>
                  </w:pPr>
                  <w:r w:rsidRPr="00EF7969">
                    <w:t>Suicide Prevention Australia</w:t>
                  </w:r>
                </w:p>
              </w:tc>
              <w:tc>
                <w:tcPr>
                  <w:tcW w:w="2500" w:type="pct"/>
                  <w:shd w:val="clear" w:color="auto" w:fill="auto"/>
                </w:tcPr>
                <w:p w14:paraId="7F2F7A19" w14:textId="77777777" w:rsidR="009C6940" w:rsidRPr="00EF7969" w:rsidRDefault="009C6940" w:rsidP="009C6940">
                  <w:pPr>
                    <w:pStyle w:val="TableBodyText"/>
                    <w:ind w:right="28"/>
                    <w:jc w:val="left"/>
                  </w:pPr>
                </w:p>
              </w:tc>
            </w:tr>
            <w:tr w:rsidR="009C6940" w:rsidRPr="00EF7969" w14:paraId="1E8E2C5C" w14:textId="77777777" w:rsidTr="009C6940">
              <w:tc>
                <w:tcPr>
                  <w:tcW w:w="2500" w:type="pct"/>
                </w:tcPr>
                <w:p w14:paraId="58CC52B3" w14:textId="77777777" w:rsidR="009C6940" w:rsidRPr="00EF7969" w:rsidRDefault="009C6940" w:rsidP="009C6940">
                  <w:pPr>
                    <w:pStyle w:val="TableBodyText"/>
                    <w:ind w:right="28"/>
                    <w:jc w:val="left"/>
                  </w:pPr>
                  <w:r w:rsidRPr="00EF7969">
                    <w:t>Superfriend</w:t>
                  </w:r>
                </w:p>
              </w:tc>
              <w:tc>
                <w:tcPr>
                  <w:tcW w:w="2500" w:type="pct"/>
                  <w:shd w:val="clear" w:color="auto" w:fill="auto"/>
                </w:tcPr>
                <w:p w14:paraId="318D8E05" w14:textId="77777777" w:rsidR="009C6940" w:rsidRPr="00EF7969" w:rsidRDefault="009C6940" w:rsidP="009C6940">
                  <w:pPr>
                    <w:pStyle w:val="TableBodyText"/>
                    <w:ind w:right="28"/>
                    <w:jc w:val="left"/>
                  </w:pPr>
                </w:p>
              </w:tc>
            </w:tr>
            <w:tr w:rsidR="009C6940" w:rsidRPr="00EF7969" w14:paraId="1A89A0F6" w14:textId="77777777" w:rsidTr="009C6940">
              <w:tc>
                <w:tcPr>
                  <w:tcW w:w="2500" w:type="pct"/>
                </w:tcPr>
                <w:p w14:paraId="4F489765" w14:textId="77777777" w:rsidR="009C6940" w:rsidRPr="00EF7969" w:rsidRDefault="009C6940" w:rsidP="009C6940">
                  <w:pPr>
                    <w:pStyle w:val="TableBodyText"/>
                    <w:ind w:right="28"/>
                    <w:jc w:val="left"/>
                  </w:pPr>
                  <w:r w:rsidRPr="00EF7969">
                    <w:t xml:space="preserve">Tandem </w:t>
                  </w:r>
                </w:p>
              </w:tc>
              <w:tc>
                <w:tcPr>
                  <w:tcW w:w="2500" w:type="pct"/>
                  <w:shd w:val="clear" w:color="auto" w:fill="auto"/>
                </w:tcPr>
                <w:p w14:paraId="2EE4CC98" w14:textId="77777777" w:rsidR="009C6940" w:rsidRPr="00EF7969" w:rsidRDefault="009C6940" w:rsidP="009C6940">
                  <w:pPr>
                    <w:pStyle w:val="TableBodyText"/>
                    <w:ind w:right="28"/>
                    <w:jc w:val="left"/>
                  </w:pPr>
                </w:p>
              </w:tc>
            </w:tr>
            <w:tr w:rsidR="009C6940" w:rsidRPr="00EF7969" w14:paraId="292528DB" w14:textId="77777777" w:rsidTr="009C6940">
              <w:tc>
                <w:tcPr>
                  <w:tcW w:w="2500" w:type="pct"/>
                </w:tcPr>
                <w:p w14:paraId="2CF0CA9F" w14:textId="77777777" w:rsidR="009C6940" w:rsidRPr="00EF7969" w:rsidRDefault="009C6940" w:rsidP="009C6940">
                  <w:pPr>
                    <w:pStyle w:val="TableBodyText"/>
                    <w:ind w:right="28"/>
                    <w:jc w:val="left"/>
                  </w:pPr>
                  <w:r w:rsidRPr="00EF7969">
                    <w:t>Tangentyere Council</w:t>
                  </w:r>
                </w:p>
              </w:tc>
              <w:tc>
                <w:tcPr>
                  <w:tcW w:w="2500" w:type="pct"/>
                  <w:shd w:val="clear" w:color="auto" w:fill="auto"/>
                </w:tcPr>
                <w:p w14:paraId="2C99F3A7" w14:textId="77777777" w:rsidR="009C6940" w:rsidRPr="00EF7969" w:rsidRDefault="009C6940" w:rsidP="009C6940">
                  <w:pPr>
                    <w:pStyle w:val="TableBodyText"/>
                    <w:ind w:right="28"/>
                    <w:jc w:val="left"/>
                  </w:pPr>
                </w:p>
              </w:tc>
            </w:tr>
            <w:tr w:rsidR="009C6940" w:rsidRPr="00EF7969" w14:paraId="0E4834CB" w14:textId="77777777" w:rsidTr="009C6940">
              <w:tc>
                <w:tcPr>
                  <w:tcW w:w="2500" w:type="pct"/>
                </w:tcPr>
                <w:p w14:paraId="119D3593" w14:textId="77777777" w:rsidR="009C6940" w:rsidRPr="00EF7969" w:rsidRDefault="009C6940" w:rsidP="009C6940">
                  <w:pPr>
                    <w:pStyle w:val="TableBodyText"/>
                    <w:ind w:right="28"/>
                    <w:jc w:val="left"/>
                  </w:pPr>
                  <w:r w:rsidRPr="00EF7969">
                    <w:t>Tasmanian Department of Health and Human Services</w:t>
                  </w:r>
                </w:p>
              </w:tc>
              <w:tc>
                <w:tcPr>
                  <w:tcW w:w="2500" w:type="pct"/>
                  <w:shd w:val="clear" w:color="auto" w:fill="auto"/>
                </w:tcPr>
                <w:p w14:paraId="571CFDFA" w14:textId="77777777" w:rsidR="009C6940" w:rsidRPr="00EF7969" w:rsidRDefault="009C6940" w:rsidP="009C6940">
                  <w:pPr>
                    <w:pStyle w:val="TableBodyText"/>
                    <w:ind w:right="28"/>
                    <w:jc w:val="left"/>
                  </w:pPr>
                </w:p>
              </w:tc>
            </w:tr>
            <w:tr w:rsidR="009C6940" w:rsidRPr="00EF7969" w14:paraId="268D06BA" w14:textId="77777777" w:rsidTr="009C6940">
              <w:tc>
                <w:tcPr>
                  <w:tcW w:w="2500" w:type="pct"/>
                </w:tcPr>
                <w:p w14:paraId="031E027A" w14:textId="77777777" w:rsidR="009C6940" w:rsidRPr="00EF7969" w:rsidRDefault="009C6940" w:rsidP="009C6940">
                  <w:pPr>
                    <w:pStyle w:val="TableBodyText"/>
                    <w:ind w:right="28"/>
                    <w:jc w:val="left"/>
                  </w:pPr>
                  <w:r w:rsidRPr="00EF7969">
                    <w:t>Tasmania Suicide Prevention Community Network</w:t>
                  </w:r>
                </w:p>
              </w:tc>
              <w:tc>
                <w:tcPr>
                  <w:tcW w:w="2500" w:type="pct"/>
                  <w:shd w:val="clear" w:color="auto" w:fill="auto"/>
                </w:tcPr>
                <w:p w14:paraId="3151B4AC" w14:textId="77777777" w:rsidR="009C6940" w:rsidRPr="00EF7969" w:rsidRDefault="009C6940" w:rsidP="009C6940">
                  <w:pPr>
                    <w:pStyle w:val="TableBodyText"/>
                    <w:ind w:right="28"/>
                    <w:jc w:val="left"/>
                  </w:pPr>
                </w:p>
              </w:tc>
            </w:tr>
            <w:tr w:rsidR="009C6940" w:rsidRPr="00EF7969" w14:paraId="5EB32C24" w14:textId="77777777" w:rsidTr="009C6940">
              <w:tc>
                <w:tcPr>
                  <w:tcW w:w="2500" w:type="pct"/>
                </w:tcPr>
                <w:p w14:paraId="0B47C8B1" w14:textId="77777777" w:rsidR="009C6940" w:rsidRPr="00EF7969" w:rsidRDefault="009C6940" w:rsidP="009C6940">
                  <w:pPr>
                    <w:pStyle w:val="TableBodyText"/>
                    <w:ind w:right="28"/>
                    <w:jc w:val="left"/>
                  </w:pPr>
                  <w:r w:rsidRPr="00EF7969">
                    <w:t>Telethon Kids Institute</w:t>
                  </w:r>
                </w:p>
              </w:tc>
              <w:tc>
                <w:tcPr>
                  <w:tcW w:w="2500" w:type="pct"/>
                  <w:shd w:val="clear" w:color="auto" w:fill="auto"/>
                </w:tcPr>
                <w:p w14:paraId="5BEAEDD7" w14:textId="77777777" w:rsidR="009C6940" w:rsidRPr="00EF7969" w:rsidRDefault="009C6940" w:rsidP="009C6940">
                  <w:pPr>
                    <w:pStyle w:val="TableBodyText"/>
                    <w:ind w:right="28"/>
                    <w:jc w:val="left"/>
                  </w:pPr>
                </w:p>
              </w:tc>
            </w:tr>
            <w:tr w:rsidR="009C6940" w:rsidRPr="00EF7969" w14:paraId="1B752593" w14:textId="77777777" w:rsidTr="009C6940">
              <w:tc>
                <w:tcPr>
                  <w:tcW w:w="2500" w:type="pct"/>
                </w:tcPr>
                <w:p w14:paraId="1AB15585" w14:textId="77777777" w:rsidR="009C6940" w:rsidRPr="00EF7969" w:rsidRDefault="009C6940" w:rsidP="009C6940">
                  <w:pPr>
                    <w:pStyle w:val="TableBodyText"/>
                    <w:ind w:right="28"/>
                    <w:jc w:val="left"/>
                  </w:pPr>
                  <w:r w:rsidRPr="00EF7969">
                    <w:t>Tertiary Education Quality and Standards Authority</w:t>
                  </w:r>
                </w:p>
              </w:tc>
              <w:tc>
                <w:tcPr>
                  <w:tcW w:w="2500" w:type="pct"/>
                  <w:shd w:val="clear" w:color="auto" w:fill="auto"/>
                </w:tcPr>
                <w:p w14:paraId="202A8D22" w14:textId="77777777" w:rsidR="009C6940" w:rsidRPr="00EF7969" w:rsidRDefault="009C6940" w:rsidP="009C6940">
                  <w:pPr>
                    <w:pStyle w:val="TableBodyText"/>
                    <w:ind w:right="28"/>
                    <w:jc w:val="left"/>
                  </w:pPr>
                </w:p>
              </w:tc>
            </w:tr>
            <w:tr w:rsidR="009C6940" w:rsidRPr="00EF7969" w14:paraId="573CDC80" w14:textId="77777777" w:rsidTr="009C6940">
              <w:tc>
                <w:tcPr>
                  <w:tcW w:w="2500" w:type="pct"/>
                </w:tcPr>
                <w:p w14:paraId="782F322B" w14:textId="77777777" w:rsidR="009C6940" w:rsidRPr="00EF7969" w:rsidRDefault="009C6940" w:rsidP="009C6940">
                  <w:pPr>
                    <w:pStyle w:val="TableBodyText"/>
                    <w:ind w:right="28"/>
                    <w:jc w:val="left"/>
                  </w:pPr>
                  <w:r>
                    <w:t>Tim Heffernan</w:t>
                  </w:r>
                </w:p>
              </w:tc>
              <w:tc>
                <w:tcPr>
                  <w:tcW w:w="2500" w:type="pct"/>
                  <w:shd w:val="clear" w:color="auto" w:fill="auto"/>
                </w:tcPr>
                <w:p w14:paraId="45A49D8C" w14:textId="77777777" w:rsidR="009C6940" w:rsidRPr="00EF7969" w:rsidRDefault="009C6940" w:rsidP="009C6940">
                  <w:pPr>
                    <w:pStyle w:val="TableBodyText"/>
                    <w:ind w:right="28"/>
                    <w:jc w:val="left"/>
                  </w:pPr>
                </w:p>
              </w:tc>
            </w:tr>
            <w:tr w:rsidR="009C6940" w:rsidRPr="00EF7969" w14:paraId="015564DB" w14:textId="77777777" w:rsidTr="009C6940">
              <w:tc>
                <w:tcPr>
                  <w:tcW w:w="2500" w:type="pct"/>
                </w:tcPr>
                <w:p w14:paraId="54E3EFC4" w14:textId="77777777" w:rsidR="009C6940" w:rsidRPr="00EF7969" w:rsidRDefault="009C6940" w:rsidP="009C6940">
                  <w:pPr>
                    <w:pStyle w:val="TableBodyText"/>
                    <w:ind w:right="28"/>
                    <w:jc w:val="left"/>
                  </w:pPr>
                  <w:r w:rsidRPr="00EF7969">
                    <w:t>The Bouverie Centre</w:t>
                  </w:r>
                </w:p>
              </w:tc>
              <w:tc>
                <w:tcPr>
                  <w:tcW w:w="2500" w:type="pct"/>
                  <w:shd w:val="clear" w:color="auto" w:fill="auto"/>
                </w:tcPr>
                <w:p w14:paraId="4772272B" w14:textId="77777777" w:rsidR="009C6940" w:rsidRPr="00EF7969" w:rsidRDefault="009C6940" w:rsidP="009C6940">
                  <w:pPr>
                    <w:pStyle w:val="TableBodyText"/>
                    <w:ind w:right="28"/>
                    <w:jc w:val="left"/>
                  </w:pPr>
                </w:p>
              </w:tc>
            </w:tr>
            <w:tr w:rsidR="009C6940" w:rsidRPr="00EF7969" w14:paraId="459927B8" w14:textId="77777777" w:rsidTr="009C6940">
              <w:tc>
                <w:tcPr>
                  <w:tcW w:w="2500" w:type="pct"/>
                </w:tcPr>
                <w:p w14:paraId="440ADCEE" w14:textId="77777777" w:rsidR="009C6940" w:rsidRPr="00EF7969" w:rsidRDefault="009C6940" w:rsidP="009C6940">
                  <w:pPr>
                    <w:pStyle w:val="TableBodyText"/>
                    <w:ind w:right="28"/>
                    <w:jc w:val="left"/>
                  </w:pPr>
                  <w:r w:rsidRPr="00EF7969">
                    <w:t>The Haven Foundation</w:t>
                  </w:r>
                </w:p>
              </w:tc>
              <w:tc>
                <w:tcPr>
                  <w:tcW w:w="2500" w:type="pct"/>
                  <w:shd w:val="clear" w:color="auto" w:fill="auto"/>
                </w:tcPr>
                <w:p w14:paraId="6FCA7937" w14:textId="77777777" w:rsidR="009C6940" w:rsidRPr="00EF7969" w:rsidRDefault="009C6940" w:rsidP="009C6940">
                  <w:pPr>
                    <w:pStyle w:val="TableBodyText"/>
                    <w:ind w:right="28"/>
                    <w:jc w:val="left"/>
                  </w:pPr>
                </w:p>
              </w:tc>
            </w:tr>
            <w:tr w:rsidR="009C6940" w:rsidRPr="00EF7969" w14:paraId="29D5D847" w14:textId="77777777" w:rsidTr="009C6940">
              <w:tc>
                <w:tcPr>
                  <w:tcW w:w="2500" w:type="pct"/>
                </w:tcPr>
                <w:p w14:paraId="1F9597AF" w14:textId="77777777" w:rsidR="009C6940" w:rsidRPr="00EF7969" w:rsidRDefault="009C6940" w:rsidP="009C6940">
                  <w:pPr>
                    <w:pStyle w:val="TableBodyText"/>
                    <w:ind w:right="28"/>
                    <w:jc w:val="left"/>
                  </w:pPr>
                  <w:r w:rsidRPr="00EF7969">
                    <w:t>The Royal Commission into Victoria’s Mental Health System</w:t>
                  </w:r>
                </w:p>
              </w:tc>
              <w:tc>
                <w:tcPr>
                  <w:tcW w:w="2500" w:type="pct"/>
                  <w:shd w:val="clear" w:color="auto" w:fill="auto"/>
                </w:tcPr>
                <w:p w14:paraId="48E8E63F" w14:textId="77777777" w:rsidR="009C6940" w:rsidRPr="00EF7969" w:rsidRDefault="009C6940" w:rsidP="009C6940">
                  <w:pPr>
                    <w:pStyle w:val="TableBodyText"/>
                    <w:ind w:right="28"/>
                    <w:jc w:val="left"/>
                  </w:pPr>
                </w:p>
              </w:tc>
            </w:tr>
            <w:tr w:rsidR="009C6940" w:rsidRPr="00EF7969" w14:paraId="7E2FE603" w14:textId="77777777" w:rsidTr="009C6940">
              <w:tc>
                <w:tcPr>
                  <w:tcW w:w="2500" w:type="pct"/>
                </w:tcPr>
                <w:p w14:paraId="0BD6EA06" w14:textId="77777777" w:rsidR="009C6940" w:rsidRPr="00EF7969" w:rsidRDefault="009C6940" w:rsidP="009C6940">
                  <w:pPr>
                    <w:pStyle w:val="TableBodyText"/>
                    <w:ind w:right="28"/>
                    <w:jc w:val="left"/>
                  </w:pPr>
                  <w:r w:rsidRPr="00EF7969">
                    <w:t>Their Futures Matter – NSW Government</w:t>
                  </w:r>
                </w:p>
              </w:tc>
              <w:tc>
                <w:tcPr>
                  <w:tcW w:w="2500" w:type="pct"/>
                  <w:shd w:val="clear" w:color="auto" w:fill="auto"/>
                </w:tcPr>
                <w:p w14:paraId="4EDC8D91" w14:textId="77777777" w:rsidR="009C6940" w:rsidRPr="00EF7969" w:rsidRDefault="009C6940" w:rsidP="009C6940">
                  <w:pPr>
                    <w:pStyle w:val="TableBodyText"/>
                    <w:ind w:right="28"/>
                    <w:jc w:val="left"/>
                  </w:pPr>
                </w:p>
              </w:tc>
            </w:tr>
            <w:tr w:rsidR="009C6940" w:rsidRPr="00EF7969" w14:paraId="6FF4B15A" w14:textId="77777777" w:rsidTr="009C6940">
              <w:tc>
                <w:tcPr>
                  <w:tcW w:w="2500" w:type="pct"/>
                </w:tcPr>
                <w:p w14:paraId="0E980857" w14:textId="77777777" w:rsidR="009C6940" w:rsidRPr="00EF7969" w:rsidRDefault="009C6940" w:rsidP="009C6940">
                  <w:pPr>
                    <w:pStyle w:val="TableBodyText"/>
                    <w:ind w:right="28"/>
                    <w:jc w:val="left"/>
                  </w:pPr>
                  <w:r w:rsidRPr="00EF7969">
                    <w:t>Therapeutic Goods Administration</w:t>
                  </w:r>
                </w:p>
              </w:tc>
              <w:tc>
                <w:tcPr>
                  <w:tcW w:w="2500" w:type="pct"/>
                  <w:shd w:val="clear" w:color="auto" w:fill="auto"/>
                </w:tcPr>
                <w:p w14:paraId="79849FD5" w14:textId="77777777" w:rsidR="009C6940" w:rsidRPr="00EF7969" w:rsidRDefault="009C6940" w:rsidP="009C6940">
                  <w:pPr>
                    <w:pStyle w:val="TableBodyText"/>
                    <w:ind w:right="28"/>
                    <w:jc w:val="left"/>
                  </w:pPr>
                </w:p>
              </w:tc>
            </w:tr>
            <w:tr w:rsidR="009C6940" w:rsidRPr="00EF7969" w14:paraId="093283E3" w14:textId="77777777" w:rsidTr="009C6940">
              <w:tc>
                <w:tcPr>
                  <w:tcW w:w="2500" w:type="pct"/>
                </w:tcPr>
                <w:p w14:paraId="1944B705" w14:textId="77777777" w:rsidR="009C6940" w:rsidRPr="00EF7969" w:rsidRDefault="009C6940" w:rsidP="009C6940">
                  <w:pPr>
                    <w:pStyle w:val="TableBodyText"/>
                    <w:ind w:right="28"/>
                    <w:jc w:val="left"/>
                  </w:pPr>
                  <w:r w:rsidRPr="00EF7969">
                    <w:t xml:space="preserve">Timothy Marney </w:t>
                  </w:r>
                </w:p>
              </w:tc>
              <w:tc>
                <w:tcPr>
                  <w:tcW w:w="2500" w:type="pct"/>
                  <w:shd w:val="clear" w:color="auto" w:fill="auto"/>
                </w:tcPr>
                <w:p w14:paraId="7C2DEEE3" w14:textId="77777777" w:rsidR="009C6940" w:rsidRPr="00EF7969" w:rsidRDefault="009C6940" w:rsidP="009C6940">
                  <w:pPr>
                    <w:pStyle w:val="TableBodyText"/>
                    <w:ind w:right="28"/>
                    <w:jc w:val="left"/>
                  </w:pPr>
                </w:p>
              </w:tc>
            </w:tr>
            <w:tr w:rsidR="009C6940" w:rsidRPr="00EF7969" w14:paraId="052795D1" w14:textId="77777777" w:rsidTr="009C6940">
              <w:tc>
                <w:tcPr>
                  <w:tcW w:w="2500" w:type="pct"/>
                </w:tcPr>
                <w:p w14:paraId="71FA5408" w14:textId="77777777" w:rsidR="009C6940" w:rsidRPr="00EF7969" w:rsidRDefault="009C6940" w:rsidP="009C6940">
                  <w:pPr>
                    <w:pStyle w:val="TableBodyText"/>
                    <w:ind w:right="28"/>
                    <w:jc w:val="left"/>
                  </w:pPr>
                  <w:r w:rsidRPr="00EF7969">
                    <w:t>Universities Australia</w:t>
                  </w:r>
                </w:p>
              </w:tc>
              <w:tc>
                <w:tcPr>
                  <w:tcW w:w="2500" w:type="pct"/>
                  <w:shd w:val="clear" w:color="auto" w:fill="auto"/>
                </w:tcPr>
                <w:p w14:paraId="2B76BC6E" w14:textId="77777777" w:rsidR="009C6940" w:rsidRPr="00EF7969" w:rsidRDefault="009C6940" w:rsidP="009C6940">
                  <w:pPr>
                    <w:pStyle w:val="TableBodyText"/>
                    <w:ind w:right="28"/>
                    <w:jc w:val="left"/>
                  </w:pPr>
                </w:p>
              </w:tc>
            </w:tr>
            <w:tr w:rsidR="009C6940" w:rsidRPr="00EF7969" w14:paraId="4EA06C29" w14:textId="77777777" w:rsidTr="009C6940">
              <w:tc>
                <w:tcPr>
                  <w:tcW w:w="2500" w:type="pct"/>
                </w:tcPr>
                <w:p w14:paraId="5AAB1BD6" w14:textId="77777777" w:rsidR="009C6940" w:rsidRPr="00EF7969" w:rsidRDefault="009C6940" w:rsidP="009C6940">
                  <w:pPr>
                    <w:pStyle w:val="TableBodyText"/>
                    <w:ind w:right="28"/>
                    <w:jc w:val="left"/>
                  </w:pPr>
                  <w:r w:rsidRPr="00EF7969">
                    <w:t>Vanguard Laundry Services</w:t>
                  </w:r>
                </w:p>
              </w:tc>
              <w:tc>
                <w:tcPr>
                  <w:tcW w:w="2500" w:type="pct"/>
                  <w:shd w:val="clear" w:color="auto" w:fill="auto"/>
                </w:tcPr>
                <w:p w14:paraId="7157C152" w14:textId="77777777" w:rsidR="009C6940" w:rsidRPr="00EF7969" w:rsidRDefault="009C6940" w:rsidP="009C6940">
                  <w:pPr>
                    <w:pStyle w:val="TableBodyText"/>
                    <w:ind w:right="28"/>
                    <w:jc w:val="left"/>
                  </w:pPr>
                </w:p>
              </w:tc>
            </w:tr>
            <w:tr w:rsidR="009C6940" w:rsidRPr="00EF7969" w14:paraId="5EB14CB3" w14:textId="77777777" w:rsidTr="009C6940">
              <w:tc>
                <w:tcPr>
                  <w:tcW w:w="2500" w:type="pct"/>
                </w:tcPr>
                <w:p w14:paraId="7B624705" w14:textId="77777777" w:rsidR="009C6940" w:rsidRPr="00EF7969" w:rsidRDefault="009C6940" w:rsidP="009C6940">
                  <w:pPr>
                    <w:pStyle w:val="TableBodyText"/>
                    <w:ind w:right="28"/>
                    <w:jc w:val="left"/>
                  </w:pPr>
                  <w:r w:rsidRPr="00EF7969">
                    <w:t>Victoria Legal Aid</w:t>
                  </w:r>
                </w:p>
              </w:tc>
              <w:tc>
                <w:tcPr>
                  <w:tcW w:w="2500" w:type="pct"/>
                  <w:shd w:val="clear" w:color="auto" w:fill="auto"/>
                </w:tcPr>
                <w:p w14:paraId="044B7AC3" w14:textId="77777777" w:rsidR="009C6940" w:rsidRPr="00EF7969" w:rsidRDefault="009C6940" w:rsidP="009C6940">
                  <w:pPr>
                    <w:pStyle w:val="TableBodyText"/>
                    <w:ind w:right="28"/>
                    <w:jc w:val="left"/>
                  </w:pPr>
                </w:p>
              </w:tc>
            </w:tr>
            <w:tr w:rsidR="009C6940" w:rsidRPr="00EF7969" w14:paraId="4A51E21D" w14:textId="77777777" w:rsidTr="009C6940">
              <w:tc>
                <w:tcPr>
                  <w:tcW w:w="2500" w:type="pct"/>
                </w:tcPr>
                <w:p w14:paraId="52D86244" w14:textId="77777777" w:rsidR="009C6940" w:rsidRPr="00EF7969" w:rsidRDefault="009C6940" w:rsidP="009C6940">
                  <w:pPr>
                    <w:pStyle w:val="TableBodyText"/>
                    <w:ind w:right="28"/>
                    <w:jc w:val="left"/>
                  </w:pPr>
                  <w:r w:rsidRPr="00EF7969">
                    <w:t xml:space="preserve">Victoria Magistrates Court </w:t>
                  </w:r>
                </w:p>
              </w:tc>
              <w:tc>
                <w:tcPr>
                  <w:tcW w:w="2500" w:type="pct"/>
                  <w:shd w:val="clear" w:color="auto" w:fill="auto"/>
                </w:tcPr>
                <w:p w14:paraId="523EB27A" w14:textId="77777777" w:rsidR="009C6940" w:rsidRPr="00EF7969" w:rsidRDefault="009C6940" w:rsidP="009C6940">
                  <w:pPr>
                    <w:pStyle w:val="TableBodyText"/>
                    <w:ind w:right="28"/>
                    <w:jc w:val="left"/>
                  </w:pPr>
                </w:p>
              </w:tc>
            </w:tr>
            <w:tr w:rsidR="009C6940" w:rsidRPr="00EF7969" w14:paraId="29690BD0" w14:textId="77777777" w:rsidTr="009C6940">
              <w:tc>
                <w:tcPr>
                  <w:tcW w:w="2500" w:type="pct"/>
                </w:tcPr>
                <w:p w14:paraId="425C4CAD" w14:textId="77777777" w:rsidR="009C6940" w:rsidRPr="00EF7969" w:rsidRDefault="009C6940" w:rsidP="009C6940">
                  <w:pPr>
                    <w:pStyle w:val="TableBodyText"/>
                    <w:ind w:right="28"/>
                    <w:jc w:val="left"/>
                  </w:pPr>
                  <w:r w:rsidRPr="00EF7969">
                    <w:t>Victorian Automobile Chamber of Commerce</w:t>
                  </w:r>
                </w:p>
              </w:tc>
              <w:tc>
                <w:tcPr>
                  <w:tcW w:w="2500" w:type="pct"/>
                  <w:shd w:val="clear" w:color="auto" w:fill="auto"/>
                </w:tcPr>
                <w:p w14:paraId="69F65007" w14:textId="77777777" w:rsidR="009C6940" w:rsidRPr="00EF7969" w:rsidRDefault="009C6940" w:rsidP="009C6940">
                  <w:pPr>
                    <w:pStyle w:val="TableBodyText"/>
                    <w:ind w:right="28"/>
                    <w:jc w:val="left"/>
                  </w:pPr>
                </w:p>
              </w:tc>
            </w:tr>
            <w:tr w:rsidR="009C6940" w:rsidRPr="00EF7969" w14:paraId="7FBE3580" w14:textId="77777777" w:rsidTr="009C6940">
              <w:tc>
                <w:tcPr>
                  <w:tcW w:w="2500" w:type="pct"/>
                </w:tcPr>
                <w:p w14:paraId="3DF6FA49" w14:textId="77777777" w:rsidR="009C6940" w:rsidRPr="00EF7969" w:rsidRDefault="009C6940" w:rsidP="009C6940">
                  <w:pPr>
                    <w:pStyle w:val="TableBodyText"/>
                    <w:ind w:right="28"/>
                    <w:jc w:val="left"/>
                  </w:pPr>
                  <w:r w:rsidRPr="00EF7969">
                    <w:t>Victorian Department of Education and Training</w:t>
                  </w:r>
                </w:p>
              </w:tc>
              <w:tc>
                <w:tcPr>
                  <w:tcW w:w="2500" w:type="pct"/>
                  <w:shd w:val="clear" w:color="auto" w:fill="auto"/>
                </w:tcPr>
                <w:p w14:paraId="46ECA68C" w14:textId="77777777" w:rsidR="009C6940" w:rsidRPr="00EF7969" w:rsidRDefault="009C6940" w:rsidP="009C6940">
                  <w:pPr>
                    <w:pStyle w:val="TableBodyText"/>
                    <w:ind w:right="28"/>
                    <w:jc w:val="left"/>
                  </w:pPr>
                </w:p>
              </w:tc>
            </w:tr>
            <w:tr w:rsidR="009C6940" w:rsidRPr="00EF7969" w14:paraId="195E43DD" w14:textId="77777777" w:rsidTr="009C6940">
              <w:tc>
                <w:tcPr>
                  <w:tcW w:w="2500" w:type="pct"/>
                </w:tcPr>
                <w:p w14:paraId="3F177E3D" w14:textId="77777777" w:rsidR="009C6940" w:rsidRPr="00EF7969" w:rsidRDefault="009C6940" w:rsidP="009C6940">
                  <w:pPr>
                    <w:pStyle w:val="TableBodyText"/>
                    <w:ind w:right="28"/>
                    <w:jc w:val="left"/>
                  </w:pPr>
                  <w:r w:rsidRPr="00EF7969">
                    <w:t>Victorian Department of Health and Human Services</w:t>
                  </w:r>
                </w:p>
              </w:tc>
              <w:tc>
                <w:tcPr>
                  <w:tcW w:w="2500" w:type="pct"/>
                  <w:shd w:val="clear" w:color="auto" w:fill="auto"/>
                </w:tcPr>
                <w:p w14:paraId="0352C50D" w14:textId="77777777" w:rsidR="009C6940" w:rsidRPr="00EF7969" w:rsidRDefault="009C6940" w:rsidP="009C6940">
                  <w:pPr>
                    <w:pStyle w:val="TableBodyText"/>
                    <w:ind w:right="28"/>
                    <w:jc w:val="left"/>
                  </w:pPr>
                </w:p>
              </w:tc>
            </w:tr>
            <w:tr w:rsidR="009C6940" w:rsidRPr="00EF7969" w14:paraId="0400922A" w14:textId="77777777" w:rsidTr="009C6940">
              <w:tc>
                <w:tcPr>
                  <w:tcW w:w="2500" w:type="pct"/>
                </w:tcPr>
                <w:p w14:paraId="505E3B58" w14:textId="77777777" w:rsidR="009C6940" w:rsidRPr="00EF7969" w:rsidRDefault="009C6940" w:rsidP="009C6940">
                  <w:pPr>
                    <w:pStyle w:val="TableBodyText"/>
                    <w:ind w:right="28"/>
                    <w:jc w:val="left"/>
                  </w:pPr>
                  <w:r w:rsidRPr="00EF7969">
                    <w:t xml:space="preserve">Victorian Mental Health Complaints Commissioner </w:t>
                  </w:r>
                  <w:r w:rsidRPr="00EF7969">
                    <w:noBreakHyphen/>
                    <w:t xml:space="preserve"> Advisory Council</w:t>
                  </w:r>
                </w:p>
              </w:tc>
              <w:tc>
                <w:tcPr>
                  <w:tcW w:w="2500" w:type="pct"/>
                  <w:shd w:val="clear" w:color="auto" w:fill="auto"/>
                </w:tcPr>
                <w:p w14:paraId="4A178971" w14:textId="77777777" w:rsidR="009C6940" w:rsidRPr="00EF7969" w:rsidRDefault="009C6940" w:rsidP="009C6940">
                  <w:pPr>
                    <w:pStyle w:val="TableBodyText"/>
                    <w:ind w:right="28"/>
                    <w:jc w:val="left"/>
                  </w:pPr>
                </w:p>
              </w:tc>
            </w:tr>
            <w:tr w:rsidR="009C6940" w:rsidRPr="00EF7969" w14:paraId="37F3FC9D" w14:textId="77777777" w:rsidTr="009C6940">
              <w:tc>
                <w:tcPr>
                  <w:tcW w:w="2500" w:type="pct"/>
                </w:tcPr>
                <w:p w14:paraId="24F40E21" w14:textId="77777777" w:rsidR="009C6940" w:rsidRPr="00EF7969" w:rsidRDefault="009C6940" w:rsidP="009C6940">
                  <w:pPr>
                    <w:pStyle w:val="TableBodyText"/>
                    <w:ind w:right="28"/>
                    <w:jc w:val="left"/>
                  </w:pPr>
                  <w:r>
                    <w:t>Western Australian</w:t>
                  </w:r>
                  <w:r w:rsidRPr="00EF7969">
                    <w:t xml:space="preserve"> Association for Mental Health</w:t>
                  </w:r>
                </w:p>
              </w:tc>
              <w:tc>
                <w:tcPr>
                  <w:tcW w:w="2500" w:type="pct"/>
                  <w:shd w:val="clear" w:color="auto" w:fill="auto"/>
                </w:tcPr>
                <w:p w14:paraId="41CEDCA8" w14:textId="77777777" w:rsidR="009C6940" w:rsidRPr="00EF7969" w:rsidRDefault="009C6940" w:rsidP="009C6940">
                  <w:pPr>
                    <w:pStyle w:val="TableBodyText"/>
                    <w:ind w:right="28"/>
                    <w:jc w:val="left"/>
                  </w:pPr>
                </w:p>
              </w:tc>
            </w:tr>
            <w:tr w:rsidR="009C6940" w:rsidRPr="00EF7969" w14:paraId="523CEC51" w14:textId="77777777" w:rsidTr="009C6940">
              <w:tc>
                <w:tcPr>
                  <w:tcW w:w="2500" w:type="pct"/>
                </w:tcPr>
                <w:p w14:paraId="262ED5E0" w14:textId="77777777" w:rsidR="009C6940" w:rsidRPr="00EF7969" w:rsidRDefault="009C6940" w:rsidP="009C6940">
                  <w:pPr>
                    <w:pStyle w:val="TableBodyText"/>
                    <w:ind w:right="28"/>
                    <w:jc w:val="left"/>
                  </w:pPr>
                  <w:r>
                    <w:t>Western Australian</w:t>
                  </w:r>
                  <w:r w:rsidRPr="00EF7969">
                    <w:t xml:space="preserve"> Child and Adolescent Health Service</w:t>
                  </w:r>
                </w:p>
              </w:tc>
              <w:tc>
                <w:tcPr>
                  <w:tcW w:w="2500" w:type="pct"/>
                  <w:shd w:val="clear" w:color="auto" w:fill="auto"/>
                </w:tcPr>
                <w:p w14:paraId="6DCFA6BF" w14:textId="77777777" w:rsidR="009C6940" w:rsidRPr="00EF7969" w:rsidRDefault="009C6940" w:rsidP="009C6940">
                  <w:pPr>
                    <w:pStyle w:val="TableBodyText"/>
                    <w:ind w:right="28"/>
                    <w:jc w:val="left"/>
                  </w:pPr>
                </w:p>
              </w:tc>
            </w:tr>
            <w:tr w:rsidR="009C6940" w:rsidRPr="00EF7969" w14:paraId="16EC57E3" w14:textId="77777777" w:rsidTr="009C6940">
              <w:tc>
                <w:tcPr>
                  <w:tcW w:w="2500" w:type="pct"/>
                </w:tcPr>
                <w:p w14:paraId="0642ADE1" w14:textId="77777777" w:rsidR="009C6940" w:rsidRPr="00EF7969" w:rsidRDefault="009C6940" w:rsidP="009C6940">
                  <w:pPr>
                    <w:pStyle w:val="TableBodyText"/>
                    <w:ind w:right="28"/>
                    <w:jc w:val="left"/>
                  </w:pPr>
                  <w:r>
                    <w:t>Western Australian</w:t>
                  </w:r>
                  <w:r w:rsidRPr="00EF7969">
                    <w:t xml:space="preserve"> Department of Communities</w:t>
                  </w:r>
                </w:p>
              </w:tc>
              <w:tc>
                <w:tcPr>
                  <w:tcW w:w="2500" w:type="pct"/>
                  <w:shd w:val="clear" w:color="auto" w:fill="auto"/>
                </w:tcPr>
                <w:p w14:paraId="47154B08" w14:textId="77777777" w:rsidR="009C6940" w:rsidRPr="00EF7969" w:rsidRDefault="009C6940" w:rsidP="009C6940">
                  <w:pPr>
                    <w:pStyle w:val="TableBodyText"/>
                    <w:ind w:right="28"/>
                    <w:jc w:val="left"/>
                  </w:pPr>
                </w:p>
              </w:tc>
            </w:tr>
            <w:tr w:rsidR="009C6940" w:rsidRPr="00EF7969" w14:paraId="5CAFAF2D" w14:textId="77777777" w:rsidTr="009C6940">
              <w:tc>
                <w:tcPr>
                  <w:tcW w:w="2500" w:type="pct"/>
                </w:tcPr>
                <w:p w14:paraId="03F45B1D" w14:textId="77777777" w:rsidR="009C6940" w:rsidRPr="00EF7969" w:rsidRDefault="009C6940" w:rsidP="009C6940">
                  <w:pPr>
                    <w:pStyle w:val="TableBodyText"/>
                    <w:ind w:right="28"/>
                    <w:jc w:val="left"/>
                  </w:pPr>
                  <w:r>
                    <w:t>Western Australian</w:t>
                  </w:r>
                  <w:r w:rsidRPr="00EF7969">
                    <w:t xml:space="preserve"> Department of Health – Mental Health Unit</w:t>
                  </w:r>
                </w:p>
              </w:tc>
              <w:tc>
                <w:tcPr>
                  <w:tcW w:w="2500" w:type="pct"/>
                  <w:shd w:val="clear" w:color="auto" w:fill="auto"/>
                </w:tcPr>
                <w:p w14:paraId="50580B20" w14:textId="77777777" w:rsidR="009C6940" w:rsidRPr="00EF7969" w:rsidRDefault="009C6940" w:rsidP="009C6940">
                  <w:pPr>
                    <w:pStyle w:val="TableBodyText"/>
                    <w:ind w:right="28"/>
                    <w:jc w:val="left"/>
                  </w:pPr>
                </w:p>
              </w:tc>
            </w:tr>
            <w:tr w:rsidR="009C6940" w:rsidRPr="00EF7969" w14:paraId="57CE36EB" w14:textId="77777777" w:rsidTr="009C6940">
              <w:tc>
                <w:tcPr>
                  <w:tcW w:w="2500" w:type="pct"/>
                </w:tcPr>
                <w:p w14:paraId="5AE04868" w14:textId="77777777" w:rsidR="009C6940" w:rsidRPr="00EF7969" w:rsidRDefault="009C6940" w:rsidP="009C6940">
                  <w:pPr>
                    <w:pStyle w:val="TableBodyText"/>
                    <w:ind w:right="28"/>
                    <w:jc w:val="left"/>
                  </w:pPr>
                  <w:r>
                    <w:t>Western Australian</w:t>
                  </w:r>
                  <w:r w:rsidRPr="00EF7969">
                    <w:t xml:space="preserve"> Department of Premier and Cabinet</w:t>
                  </w:r>
                </w:p>
              </w:tc>
              <w:tc>
                <w:tcPr>
                  <w:tcW w:w="2500" w:type="pct"/>
                  <w:shd w:val="clear" w:color="auto" w:fill="auto"/>
                </w:tcPr>
                <w:p w14:paraId="6946AFAC" w14:textId="77777777" w:rsidR="009C6940" w:rsidRPr="00EF7969" w:rsidRDefault="009C6940" w:rsidP="009C6940">
                  <w:pPr>
                    <w:pStyle w:val="TableBodyText"/>
                    <w:ind w:right="28"/>
                    <w:jc w:val="left"/>
                  </w:pPr>
                </w:p>
              </w:tc>
            </w:tr>
            <w:tr w:rsidR="009C6940" w:rsidRPr="00EF7969" w14:paraId="75051DF3" w14:textId="77777777" w:rsidTr="009C6940">
              <w:tc>
                <w:tcPr>
                  <w:tcW w:w="2500" w:type="pct"/>
                </w:tcPr>
                <w:p w14:paraId="1D1DC29E" w14:textId="77777777" w:rsidR="009C6940" w:rsidRPr="00EF7969" w:rsidRDefault="009C6940" w:rsidP="009C6940">
                  <w:pPr>
                    <w:pStyle w:val="TableBodyText"/>
                    <w:ind w:right="28"/>
                    <w:jc w:val="left"/>
                  </w:pPr>
                  <w:r>
                    <w:t>Western Australian</w:t>
                  </w:r>
                  <w:r w:rsidRPr="00EF7969">
                    <w:t xml:space="preserve"> Magistrate</w:t>
                  </w:r>
                </w:p>
              </w:tc>
              <w:tc>
                <w:tcPr>
                  <w:tcW w:w="2500" w:type="pct"/>
                  <w:shd w:val="clear" w:color="auto" w:fill="auto"/>
                </w:tcPr>
                <w:p w14:paraId="19BFFACC" w14:textId="77777777" w:rsidR="009C6940" w:rsidRPr="00EF7969" w:rsidRDefault="009C6940" w:rsidP="009C6940">
                  <w:pPr>
                    <w:pStyle w:val="TableBodyText"/>
                    <w:ind w:right="28"/>
                    <w:jc w:val="left"/>
                  </w:pPr>
                </w:p>
              </w:tc>
            </w:tr>
            <w:tr w:rsidR="009C6940" w:rsidRPr="00EF7969" w14:paraId="2AAF62A3" w14:textId="77777777" w:rsidTr="009C6940">
              <w:tc>
                <w:tcPr>
                  <w:tcW w:w="2500" w:type="pct"/>
                </w:tcPr>
                <w:p w14:paraId="605AFC2B" w14:textId="77777777" w:rsidR="009C6940" w:rsidRPr="00EF7969" w:rsidRDefault="009C6940" w:rsidP="009C6940">
                  <w:pPr>
                    <w:pStyle w:val="TableBodyText"/>
                    <w:ind w:right="28"/>
                    <w:jc w:val="left"/>
                  </w:pPr>
                  <w:r>
                    <w:t>Western Australian</w:t>
                  </w:r>
                  <w:r w:rsidRPr="00EF7969">
                    <w:t xml:space="preserve"> Mental Health Commission</w:t>
                  </w:r>
                </w:p>
              </w:tc>
              <w:tc>
                <w:tcPr>
                  <w:tcW w:w="2500" w:type="pct"/>
                  <w:shd w:val="clear" w:color="auto" w:fill="auto"/>
                </w:tcPr>
                <w:p w14:paraId="1D88F86E" w14:textId="77777777" w:rsidR="009C6940" w:rsidRPr="00EF7969" w:rsidRDefault="009C6940" w:rsidP="009C6940">
                  <w:pPr>
                    <w:pStyle w:val="TableBodyText"/>
                    <w:ind w:right="28"/>
                    <w:jc w:val="left"/>
                  </w:pPr>
                </w:p>
              </w:tc>
            </w:tr>
            <w:tr w:rsidR="009C6940" w:rsidRPr="00EF7969" w14:paraId="69EEDA64" w14:textId="77777777" w:rsidTr="009C6940">
              <w:tc>
                <w:tcPr>
                  <w:tcW w:w="2500" w:type="pct"/>
                </w:tcPr>
                <w:p w14:paraId="2567D66A" w14:textId="77777777" w:rsidR="009C6940" w:rsidRPr="00EF7969" w:rsidRDefault="009C6940" w:rsidP="009C6940">
                  <w:pPr>
                    <w:pStyle w:val="TableBodyText"/>
                    <w:ind w:right="28"/>
                    <w:jc w:val="left"/>
                  </w:pPr>
                  <w:r>
                    <w:t>Western Australian</w:t>
                  </w:r>
                  <w:r w:rsidRPr="00EF7969">
                    <w:t xml:space="preserve"> Primary Health Alliance</w:t>
                  </w:r>
                </w:p>
              </w:tc>
              <w:tc>
                <w:tcPr>
                  <w:tcW w:w="2500" w:type="pct"/>
                  <w:shd w:val="clear" w:color="auto" w:fill="auto"/>
                </w:tcPr>
                <w:p w14:paraId="1B997A20" w14:textId="77777777" w:rsidR="009C6940" w:rsidRPr="00EF7969" w:rsidRDefault="009C6940" w:rsidP="009C6940">
                  <w:pPr>
                    <w:pStyle w:val="TableBodyText"/>
                    <w:ind w:right="28"/>
                    <w:jc w:val="left"/>
                  </w:pPr>
                </w:p>
              </w:tc>
            </w:tr>
            <w:tr w:rsidR="009C6940" w:rsidRPr="00EF7969" w14:paraId="24987A41" w14:textId="77777777" w:rsidTr="009C6940">
              <w:tc>
                <w:tcPr>
                  <w:tcW w:w="2500" w:type="pct"/>
                </w:tcPr>
                <w:p w14:paraId="0B3D1416" w14:textId="77777777" w:rsidR="009C6940" w:rsidRPr="00EF7969" w:rsidRDefault="009C6940" w:rsidP="009C6940">
                  <w:pPr>
                    <w:pStyle w:val="TableBodyText"/>
                    <w:ind w:right="28"/>
                    <w:jc w:val="left"/>
                  </w:pPr>
                  <w:r w:rsidRPr="00EF7969">
                    <w:t>Wellways</w:t>
                  </w:r>
                </w:p>
              </w:tc>
              <w:tc>
                <w:tcPr>
                  <w:tcW w:w="2500" w:type="pct"/>
                  <w:shd w:val="clear" w:color="auto" w:fill="auto"/>
                </w:tcPr>
                <w:p w14:paraId="413836BB" w14:textId="77777777" w:rsidR="009C6940" w:rsidRPr="00EF7969" w:rsidRDefault="009C6940" w:rsidP="009C6940">
                  <w:pPr>
                    <w:pStyle w:val="TableBodyText"/>
                    <w:ind w:right="28"/>
                    <w:jc w:val="left"/>
                  </w:pPr>
                </w:p>
              </w:tc>
            </w:tr>
            <w:tr w:rsidR="009C6940" w:rsidRPr="00EF7969" w14:paraId="0699A6F1" w14:textId="77777777" w:rsidTr="009C6940">
              <w:tc>
                <w:tcPr>
                  <w:tcW w:w="2500" w:type="pct"/>
                  <w:tcBorders>
                    <w:bottom w:val="nil"/>
                  </w:tcBorders>
                </w:tcPr>
                <w:p w14:paraId="0896CCAF" w14:textId="77777777" w:rsidR="009C6940" w:rsidRPr="00EF7969" w:rsidRDefault="009C6940" w:rsidP="009C6940">
                  <w:pPr>
                    <w:pStyle w:val="TableBodyText"/>
                    <w:ind w:right="28"/>
                    <w:jc w:val="left"/>
                  </w:pPr>
                  <w:r w:rsidRPr="00EF7969">
                    <w:t>WISE Employment</w:t>
                  </w:r>
                </w:p>
              </w:tc>
              <w:tc>
                <w:tcPr>
                  <w:tcW w:w="2500" w:type="pct"/>
                  <w:shd w:val="clear" w:color="auto" w:fill="auto"/>
                </w:tcPr>
                <w:p w14:paraId="1C370A7A" w14:textId="77777777" w:rsidR="009C6940" w:rsidRPr="00EF7969" w:rsidRDefault="009C6940" w:rsidP="009C6940">
                  <w:pPr>
                    <w:pStyle w:val="TableBodyText"/>
                    <w:ind w:right="28"/>
                    <w:jc w:val="left"/>
                  </w:pPr>
                </w:p>
              </w:tc>
            </w:tr>
            <w:tr w:rsidR="009C6940" w:rsidRPr="00EF7969" w14:paraId="2BF6E953" w14:textId="77777777" w:rsidTr="009C6940">
              <w:tc>
                <w:tcPr>
                  <w:tcW w:w="2500" w:type="pct"/>
                  <w:tcBorders>
                    <w:top w:val="nil"/>
                    <w:bottom w:val="single" w:sz="4" w:space="0" w:color="BFBFBF" w:themeColor="background1" w:themeShade="BF"/>
                  </w:tcBorders>
                </w:tcPr>
                <w:p w14:paraId="4FA61D01" w14:textId="77777777" w:rsidR="009C6940" w:rsidRPr="00EF7969" w:rsidRDefault="009C6940" w:rsidP="009C6940">
                  <w:pPr>
                    <w:pStyle w:val="TableBodyText"/>
                    <w:ind w:right="28"/>
                    <w:jc w:val="left"/>
                  </w:pPr>
                  <w:r w:rsidRPr="00EF7969">
                    <w:t>Youth Insearch</w:t>
                  </w:r>
                </w:p>
              </w:tc>
              <w:tc>
                <w:tcPr>
                  <w:tcW w:w="2500" w:type="pct"/>
                  <w:shd w:val="clear" w:color="auto" w:fill="auto"/>
                </w:tcPr>
                <w:p w14:paraId="32B384B5" w14:textId="77777777" w:rsidR="009C6940" w:rsidRPr="00EF7969" w:rsidRDefault="009C6940" w:rsidP="009C6940">
                  <w:pPr>
                    <w:pStyle w:val="TableBodyText"/>
                    <w:ind w:right="28"/>
                    <w:jc w:val="left"/>
                  </w:pPr>
                </w:p>
              </w:tc>
            </w:tr>
          </w:tbl>
          <w:p w14:paraId="3A61D943" w14:textId="77777777" w:rsidR="009C6940" w:rsidRPr="00EF7969" w:rsidRDefault="009C6940" w:rsidP="009C6940">
            <w:pPr>
              <w:pStyle w:val="Box"/>
            </w:pPr>
          </w:p>
        </w:tc>
      </w:tr>
      <w:tr w:rsidR="009C6940" w:rsidRPr="00EF7969" w14:paraId="23B47BC3" w14:textId="77777777" w:rsidTr="009C6940">
        <w:tc>
          <w:tcPr>
            <w:tcW w:w="5000" w:type="pct"/>
            <w:tcBorders>
              <w:top w:val="nil"/>
              <w:left w:val="nil"/>
              <w:bottom w:val="single" w:sz="6" w:space="0" w:color="78A22F"/>
              <w:right w:val="nil"/>
            </w:tcBorders>
            <w:shd w:val="clear" w:color="auto" w:fill="auto"/>
          </w:tcPr>
          <w:p w14:paraId="53E8C403" w14:textId="77777777" w:rsidR="009C6940" w:rsidRPr="00EF7969" w:rsidRDefault="009C6940" w:rsidP="009C6940">
            <w:pPr>
              <w:pStyle w:val="Box"/>
              <w:keepNext w:val="0"/>
              <w:widowControl w:val="0"/>
              <w:spacing w:before="0" w:line="120" w:lineRule="exact"/>
            </w:pPr>
          </w:p>
        </w:tc>
      </w:tr>
      <w:tr w:rsidR="009C6940" w:rsidRPr="00EF7969" w14:paraId="4054F349" w14:textId="77777777" w:rsidTr="009C6940">
        <w:tc>
          <w:tcPr>
            <w:tcW w:w="5000" w:type="pct"/>
            <w:tcBorders>
              <w:top w:val="single" w:sz="6" w:space="0" w:color="78A22F"/>
              <w:left w:val="nil"/>
              <w:bottom w:val="nil"/>
              <w:right w:val="nil"/>
            </w:tcBorders>
          </w:tcPr>
          <w:p w14:paraId="5DFCA50E" w14:textId="77777777" w:rsidR="009C6940" w:rsidRPr="00EF7969" w:rsidRDefault="009C6940" w:rsidP="009C6940">
            <w:pPr>
              <w:pStyle w:val="BoxSpaceBelow"/>
            </w:pPr>
          </w:p>
        </w:tc>
      </w:tr>
    </w:tbl>
    <w:p w14:paraId="16061243"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065A10CD" w14:textId="77777777" w:rsidTr="009C6940">
        <w:trPr>
          <w:tblHeader/>
        </w:trPr>
        <w:tc>
          <w:tcPr>
            <w:tcW w:w="5000" w:type="pct"/>
            <w:tcBorders>
              <w:top w:val="single" w:sz="6" w:space="0" w:color="78A22F"/>
              <w:left w:val="nil"/>
              <w:bottom w:val="nil"/>
              <w:right w:val="nil"/>
            </w:tcBorders>
            <w:shd w:val="clear" w:color="auto" w:fill="auto"/>
          </w:tcPr>
          <w:p w14:paraId="01F7468C" w14:textId="77777777" w:rsidR="009C6940" w:rsidRPr="00EF7969" w:rsidRDefault="009C6940" w:rsidP="009C6940">
            <w:pPr>
              <w:pStyle w:val="TableTitle"/>
            </w:pPr>
            <w:r w:rsidRPr="00EF7969">
              <w:rPr>
                <w:b w:val="0"/>
              </w:rPr>
              <w:t xml:space="preserve">Table </w:t>
            </w:r>
            <w:r>
              <w:rPr>
                <w:b w:val="0"/>
              </w:rPr>
              <w:t>B.</w:t>
            </w:r>
            <w:r w:rsidRPr="00EF7969">
              <w:rPr>
                <w:b w:val="0"/>
              </w:rPr>
              <w:t>4</w:t>
            </w:r>
            <w:r>
              <w:tab/>
              <w:t>Public Hearings</w:t>
            </w:r>
          </w:p>
        </w:tc>
      </w:tr>
      <w:tr w:rsidR="009C6940" w:rsidRPr="00EF7969" w14:paraId="3551C887" w14:textId="77777777" w:rsidTr="009C6940">
        <w:tc>
          <w:tcPr>
            <w:tcW w:w="5000" w:type="pct"/>
            <w:tcBorders>
              <w:top w:val="nil"/>
              <w:left w:val="nil"/>
              <w:bottom w:val="single" w:sz="4" w:space="0" w:color="BFBFBF" w:themeColor="background1" w:themeShade="BF"/>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5"/>
            </w:tblGrid>
            <w:tr w:rsidR="009C6940" w:rsidRPr="00EF7969" w14:paraId="554EAE3A" w14:textId="77777777" w:rsidTr="009C6940">
              <w:trPr>
                <w:tblHeader/>
              </w:trPr>
              <w:tc>
                <w:tcPr>
                  <w:tcW w:w="5000" w:type="pct"/>
                  <w:tcBorders>
                    <w:top w:val="single" w:sz="6" w:space="0" w:color="BFBFBF"/>
                  </w:tcBorders>
                  <w:shd w:val="clear" w:color="auto" w:fill="auto"/>
                  <w:tcMar>
                    <w:top w:w="28" w:type="dxa"/>
                  </w:tcMar>
                  <w:vAlign w:val="center"/>
                </w:tcPr>
                <w:p w14:paraId="484334D5" w14:textId="77777777" w:rsidR="009C6940" w:rsidRPr="00EF7969" w:rsidRDefault="009C6940" w:rsidP="009C6940">
                  <w:pPr>
                    <w:pStyle w:val="TableBodyText"/>
                    <w:spacing w:before="40"/>
                    <w:jc w:val="left"/>
                    <w:rPr>
                      <w:b/>
                    </w:rPr>
                  </w:pPr>
                  <w:r w:rsidRPr="00EF7969">
                    <w:rPr>
                      <w:b/>
                    </w:rPr>
                    <w:t>Canberra — 15 November 2019</w:t>
                  </w:r>
                </w:p>
              </w:tc>
            </w:tr>
            <w:tr w:rsidR="009C6940" w:rsidRPr="00EF7969" w14:paraId="0AF19755" w14:textId="77777777" w:rsidTr="009C6940">
              <w:tc>
                <w:tcPr>
                  <w:tcW w:w="5000" w:type="pct"/>
                </w:tcPr>
                <w:p w14:paraId="467ED657" w14:textId="77777777" w:rsidR="009C6940" w:rsidRPr="00EF7969" w:rsidRDefault="009C6940" w:rsidP="009C6940">
                  <w:pPr>
                    <w:pStyle w:val="TableBodyText"/>
                    <w:jc w:val="left"/>
                  </w:pPr>
                  <w:r w:rsidRPr="00EF7969">
                    <w:t>Mental Health Australia</w:t>
                  </w:r>
                </w:p>
              </w:tc>
            </w:tr>
            <w:tr w:rsidR="009C6940" w:rsidRPr="00EF7969" w14:paraId="58A9A224" w14:textId="77777777" w:rsidTr="009C6940">
              <w:tc>
                <w:tcPr>
                  <w:tcW w:w="5000" w:type="pct"/>
                </w:tcPr>
                <w:p w14:paraId="7147558B" w14:textId="77777777" w:rsidR="009C6940" w:rsidRPr="00EF7969" w:rsidRDefault="009C6940" w:rsidP="009C6940">
                  <w:pPr>
                    <w:pStyle w:val="TableBodyText"/>
                    <w:jc w:val="left"/>
                  </w:pPr>
                  <w:r w:rsidRPr="00EF7969">
                    <w:t>Mental Health Carers Australia</w:t>
                  </w:r>
                  <w:r>
                    <w:t xml:space="preserve"> (MHCA)</w:t>
                  </w:r>
                </w:p>
              </w:tc>
            </w:tr>
            <w:tr w:rsidR="009C6940" w:rsidRPr="00EF7969" w14:paraId="600227B2" w14:textId="77777777" w:rsidTr="009C6940">
              <w:tc>
                <w:tcPr>
                  <w:tcW w:w="5000" w:type="pct"/>
                </w:tcPr>
                <w:p w14:paraId="7EBE2799" w14:textId="77777777" w:rsidR="009C6940" w:rsidRPr="00EF7969" w:rsidRDefault="009C6940" w:rsidP="009C6940">
                  <w:pPr>
                    <w:pStyle w:val="TableBodyText"/>
                    <w:jc w:val="left"/>
                  </w:pPr>
                  <w:r w:rsidRPr="00EF7969">
                    <w:t>Consumers’ Health Forum of Australia</w:t>
                  </w:r>
                </w:p>
              </w:tc>
            </w:tr>
            <w:tr w:rsidR="009C6940" w:rsidRPr="00EF7969" w14:paraId="677F77AC" w14:textId="77777777" w:rsidTr="009C6940">
              <w:tc>
                <w:tcPr>
                  <w:tcW w:w="5000" w:type="pct"/>
                </w:tcPr>
                <w:p w14:paraId="4DB9AF1B" w14:textId="77777777" w:rsidR="009C6940" w:rsidRPr="00EF7969" w:rsidRDefault="009C6940" w:rsidP="009C6940">
                  <w:pPr>
                    <w:pStyle w:val="TableBodyText"/>
                    <w:jc w:val="left"/>
                  </w:pPr>
                  <w:r w:rsidRPr="00EF7969">
                    <w:t>Early Childhood Australia</w:t>
                  </w:r>
                </w:p>
              </w:tc>
            </w:tr>
            <w:tr w:rsidR="009C6940" w:rsidRPr="00EF7969" w14:paraId="5D4374A1" w14:textId="77777777" w:rsidTr="009C6940">
              <w:tc>
                <w:tcPr>
                  <w:tcW w:w="5000" w:type="pct"/>
                </w:tcPr>
                <w:p w14:paraId="201EEBA9" w14:textId="77777777" w:rsidR="009C6940" w:rsidRPr="00EF7969" w:rsidRDefault="009C6940" w:rsidP="009C6940">
                  <w:pPr>
                    <w:pStyle w:val="TableBodyText"/>
                    <w:jc w:val="left"/>
                  </w:pPr>
                  <w:r w:rsidRPr="00EF7969">
                    <w:t>Perinatal Wellbeing Centre</w:t>
                  </w:r>
                </w:p>
              </w:tc>
            </w:tr>
            <w:tr w:rsidR="009C6940" w:rsidRPr="00EF7969" w14:paraId="0A85A86E" w14:textId="77777777" w:rsidTr="009C6940">
              <w:tc>
                <w:tcPr>
                  <w:tcW w:w="5000" w:type="pct"/>
                </w:tcPr>
                <w:p w14:paraId="7FDE3434" w14:textId="77777777" w:rsidR="009C6940" w:rsidRPr="00EF7969" w:rsidRDefault="009C6940" w:rsidP="009C6940">
                  <w:pPr>
                    <w:pStyle w:val="TableBodyText"/>
                    <w:jc w:val="left"/>
                  </w:pPr>
                  <w:r w:rsidRPr="00EF7969">
                    <w:t>Diana Rendell</w:t>
                  </w:r>
                </w:p>
              </w:tc>
            </w:tr>
            <w:tr w:rsidR="009C6940" w:rsidRPr="00EF7969" w14:paraId="0F82AE31" w14:textId="77777777" w:rsidTr="009C6940">
              <w:tc>
                <w:tcPr>
                  <w:tcW w:w="5000" w:type="pct"/>
                </w:tcPr>
                <w:p w14:paraId="449B290D" w14:textId="77777777" w:rsidR="009C6940" w:rsidRPr="00EF7969" w:rsidRDefault="009C6940" w:rsidP="009C6940">
                  <w:pPr>
                    <w:pStyle w:val="TableBodyText"/>
                    <w:jc w:val="left"/>
                  </w:pPr>
                  <w:r w:rsidRPr="00EF7969">
                    <w:t>Colin Hales</w:t>
                  </w:r>
                </w:p>
              </w:tc>
            </w:tr>
            <w:tr w:rsidR="009C6940" w:rsidRPr="00EF7969" w14:paraId="6898A9DB" w14:textId="77777777" w:rsidTr="009C6940">
              <w:tc>
                <w:tcPr>
                  <w:tcW w:w="5000" w:type="pct"/>
                </w:tcPr>
                <w:p w14:paraId="236158CE" w14:textId="77777777" w:rsidR="009C6940" w:rsidRPr="00EF7969" w:rsidRDefault="009C6940" w:rsidP="009C6940">
                  <w:pPr>
                    <w:pStyle w:val="TableBodyText"/>
                    <w:jc w:val="left"/>
                  </w:pPr>
                  <w:r w:rsidRPr="00EF7969">
                    <w:t>ACT Disability</w:t>
                  </w:r>
                  <w:r>
                    <w:t>,</w:t>
                  </w:r>
                  <w:r w:rsidRPr="00EF7969">
                    <w:t xml:space="preserve"> Aged and Carer Advocacy Service</w:t>
                  </w:r>
                  <w:r>
                    <w:t xml:space="preserve"> </w:t>
                  </w:r>
                  <w:r w:rsidRPr="003C0CE8">
                    <w:t>(ADACAS)</w:t>
                  </w:r>
                </w:p>
              </w:tc>
            </w:tr>
            <w:tr w:rsidR="009C6940" w:rsidRPr="00EF7969" w14:paraId="2F3259A8" w14:textId="77777777" w:rsidTr="009C6940">
              <w:tc>
                <w:tcPr>
                  <w:tcW w:w="5000" w:type="pct"/>
                </w:tcPr>
                <w:p w14:paraId="43B91A4A" w14:textId="77777777" w:rsidR="009C6940" w:rsidRPr="00EF7969" w:rsidRDefault="009C6940" w:rsidP="009C6940">
                  <w:pPr>
                    <w:pStyle w:val="TableBodyText"/>
                    <w:jc w:val="left"/>
                  </w:pPr>
                  <w:r>
                    <w:t>b</w:t>
                  </w:r>
                  <w:r w:rsidRPr="00EF7969">
                    <w:t>atyr</w:t>
                  </w:r>
                </w:p>
              </w:tc>
            </w:tr>
            <w:tr w:rsidR="009C6940" w:rsidRPr="00EF7969" w14:paraId="3D05985C" w14:textId="77777777" w:rsidTr="009C6940">
              <w:tc>
                <w:tcPr>
                  <w:tcW w:w="5000" w:type="pct"/>
                </w:tcPr>
                <w:p w14:paraId="39A65487" w14:textId="77777777" w:rsidR="009C6940" w:rsidRPr="00EF7969" w:rsidRDefault="009C6940" w:rsidP="009C6940">
                  <w:pPr>
                    <w:pStyle w:val="TableBodyText"/>
                    <w:jc w:val="left"/>
                  </w:pPr>
                  <w:r w:rsidRPr="00EF7969">
                    <w:t>Mental Health Community Coalition ACT</w:t>
                  </w:r>
                </w:p>
              </w:tc>
            </w:tr>
            <w:tr w:rsidR="009C6940" w:rsidRPr="00EF7969" w14:paraId="57C98B15" w14:textId="77777777" w:rsidTr="009C6940">
              <w:tc>
                <w:tcPr>
                  <w:tcW w:w="5000" w:type="pct"/>
                </w:tcPr>
                <w:p w14:paraId="1AB2C8AE" w14:textId="77777777" w:rsidR="009C6940" w:rsidRPr="00EF7969" w:rsidRDefault="009C6940" w:rsidP="009C6940">
                  <w:pPr>
                    <w:pStyle w:val="TableBodyText"/>
                    <w:jc w:val="left"/>
                  </w:pPr>
                  <w:r w:rsidRPr="00EF7969">
                    <w:t>Families and Friends for Drug Law Reform</w:t>
                  </w:r>
                </w:p>
              </w:tc>
            </w:tr>
            <w:tr w:rsidR="009C6940" w:rsidRPr="00EF7969" w14:paraId="4143299F" w14:textId="77777777" w:rsidTr="009C6940">
              <w:tc>
                <w:tcPr>
                  <w:tcW w:w="5000" w:type="pct"/>
                </w:tcPr>
                <w:p w14:paraId="69E99698" w14:textId="77777777" w:rsidR="009C6940" w:rsidRPr="00EF7969" w:rsidRDefault="009C6940" w:rsidP="009C6940">
                  <w:pPr>
                    <w:pStyle w:val="TableBodyText"/>
                    <w:jc w:val="left"/>
                  </w:pPr>
                  <w:r w:rsidRPr="00EF7969">
                    <w:t>Develop Daily</w:t>
                  </w:r>
                </w:p>
              </w:tc>
            </w:tr>
            <w:tr w:rsidR="009C6940" w:rsidRPr="00EF7969" w14:paraId="556F553C" w14:textId="77777777" w:rsidTr="009C6940">
              <w:tc>
                <w:tcPr>
                  <w:tcW w:w="5000" w:type="pct"/>
                </w:tcPr>
                <w:p w14:paraId="48A0A1E3" w14:textId="77777777" w:rsidR="009C6940" w:rsidRPr="00EF7969" w:rsidRDefault="009C6940" w:rsidP="009C6940">
                  <w:pPr>
                    <w:pStyle w:val="TableBodyText"/>
                    <w:jc w:val="left"/>
                  </w:pPr>
                  <w:r w:rsidRPr="00EF7969">
                    <w:t>Terry De Luca</w:t>
                  </w:r>
                </w:p>
              </w:tc>
            </w:tr>
            <w:tr w:rsidR="009C6940" w:rsidRPr="00EF7969" w14:paraId="619651F8" w14:textId="77777777" w:rsidTr="009C6940">
              <w:tc>
                <w:tcPr>
                  <w:tcW w:w="5000" w:type="pct"/>
                </w:tcPr>
                <w:p w14:paraId="2B25BB7C" w14:textId="77777777" w:rsidR="009C6940" w:rsidRPr="00EF7969" w:rsidRDefault="009C6940" w:rsidP="009C6940">
                  <w:pPr>
                    <w:pStyle w:val="TableBodyText"/>
                    <w:jc w:val="left"/>
                  </w:pPr>
                  <w:r w:rsidRPr="00EF7969">
                    <w:t>Julianne Christie</w:t>
                  </w:r>
                </w:p>
              </w:tc>
            </w:tr>
            <w:tr w:rsidR="009C6940" w:rsidRPr="00EF7969" w14:paraId="75D6167C" w14:textId="77777777" w:rsidTr="009C6940">
              <w:tc>
                <w:tcPr>
                  <w:tcW w:w="5000" w:type="pct"/>
                </w:tcPr>
                <w:p w14:paraId="5ED393B3" w14:textId="77777777" w:rsidR="009C6940" w:rsidRPr="00EF7969" w:rsidRDefault="009C6940" w:rsidP="009C6940">
                  <w:pPr>
                    <w:pStyle w:val="TableBodyText"/>
                    <w:jc w:val="left"/>
                  </w:pPr>
                  <w:r w:rsidRPr="00EF7969">
                    <w:t>Fox Fromholtz</w:t>
                  </w:r>
                </w:p>
              </w:tc>
            </w:tr>
            <w:tr w:rsidR="009C6940" w:rsidRPr="00EF7969" w14:paraId="23D7866E" w14:textId="77777777" w:rsidTr="009C6940">
              <w:tc>
                <w:tcPr>
                  <w:tcW w:w="5000" w:type="pct"/>
                </w:tcPr>
                <w:p w14:paraId="312998CC" w14:textId="77777777" w:rsidR="009C6940" w:rsidRPr="00EF7969" w:rsidRDefault="009C6940" w:rsidP="009C6940">
                  <w:pPr>
                    <w:pStyle w:val="TableBodyText"/>
                    <w:jc w:val="left"/>
                  </w:pPr>
                  <w:r w:rsidRPr="00EF7969">
                    <w:t>Jane Jervis</w:t>
                  </w:r>
                </w:p>
              </w:tc>
            </w:tr>
            <w:tr w:rsidR="009C6940" w:rsidRPr="00EF7969" w14:paraId="071CB4C0" w14:textId="77777777" w:rsidTr="009C6940">
              <w:tc>
                <w:tcPr>
                  <w:tcW w:w="5000" w:type="pct"/>
                </w:tcPr>
                <w:p w14:paraId="1E4CE5E8" w14:textId="77777777" w:rsidR="009C6940" w:rsidRPr="00EF7969" w:rsidRDefault="009C6940" w:rsidP="009C6940">
                  <w:pPr>
                    <w:pStyle w:val="TableBodyText"/>
                    <w:jc w:val="left"/>
                  </w:pPr>
                  <w:r w:rsidRPr="00EF7969">
                    <w:t>Mary Cormick</w:t>
                  </w:r>
                </w:p>
              </w:tc>
            </w:tr>
            <w:tr w:rsidR="009C6940" w:rsidRPr="00EF7969" w14:paraId="32AC75B4" w14:textId="77777777" w:rsidTr="009C6940">
              <w:tc>
                <w:tcPr>
                  <w:tcW w:w="5000" w:type="pct"/>
                </w:tcPr>
                <w:p w14:paraId="734ED774" w14:textId="77777777" w:rsidR="009C6940" w:rsidRPr="00EF7969" w:rsidRDefault="009C6940" w:rsidP="009C6940">
                  <w:pPr>
                    <w:pStyle w:val="TableBodyText"/>
                    <w:jc w:val="left"/>
                  </w:pPr>
                  <w:r w:rsidRPr="00EF7969">
                    <w:t>David Lovegrove</w:t>
                  </w:r>
                </w:p>
              </w:tc>
            </w:tr>
            <w:tr w:rsidR="009C6940" w:rsidRPr="00EF7969" w14:paraId="44699DFE" w14:textId="77777777" w:rsidTr="009C6940">
              <w:tc>
                <w:tcPr>
                  <w:tcW w:w="5000" w:type="pct"/>
                </w:tcPr>
                <w:p w14:paraId="1D2C37E9" w14:textId="77777777" w:rsidR="009C6940" w:rsidRPr="00EF7969" w:rsidRDefault="009C6940" w:rsidP="009C6940">
                  <w:pPr>
                    <w:pStyle w:val="TableBodyText"/>
                    <w:jc w:val="left"/>
                  </w:pPr>
                  <w:r w:rsidRPr="00EF7969">
                    <w:t>Julianne Christie</w:t>
                  </w:r>
                </w:p>
              </w:tc>
            </w:tr>
            <w:tr w:rsidR="009C6940" w:rsidRPr="00EF7969" w14:paraId="5BCB8C1B" w14:textId="77777777" w:rsidTr="009C6940">
              <w:tc>
                <w:tcPr>
                  <w:tcW w:w="5000" w:type="pct"/>
                </w:tcPr>
                <w:p w14:paraId="22DEE388" w14:textId="77777777" w:rsidR="009C6940" w:rsidRPr="00EF7969" w:rsidRDefault="009C6940" w:rsidP="009C6940">
                  <w:pPr>
                    <w:pStyle w:val="TableBodyText"/>
                    <w:jc w:val="left"/>
                  </w:pPr>
                  <w:r w:rsidRPr="00EF7969">
                    <w:t>Joan Lipscombe</w:t>
                  </w:r>
                </w:p>
              </w:tc>
            </w:tr>
            <w:tr w:rsidR="009C6940" w:rsidRPr="00EF7969" w14:paraId="415C78FE" w14:textId="77777777" w:rsidTr="009C6940">
              <w:tc>
                <w:tcPr>
                  <w:tcW w:w="5000" w:type="pct"/>
                </w:tcPr>
                <w:p w14:paraId="2ACACE63" w14:textId="77777777" w:rsidR="009C6940" w:rsidRPr="00EF7969" w:rsidRDefault="009C6940" w:rsidP="009C6940">
                  <w:pPr>
                    <w:pStyle w:val="TableBodyText"/>
                    <w:spacing w:before="80" w:line="180" w:lineRule="atLeast"/>
                    <w:jc w:val="left"/>
                  </w:pPr>
                  <w:r w:rsidRPr="00EF7969">
                    <w:rPr>
                      <w:b/>
                    </w:rPr>
                    <w:t xml:space="preserve">Melbourne Day 1 — 18 November 2019 </w:t>
                  </w:r>
                </w:p>
              </w:tc>
            </w:tr>
            <w:tr w:rsidR="009C6940" w:rsidRPr="00EF7969" w14:paraId="27EBF650" w14:textId="77777777" w:rsidTr="009C6940">
              <w:tc>
                <w:tcPr>
                  <w:tcW w:w="5000" w:type="pct"/>
                </w:tcPr>
                <w:p w14:paraId="139A77A0" w14:textId="77777777" w:rsidR="009C6940" w:rsidRPr="00EF7969" w:rsidRDefault="009C6940" w:rsidP="009C6940">
                  <w:pPr>
                    <w:pStyle w:val="TableBodyText"/>
                    <w:jc w:val="left"/>
                  </w:pPr>
                  <w:r w:rsidRPr="00EF7969">
                    <w:t>Ben Goodfellow and Campbell Paul</w:t>
                  </w:r>
                </w:p>
              </w:tc>
            </w:tr>
            <w:tr w:rsidR="009C6940" w:rsidRPr="00EF7969" w14:paraId="3A0391C8" w14:textId="77777777" w:rsidTr="009C6940">
              <w:tc>
                <w:tcPr>
                  <w:tcW w:w="5000" w:type="pct"/>
                </w:tcPr>
                <w:p w14:paraId="225535F4" w14:textId="77777777" w:rsidR="009C6940" w:rsidRPr="00EF7969" w:rsidRDefault="009C6940" w:rsidP="009C6940">
                  <w:pPr>
                    <w:pStyle w:val="TableBodyText"/>
                    <w:jc w:val="left"/>
                  </w:pPr>
                  <w:r w:rsidRPr="00EF7969">
                    <w:t>Centre for Social Impact, Swinburne</w:t>
                  </w:r>
                </w:p>
              </w:tc>
            </w:tr>
            <w:tr w:rsidR="009C6940" w:rsidRPr="00EF7969" w14:paraId="2FBD1EF4" w14:textId="77777777" w:rsidTr="009C6940">
              <w:tc>
                <w:tcPr>
                  <w:tcW w:w="5000" w:type="pct"/>
                </w:tcPr>
                <w:p w14:paraId="35FC6BB7" w14:textId="77777777" w:rsidR="009C6940" w:rsidRPr="00EF7969" w:rsidRDefault="009C6940" w:rsidP="009C6940">
                  <w:pPr>
                    <w:pStyle w:val="TableBodyText"/>
                    <w:jc w:val="left"/>
                  </w:pPr>
                  <w:r w:rsidRPr="00EF7969">
                    <w:t>Australian Nursing and Midwifery Federation (Victorian Branch)</w:t>
                  </w:r>
                </w:p>
              </w:tc>
            </w:tr>
            <w:tr w:rsidR="009C6940" w:rsidRPr="00EF7969" w14:paraId="4AB13B8D" w14:textId="77777777" w:rsidTr="009C6940">
              <w:tc>
                <w:tcPr>
                  <w:tcW w:w="5000" w:type="pct"/>
                </w:tcPr>
                <w:p w14:paraId="05593775" w14:textId="77777777" w:rsidR="009C6940" w:rsidRPr="00EF7969" w:rsidRDefault="009C6940" w:rsidP="009C6940">
                  <w:pPr>
                    <w:pStyle w:val="TableBodyText"/>
                    <w:jc w:val="left"/>
                  </w:pPr>
                  <w:r w:rsidRPr="00EF7969">
                    <w:t>Australasian Sleep Association</w:t>
                  </w:r>
                </w:p>
              </w:tc>
            </w:tr>
            <w:tr w:rsidR="009C6940" w:rsidRPr="00EF7969" w14:paraId="039C4248" w14:textId="77777777" w:rsidTr="009C6940">
              <w:tc>
                <w:tcPr>
                  <w:tcW w:w="5000" w:type="pct"/>
                </w:tcPr>
                <w:p w14:paraId="0C4664F8" w14:textId="77777777" w:rsidR="009C6940" w:rsidRPr="00EF7969" w:rsidRDefault="009C6940" w:rsidP="009C6940">
                  <w:pPr>
                    <w:pStyle w:val="TableBodyText"/>
                    <w:jc w:val="left"/>
                  </w:pPr>
                  <w:r w:rsidRPr="00EF7969">
                    <w:t>Victoria Legal Aid</w:t>
                  </w:r>
                </w:p>
              </w:tc>
            </w:tr>
            <w:tr w:rsidR="009C6940" w:rsidRPr="00EF7969" w14:paraId="6154801F" w14:textId="77777777" w:rsidTr="009C6940">
              <w:tc>
                <w:tcPr>
                  <w:tcW w:w="5000" w:type="pct"/>
                </w:tcPr>
                <w:p w14:paraId="1CA782E0" w14:textId="77777777" w:rsidR="009C6940" w:rsidRPr="00EF7969" w:rsidRDefault="009C6940" w:rsidP="009C6940">
                  <w:pPr>
                    <w:pStyle w:val="TableBodyText"/>
                    <w:jc w:val="left"/>
                  </w:pPr>
                  <w:r w:rsidRPr="00EF7969">
                    <w:t>Mind Australia</w:t>
                  </w:r>
                </w:p>
              </w:tc>
            </w:tr>
            <w:tr w:rsidR="009C6940" w:rsidRPr="00EF7969" w14:paraId="5C26202E" w14:textId="77777777" w:rsidTr="009C6940">
              <w:tc>
                <w:tcPr>
                  <w:tcW w:w="5000" w:type="pct"/>
                </w:tcPr>
                <w:p w14:paraId="01C420AC" w14:textId="77777777" w:rsidR="009C6940" w:rsidRPr="00EF7969" w:rsidRDefault="009C6940" w:rsidP="009C6940">
                  <w:pPr>
                    <w:pStyle w:val="TableBodyText"/>
                    <w:jc w:val="left"/>
                  </w:pPr>
                  <w:r w:rsidRPr="00EF7969">
                    <w:t>Restart Health Services</w:t>
                  </w:r>
                </w:p>
              </w:tc>
            </w:tr>
            <w:tr w:rsidR="009C6940" w:rsidRPr="00EF7969" w14:paraId="3E47F8F3" w14:textId="77777777" w:rsidTr="009C6940">
              <w:tc>
                <w:tcPr>
                  <w:tcW w:w="5000" w:type="pct"/>
                </w:tcPr>
                <w:p w14:paraId="3DAD594F" w14:textId="77777777" w:rsidR="009C6940" w:rsidRPr="00EF7969" w:rsidRDefault="009C6940" w:rsidP="009C6940">
                  <w:pPr>
                    <w:pStyle w:val="TableBodyText"/>
                    <w:jc w:val="left"/>
                  </w:pPr>
                  <w:r w:rsidRPr="00EF7969">
                    <w:t>Launch Housing</w:t>
                  </w:r>
                </w:p>
              </w:tc>
            </w:tr>
            <w:tr w:rsidR="009C6940" w:rsidRPr="00EF7969" w14:paraId="5E384A98" w14:textId="77777777" w:rsidTr="009C6940">
              <w:tc>
                <w:tcPr>
                  <w:tcW w:w="5000" w:type="pct"/>
                </w:tcPr>
                <w:p w14:paraId="6A266687" w14:textId="77777777" w:rsidR="009C6940" w:rsidRPr="00EF7969" w:rsidRDefault="009C6940" w:rsidP="009C6940">
                  <w:pPr>
                    <w:pStyle w:val="TableBodyText"/>
                    <w:jc w:val="left"/>
                  </w:pPr>
                  <w:r w:rsidRPr="00EF7969">
                    <w:t>Eating Disorders Victoria</w:t>
                  </w:r>
                </w:p>
              </w:tc>
            </w:tr>
            <w:tr w:rsidR="009C6940" w:rsidRPr="00EF7969" w14:paraId="000E0460" w14:textId="77777777" w:rsidTr="009C6940">
              <w:tc>
                <w:tcPr>
                  <w:tcW w:w="5000" w:type="pct"/>
                </w:tcPr>
                <w:p w14:paraId="3092853B" w14:textId="77777777" w:rsidR="009C6940" w:rsidRPr="00EF7969" w:rsidRDefault="009C6940" w:rsidP="009C6940">
                  <w:pPr>
                    <w:pStyle w:val="TableBodyText"/>
                    <w:jc w:val="left"/>
                  </w:pPr>
                  <w:r w:rsidRPr="00EF7969">
                    <w:t>Ann Moir-Bussy</w:t>
                  </w:r>
                </w:p>
              </w:tc>
            </w:tr>
            <w:tr w:rsidR="009C6940" w:rsidRPr="00EF7969" w14:paraId="586F98C6" w14:textId="77777777" w:rsidTr="009C6940">
              <w:tc>
                <w:tcPr>
                  <w:tcW w:w="5000" w:type="pct"/>
                </w:tcPr>
                <w:p w14:paraId="34CA857B" w14:textId="77777777" w:rsidR="009C6940" w:rsidRPr="00EF7969" w:rsidRDefault="009C6940" w:rsidP="009C6940">
                  <w:pPr>
                    <w:pStyle w:val="TableBodyText"/>
                    <w:jc w:val="left"/>
                  </w:pPr>
                  <w:r w:rsidRPr="00EF7969">
                    <w:t>Michael Blair</w:t>
                  </w:r>
                </w:p>
              </w:tc>
            </w:tr>
            <w:tr w:rsidR="009C6940" w:rsidRPr="00EF7969" w14:paraId="06110AA5" w14:textId="77777777" w:rsidTr="009C6940">
              <w:tc>
                <w:tcPr>
                  <w:tcW w:w="5000" w:type="pct"/>
                </w:tcPr>
                <w:p w14:paraId="4C44CA48" w14:textId="77777777" w:rsidR="009C6940" w:rsidRPr="00EF7969" w:rsidRDefault="009C6940" w:rsidP="009C6940">
                  <w:pPr>
                    <w:pStyle w:val="TableBodyText"/>
                    <w:jc w:val="left"/>
                  </w:pPr>
                  <w:r w:rsidRPr="00EF7969">
                    <w:t>Tandem</w:t>
                  </w:r>
                </w:p>
              </w:tc>
            </w:tr>
            <w:tr w:rsidR="009C6940" w:rsidRPr="00EF7969" w14:paraId="53EE2A4F" w14:textId="77777777" w:rsidTr="009C6940">
              <w:tc>
                <w:tcPr>
                  <w:tcW w:w="5000" w:type="pct"/>
                </w:tcPr>
                <w:p w14:paraId="56D2114A" w14:textId="77777777" w:rsidR="009C6940" w:rsidRPr="00EF7969" w:rsidRDefault="009C6940" w:rsidP="009C6940">
                  <w:pPr>
                    <w:pStyle w:val="TableBodyText"/>
                    <w:jc w:val="left"/>
                  </w:pPr>
                  <w:r w:rsidRPr="00EF7969">
                    <w:t>Consortium of Psychiatrists</w:t>
                  </w:r>
                </w:p>
              </w:tc>
            </w:tr>
            <w:tr w:rsidR="009C6940" w:rsidRPr="00EF7969" w14:paraId="2FF7F5C3" w14:textId="77777777" w:rsidTr="009C6940">
              <w:tc>
                <w:tcPr>
                  <w:tcW w:w="5000" w:type="pct"/>
                </w:tcPr>
                <w:p w14:paraId="72D9FE26" w14:textId="77777777" w:rsidR="009C6940" w:rsidRPr="00EF7969" w:rsidRDefault="009C6940" w:rsidP="009C6940">
                  <w:pPr>
                    <w:pStyle w:val="TableBodyText"/>
                    <w:jc w:val="left"/>
                  </w:pPr>
                  <w:r w:rsidRPr="00EF7969">
                    <w:t>Monash University</w:t>
                  </w:r>
                </w:p>
              </w:tc>
            </w:tr>
            <w:tr w:rsidR="009C6940" w:rsidRPr="00EF7969" w14:paraId="38E03798" w14:textId="77777777" w:rsidTr="009C6940">
              <w:tc>
                <w:tcPr>
                  <w:tcW w:w="5000" w:type="pct"/>
                </w:tcPr>
                <w:p w14:paraId="569BFA5A" w14:textId="77777777" w:rsidR="009C6940" w:rsidRPr="00EF7969" w:rsidRDefault="009C6940" w:rsidP="009C6940">
                  <w:pPr>
                    <w:pStyle w:val="TableBodyText"/>
                    <w:jc w:val="left"/>
                  </w:pPr>
                  <w:r w:rsidRPr="00EF7969">
                    <w:t>Andrew Morgan</w:t>
                  </w:r>
                </w:p>
              </w:tc>
            </w:tr>
            <w:tr w:rsidR="009C6940" w:rsidRPr="00EF7969" w14:paraId="7C41A976" w14:textId="77777777" w:rsidTr="009C6940">
              <w:tc>
                <w:tcPr>
                  <w:tcW w:w="5000" w:type="pct"/>
                </w:tcPr>
                <w:p w14:paraId="0CC1A773" w14:textId="77777777" w:rsidR="009C6940" w:rsidRPr="00EF7969" w:rsidRDefault="009C6940" w:rsidP="009C6940">
                  <w:pPr>
                    <w:pStyle w:val="TableBodyText"/>
                    <w:jc w:val="left"/>
                  </w:pPr>
                  <w:r w:rsidRPr="00EF7969">
                    <w:t>First Step</w:t>
                  </w:r>
                </w:p>
              </w:tc>
            </w:tr>
            <w:tr w:rsidR="009C6940" w:rsidRPr="00EF7969" w14:paraId="218D9ECA" w14:textId="77777777" w:rsidTr="009C6940">
              <w:tc>
                <w:tcPr>
                  <w:tcW w:w="5000" w:type="pct"/>
                </w:tcPr>
                <w:p w14:paraId="7E0F0707" w14:textId="77777777" w:rsidR="009C6940" w:rsidRPr="00EF7969" w:rsidRDefault="009C6940" w:rsidP="009C6940">
                  <w:pPr>
                    <w:pStyle w:val="TableBodyText"/>
                    <w:jc w:val="left"/>
                  </w:pPr>
                  <w:r w:rsidRPr="00EF7969">
                    <w:t>Health and Community Services Union</w:t>
                  </w:r>
                </w:p>
              </w:tc>
            </w:tr>
            <w:tr w:rsidR="009C6940" w:rsidRPr="00EF7969" w14:paraId="2767766F" w14:textId="77777777" w:rsidTr="009C6940">
              <w:tc>
                <w:tcPr>
                  <w:tcW w:w="5000" w:type="pct"/>
                </w:tcPr>
                <w:p w14:paraId="51117FFA" w14:textId="77777777" w:rsidR="009C6940" w:rsidRPr="00EF7969" w:rsidRDefault="009C6940" w:rsidP="009C6940">
                  <w:pPr>
                    <w:pStyle w:val="TableBodyText"/>
                    <w:jc w:val="left"/>
                  </w:pPr>
                  <w:r w:rsidRPr="00EF7969">
                    <w:t>David Clark</w:t>
                  </w:r>
                </w:p>
              </w:tc>
            </w:tr>
            <w:tr w:rsidR="009C6940" w:rsidRPr="00EF7969" w14:paraId="2EB66F85" w14:textId="77777777" w:rsidTr="009C6940">
              <w:tc>
                <w:tcPr>
                  <w:tcW w:w="5000" w:type="pct"/>
                </w:tcPr>
                <w:p w14:paraId="47374748" w14:textId="77777777" w:rsidR="009C6940" w:rsidRPr="00EF7969" w:rsidRDefault="009C6940" w:rsidP="009C6940">
                  <w:pPr>
                    <w:pStyle w:val="TableBodyText"/>
                    <w:jc w:val="left"/>
                  </w:pPr>
                  <w:r w:rsidRPr="00EF7969">
                    <w:t>Tess Reilly-Browne</w:t>
                  </w:r>
                </w:p>
              </w:tc>
            </w:tr>
            <w:tr w:rsidR="009C6940" w:rsidRPr="00EF7969" w14:paraId="0231DB54" w14:textId="77777777" w:rsidTr="009C6940">
              <w:tc>
                <w:tcPr>
                  <w:tcW w:w="5000" w:type="pct"/>
                </w:tcPr>
                <w:p w14:paraId="27E11D68" w14:textId="77777777" w:rsidR="009C6940" w:rsidRPr="00EF7969" w:rsidRDefault="009C6940" w:rsidP="009C6940">
                  <w:pPr>
                    <w:pStyle w:val="TableBodyText"/>
                    <w:jc w:val="left"/>
                  </w:pPr>
                  <w:r w:rsidRPr="00EF7969">
                    <w:t>Donna Hansen-Vella</w:t>
                  </w:r>
                </w:p>
              </w:tc>
            </w:tr>
            <w:tr w:rsidR="009C6940" w:rsidRPr="00EF7969" w14:paraId="1FB36978" w14:textId="77777777" w:rsidTr="009C6940">
              <w:tc>
                <w:tcPr>
                  <w:tcW w:w="5000" w:type="pct"/>
                </w:tcPr>
                <w:p w14:paraId="4DB7D000" w14:textId="77777777" w:rsidR="009C6940" w:rsidRPr="00EF7969" w:rsidRDefault="009C6940" w:rsidP="009C6940">
                  <w:pPr>
                    <w:pStyle w:val="TableBodyText"/>
                    <w:jc w:val="left"/>
                  </w:pPr>
                  <w:r w:rsidRPr="00EF7969">
                    <w:t>Borderline Personality Disorder Community</w:t>
                  </w:r>
                </w:p>
              </w:tc>
            </w:tr>
          </w:tbl>
          <w:p w14:paraId="40E1E66D" w14:textId="77777777" w:rsidR="009C6940" w:rsidRPr="00EF7969" w:rsidRDefault="009C6940" w:rsidP="009C6940">
            <w:pPr>
              <w:pStyle w:val="Box"/>
            </w:pPr>
          </w:p>
        </w:tc>
      </w:tr>
      <w:tr w:rsidR="009C6940" w:rsidRPr="00EF7969" w14:paraId="532331A1" w14:textId="77777777" w:rsidTr="009C6940">
        <w:tc>
          <w:tcPr>
            <w:tcW w:w="5000" w:type="pct"/>
            <w:tcBorders>
              <w:top w:val="single" w:sz="4" w:space="0" w:color="BFBFBF" w:themeColor="background1" w:themeShade="BF"/>
              <w:left w:val="nil"/>
              <w:bottom w:val="nil"/>
              <w:right w:val="nil"/>
            </w:tcBorders>
            <w:shd w:val="clear" w:color="auto" w:fill="auto"/>
          </w:tcPr>
          <w:p w14:paraId="1D86B039" w14:textId="77777777" w:rsidR="009C6940" w:rsidRPr="00EF7969" w:rsidRDefault="009C6940" w:rsidP="009C6940">
            <w:pPr>
              <w:pStyle w:val="Continued"/>
            </w:pPr>
            <w:r w:rsidRPr="00EF7969">
              <w:t>(continued next page)</w:t>
            </w:r>
          </w:p>
        </w:tc>
      </w:tr>
      <w:tr w:rsidR="009C6940" w:rsidRPr="00EF7969" w14:paraId="464489BF" w14:textId="77777777" w:rsidTr="009C6940">
        <w:tc>
          <w:tcPr>
            <w:tcW w:w="5000" w:type="pct"/>
            <w:tcBorders>
              <w:top w:val="nil"/>
              <w:left w:val="nil"/>
              <w:bottom w:val="single" w:sz="6" w:space="0" w:color="78A22F"/>
              <w:right w:val="nil"/>
            </w:tcBorders>
            <w:shd w:val="clear" w:color="auto" w:fill="auto"/>
          </w:tcPr>
          <w:p w14:paraId="0833CCCD" w14:textId="77777777" w:rsidR="009C6940" w:rsidRPr="00EF7969" w:rsidRDefault="009C6940" w:rsidP="009C6940">
            <w:pPr>
              <w:pStyle w:val="Box"/>
              <w:spacing w:before="0" w:line="120" w:lineRule="exact"/>
            </w:pPr>
          </w:p>
        </w:tc>
      </w:tr>
      <w:tr w:rsidR="009C6940" w:rsidRPr="00EF7969" w14:paraId="1DE89F0C" w14:textId="77777777" w:rsidTr="009C6940">
        <w:tc>
          <w:tcPr>
            <w:tcW w:w="5000" w:type="pct"/>
            <w:tcBorders>
              <w:top w:val="single" w:sz="6" w:space="0" w:color="78A22F"/>
              <w:left w:val="nil"/>
              <w:bottom w:val="nil"/>
              <w:right w:val="nil"/>
            </w:tcBorders>
          </w:tcPr>
          <w:p w14:paraId="4E6543D8" w14:textId="77777777" w:rsidR="009C6940" w:rsidRPr="00EF7969" w:rsidRDefault="009C6940" w:rsidP="009C6940">
            <w:pPr>
              <w:pStyle w:val="BoxSpaceBelow"/>
            </w:pPr>
          </w:p>
        </w:tc>
      </w:tr>
    </w:tbl>
    <w:p w14:paraId="002A4038"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22648ABA" w14:textId="77777777" w:rsidTr="009C6940">
        <w:trPr>
          <w:tblHeader/>
        </w:trPr>
        <w:tc>
          <w:tcPr>
            <w:tcW w:w="5000" w:type="pct"/>
            <w:tcBorders>
              <w:top w:val="single" w:sz="6" w:space="0" w:color="78A22F"/>
              <w:left w:val="nil"/>
              <w:bottom w:val="nil"/>
              <w:right w:val="nil"/>
            </w:tcBorders>
            <w:shd w:val="clear" w:color="auto" w:fill="auto"/>
          </w:tcPr>
          <w:p w14:paraId="6FEE41F0" w14:textId="77777777" w:rsidR="009C6940" w:rsidRPr="00EF7969" w:rsidRDefault="009C6940" w:rsidP="005B2660">
            <w:pPr>
              <w:pStyle w:val="TableTitle"/>
              <w:spacing w:before="80" w:after="60"/>
            </w:pPr>
            <w:r w:rsidRPr="00EF7969">
              <w:rPr>
                <w:b w:val="0"/>
              </w:rPr>
              <w:t xml:space="preserve">Table </w:t>
            </w:r>
            <w:r>
              <w:rPr>
                <w:b w:val="0"/>
              </w:rPr>
              <w:t>B.</w:t>
            </w:r>
            <w:r w:rsidRPr="00EF7969">
              <w:rPr>
                <w:b w:val="0"/>
              </w:rPr>
              <w:t>4</w:t>
            </w:r>
            <w:r w:rsidRPr="00EF7969">
              <w:tab/>
            </w:r>
            <w:r w:rsidRPr="00EF7969">
              <w:rPr>
                <w:rStyle w:val="Continuedintitle"/>
              </w:rPr>
              <w:t>(continued)</w:t>
            </w:r>
          </w:p>
        </w:tc>
      </w:tr>
      <w:tr w:rsidR="009C6940" w:rsidRPr="00EF7969" w14:paraId="78C14C77" w14:textId="77777777" w:rsidTr="009C6940">
        <w:tc>
          <w:tcPr>
            <w:tcW w:w="5000" w:type="pct"/>
            <w:tcBorders>
              <w:top w:val="nil"/>
              <w:left w:val="nil"/>
              <w:bottom w:val="single" w:sz="4" w:space="0" w:color="BFBFBF" w:themeColor="background1" w:themeShade="BF"/>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5"/>
            </w:tblGrid>
            <w:tr w:rsidR="009C6940" w:rsidRPr="00EF7969" w14:paraId="33A36EAA" w14:textId="77777777" w:rsidTr="009C6940">
              <w:tc>
                <w:tcPr>
                  <w:tcW w:w="5000" w:type="pct"/>
                  <w:tcBorders>
                    <w:top w:val="single" w:sz="4" w:space="0" w:color="BFBFBF" w:themeColor="background1" w:themeShade="BF"/>
                  </w:tcBorders>
                </w:tcPr>
                <w:p w14:paraId="062AD113" w14:textId="77777777" w:rsidR="009C6940" w:rsidRPr="00EF7969" w:rsidRDefault="009C6940" w:rsidP="009C6940">
                  <w:pPr>
                    <w:pStyle w:val="TableBodyText"/>
                    <w:spacing w:before="40"/>
                    <w:jc w:val="left"/>
                    <w:rPr>
                      <w:b/>
                    </w:rPr>
                  </w:pPr>
                  <w:r w:rsidRPr="00EF7969">
                    <w:rPr>
                      <w:b/>
                    </w:rPr>
                    <w:t>Melbourne Day 2 — 19 November  2019</w:t>
                  </w:r>
                </w:p>
              </w:tc>
            </w:tr>
            <w:tr w:rsidR="009C6940" w:rsidRPr="00EF7969" w14:paraId="6CD550AB" w14:textId="77777777" w:rsidTr="009C6940">
              <w:tc>
                <w:tcPr>
                  <w:tcW w:w="5000" w:type="pct"/>
                </w:tcPr>
                <w:p w14:paraId="1FD94268" w14:textId="77777777" w:rsidR="009C6940" w:rsidRPr="00EF7969" w:rsidRDefault="009C6940" w:rsidP="009C6940">
                  <w:pPr>
                    <w:pStyle w:val="TableBodyText"/>
                    <w:spacing w:line="180" w:lineRule="atLeast"/>
                    <w:jc w:val="left"/>
                  </w:pPr>
                  <w:r w:rsidRPr="00EF7969">
                    <w:t>People Power International</w:t>
                  </w:r>
                </w:p>
              </w:tc>
            </w:tr>
            <w:tr w:rsidR="009C6940" w:rsidRPr="00EF7969" w14:paraId="4F682032" w14:textId="77777777" w:rsidTr="009C6940">
              <w:tc>
                <w:tcPr>
                  <w:tcW w:w="5000" w:type="pct"/>
                </w:tcPr>
                <w:p w14:paraId="4E849580" w14:textId="77777777" w:rsidR="009C6940" w:rsidRPr="00EF7969" w:rsidRDefault="009C6940" w:rsidP="009C6940">
                  <w:pPr>
                    <w:pStyle w:val="TableBodyText"/>
                    <w:spacing w:line="180" w:lineRule="atLeast"/>
                    <w:jc w:val="left"/>
                  </w:pPr>
                  <w:r w:rsidRPr="00EF7969">
                    <w:t>Mental Health Victoria</w:t>
                  </w:r>
                </w:p>
              </w:tc>
            </w:tr>
            <w:tr w:rsidR="009C6940" w:rsidRPr="00EF7969" w14:paraId="127CC686" w14:textId="77777777" w:rsidTr="009C6940">
              <w:tc>
                <w:tcPr>
                  <w:tcW w:w="5000" w:type="pct"/>
                </w:tcPr>
                <w:p w14:paraId="68A8100E" w14:textId="77777777" w:rsidR="009C6940" w:rsidRPr="00EF7969" w:rsidRDefault="009C6940" w:rsidP="009C6940">
                  <w:pPr>
                    <w:pStyle w:val="TableBodyText"/>
                    <w:spacing w:line="180" w:lineRule="atLeast"/>
                    <w:jc w:val="left"/>
                  </w:pPr>
                  <w:r w:rsidRPr="00EF7969">
                    <w:t>Beyond Blue</w:t>
                  </w:r>
                </w:p>
              </w:tc>
            </w:tr>
            <w:tr w:rsidR="009C6940" w:rsidRPr="00EF7969" w14:paraId="32B96CB5" w14:textId="77777777" w:rsidTr="009C6940">
              <w:tc>
                <w:tcPr>
                  <w:tcW w:w="5000" w:type="pct"/>
                </w:tcPr>
                <w:p w14:paraId="57D8C990" w14:textId="77777777" w:rsidR="009C6940" w:rsidRPr="00EF7969" w:rsidRDefault="009C6940" w:rsidP="009C6940">
                  <w:pPr>
                    <w:pStyle w:val="TableBodyText"/>
                    <w:spacing w:line="180" w:lineRule="atLeast"/>
                    <w:jc w:val="left"/>
                  </w:pPr>
                  <w:r w:rsidRPr="00EF7969">
                    <w:t>Prevention United</w:t>
                  </w:r>
                </w:p>
              </w:tc>
            </w:tr>
            <w:tr w:rsidR="009C6940" w:rsidRPr="00EF7969" w14:paraId="34E52EE6" w14:textId="77777777" w:rsidTr="009C6940">
              <w:tc>
                <w:tcPr>
                  <w:tcW w:w="5000" w:type="pct"/>
                </w:tcPr>
                <w:p w14:paraId="0E8C3BF7" w14:textId="77777777" w:rsidR="009C6940" w:rsidRPr="00EF7969" w:rsidRDefault="009C6940" w:rsidP="009C6940">
                  <w:pPr>
                    <w:pStyle w:val="TableBodyText"/>
                    <w:spacing w:line="180" w:lineRule="atLeast"/>
                    <w:jc w:val="left"/>
                  </w:pPr>
                  <w:r w:rsidRPr="00EF7969">
                    <w:t>Vikein Mouradian</w:t>
                  </w:r>
                </w:p>
              </w:tc>
            </w:tr>
            <w:tr w:rsidR="009C6940" w:rsidRPr="00EF7969" w14:paraId="0D67A8CF" w14:textId="77777777" w:rsidTr="009C6940">
              <w:tc>
                <w:tcPr>
                  <w:tcW w:w="5000" w:type="pct"/>
                </w:tcPr>
                <w:p w14:paraId="574501EC" w14:textId="77777777" w:rsidR="009C6940" w:rsidRPr="00EF7969" w:rsidRDefault="009C6940" w:rsidP="009C6940">
                  <w:pPr>
                    <w:pStyle w:val="TableBodyText"/>
                    <w:spacing w:line="180" w:lineRule="atLeast"/>
                    <w:jc w:val="left"/>
                  </w:pPr>
                  <w:r w:rsidRPr="00EF7969">
                    <w:t>Victorian Mental Illness Awareness Council</w:t>
                  </w:r>
                </w:p>
              </w:tc>
            </w:tr>
            <w:tr w:rsidR="009C6940" w:rsidRPr="00EF7969" w14:paraId="5BC969C5" w14:textId="77777777" w:rsidTr="009C6940">
              <w:tc>
                <w:tcPr>
                  <w:tcW w:w="5000" w:type="pct"/>
                </w:tcPr>
                <w:p w14:paraId="5CC3BA28" w14:textId="77777777" w:rsidR="009C6940" w:rsidRPr="00EF7969" w:rsidRDefault="009C6940" w:rsidP="009C6940">
                  <w:pPr>
                    <w:pStyle w:val="TableBodyText"/>
                    <w:spacing w:line="180" w:lineRule="atLeast"/>
                    <w:jc w:val="left"/>
                  </w:pPr>
                  <w:r w:rsidRPr="00EF7969">
                    <w:t>Mental Health Legal Centre</w:t>
                  </w:r>
                </w:p>
              </w:tc>
            </w:tr>
            <w:tr w:rsidR="009C6940" w:rsidRPr="00EF7969" w14:paraId="602EE556" w14:textId="77777777" w:rsidTr="009C6940">
              <w:tc>
                <w:tcPr>
                  <w:tcW w:w="5000" w:type="pct"/>
                </w:tcPr>
                <w:p w14:paraId="58EB9138" w14:textId="77777777" w:rsidR="009C6940" w:rsidRPr="00EF7969" w:rsidRDefault="009C6940" w:rsidP="009C6940">
                  <w:pPr>
                    <w:pStyle w:val="TableBodyText"/>
                    <w:spacing w:line="180" w:lineRule="atLeast"/>
                    <w:jc w:val="left"/>
                  </w:pPr>
                  <w:r w:rsidRPr="00EF7969">
                    <w:t>CyberValues.org</w:t>
                  </w:r>
                </w:p>
              </w:tc>
            </w:tr>
            <w:tr w:rsidR="009C6940" w:rsidRPr="00EF7969" w14:paraId="47E9A44E" w14:textId="77777777" w:rsidTr="009C6940">
              <w:tc>
                <w:tcPr>
                  <w:tcW w:w="5000" w:type="pct"/>
                </w:tcPr>
                <w:p w14:paraId="022105D6" w14:textId="77777777" w:rsidR="009C6940" w:rsidRPr="00EF7969" w:rsidRDefault="009C6940" w:rsidP="009C6940">
                  <w:pPr>
                    <w:pStyle w:val="TableBodyText"/>
                    <w:spacing w:line="180" w:lineRule="atLeast"/>
                    <w:jc w:val="left"/>
                  </w:pPr>
                  <w:r w:rsidRPr="00EF7969">
                    <w:t>Australia Music Therapy Association</w:t>
                  </w:r>
                </w:p>
              </w:tc>
            </w:tr>
            <w:tr w:rsidR="009C6940" w:rsidRPr="00EF7969" w14:paraId="67A0B14A" w14:textId="77777777" w:rsidTr="009C6940">
              <w:tc>
                <w:tcPr>
                  <w:tcW w:w="5000" w:type="pct"/>
                </w:tcPr>
                <w:p w14:paraId="69511BB4" w14:textId="77777777" w:rsidR="009C6940" w:rsidRPr="00EF7969" w:rsidRDefault="009C6940" w:rsidP="009C6940">
                  <w:pPr>
                    <w:pStyle w:val="TableBodyText"/>
                    <w:spacing w:line="180" w:lineRule="atLeast"/>
                    <w:jc w:val="left"/>
                  </w:pPr>
                  <w:r w:rsidRPr="00EF7969">
                    <w:t>Debra Scott</w:t>
                  </w:r>
                </w:p>
              </w:tc>
            </w:tr>
            <w:tr w:rsidR="009C6940" w:rsidRPr="00EF7969" w14:paraId="1107A039" w14:textId="77777777" w:rsidTr="009C6940">
              <w:tc>
                <w:tcPr>
                  <w:tcW w:w="5000" w:type="pct"/>
                </w:tcPr>
                <w:p w14:paraId="1ABE491D" w14:textId="77777777" w:rsidR="009C6940" w:rsidRPr="00EF7969" w:rsidRDefault="009C6940" w:rsidP="009C6940">
                  <w:pPr>
                    <w:pStyle w:val="TableBodyText"/>
                    <w:spacing w:line="180" w:lineRule="atLeast"/>
                    <w:jc w:val="left"/>
                  </w:pPr>
                  <w:r w:rsidRPr="00EF7969">
                    <w:t>Royal Australian and New Zealand College of Psychiatrists, Victoria</w:t>
                  </w:r>
                </w:p>
              </w:tc>
            </w:tr>
            <w:tr w:rsidR="009C6940" w:rsidRPr="00EF7969" w14:paraId="7CE79708" w14:textId="77777777" w:rsidTr="009C6940">
              <w:tc>
                <w:tcPr>
                  <w:tcW w:w="5000" w:type="pct"/>
                  <w:shd w:val="clear" w:color="auto" w:fill="auto"/>
                </w:tcPr>
                <w:p w14:paraId="6C9A7782" w14:textId="77777777" w:rsidR="009C6940" w:rsidRPr="00EF7969" w:rsidRDefault="009C6940" w:rsidP="009C6940">
                  <w:pPr>
                    <w:pStyle w:val="TableBodyText"/>
                    <w:spacing w:line="180" w:lineRule="atLeast"/>
                    <w:jc w:val="left"/>
                  </w:pPr>
                  <w:r w:rsidRPr="00EF7969">
                    <w:t>Australians for Mental Health</w:t>
                  </w:r>
                </w:p>
              </w:tc>
            </w:tr>
            <w:tr w:rsidR="009C6940" w:rsidRPr="00EF7969" w14:paraId="3E44AF21" w14:textId="77777777" w:rsidTr="009C6940">
              <w:tc>
                <w:tcPr>
                  <w:tcW w:w="5000" w:type="pct"/>
                  <w:shd w:val="clear" w:color="auto" w:fill="auto"/>
                </w:tcPr>
                <w:p w14:paraId="5B9A01D2" w14:textId="77777777" w:rsidR="009C6940" w:rsidRPr="00EF7969" w:rsidRDefault="009C6940" w:rsidP="009C6940">
                  <w:pPr>
                    <w:pStyle w:val="TableBodyText"/>
                    <w:spacing w:line="180" w:lineRule="atLeast"/>
                    <w:jc w:val="left"/>
                  </w:pPr>
                  <w:r w:rsidRPr="00EF7969">
                    <w:t>Independent Private Psychiatrists Group</w:t>
                  </w:r>
                </w:p>
              </w:tc>
            </w:tr>
            <w:tr w:rsidR="009C6940" w:rsidRPr="00EF7969" w14:paraId="3DAC6AC9" w14:textId="77777777" w:rsidTr="009C6940">
              <w:tc>
                <w:tcPr>
                  <w:tcW w:w="5000" w:type="pct"/>
                  <w:shd w:val="clear" w:color="auto" w:fill="auto"/>
                </w:tcPr>
                <w:p w14:paraId="6BFF56A8" w14:textId="77777777" w:rsidR="009C6940" w:rsidRPr="00EF7969" w:rsidRDefault="009C6940" w:rsidP="009C6940">
                  <w:pPr>
                    <w:pStyle w:val="TableBodyText"/>
                    <w:spacing w:line="180" w:lineRule="atLeast"/>
                    <w:jc w:val="left"/>
                  </w:pPr>
                  <w:r w:rsidRPr="00EF7969">
                    <w:t>The ACT of Living</w:t>
                  </w:r>
                </w:p>
              </w:tc>
            </w:tr>
            <w:tr w:rsidR="009C6940" w:rsidRPr="00EF7969" w14:paraId="25806F83" w14:textId="77777777" w:rsidTr="009C6940">
              <w:tc>
                <w:tcPr>
                  <w:tcW w:w="5000" w:type="pct"/>
                  <w:shd w:val="clear" w:color="auto" w:fill="auto"/>
                </w:tcPr>
                <w:p w14:paraId="1A896F52" w14:textId="77777777" w:rsidR="009C6940" w:rsidRPr="00EF7969" w:rsidRDefault="009C6940" w:rsidP="009C6940">
                  <w:pPr>
                    <w:pStyle w:val="TableBodyText"/>
                    <w:spacing w:line="180" w:lineRule="atLeast"/>
                    <w:jc w:val="left"/>
                  </w:pPr>
                  <w:r w:rsidRPr="00EF7969">
                    <w:t>Prue Lynch</w:t>
                  </w:r>
                </w:p>
              </w:tc>
            </w:tr>
            <w:tr w:rsidR="009C6940" w:rsidRPr="00EF7969" w14:paraId="5A4442AB" w14:textId="77777777" w:rsidTr="009C6940">
              <w:tc>
                <w:tcPr>
                  <w:tcW w:w="5000" w:type="pct"/>
                  <w:shd w:val="clear" w:color="auto" w:fill="auto"/>
                </w:tcPr>
                <w:p w14:paraId="4B42BC72" w14:textId="77777777" w:rsidR="009C6940" w:rsidRPr="00EF7969" w:rsidRDefault="009C6940" w:rsidP="009C6940">
                  <w:pPr>
                    <w:pStyle w:val="TableBodyText"/>
                    <w:spacing w:before="80" w:line="180" w:lineRule="atLeast"/>
                    <w:jc w:val="left"/>
                  </w:pPr>
                  <w:r w:rsidRPr="00EF7969">
                    <w:rPr>
                      <w:b/>
                    </w:rPr>
                    <w:t>Geraldton — 20 November 2019</w:t>
                  </w:r>
                </w:p>
              </w:tc>
            </w:tr>
            <w:tr w:rsidR="009C6940" w:rsidRPr="00EF7969" w14:paraId="34E00316" w14:textId="77777777" w:rsidTr="009C6940">
              <w:tc>
                <w:tcPr>
                  <w:tcW w:w="5000" w:type="pct"/>
                  <w:shd w:val="clear" w:color="auto" w:fill="auto"/>
                </w:tcPr>
                <w:p w14:paraId="07BE917C" w14:textId="77777777" w:rsidR="009C6940" w:rsidRPr="00EF7969" w:rsidRDefault="009C6940" w:rsidP="009C6940">
                  <w:pPr>
                    <w:pStyle w:val="TableBodyText"/>
                    <w:spacing w:line="180" w:lineRule="atLeast"/>
                    <w:jc w:val="left"/>
                  </w:pPr>
                  <w:r w:rsidRPr="00EF7969">
                    <w:t>HelpingMinds</w:t>
                  </w:r>
                </w:p>
              </w:tc>
            </w:tr>
            <w:tr w:rsidR="009C6940" w:rsidRPr="00EF7969" w14:paraId="76B31F4B" w14:textId="77777777" w:rsidTr="009C6940">
              <w:tc>
                <w:tcPr>
                  <w:tcW w:w="5000" w:type="pct"/>
                  <w:shd w:val="clear" w:color="auto" w:fill="auto"/>
                </w:tcPr>
                <w:p w14:paraId="10E32FF2" w14:textId="77777777" w:rsidR="009C6940" w:rsidRPr="00EF7969" w:rsidRDefault="009C6940" w:rsidP="009C6940">
                  <w:pPr>
                    <w:pStyle w:val="TableBodyText"/>
                    <w:spacing w:line="180" w:lineRule="atLeast"/>
                    <w:jc w:val="left"/>
                  </w:pPr>
                  <w:r w:rsidRPr="00EF7969">
                    <w:t>Headspace, Geraldton</w:t>
                  </w:r>
                </w:p>
              </w:tc>
            </w:tr>
            <w:tr w:rsidR="009C6940" w:rsidRPr="00EF7969" w14:paraId="1A6CF0F6" w14:textId="77777777" w:rsidTr="009C6940">
              <w:tc>
                <w:tcPr>
                  <w:tcW w:w="5000" w:type="pct"/>
                  <w:shd w:val="clear" w:color="auto" w:fill="auto"/>
                </w:tcPr>
                <w:p w14:paraId="50C46BEB" w14:textId="77777777" w:rsidR="009C6940" w:rsidRPr="00EF7969" w:rsidRDefault="009C6940" w:rsidP="009C6940">
                  <w:pPr>
                    <w:pStyle w:val="TableBodyText"/>
                    <w:spacing w:line="180" w:lineRule="atLeast"/>
                    <w:jc w:val="left"/>
                  </w:pPr>
                  <w:r w:rsidRPr="00EF7969">
                    <w:t>Elucidate</w:t>
                  </w:r>
                </w:p>
              </w:tc>
            </w:tr>
            <w:tr w:rsidR="009C6940" w:rsidRPr="00EF7969" w14:paraId="17BF282F" w14:textId="77777777" w:rsidTr="009C6940">
              <w:tc>
                <w:tcPr>
                  <w:tcW w:w="5000" w:type="pct"/>
                  <w:shd w:val="clear" w:color="auto" w:fill="auto"/>
                </w:tcPr>
                <w:p w14:paraId="6064D7FE" w14:textId="77777777" w:rsidR="009C6940" w:rsidRPr="00EF7969" w:rsidRDefault="009C6940" w:rsidP="009C6940">
                  <w:pPr>
                    <w:pStyle w:val="TableBodyText"/>
                    <w:spacing w:line="180" w:lineRule="atLeast"/>
                    <w:jc w:val="left"/>
                  </w:pPr>
                  <w:r w:rsidRPr="00EF7969">
                    <w:t>Cathy Fox</w:t>
                  </w:r>
                </w:p>
              </w:tc>
            </w:tr>
            <w:tr w:rsidR="009C6940" w:rsidRPr="00EF7969" w14:paraId="7BF28E78" w14:textId="77777777" w:rsidTr="009C6940">
              <w:tc>
                <w:tcPr>
                  <w:tcW w:w="5000" w:type="pct"/>
                  <w:shd w:val="clear" w:color="auto" w:fill="auto"/>
                </w:tcPr>
                <w:p w14:paraId="1B753EAF" w14:textId="77777777" w:rsidR="009C6940" w:rsidRPr="00EF7969" w:rsidRDefault="009C6940" w:rsidP="009C6940">
                  <w:pPr>
                    <w:pStyle w:val="TableBodyText"/>
                    <w:spacing w:line="180" w:lineRule="atLeast"/>
                    <w:jc w:val="left"/>
                  </w:pPr>
                  <w:r w:rsidRPr="00EF7969">
                    <w:t>Geraldton Regional Aboriginal Medical Service</w:t>
                  </w:r>
                </w:p>
              </w:tc>
            </w:tr>
            <w:tr w:rsidR="009C6940" w:rsidRPr="00EF7969" w14:paraId="667FDF10" w14:textId="77777777" w:rsidTr="009C6940">
              <w:tc>
                <w:tcPr>
                  <w:tcW w:w="5000" w:type="pct"/>
                  <w:shd w:val="clear" w:color="auto" w:fill="auto"/>
                </w:tcPr>
                <w:p w14:paraId="23509C10" w14:textId="77777777" w:rsidR="009C6940" w:rsidRPr="00EF7969" w:rsidRDefault="009C6940" w:rsidP="009C6940">
                  <w:pPr>
                    <w:pStyle w:val="TableBodyText"/>
                    <w:spacing w:before="80" w:line="180" w:lineRule="atLeast"/>
                    <w:jc w:val="left"/>
                  </w:pPr>
                  <w:r w:rsidRPr="00EF7969">
                    <w:rPr>
                      <w:b/>
                    </w:rPr>
                    <w:t>Perth — 21 November 2019</w:t>
                  </w:r>
                </w:p>
              </w:tc>
            </w:tr>
            <w:tr w:rsidR="009C6940" w:rsidRPr="00EF7969" w14:paraId="77A2605C" w14:textId="77777777" w:rsidTr="009C6940">
              <w:tc>
                <w:tcPr>
                  <w:tcW w:w="5000" w:type="pct"/>
                  <w:shd w:val="clear" w:color="auto" w:fill="auto"/>
                </w:tcPr>
                <w:p w14:paraId="529D4D11" w14:textId="77777777" w:rsidR="009C6940" w:rsidRPr="005A71BD" w:rsidRDefault="009C6940" w:rsidP="009C6940">
                  <w:pPr>
                    <w:pStyle w:val="TableBodyText"/>
                    <w:jc w:val="left"/>
                  </w:pPr>
                  <w:r w:rsidRPr="005A71BD">
                    <w:t>Consumers of Mental Health Western Australia</w:t>
                  </w:r>
                </w:p>
              </w:tc>
            </w:tr>
            <w:tr w:rsidR="009C6940" w:rsidRPr="00EF7969" w14:paraId="5D668D0B" w14:textId="77777777" w:rsidTr="009C6940">
              <w:tc>
                <w:tcPr>
                  <w:tcW w:w="5000" w:type="pct"/>
                  <w:shd w:val="clear" w:color="auto" w:fill="auto"/>
                </w:tcPr>
                <w:p w14:paraId="2B57ABCC" w14:textId="77777777" w:rsidR="009C6940" w:rsidRPr="005A71BD" w:rsidRDefault="009C6940" w:rsidP="009C6940">
                  <w:pPr>
                    <w:pStyle w:val="TableBodyText"/>
                    <w:jc w:val="left"/>
                  </w:pPr>
                  <w:r w:rsidRPr="005A71BD">
                    <w:t>HBF Health</w:t>
                  </w:r>
                </w:p>
              </w:tc>
            </w:tr>
            <w:tr w:rsidR="009C6940" w:rsidRPr="00EF7969" w14:paraId="59EDA19B" w14:textId="77777777" w:rsidTr="009C6940">
              <w:tc>
                <w:tcPr>
                  <w:tcW w:w="5000" w:type="pct"/>
                  <w:shd w:val="clear" w:color="auto" w:fill="auto"/>
                </w:tcPr>
                <w:p w14:paraId="423DDA54" w14:textId="77777777" w:rsidR="009C6940" w:rsidRPr="005A71BD" w:rsidRDefault="009C6940" w:rsidP="009C6940">
                  <w:pPr>
                    <w:pStyle w:val="TableBodyText"/>
                    <w:jc w:val="left"/>
                  </w:pPr>
                  <w:r w:rsidRPr="005A71BD">
                    <w:t>St Bartholomew’s House Inc</w:t>
                  </w:r>
                </w:p>
              </w:tc>
            </w:tr>
            <w:tr w:rsidR="009C6940" w:rsidRPr="00EF7969" w14:paraId="7C6B126A" w14:textId="77777777" w:rsidTr="009C6940">
              <w:tc>
                <w:tcPr>
                  <w:tcW w:w="5000" w:type="pct"/>
                  <w:shd w:val="clear" w:color="auto" w:fill="auto"/>
                </w:tcPr>
                <w:p w14:paraId="0C5D9007" w14:textId="77777777" w:rsidR="009C6940" w:rsidRPr="005A71BD" w:rsidRDefault="009C6940" w:rsidP="009C6940">
                  <w:pPr>
                    <w:pStyle w:val="TableBodyText"/>
                    <w:jc w:val="left"/>
                  </w:pPr>
                  <w:r w:rsidRPr="005A71BD">
                    <w:t>Mr Sjon Kraan</w:t>
                  </w:r>
                </w:p>
              </w:tc>
            </w:tr>
            <w:tr w:rsidR="009C6940" w:rsidRPr="00EF7969" w14:paraId="66400E73" w14:textId="77777777" w:rsidTr="009C6940">
              <w:tc>
                <w:tcPr>
                  <w:tcW w:w="5000" w:type="pct"/>
                  <w:shd w:val="clear" w:color="auto" w:fill="auto"/>
                </w:tcPr>
                <w:p w14:paraId="32AE5D5A" w14:textId="77777777" w:rsidR="009C6940" w:rsidRPr="005A71BD" w:rsidRDefault="009C6940" w:rsidP="009C6940">
                  <w:pPr>
                    <w:pStyle w:val="TableBodyText"/>
                    <w:jc w:val="left"/>
                  </w:pPr>
                  <w:r w:rsidRPr="005A71BD">
                    <w:t>Beyond Words Counselling</w:t>
                  </w:r>
                </w:p>
              </w:tc>
            </w:tr>
            <w:tr w:rsidR="009C6940" w:rsidRPr="00EF7969" w14:paraId="72F6255E" w14:textId="77777777" w:rsidTr="009C6940">
              <w:tc>
                <w:tcPr>
                  <w:tcW w:w="5000" w:type="pct"/>
                  <w:shd w:val="clear" w:color="auto" w:fill="auto"/>
                </w:tcPr>
                <w:p w14:paraId="427739EE" w14:textId="77777777" w:rsidR="009C6940" w:rsidRPr="005A71BD" w:rsidRDefault="009C6940" w:rsidP="009C6940">
                  <w:pPr>
                    <w:pStyle w:val="TableBodyText"/>
                    <w:jc w:val="left"/>
                  </w:pPr>
                  <w:r w:rsidRPr="005A71BD">
                    <w:t>Patricia Owen</w:t>
                  </w:r>
                </w:p>
              </w:tc>
            </w:tr>
            <w:tr w:rsidR="009C6940" w:rsidRPr="00EF7969" w14:paraId="0DBE5C6B" w14:textId="77777777" w:rsidTr="009C6940">
              <w:tc>
                <w:tcPr>
                  <w:tcW w:w="5000" w:type="pct"/>
                  <w:shd w:val="clear" w:color="auto" w:fill="auto"/>
                </w:tcPr>
                <w:p w14:paraId="6804730B" w14:textId="77777777" w:rsidR="009C6940" w:rsidRPr="005A71BD" w:rsidRDefault="009C6940" w:rsidP="009C6940">
                  <w:pPr>
                    <w:pStyle w:val="TableBodyText"/>
                    <w:jc w:val="left"/>
                  </w:pPr>
                  <w:r w:rsidRPr="005A71BD">
                    <w:t>Mike Anderson</w:t>
                  </w:r>
                </w:p>
              </w:tc>
            </w:tr>
            <w:tr w:rsidR="009C6940" w:rsidRPr="00EF7969" w14:paraId="31674969" w14:textId="77777777" w:rsidTr="009C6940">
              <w:tc>
                <w:tcPr>
                  <w:tcW w:w="5000" w:type="pct"/>
                  <w:shd w:val="clear" w:color="auto" w:fill="auto"/>
                </w:tcPr>
                <w:p w14:paraId="5AEC2C2B" w14:textId="77777777" w:rsidR="009C6940" w:rsidRPr="005A71BD" w:rsidRDefault="009C6940" w:rsidP="009C6940">
                  <w:pPr>
                    <w:pStyle w:val="TableBodyText"/>
                    <w:jc w:val="left"/>
                  </w:pPr>
                  <w:r w:rsidRPr="005A71BD">
                    <w:t>Commissioner for Children and Young People Western Australia</w:t>
                  </w:r>
                </w:p>
              </w:tc>
            </w:tr>
            <w:tr w:rsidR="009C6940" w:rsidRPr="00EF7969" w14:paraId="31DE87AE" w14:textId="77777777" w:rsidTr="009C6940">
              <w:tc>
                <w:tcPr>
                  <w:tcW w:w="5000" w:type="pct"/>
                  <w:shd w:val="clear" w:color="auto" w:fill="auto"/>
                </w:tcPr>
                <w:p w14:paraId="6278082D" w14:textId="77777777" w:rsidR="009C6940" w:rsidRPr="005A71BD" w:rsidRDefault="009C6940" w:rsidP="009C6940">
                  <w:pPr>
                    <w:pStyle w:val="TableBodyText"/>
                    <w:jc w:val="left"/>
                  </w:pPr>
                  <w:r w:rsidRPr="005A71BD">
                    <w:t>WA Primary Health Alliance</w:t>
                  </w:r>
                </w:p>
              </w:tc>
            </w:tr>
            <w:tr w:rsidR="009C6940" w:rsidRPr="00EF7969" w14:paraId="697BFFA0" w14:textId="77777777" w:rsidTr="009C6940">
              <w:tc>
                <w:tcPr>
                  <w:tcW w:w="5000" w:type="pct"/>
                  <w:shd w:val="clear" w:color="auto" w:fill="auto"/>
                </w:tcPr>
                <w:p w14:paraId="4107F62D" w14:textId="77777777" w:rsidR="009C6940" w:rsidRPr="005A71BD" w:rsidRDefault="009C6940" w:rsidP="009C6940">
                  <w:pPr>
                    <w:pStyle w:val="TableBodyText"/>
                    <w:jc w:val="left"/>
                  </w:pPr>
                  <w:r w:rsidRPr="005A71BD">
                    <w:t>John Dallimore</w:t>
                  </w:r>
                </w:p>
              </w:tc>
            </w:tr>
            <w:tr w:rsidR="009C6940" w:rsidRPr="00EF7969" w14:paraId="116266CA" w14:textId="77777777" w:rsidTr="009C6940">
              <w:tc>
                <w:tcPr>
                  <w:tcW w:w="5000" w:type="pct"/>
                  <w:shd w:val="clear" w:color="auto" w:fill="auto"/>
                </w:tcPr>
                <w:p w14:paraId="550A90D0" w14:textId="77777777" w:rsidR="009C6940" w:rsidRPr="005A71BD" w:rsidRDefault="009C6940" w:rsidP="009C6940">
                  <w:pPr>
                    <w:pStyle w:val="TableBodyText"/>
                    <w:jc w:val="left"/>
                  </w:pPr>
                  <w:r w:rsidRPr="005A71BD">
                    <w:t>Western Australian Association for Mental Health</w:t>
                  </w:r>
                  <w:r>
                    <w:t xml:space="preserve"> (WAAMH)</w:t>
                  </w:r>
                </w:p>
              </w:tc>
            </w:tr>
            <w:tr w:rsidR="009C6940" w:rsidRPr="00EF7969" w14:paraId="3FBF9C61" w14:textId="77777777" w:rsidTr="009C6940">
              <w:tc>
                <w:tcPr>
                  <w:tcW w:w="5000" w:type="pct"/>
                  <w:shd w:val="clear" w:color="auto" w:fill="auto"/>
                </w:tcPr>
                <w:p w14:paraId="070E0417" w14:textId="77777777" w:rsidR="009C6940" w:rsidRPr="005A71BD" w:rsidRDefault="009C6940" w:rsidP="009C6940">
                  <w:pPr>
                    <w:pStyle w:val="TableBodyText"/>
                    <w:jc w:val="left"/>
                  </w:pPr>
                  <w:r w:rsidRPr="005A71BD">
                    <w:t>Jay Anderson</w:t>
                  </w:r>
                </w:p>
              </w:tc>
            </w:tr>
            <w:tr w:rsidR="009C6940" w:rsidRPr="00EF7969" w14:paraId="6C1BA664" w14:textId="77777777" w:rsidTr="009C6940">
              <w:tc>
                <w:tcPr>
                  <w:tcW w:w="5000" w:type="pct"/>
                  <w:shd w:val="clear" w:color="auto" w:fill="auto"/>
                </w:tcPr>
                <w:p w14:paraId="34DF0DA8" w14:textId="77777777" w:rsidR="009C6940" w:rsidRPr="005A71BD" w:rsidRDefault="009C6940" w:rsidP="009C6940">
                  <w:pPr>
                    <w:pStyle w:val="TableBodyText"/>
                    <w:jc w:val="left"/>
                  </w:pPr>
                  <w:r w:rsidRPr="005A71BD">
                    <w:t>David Napoli</w:t>
                  </w:r>
                </w:p>
              </w:tc>
            </w:tr>
            <w:tr w:rsidR="009C6940" w:rsidRPr="00EF7969" w14:paraId="4122334A" w14:textId="77777777" w:rsidTr="009C6940">
              <w:tc>
                <w:tcPr>
                  <w:tcW w:w="5000" w:type="pct"/>
                  <w:shd w:val="clear" w:color="auto" w:fill="auto"/>
                </w:tcPr>
                <w:p w14:paraId="7BCB4BA7" w14:textId="77777777" w:rsidR="009C6940" w:rsidRPr="005A71BD" w:rsidRDefault="009C6940" w:rsidP="009C6940">
                  <w:pPr>
                    <w:pStyle w:val="TableBodyText"/>
                    <w:jc w:val="left"/>
                  </w:pPr>
                  <w:r w:rsidRPr="005A71BD">
                    <w:t>David Hillman</w:t>
                  </w:r>
                </w:p>
              </w:tc>
            </w:tr>
            <w:tr w:rsidR="009C6940" w:rsidRPr="00EF7969" w14:paraId="6F8056F3" w14:textId="77777777" w:rsidTr="009C6940">
              <w:tc>
                <w:tcPr>
                  <w:tcW w:w="5000" w:type="pct"/>
                  <w:shd w:val="clear" w:color="auto" w:fill="auto"/>
                </w:tcPr>
                <w:p w14:paraId="58166DD5" w14:textId="77777777" w:rsidR="009C6940" w:rsidRPr="005A71BD" w:rsidRDefault="009C6940" w:rsidP="009C6940">
                  <w:pPr>
                    <w:pStyle w:val="TableBodyText"/>
                    <w:jc w:val="left"/>
                  </w:pPr>
                  <w:r w:rsidRPr="005A71BD">
                    <w:t>Joseph Naimo</w:t>
                  </w:r>
                </w:p>
              </w:tc>
            </w:tr>
            <w:tr w:rsidR="009C6940" w:rsidRPr="00EF7969" w14:paraId="4247BF86" w14:textId="77777777" w:rsidTr="009C6940">
              <w:tc>
                <w:tcPr>
                  <w:tcW w:w="5000" w:type="pct"/>
                  <w:shd w:val="clear" w:color="auto" w:fill="auto"/>
                </w:tcPr>
                <w:p w14:paraId="29948890" w14:textId="77777777" w:rsidR="009C6940" w:rsidRPr="005A71BD" w:rsidRDefault="009C6940" w:rsidP="009C6940">
                  <w:pPr>
                    <w:pStyle w:val="TableBodyText"/>
                    <w:jc w:val="left"/>
                  </w:pPr>
                  <w:r w:rsidRPr="005A71BD">
                    <w:t>Michael Finn</w:t>
                  </w:r>
                </w:p>
              </w:tc>
            </w:tr>
            <w:tr w:rsidR="009C6940" w:rsidRPr="00EF7969" w14:paraId="5C5E9183" w14:textId="77777777" w:rsidTr="009C6940">
              <w:tc>
                <w:tcPr>
                  <w:tcW w:w="5000" w:type="pct"/>
                  <w:shd w:val="clear" w:color="auto" w:fill="auto"/>
                </w:tcPr>
                <w:p w14:paraId="558B4EE5" w14:textId="77777777" w:rsidR="009C6940" w:rsidRPr="005A71BD" w:rsidRDefault="009C6940" w:rsidP="009C6940">
                  <w:pPr>
                    <w:pStyle w:val="TableBodyText"/>
                    <w:jc w:val="left"/>
                  </w:pPr>
                  <w:r w:rsidRPr="005A71BD">
                    <w:t>Jenne Fitzhardinge</w:t>
                  </w:r>
                </w:p>
              </w:tc>
            </w:tr>
            <w:tr w:rsidR="009C6940" w:rsidRPr="00EF7969" w14:paraId="52C5C41A" w14:textId="77777777" w:rsidTr="009C6940">
              <w:tc>
                <w:tcPr>
                  <w:tcW w:w="5000" w:type="pct"/>
                  <w:shd w:val="clear" w:color="auto" w:fill="auto"/>
                </w:tcPr>
                <w:p w14:paraId="33014521" w14:textId="77777777" w:rsidR="009C6940" w:rsidRPr="005A71BD" w:rsidRDefault="009C6940" w:rsidP="009C6940">
                  <w:pPr>
                    <w:pStyle w:val="TableBodyText"/>
                    <w:jc w:val="left"/>
                  </w:pPr>
                  <w:r w:rsidRPr="005A71BD">
                    <w:t>Hannah McGlade</w:t>
                  </w:r>
                </w:p>
              </w:tc>
            </w:tr>
            <w:tr w:rsidR="009C6940" w:rsidRPr="00EF7969" w14:paraId="269EF369" w14:textId="77777777" w:rsidTr="009C6940">
              <w:tc>
                <w:tcPr>
                  <w:tcW w:w="5000" w:type="pct"/>
                  <w:shd w:val="clear" w:color="auto" w:fill="auto"/>
                </w:tcPr>
                <w:p w14:paraId="0800ED5E" w14:textId="77777777" w:rsidR="009C6940" w:rsidRPr="005A71BD" w:rsidRDefault="009C6940" w:rsidP="009C6940">
                  <w:pPr>
                    <w:pStyle w:val="TableBodyText"/>
                    <w:jc w:val="left"/>
                  </w:pPr>
                  <w:r w:rsidRPr="005A71BD">
                    <w:t>Andris Markovs</w:t>
                  </w:r>
                </w:p>
              </w:tc>
            </w:tr>
            <w:tr w:rsidR="009C6940" w:rsidRPr="00EF7969" w14:paraId="28E14402" w14:textId="77777777" w:rsidTr="009C6940">
              <w:tc>
                <w:tcPr>
                  <w:tcW w:w="5000" w:type="pct"/>
                  <w:shd w:val="clear" w:color="auto" w:fill="auto"/>
                </w:tcPr>
                <w:p w14:paraId="3AECC8D4" w14:textId="77777777" w:rsidR="009C6940" w:rsidRPr="005A71BD" w:rsidRDefault="009C6940" w:rsidP="009C6940">
                  <w:pPr>
                    <w:pStyle w:val="TableBodyText"/>
                    <w:jc w:val="left"/>
                  </w:pPr>
                  <w:r w:rsidRPr="005A71BD">
                    <w:t>Pamela Scott-Gale</w:t>
                  </w:r>
                </w:p>
              </w:tc>
            </w:tr>
            <w:tr w:rsidR="009C6940" w:rsidRPr="00EF7969" w14:paraId="05F625FB" w14:textId="77777777" w:rsidTr="009C6940">
              <w:tc>
                <w:tcPr>
                  <w:tcW w:w="5000" w:type="pct"/>
                  <w:shd w:val="clear" w:color="auto" w:fill="auto"/>
                </w:tcPr>
                <w:p w14:paraId="64FAD625" w14:textId="77777777" w:rsidR="009C6940" w:rsidRPr="005A71BD" w:rsidRDefault="009C6940" w:rsidP="009C6940">
                  <w:pPr>
                    <w:pStyle w:val="TableBodyText"/>
                    <w:jc w:val="left"/>
                  </w:pPr>
                  <w:r w:rsidRPr="005A71BD">
                    <w:t>Rebecca James</w:t>
                  </w:r>
                </w:p>
              </w:tc>
            </w:tr>
          </w:tbl>
          <w:p w14:paraId="4F1BCE2C" w14:textId="77777777" w:rsidR="009C6940" w:rsidRPr="00EF7969" w:rsidRDefault="009C6940" w:rsidP="009C6940">
            <w:pPr>
              <w:pStyle w:val="Box"/>
            </w:pPr>
          </w:p>
        </w:tc>
      </w:tr>
      <w:tr w:rsidR="009C6940" w:rsidRPr="00EF7969" w14:paraId="42175DC3" w14:textId="77777777" w:rsidTr="009C6940">
        <w:tc>
          <w:tcPr>
            <w:tcW w:w="5000" w:type="pct"/>
            <w:tcBorders>
              <w:top w:val="single" w:sz="4" w:space="0" w:color="BFBFBF" w:themeColor="background1" w:themeShade="BF"/>
              <w:left w:val="nil"/>
              <w:bottom w:val="nil"/>
              <w:right w:val="nil"/>
            </w:tcBorders>
            <w:shd w:val="clear" w:color="auto" w:fill="auto"/>
          </w:tcPr>
          <w:p w14:paraId="2A9F734F" w14:textId="77777777" w:rsidR="009C6940" w:rsidRPr="00EF7969" w:rsidRDefault="009C6940" w:rsidP="009C6940">
            <w:pPr>
              <w:pStyle w:val="Continued"/>
              <w:spacing w:before="120"/>
            </w:pPr>
            <w:r w:rsidRPr="00EF7969">
              <w:t>(continued next page)</w:t>
            </w:r>
          </w:p>
        </w:tc>
      </w:tr>
      <w:tr w:rsidR="009C6940" w:rsidRPr="00EF7969" w14:paraId="40D9FFD6" w14:textId="77777777" w:rsidTr="009C6940">
        <w:tc>
          <w:tcPr>
            <w:tcW w:w="5000" w:type="pct"/>
            <w:tcBorders>
              <w:top w:val="nil"/>
              <w:left w:val="nil"/>
              <w:bottom w:val="single" w:sz="6" w:space="0" w:color="78A22F"/>
              <w:right w:val="nil"/>
            </w:tcBorders>
            <w:shd w:val="clear" w:color="auto" w:fill="auto"/>
          </w:tcPr>
          <w:p w14:paraId="1574E74C" w14:textId="77777777" w:rsidR="009C6940" w:rsidRPr="00EF7969" w:rsidRDefault="009C6940" w:rsidP="009C6940">
            <w:pPr>
              <w:pStyle w:val="Box"/>
              <w:spacing w:before="0" w:line="120" w:lineRule="exact"/>
            </w:pPr>
          </w:p>
        </w:tc>
      </w:tr>
      <w:tr w:rsidR="009C6940" w:rsidRPr="00EF7969" w14:paraId="44B4056D" w14:textId="77777777" w:rsidTr="009C6940">
        <w:tc>
          <w:tcPr>
            <w:tcW w:w="5000" w:type="pct"/>
            <w:tcBorders>
              <w:top w:val="single" w:sz="6" w:space="0" w:color="78A22F"/>
              <w:left w:val="nil"/>
              <w:bottom w:val="nil"/>
              <w:right w:val="nil"/>
            </w:tcBorders>
            <w:shd w:val="clear" w:color="auto" w:fill="auto"/>
          </w:tcPr>
          <w:p w14:paraId="06389B8C" w14:textId="77777777" w:rsidR="009C6940" w:rsidRPr="00EF7969" w:rsidRDefault="009C6940" w:rsidP="009C6940">
            <w:pPr>
              <w:pStyle w:val="BoxSpaceBelow"/>
            </w:pPr>
          </w:p>
        </w:tc>
      </w:tr>
    </w:tbl>
    <w:p w14:paraId="49410FF2"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05B0342F" w14:textId="77777777" w:rsidTr="009C6940">
        <w:trPr>
          <w:tblHeader/>
        </w:trPr>
        <w:tc>
          <w:tcPr>
            <w:tcW w:w="5000" w:type="pct"/>
            <w:tcBorders>
              <w:top w:val="single" w:sz="6" w:space="0" w:color="78A22F"/>
              <w:left w:val="nil"/>
              <w:bottom w:val="nil"/>
              <w:right w:val="nil"/>
            </w:tcBorders>
            <w:shd w:val="clear" w:color="auto" w:fill="auto"/>
          </w:tcPr>
          <w:p w14:paraId="600D9F96" w14:textId="77777777" w:rsidR="009C6940" w:rsidRPr="00EF7969" w:rsidRDefault="009C6940" w:rsidP="009C6940">
            <w:pPr>
              <w:pStyle w:val="TableTitle"/>
            </w:pPr>
            <w:r w:rsidRPr="00EF7969">
              <w:rPr>
                <w:b w:val="0"/>
              </w:rPr>
              <w:t xml:space="preserve">Table </w:t>
            </w:r>
            <w:r>
              <w:rPr>
                <w:b w:val="0"/>
              </w:rPr>
              <w:t>B.</w:t>
            </w:r>
            <w:r w:rsidRPr="00EF7969">
              <w:rPr>
                <w:b w:val="0"/>
              </w:rPr>
              <w:t>4</w:t>
            </w:r>
            <w:r w:rsidRPr="00EF7969">
              <w:tab/>
            </w:r>
            <w:r w:rsidRPr="00EF7969">
              <w:rPr>
                <w:rStyle w:val="Continuedintitle"/>
              </w:rPr>
              <w:t>(continued)</w:t>
            </w:r>
          </w:p>
        </w:tc>
      </w:tr>
      <w:tr w:rsidR="009C6940" w:rsidRPr="00EF7969" w14:paraId="75C92817" w14:textId="77777777" w:rsidTr="009C6940">
        <w:tc>
          <w:tcPr>
            <w:tcW w:w="5000" w:type="pct"/>
            <w:tcBorders>
              <w:top w:val="nil"/>
              <w:left w:val="nil"/>
              <w:bottom w:val="single" w:sz="6" w:space="0" w:color="BFBFBF" w:themeColor="background1" w:themeShade="BF"/>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5"/>
            </w:tblGrid>
            <w:tr w:rsidR="009C6940" w:rsidRPr="00EF7969" w14:paraId="37A0DF85" w14:textId="77777777" w:rsidTr="009C6940">
              <w:tc>
                <w:tcPr>
                  <w:tcW w:w="5000" w:type="pct"/>
                  <w:tcBorders>
                    <w:top w:val="single" w:sz="4" w:space="0" w:color="BFBFBF" w:themeColor="background1" w:themeShade="BF"/>
                  </w:tcBorders>
                  <w:shd w:val="clear" w:color="auto" w:fill="auto"/>
                </w:tcPr>
                <w:p w14:paraId="53CE97C2" w14:textId="77777777" w:rsidR="009C6940" w:rsidRPr="00EF7969" w:rsidRDefault="009C6940" w:rsidP="009C6940">
                  <w:pPr>
                    <w:pStyle w:val="TableBodyText"/>
                    <w:spacing w:before="80" w:line="180" w:lineRule="atLeast"/>
                    <w:jc w:val="left"/>
                  </w:pPr>
                  <w:r w:rsidRPr="00EF7969">
                    <w:rPr>
                      <w:b/>
                    </w:rPr>
                    <w:t>Sydney Day 1 — 25 November 2019</w:t>
                  </w:r>
                </w:p>
              </w:tc>
            </w:tr>
            <w:tr w:rsidR="009C6940" w:rsidRPr="00EF7969" w14:paraId="237E7328" w14:textId="77777777" w:rsidTr="009C6940">
              <w:tc>
                <w:tcPr>
                  <w:tcW w:w="5000" w:type="pct"/>
                  <w:shd w:val="clear" w:color="auto" w:fill="auto"/>
                </w:tcPr>
                <w:p w14:paraId="31ABB654" w14:textId="77777777" w:rsidR="009C6940" w:rsidRPr="00EF7969" w:rsidRDefault="009C6940" w:rsidP="009C6940">
                  <w:pPr>
                    <w:pStyle w:val="TableBodyText"/>
                    <w:jc w:val="left"/>
                  </w:pPr>
                  <w:r w:rsidRPr="00EF7969">
                    <w:t>Patricia and Andrew Anderson</w:t>
                  </w:r>
                </w:p>
              </w:tc>
            </w:tr>
            <w:tr w:rsidR="009C6940" w:rsidRPr="00EF7969" w14:paraId="42585B03" w14:textId="77777777" w:rsidTr="009C6940">
              <w:tc>
                <w:tcPr>
                  <w:tcW w:w="5000" w:type="pct"/>
                  <w:shd w:val="clear" w:color="auto" w:fill="auto"/>
                </w:tcPr>
                <w:p w14:paraId="451499AD" w14:textId="77777777" w:rsidR="009C6940" w:rsidRPr="00EF7969" w:rsidRDefault="009C6940" w:rsidP="009C6940">
                  <w:pPr>
                    <w:pStyle w:val="TableBodyText"/>
                    <w:jc w:val="left"/>
                  </w:pPr>
                  <w:r w:rsidRPr="00EF7969">
                    <w:t>Suicide Prevention Australia</w:t>
                  </w:r>
                </w:p>
              </w:tc>
            </w:tr>
            <w:tr w:rsidR="009C6940" w:rsidRPr="00EF7969" w14:paraId="20BBC10C" w14:textId="77777777" w:rsidTr="009C6940">
              <w:tc>
                <w:tcPr>
                  <w:tcW w:w="5000" w:type="pct"/>
                  <w:shd w:val="clear" w:color="auto" w:fill="auto"/>
                </w:tcPr>
                <w:p w14:paraId="52A861C6" w14:textId="77777777" w:rsidR="009C6940" w:rsidRPr="00EF7969" w:rsidRDefault="009C6940" w:rsidP="009C6940">
                  <w:pPr>
                    <w:pStyle w:val="TableBodyText"/>
                    <w:jc w:val="left"/>
                  </w:pPr>
                  <w:r w:rsidRPr="00EF7969">
                    <w:t>Royal Australian and New Zealand College of Psychiatrists, Sydney</w:t>
                  </w:r>
                </w:p>
              </w:tc>
            </w:tr>
            <w:tr w:rsidR="009C6940" w:rsidRPr="00EF7969" w14:paraId="69B36710" w14:textId="77777777" w:rsidTr="009C6940">
              <w:tc>
                <w:tcPr>
                  <w:tcW w:w="5000" w:type="pct"/>
                  <w:shd w:val="clear" w:color="auto" w:fill="auto"/>
                </w:tcPr>
                <w:p w14:paraId="5DE9B436" w14:textId="77777777" w:rsidR="009C6940" w:rsidRPr="00EF7969" w:rsidRDefault="009C6940" w:rsidP="009C6940">
                  <w:pPr>
                    <w:pStyle w:val="TableBodyText"/>
                    <w:jc w:val="left"/>
                  </w:pPr>
                  <w:r w:rsidRPr="00EF7969">
                    <w:t>Marie Butler-Cole</w:t>
                  </w:r>
                </w:p>
              </w:tc>
            </w:tr>
            <w:tr w:rsidR="009C6940" w:rsidRPr="00EF7969" w14:paraId="7FA83B0A" w14:textId="77777777" w:rsidTr="009C6940">
              <w:tc>
                <w:tcPr>
                  <w:tcW w:w="5000" w:type="pct"/>
                  <w:shd w:val="clear" w:color="auto" w:fill="auto"/>
                </w:tcPr>
                <w:p w14:paraId="2285BCC9" w14:textId="77777777" w:rsidR="009C6940" w:rsidRPr="00EF7969" w:rsidRDefault="009C6940" w:rsidP="009C6940">
                  <w:pPr>
                    <w:pStyle w:val="TableBodyText"/>
                    <w:jc w:val="left"/>
                  </w:pPr>
                  <w:r w:rsidRPr="00EF7969">
                    <w:t>MetLife and Financial Services Council</w:t>
                  </w:r>
                </w:p>
              </w:tc>
            </w:tr>
            <w:tr w:rsidR="009C6940" w:rsidRPr="00EF7969" w14:paraId="09E4DA03" w14:textId="77777777" w:rsidTr="009C6940">
              <w:tc>
                <w:tcPr>
                  <w:tcW w:w="5000" w:type="pct"/>
                  <w:shd w:val="clear" w:color="auto" w:fill="auto"/>
                </w:tcPr>
                <w:p w14:paraId="73EDEE88" w14:textId="77777777" w:rsidR="009C6940" w:rsidRPr="00EF7969" w:rsidRDefault="009C6940" w:rsidP="009C6940">
                  <w:pPr>
                    <w:pStyle w:val="TableBodyText"/>
                    <w:jc w:val="left"/>
                  </w:pPr>
                  <w:r w:rsidRPr="00EF7969">
                    <w:t>Being</w:t>
                  </w:r>
                </w:p>
              </w:tc>
            </w:tr>
            <w:tr w:rsidR="009C6940" w:rsidRPr="00EF7969" w14:paraId="3FE41EBB" w14:textId="77777777" w:rsidTr="009C6940">
              <w:tc>
                <w:tcPr>
                  <w:tcW w:w="5000" w:type="pct"/>
                  <w:shd w:val="clear" w:color="auto" w:fill="auto"/>
                </w:tcPr>
                <w:p w14:paraId="2B8C4948" w14:textId="77777777" w:rsidR="009C6940" w:rsidRPr="00EF7969" w:rsidRDefault="009C6940" w:rsidP="009C6940">
                  <w:pPr>
                    <w:pStyle w:val="TableBodyText"/>
                    <w:jc w:val="left"/>
                  </w:pPr>
                  <w:r w:rsidRPr="00EF7969">
                    <w:t>Wisa Wellbeing in Schools Australia</w:t>
                  </w:r>
                </w:p>
              </w:tc>
            </w:tr>
            <w:tr w:rsidR="009C6940" w:rsidRPr="00EF7969" w14:paraId="7FCF5510" w14:textId="77777777" w:rsidTr="009C6940">
              <w:tc>
                <w:tcPr>
                  <w:tcW w:w="5000" w:type="pct"/>
                  <w:shd w:val="clear" w:color="auto" w:fill="auto"/>
                </w:tcPr>
                <w:p w14:paraId="2D7BC207" w14:textId="77777777" w:rsidR="009C6940" w:rsidRPr="00EF7969" w:rsidRDefault="009C6940" w:rsidP="009C6940">
                  <w:pPr>
                    <w:pStyle w:val="TableBodyText"/>
                    <w:jc w:val="left"/>
                  </w:pPr>
                  <w:r w:rsidRPr="00EF7969">
                    <w:t>Better Health Generation</w:t>
                  </w:r>
                </w:p>
              </w:tc>
            </w:tr>
            <w:tr w:rsidR="009C6940" w:rsidRPr="00EF7969" w14:paraId="11651E68" w14:textId="77777777" w:rsidTr="009C6940">
              <w:tc>
                <w:tcPr>
                  <w:tcW w:w="5000" w:type="pct"/>
                  <w:shd w:val="clear" w:color="auto" w:fill="auto"/>
                </w:tcPr>
                <w:p w14:paraId="4FFF54CD" w14:textId="77777777" w:rsidR="009C6940" w:rsidRPr="00EF7969" w:rsidRDefault="009C6940" w:rsidP="009C6940">
                  <w:pPr>
                    <w:pStyle w:val="TableBodyText"/>
                    <w:jc w:val="left"/>
                  </w:pPr>
                  <w:r>
                    <w:t>Australian Services U</w:t>
                  </w:r>
                  <w:r w:rsidRPr="00EF7969">
                    <w:t>nion</w:t>
                  </w:r>
                </w:p>
              </w:tc>
            </w:tr>
            <w:tr w:rsidR="009C6940" w:rsidRPr="00EF7969" w14:paraId="5B10CDE0" w14:textId="77777777" w:rsidTr="009C6940">
              <w:tc>
                <w:tcPr>
                  <w:tcW w:w="5000" w:type="pct"/>
                  <w:shd w:val="clear" w:color="auto" w:fill="auto"/>
                </w:tcPr>
                <w:p w14:paraId="6F4C3EC4" w14:textId="77777777" w:rsidR="009C6940" w:rsidRPr="00EF7969" w:rsidRDefault="009C6940" w:rsidP="009C6940">
                  <w:pPr>
                    <w:pStyle w:val="TableBodyText"/>
                    <w:jc w:val="left"/>
                  </w:pPr>
                  <w:r w:rsidRPr="00EF7969">
                    <w:t>University of Sydney and the Woolcock Institute of Mental Research</w:t>
                  </w:r>
                </w:p>
              </w:tc>
            </w:tr>
            <w:tr w:rsidR="009C6940" w:rsidRPr="00EF7969" w14:paraId="3DB371BC" w14:textId="77777777" w:rsidTr="009C6940">
              <w:tc>
                <w:tcPr>
                  <w:tcW w:w="5000" w:type="pct"/>
                  <w:shd w:val="clear" w:color="auto" w:fill="auto"/>
                </w:tcPr>
                <w:p w14:paraId="2EB70123" w14:textId="77777777" w:rsidR="009C6940" w:rsidRPr="00EF7969" w:rsidRDefault="009C6940" w:rsidP="009C6940">
                  <w:pPr>
                    <w:pStyle w:val="TableBodyText"/>
                    <w:jc w:val="left"/>
                  </w:pPr>
                  <w:r w:rsidRPr="00EF7969">
                    <w:t>School Nurses Australia</w:t>
                  </w:r>
                </w:p>
              </w:tc>
            </w:tr>
            <w:tr w:rsidR="009C6940" w:rsidRPr="00EF7969" w14:paraId="487096F1" w14:textId="77777777" w:rsidTr="009C6940">
              <w:tc>
                <w:tcPr>
                  <w:tcW w:w="5000" w:type="pct"/>
                  <w:shd w:val="clear" w:color="auto" w:fill="auto"/>
                </w:tcPr>
                <w:p w14:paraId="281F00DB" w14:textId="77777777" w:rsidR="009C6940" w:rsidRPr="00EF7969" w:rsidRDefault="009C6940" w:rsidP="009C6940">
                  <w:pPr>
                    <w:pStyle w:val="TableBodyText"/>
                    <w:jc w:val="left"/>
                  </w:pPr>
                  <w:r w:rsidRPr="00EF7969">
                    <w:t>Orygen</w:t>
                  </w:r>
                </w:p>
              </w:tc>
            </w:tr>
            <w:tr w:rsidR="009C6940" w:rsidRPr="00EF7969" w14:paraId="2AD881CF" w14:textId="77777777" w:rsidTr="009C6940">
              <w:tc>
                <w:tcPr>
                  <w:tcW w:w="5000" w:type="pct"/>
                  <w:shd w:val="clear" w:color="auto" w:fill="auto"/>
                </w:tcPr>
                <w:p w14:paraId="225B7D09" w14:textId="77777777" w:rsidR="009C6940" w:rsidRPr="00EF7969" w:rsidRDefault="009C6940" w:rsidP="009C6940">
                  <w:pPr>
                    <w:pStyle w:val="TableBodyText"/>
                    <w:jc w:val="left"/>
                  </w:pPr>
                  <w:r w:rsidRPr="00EF7969">
                    <w:t>New South Wales Council of Social Service</w:t>
                  </w:r>
                </w:p>
              </w:tc>
            </w:tr>
            <w:tr w:rsidR="009C6940" w:rsidRPr="00EF7969" w14:paraId="37809B3C" w14:textId="77777777" w:rsidTr="009C6940">
              <w:tc>
                <w:tcPr>
                  <w:tcW w:w="5000" w:type="pct"/>
                  <w:shd w:val="clear" w:color="auto" w:fill="auto"/>
                </w:tcPr>
                <w:p w14:paraId="4EF8BD3D" w14:textId="77777777" w:rsidR="009C6940" w:rsidRPr="00EF7969" w:rsidRDefault="009C6940" w:rsidP="009C6940">
                  <w:pPr>
                    <w:pStyle w:val="TableBodyText"/>
                    <w:jc w:val="left"/>
                  </w:pPr>
                  <w:r w:rsidRPr="00EF7969">
                    <w:t>Headspace Sunshine</w:t>
                  </w:r>
                </w:p>
              </w:tc>
            </w:tr>
            <w:tr w:rsidR="009C6940" w:rsidRPr="00EF7969" w14:paraId="5CF3BB0A" w14:textId="77777777" w:rsidTr="009C6940">
              <w:tc>
                <w:tcPr>
                  <w:tcW w:w="5000" w:type="pct"/>
                  <w:shd w:val="clear" w:color="auto" w:fill="auto"/>
                </w:tcPr>
                <w:p w14:paraId="5BD030FA" w14:textId="77777777" w:rsidR="009C6940" w:rsidRPr="00EF7969" w:rsidRDefault="009C6940" w:rsidP="009C6940">
                  <w:pPr>
                    <w:pStyle w:val="TableBodyText"/>
                    <w:jc w:val="left"/>
                  </w:pPr>
                  <w:r w:rsidRPr="00EF7969">
                    <w:t>Vicious Cycle PMDD.</w:t>
                  </w:r>
                </w:p>
              </w:tc>
            </w:tr>
            <w:tr w:rsidR="009C6940" w:rsidRPr="00EF7969" w14:paraId="02E990C5" w14:textId="77777777" w:rsidTr="009C6940">
              <w:tc>
                <w:tcPr>
                  <w:tcW w:w="5000" w:type="pct"/>
                  <w:shd w:val="clear" w:color="auto" w:fill="auto"/>
                </w:tcPr>
                <w:p w14:paraId="0D5B4EC5" w14:textId="77777777" w:rsidR="009C6940" w:rsidRPr="00EF7969" w:rsidRDefault="009C6940" w:rsidP="009C6940">
                  <w:pPr>
                    <w:pStyle w:val="TableBodyText"/>
                    <w:jc w:val="left"/>
                  </w:pPr>
                  <w:r w:rsidRPr="00EF7969">
                    <w:t>Mental Health Carers NSW</w:t>
                  </w:r>
                  <w:r>
                    <w:t xml:space="preserve"> (MHCN)</w:t>
                  </w:r>
                </w:p>
              </w:tc>
            </w:tr>
            <w:tr w:rsidR="009C6940" w:rsidRPr="00EF7969" w14:paraId="66597EFF" w14:textId="77777777" w:rsidTr="009C6940">
              <w:tc>
                <w:tcPr>
                  <w:tcW w:w="5000" w:type="pct"/>
                  <w:shd w:val="clear" w:color="auto" w:fill="auto"/>
                </w:tcPr>
                <w:p w14:paraId="556387B1" w14:textId="77777777" w:rsidR="009C6940" w:rsidRPr="00EF7969" w:rsidRDefault="009C6940" w:rsidP="009C6940">
                  <w:pPr>
                    <w:pStyle w:val="TableBodyText"/>
                    <w:jc w:val="left"/>
                  </w:pPr>
                  <w:r w:rsidRPr="00EF7969">
                    <w:t>Community Mental Health Australia</w:t>
                  </w:r>
                  <w:r>
                    <w:t xml:space="preserve"> (CMHA)</w:t>
                  </w:r>
                </w:p>
              </w:tc>
            </w:tr>
            <w:tr w:rsidR="009C6940" w:rsidRPr="00EF7969" w14:paraId="04555577" w14:textId="77777777" w:rsidTr="009C6940">
              <w:tc>
                <w:tcPr>
                  <w:tcW w:w="5000" w:type="pct"/>
                  <w:shd w:val="clear" w:color="auto" w:fill="auto"/>
                </w:tcPr>
                <w:p w14:paraId="1269EA7C" w14:textId="77777777" w:rsidR="009C6940" w:rsidRPr="00EF7969" w:rsidRDefault="009C6940" w:rsidP="009C6940">
                  <w:pPr>
                    <w:pStyle w:val="TableBodyText"/>
                    <w:jc w:val="left"/>
                  </w:pPr>
                  <w:r w:rsidRPr="00EF7969">
                    <w:t>Emma Spinks and Ian Thompson</w:t>
                  </w:r>
                </w:p>
              </w:tc>
            </w:tr>
            <w:tr w:rsidR="009C6940" w:rsidRPr="00EF7969" w14:paraId="50F3621F" w14:textId="77777777" w:rsidTr="009C6940">
              <w:tc>
                <w:tcPr>
                  <w:tcW w:w="5000" w:type="pct"/>
                  <w:shd w:val="clear" w:color="auto" w:fill="auto"/>
                </w:tcPr>
                <w:p w14:paraId="58BC7578" w14:textId="77777777" w:rsidR="009C6940" w:rsidRPr="00EF7969" w:rsidRDefault="009C6940" w:rsidP="009C6940">
                  <w:pPr>
                    <w:pStyle w:val="TableBodyText"/>
                    <w:jc w:val="left"/>
                  </w:pPr>
                  <w:r w:rsidRPr="00EF7969">
                    <w:t>National LGBTI Health Alliance</w:t>
                  </w:r>
                </w:p>
              </w:tc>
            </w:tr>
            <w:tr w:rsidR="009C6940" w:rsidRPr="00EF7969" w14:paraId="666CE3F8" w14:textId="77777777" w:rsidTr="009C6940">
              <w:tc>
                <w:tcPr>
                  <w:tcW w:w="5000" w:type="pct"/>
                  <w:shd w:val="clear" w:color="auto" w:fill="auto"/>
                </w:tcPr>
                <w:p w14:paraId="24081DD3" w14:textId="77777777" w:rsidR="009C6940" w:rsidRPr="00EF7969" w:rsidRDefault="009C6940" w:rsidP="009C6940">
                  <w:pPr>
                    <w:pStyle w:val="TableBodyText"/>
                    <w:jc w:val="left"/>
                  </w:pPr>
                  <w:r w:rsidRPr="00EF7969">
                    <w:t>Matthew Fitzpatrick</w:t>
                  </w:r>
                </w:p>
              </w:tc>
            </w:tr>
            <w:tr w:rsidR="009C6940" w:rsidRPr="00EF7969" w14:paraId="1627C5E3" w14:textId="77777777" w:rsidTr="009C6940">
              <w:tc>
                <w:tcPr>
                  <w:tcW w:w="5000" w:type="pct"/>
                  <w:shd w:val="clear" w:color="auto" w:fill="auto"/>
                </w:tcPr>
                <w:p w14:paraId="7A728365" w14:textId="77777777" w:rsidR="009C6940" w:rsidRPr="00EF7969" w:rsidRDefault="009C6940" w:rsidP="009C6940">
                  <w:pPr>
                    <w:pStyle w:val="TableBodyText"/>
                    <w:spacing w:before="120"/>
                    <w:jc w:val="left"/>
                  </w:pPr>
                  <w:r w:rsidRPr="00EF7969">
                    <w:rPr>
                      <w:b/>
                    </w:rPr>
                    <w:t>Sydney Day 2 — 26 November 2019</w:t>
                  </w:r>
                </w:p>
              </w:tc>
            </w:tr>
            <w:tr w:rsidR="009C6940" w:rsidRPr="00EF7969" w14:paraId="2623A10E" w14:textId="77777777" w:rsidTr="009C6940">
              <w:tc>
                <w:tcPr>
                  <w:tcW w:w="5000" w:type="pct"/>
                  <w:shd w:val="clear" w:color="auto" w:fill="auto"/>
                </w:tcPr>
                <w:p w14:paraId="0EDF4340" w14:textId="77777777" w:rsidR="009C6940" w:rsidRPr="00EF7969" w:rsidRDefault="009C6940" w:rsidP="009C6940">
                  <w:pPr>
                    <w:pStyle w:val="TableBodyText"/>
                    <w:jc w:val="left"/>
                  </w:pPr>
                  <w:r w:rsidRPr="00EF7969">
                    <w:t>Jeni Diekman</w:t>
                  </w:r>
                </w:p>
              </w:tc>
            </w:tr>
            <w:tr w:rsidR="009C6940" w:rsidRPr="00EF7969" w14:paraId="018120E7" w14:textId="77777777" w:rsidTr="009C6940">
              <w:tc>
                <w:tcPr>
                  <w:tcW w:w="5000" w:type="pct"/>
                  <w:shd w:val="clear" w:color="auto" w:fill="auto"/>
                </w:tcPr>
                <w:p w14:paraId="3FE64F68" w14:textId="77777777" w:rsidR="009C6940" w:rsidRPr="00EF7969" w:rsidRDefault="009C6940" w:rsidP="009C6940">
                  <w:pPr>
                    <w:pStyle w:val="TableBodyText"/>
                    <w:jc w:val="left"/>
                  </w:pPr>
                  <w:r w:rsidRPr="00EF7969">
                    <w:t>Mitchell Peacock</w:t>
                  </w:r>
                </w:p>
              </w:tc>
            </w:tr>
            <w:tr w:rsidR="009C6940" w:rsidRPr="00EF7969" w14:paraId="62159B3A" w14:textId="77777777" w:rsidTr="009C6940">
              <w:tc>
                <w:tcPr>
                  <w:tcW w:w="5000" w:type="pct"/>
                  <w:shd w:val="clear" w:color="auto" w:fill="auto"/>
                </w:tcPr>
                <w:p w14:paraId="51D7E268" w14:textId="77777777" w:rsidR="009C6940" w:rsidRPr="00EF7969" w:rsidRDefault="009C6940" w:rsidP="009C6940">
                  <w:pPr>
                    <w:pStyle w:val="TableBodyText"/>
                    <w:jc w:val="left"/>
                  </w:pPr>
                  <w:r w:rsidRPr="00EF7969">
                    <w:t>Ron Spielman</w:t>
                  </w:r>
                </w:p>
              </w:tc>
            </w:tr>
            <w:tr w:rsidR="009C6940" w:rsidRPr="00EF7969" w14:paraId="4453FE3C" w14:textId="77777777" w:rsidTr="009C6940">
              <w:tc>
                <w:tcPr>
                  <w:tcW w:w="5000" w:type="pct"/>
                  <w:shd w:val="clear" w:color="auto" w:fill="auto"/>
                </w:tcPr>
                <w:p w14:paraId="71F0F781" w14:textId="77777777" w:rsidR="009C6940" w:rsidRPr="00EF7969" w:rsidRDefault="009C6940" w:rsidP="009C6940">
                  <w:pPr>
                    <w:pStyle w:val="TableBodyText"/>
                    <w:jc w:val="left"/>
                  </w:pPr>
                  <w:r w:rsidRPr="00EF7969">
                    <w:t>Scarlett Franks</w:t>
                  </w:r>
                </w:p>
              </w:tc>
            </w:tr>
            <w:tr w:rsidR="009C6940" w:rsidRPr="00EF7969" w14:paraId="57ED251D" w14:textId="77777777" w:rsidTr="009C6940">
              <w:tc>
                <w:tcPr>
                  <w:tcW w:w="5000" w:type="pct"/>
                  <w:shd w:val="clear" w:color="auto" w:fill="auto"/>
                </w:tcPr>
                <w:p w14:paraId="654D0CB3" w14:textId="77777777" w:rsidR="009C6940" w:rsidRPr="00EF7969" w:rsidRDefault="009C6940" w:rsidP="009C6940">
                  <w:pPr>
                    <w:pStyle w:val="TableBodyText"/>
                    <w:jc w:val="left"/>
                  </w:pPr>
                  <w:r w:rsidRPr="00EF7969">
                    <w:t>Mental Health Coordinating Council</w:t>
                  </w:r>
                </w:p>
              </w:tc>
            </w:tr>
            <w:tr w:rsidR="009C6940" w:rsidRPr="00EF7969" w14:paraId="37D059F6" w14:textId="77777777" w:rsidTr="009C6940">
              <w:tc>
                <w:tcPr>
                  <w:tcW w:w="5000" w:type="pct"/>
                  <w:shd w:val="clear" w:color="auto" w:fill="auto"/>
                </w:tcPr>
                <w:p w14:paraId="3FB5AD91" w14:textId="77777777" w:rsidR="009C6940" w:rsidRPr="00EF7969" w:rsidRDefault="009C6940" w:rsidP="009C6940">
                  <w:pPr>
                    <w:pStyle w:val="TableBodyText"/>
                    <w:jc w:val="left"/>
                  </w:pPr>
                  <w:r w:rsidRPr="00EF7969">
                    <w:t>Alicia Boyd</w:t>
                  </w:r>
                </w:p>
              </w:tc>
            </w:tr>
            <w:tr w:rsidR="009C6940" w:rsidRPr="00EF7969" w14:paraId="6507080D" w14:textId="77777777" w:rsidTr="009C6940">
              <w:tc>
                <w:tcPr>
                  <w:tcW w:w="5000" w:type="pct"/>
                  <w:shd w:val="clear" w:color="auto" w:fill="auto"/>
                </w:tcPr>
                <w:p w14:paraId="4F17F461" w14:textId="77777777" w:rsidR="009C6940" w:rsidRPr="00EF7969" w:rsidRDefault="009C6940" w:rsidP="009C6940">
                  <w:pPr>
                    <w:pStyle w:val="TableBodyText"/>
                    <w:jc w:val="left"/>
                  </w:pPr>
                  <w:r w:rsidRPr="00EF7969">
                    <w:t>Roger Gurr</w:t>
                  </w:r>
                </w:p>
              </w:tc>
            </w:tr>
            <w:tr w:rsidR="009C6940" w:rsidRPr="00EF7969" w14:paraId="1E124028" w14:textId="77777777" w:rsidTr="009C6940">
              <w:tc>
                <w:tcPr>
                  <w:tcW w:w="5000" w:type="pct"/>
                  <w:shd w:val="clear" w:color="auto" w:fill="auto"/>
                </w:tcPr>
                <w:p w14:paraId="59CCBA41" w14:textId="77777777" w:rsidR="009C6940" w:rsidRPr="00EF7969" w:rsidRDefault="009C6940" w:rsidP="009C6940">
                  <w:pPr>
                    <w:pStyle w:val="TableBodyText"/>
                    <w:jc w:val="left"/>
                  </w:pPr>
                  <w:r w:rsidRPr="00EF7969">
                    <w:t>Grief Journeys</w:t>
                  </w:r>
                </w:p>
              </w:tc>
            </w:tr>
            <w:tr w:rsidR="009C6940" w:rsidRPr="00EF7969" w14:paraId="119511D3" w14:textId="77777777" w:rsidTr="009C6940">
              <w:tc>
                <w:tcPr>
                  <w:tcW w:w="5000" w:type="pct"/>
                  <w:shd w:val="clear" w:color="auto" w:fill="auto"/>
                </w:tcPr>
                <w:p w14:paraId="3D3411A1" w14:textId="77777777" w:rsidR="009C6940" w:rsidRPr="00EF7969" w:rsidRDefault="009C6940" w:rsidP="009C6940">
                  <w:pPr>
                    <w:pStyle w:val="TableBodyText"/>
                    <w:jc w:val="left"/>
                  </w:pPr>
                  <w:r w:rsidRPr="00EF7969">
                    <w:t>Gita Irwin</w:t>
                  </w:r>
                </w:p>
              </w:tc>
            </w:tr>
            <w:tr w:rsidR="009C6940" w:rsidRPr="00EF7969" w14:paraId="1CB4BB36" w14:textId="77777777" w:rsidTr="009C6940">
              <w:tc>
                <w:tcPr>
                  <w:tcW w:w="5000" w:type="pct"/>
                  <w:shd w:val="clear" w:color="auto" w:fill="auto"/>
                </w:tcPr>
                <w:p w14:paraId="1ED9984E" w14:textId="77777777" w:rsidR="009C6940" w:rsidRPr="00EF7969" w:rsidRDefault="009C6940" w:rsidP="009C6940">
                  <w:pPr>
                    <w:pStyle w:val="TableBodyText"/>
                    <w:jc w:val="left"/>
                  </w:pPr>
                  <w:r w:rsidRPr="00EF7969">
                    <w:t>Grassroots Approach Programs</w:t>
                  </w:r>
                </w:p>
              </w:tc>
            </w:tr>
            <w:tr w:rsidR="009C6940" w:rsidRPr="00EF7969" w14:paraId="041AC361" w14:textId="77777777" w:rsidTr="009C6940">
              <w:tc>
                <w:tcPr>
                  <w:tcW w:w="5000" w:type="pct"/>
                  <w:shd w:val="clear" w:color="auto" w:fill="auto"/>
                </w:tcPr>
                <w:p w14:paraId="5C7EB60C" w14:textId="77777777" w:rsidR="009C6940" w:rsidRPr="00EF7969" w:rsidRDefault="009C6940" w:rsidP="009C6940">
                  <w:pPr>
                    <w:pStyle w:val="TableBodyText"/>
                    <w:jc w:val="left"/>
                  </w:pPr>
                  <w:r w:rsidRPr="00EF7969">
                    <w:t>Citizens Commission on Human Rights</w:t>
                  </w:r>
                </w:p>
              </w:tc>
            </w:tr>
            <w:tr w:rsidR="009C6940" w:rsidRPr="00EF7969" w14:paraId="75B8B31E" w14:textId="77777777" w:rsidTr="009C6940">
              <w:tc>
                <w:tcPr>
                  <w:tcW w:w="5000" w:type="pct"/>
                  <w:shd w:val="clear" w:color="auto" w:fill="auto"/>
                </w:tcPr>
                <w:p w14:paraId="11C60BA0" w14:textId="77777777" w:rsidR="009C6940" w:rsidRPr="00EF7969" w:rsidRDefault="009C6940" w:rsidP="009C6940">
                  <w:pPr>
                    <w:pStyle w:val="TableBodyText"/>
                    <w:jc w:val="left"/>
                  </w:pPr>
                  <w:r w:rsidRPr="00EF7969">
                    <w:t>Andrew Pryor</w:t>
                  </w:r>
                </w:p>
              </w:tc>
            </w:tr>
            <w:tr w:rsidR="009C6940" w:rsidRPr="00EF7969" w14:paraId="5E15C059" w14:textId="77777777" w:rsidTr="009C6940">
              <w:tc>
                <w:tcPr>
                  <w:tcW w:w="5000" w:type="pct"/>
                  <w:shd w:val="clear" w:color="auto" w:fill="auto"/>
                </w:tcPr>
                <w:p w14:paraId="49BC765E" w14:textId="77777777" w:rsidR="009C6940" w:rsidRPr="00EF7969" w:rsidRDefault="009C6940" w:rsidP="009C6940">
                  <w:pPr>
                    <w:pStyle w:val="TableBodyText"/>
                    <w:jc w:val="left"/>
                  </w:pPr>
                  <w:r w:rsidRPr="00EF7969">
                    <w:t xml:space="preserve">Libby Ducasse </w:t>
                  </w:r>
                </w:p>
              </w:tc>
            </w:tr>
            <w:tr w:rsidR="009C6940" w:rsidRPr="00EF7969" w14:paraId="08BAC96C" w14:textId="77777777" w:rsidTr="009C6940">
              <w:tc>
                <w:tcPr>
                  <w:tcW w:w="5000" w:type="pct"/>
                  <w:shd w:val="clear" w:color="auto" w:fill="auto"/>
                </w:tcPr>
                <w:p w14:paraId="03810C20" w14:textId="77777777" w:rsidR="009C6940" w:rsidRPr="00EF7969" w:rsidRDefault="009C6940" w:rsidP="009C6940">
                  <w:pPr>
                    <w:pStyle w:val="TableBodyText"/>
                    <w:jc w:val="left"/>
                  </w:pPr>
                  <w:r w:rsidRPr="00EF7969">
                    <w:t>Deborah Barit</w:t>
                  </w:r>
                </w:p>
              </w:tc>
            </w:tr>
          </w:tbl>
          <w:p w14:paraId="00CDE4A4" w14:textId="77777777" w:rsidR="009C6940" w:rsidRPr="00EF7969" w:rsidRDefault="009C6940" w:rsidP="009C6940">
            <w:pPr>
              <w:pStyle w:val="Box"/>
            </w:pPr>
          </w:p>
        </w:tc>
      </w:tr>
      <w:tr w:rsidR="009C6940" w:rsidRPr="00EF7969" w14:paraId="33022562" w14:textId="77777777" w:rsidTr="009C6940">
        <w:tc>
          <w:tcPr>
            <w:tcW w:w="5000" w:type="pct"/>
            <w:tcBorders>
              <w:top w:val="single" w:sz="6" w:space="0" w:color="BFBFBF" w:themeColor="background1" w:themeShade="BF"/>
              <w:left w:val="nil"/>
              <w:bottom w:val="nil"/>
              <w:right w:val="nil"/>
            </w:tcBorders>
            <w:shd w:val="clear" w:color="auto" w:fill="auto"/>
          </w:tcPr>
          <w:p w14:paraId="4113E342" w14:textId="77777777" w:rsidR="009C6940" w:rsidRPr="00EF7969" w:rsidRDefault="009C6940" w:rsidP="009C6940">
            <w:pPr>
              <w:pStyle w:val="Continued"/>
            </w:pPr>
            <w:r w:rsidRPr="00EF7969">
              <w:t>(continued next page)</w:t>
            </w:r>
          </w:p>
        </w:tc>
      </w:tr>
      <w:tr w:rsidR="009C6940" w:rsidRPr="00EF7969" w14:paraId="43D41C7F" w14:textId="77777777" w:rsidTr="009C6940">
        <w:tc>
          <w:tcPr>
            <w:tcW w:w="5000" w:type="pct"/>
            <w:tcBorders>
              <w:top w:val="nil"/>
              <w:left w:val="nil"/>
              <w:bottom w:val="single" w:sz="6" w:space="0" w:color="78A22F"/>
              <w:right w:val="nil"/>
            </w:tcBorders>
            <w:shd w:val="clear" w:color="auto" w:fill="auto"/>
          </w:tcPr>
          <w:p w14:paraId="7460E23C" w14:textId="77777777" w:rsidR="009C6940" w:rsidRPr="00EF7969" w:rsidRDefault="009C6940" w:rsidP="009C6940">
            <w:pPr>
              <w:pStyle w:val="Box"/>
              <w:spacing w:before="0" w:line="120" w:lineRule="exact"/>
            </w:pPr>
          </w:p>
        </w:tc>
      </w:tr>
      <w:tr w:rsidR="009C6940" w:rsidRPr="00EF7969" w14:paraId="6D97162F" w14:textId="77777777" w:rsidTr="009C6940">
        <w:tc>
          <w:tcPr>
            <w:tcW w:w="5000" w:type="pct"/>
            <w:tcBorders>
              <w:top w:val="single" w:sz="6" w:space="0" w:color="78A22F"/>
              <w:left w:val="nil"/>
              <w:bottom w:val="nil"/>
              <w:right w:val="nil"/>
            </w:tcBorders>
          </w:tcPr>
          <w:p w14:paraId="3B5601FD" w14:textId="77777777" w:rsidR="009C6940" w:rsidRPr="00EF7969" w:rsidRDefault="009C6940" w:rsidP="009C6940">
            <w:pPr>
              <w:pStyle w:val="BoxSpaceBelow"/>
            </w:pPr>
          </w:p>
        </w:tc>
      </w:tr>
    </w:tbl>
    <w:p w14:paraId="583AE9A8"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38F192A2" w14:textId="77777777" w:rsidTr="009C6940">
        <w:trPr>
          <w:tblHeader/>
        </w:trPr>
        <w:tc>
          <w:tcPr>
            <w:tcW w:w="5000" w:type="pct"/>
            <w:tcBorders>
              <w:top w:val="single" w:sz="6" w:space="0" w:color="78A22F"/>
              <w:left w:val="nil"/>
              <w:bottom w:val="nil"/>
              <w:right w:val="nil"/>
            </w:tcBorders>
            <w:shd w:val="clear" w:color="auto" w:fill="auto"/>
          </w:tcPr>
          <w:p w14:paraId="6722B11D" w14:textId="77777777" w:rsidR="009C6940" w:rsidRPr="00EF7969" w:rsidRDefault="009C6940" w:rsidP="005B2660">
            <w:pPr>
              <w:pStyle w:val="TableTitle"/>
              <w:spacing w:before="80" w:after="60"/>
            </w:pPr>
            <w:r w:rsidRPr="00EF7969">
              <w:rPr>
                <w:b w:val="0"/>
              </w:rPr>
              <w:t xml:space="preserve">Table </w:t>
            </w:r>
            <w:r>
              <w:rPr>
                <w:b w:val="0"/>
              </w:rPr>
              <w:t>B.</w:t>
            </w:r>
            <w:r w:rsidRPr="00EF7969">
              <w:rPr>
                <w:b w:val="0"/>
              </w:rPr>
              <w:t>4</w:t>
            </w:r>
            <w:r w:rsidRPr="00EF7969">
              <w:tab/>
            </w:r>
            <w:r w:rsidRPr="00EF7969">
              <w:rPr>
                <w:rStyle w:val="Continuedintitle"/>
              </w:rPr>
              <w:t>(continued)</w:t>
            </w:r>
          </w:p>
        </w:tc>
      </w:tr>
      <w:tr w:rsidR="009C6940" w:rsidRPr="00EF7969" w14:paraId="324444EA" w14:textId="77777777" w:rsidTr="009C6940">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tblBorders>
              <w:tblCellMar>
                <w:top w:w="28" w:type="dxa"/>
                <w:left w:w="0" w:type="dxa"/>
                <w:right w:w="0" w:type="dxa"/>
              </w:tblCellMar>
              <w:tblLook w:val="0000" w:firstRow="0" w:lastRow="0" w:firstColumn="0" w:lastColumn="0" w:noHBand="0" w:noVBand="0"/>
            </w:tblPr>
            <w:tblGrid>
              <w:gridCol w:w="8505"/>
            </w:tblGrid>
            <w:tr w:rsidR="009C6940" w:rsidRPr="00EF7969" w14:paraId="73CBBD25" w14:textId="77777777" w:rsidTr="009C6940">
              <w:tc>
                <w:tcPr>
                  <w:tcW w:w="5000" w:type="pct"/>
                  <w:shd w:val="clear" w:color="auto" w:fill="auto"/>
                  <w:vAlign w:val="center"/>
                </w:tcPr>
                <w:p w14:paraId="26931650" w14:textId="77777777" w:rsidR="009C6940" w:rsidRPr="00EF7969" w:rsidRDefault="009C6940" w:rsidP="009C6940">
                  <w:pPr>
                    <w:pStyle w:val="TableBodyText"/>
                    <w:spacing w:before="60" w:line="180" w:lineRule="atLeast"/>
                    <w:jc w:val="left"/>
                  </w:pPr>
                  <w:r w:rsidRPr="00EF7969">
                    <w:rPr>
                      <w:b/>
                    </w:rPr>
                    <w:t>Broken Hill — 28 November 2019</w:t>
                  </w:r>
                </w:p>
              </w:tc>
            </w:tr>
            <w:tr w:rsidR="009C6940" w:rsidRPr="00EF7969" w14:paraId="0B3521FC" w14:textId="77777777" w:rsidTr="009C6940">
              <w:tc>
                <w:tcPr>
                  <w:tcW w:w="5000" w:type="pct"/>
                  <w:shd w:val="clear" w:color="auto" w:fill="auto"/>
                </w:tcPr>
                <w:p w14:paraId="6A243C95" w14:textId="77777777" w:rsidR="009C6940" w:rsidRPr="00EF7969" w:rsidRDefault="009C6940" w:rsidP="009C6940">
                  <w:pPr>
                    <w:pStyle w:val="TableBodyText"/>
                    <w:jc w:val="left"/>
                  </w:pPr>
                  <w:r w:rsidRPr="00EF7969">
                    <w:t xml:space="preserve">Jan Hayman  – Lifeline Connect </w:t>
                  </w:r>
                </w:p>
              </w:tc>
            </w:tr>
            <w:tr w:rsidR="009C6940" w:rsidRPr="00EF7969" w14:paraId="1DE1CA36" w14:textId="77777777" w:rsidTr="009C6940">
              <w:tc>
                <w:tcPr>
                  <w:tcW w:w="5000" w:type="pct"/>
                  <w:shd w:val="clear" w:color="auto" w:fill="auto"/>
                </w:tcPr>
                <w:p w14:paraId="10656BB5" w14:textId="77777777" w:rsidR="009C6940" w:rsidRPr="00EF7969" w:rsidRDefault="009C6940" w:rsidP="009C6940">
                  <w:pPr>
                    <w:pStyle w:val="TableBodyText"/>
                    <w:jc w:val="left"/>
                  </w:pPr>
                  <w:r w:rsidRPr="00EF7969">
                    <w:t>Marisa Pickett and Len White (Board Member) – Lifeline</w:t>
                  </w:r>
                </w:p>
              </w:tc>
            </w:tr>
            <w:tr w:rsidR="009C6940" w:rsidRPr="00EF7969" w14:paraId="65A86935" w14:textId="77777777" w:rsidTr="009C6940">
              <w:tc>
                <w:tcPr>
                  <w:tcW w:w="5000" w:type="pct"/>
                  <w:shd w:val="clear" w:color="auto" w:fill="auto"/>
                </w:tcPr>
                <w:p w14:paraId="7A1729B8" w14:textId="77777777" w:rsidR="009C6940" w:rsidRPr="00EF7969" w:rsidRDefault="009C6940" w:rsidP="009C6940">
                  <w:pPr>
                    <w:pStyle w:val="TableBodyText"/>
                    <w:jc w:val="left"/>
                  </w:pPr>
                  <w:r w:rsidRPr="00EF7969">
                    <w:t>Joanie Sanderson</w:t>
                  </w:r>
                </w:p>
              </w:tc>
            </w:tr>
            <w:tr w:rsidR="009C6940" w:rsidRPr="00EF7969" w14:paraId="0A3CA3D2" w14:textId="77777777" w:rsidTr="009C6940">
              <w:tc>
                <w:tcPr>
                  <w:tcW w:w="5000" w:type="pct"/>
                  <w:shd w:val="clear" w:color="auto" w:fill="auto"/>
                </w:tcPr>
                <w:p w14:paraId="08D90FB7" w14:textId="77777777" w:rsidR="009C6940" w:rsidRPr="00EF7969" w:rsidRDefault="009C6940" w:rsidP="009C6940">
                  <w:pPr>
                    <w:pStyle w:val="TableBodyText"/>
                    <w:jc w:val="left"/>
                  </w:pPr>
                  <w:r w:rsidRPr="00EF7969">
                    <w:t>Maxine Hinton</w:t>
                  </w:r>
                </w:p>
              </w:tc>
            </w:tr>
            <w:tr w:rsidR="009C6940" w:rsidRPr="00EF7969" w14:paraId="7190E1A2" w14:textId="77777777" w:rsidTr="009C6940">
              <w:tc>
                <w:tcPr>
                  <w:tcW w:w="5000" w:type="pct"/>
                  <w:shd w:val="clear" w:color="auto" w:fill="auto"/>
                </w:tcPr>
                <w:p w14:paraId="53655594" w14:textId="77777777" w:rsidR="009C6940" w:rsidRPr="00EF7969" w:rsidRDefault="009C6940" w:rsidP="009C6940">
                  <w:pPr>
                    <w:pStyle w:val="TableBodyText"/>
                    <w:jc w:val="left"/>
                  </w:pPr>
                  <w:r w:rsidRPr="00EF7969">
                    <w:t>Glenda Beeston</w:t>
                  </w:r>
                </w:p>
              </w:tc>
            </w:tr>
            <w:tr w:rsidR="009C6940" w:rsidRPr="00EF7969" w14:paraId="7F6625D0" w14:textId="77777777" w:rsidTr="009C6940">
              <w:tc>
                <w:tcPr>
                  <w:tcW w:w="5000" w:type="pct"/>
                  <w:shd w:val="clear" w:color="auto" w:fill="auto"/>
                </w:tcPr>
                <w:p w14:paraId="5E2D0002" w14:textId="77777777" w:rsidR="009C6940" w:rsidRPr="00EF7969" w:rsidRDefault="009C6940" w:rsidP="009C6940">
                  <w:pPr>
                    <w:pStyle w:val="TableBodyText"/>
                    <w:jc w:val="left"/>
                  </w:pPr>
                  <w:r w:rsidRPr="00EF7969">
                    <w:t xml:space="preserve">Peter Gough – Maari Ma Aboriginal health Corporation </w:t>
                  </w:r>
                </w:p>
              </w:tc>
            </w:tr>
            <w:tr w:rsidR="009C6940" w:rsidRPr="00EF7969" w14:paraId="13F0BED1" w14:textId="77777777" w:rsidTr="009C6940">
              <w:tc>
                <w:tcPr>
                  <w:tcW w:w="5000" w:type="pct"/>
                  <w:shd w:val="clear" w:color="auto" w:fill="auto"/>
                </w:tcPr>
                <w:p w14:paraId="0CC59BA5" w14:textId="77777777" w:rsidR="009C6940" w:rsidRPr="00EF7969" w:rsidRDefault="009C6940" w:rsidP="009C6940">
                  <w:pPr>
                    <w:pStyle w:val="TableBodyText"/>
                    <w:jc w:val="left"/>
                  </w:pPr>
                  <w:r w:rsidRPr="00EF7969">
                    <w:t xml:space="preserve">Vanessa Smith – Broken Hill Community Mental Health, Drug and Alcohol Service  </w:t>
                  </w:r>
                </w:p>
              </w:tc>
            </w:tr>
            <w:tr w:rsidR="009C6940" w:rsidRPr="00EF7969" w14:paraId="2C95B863" w14:textId="77777777" w:rsidTr="009C6940">
              <w:tc>
                <w:tcPr>
                  <w:tcW w:w="5000" w:type="pct"/>
                  <w:shd w:val="clear" w:color="auto" w:fill="auto"/>
                </w:tcPr>
                <w:p w14:paraId="15D52268" w14:textId="77777777" w:rsidR="009C6940" w:rsidRPr="00EF7969" w:rsidRDefault="009C6940" w:rsidP="009C6940">
                  <w:pPr>
                    <w:pStyle w:val="TableBodyText"/>
                    <w:jc w:val="left"/>
                  </w:pPr>
                  <w:r w:rsidRPr="00EF7969">
                    <w:t xml:space="preserve">Jode Callegher – Catholic Care </w:t>
                  </w:r>
                </w:p>
              </w:tc>
            </w:tr>
            <w:tr w:rsidR="009C6940" w:rsidRPr="00EF7969" w14:paraId="62A81ADC" w14:textId="77777777" w:rsidTr="009C6940">
              <w:tc>
                <w:tcPr>
                  <w:tcW w:w="5000" w:type="pct"/>
                  <w:shd w:val="clear" w:color="auto" w:fill="auto"/>
                </w:tcPr>
                <w:p w14:paraId="06CF882F" w14:textId="77777777" w:rsidR="009C6940" w:rsidRPr="00EF7969" w:rsidRDefault="009C6940" w:rsidP="009C6940">
                  <w:pPr>
                    <w:pStyle w:val="TableBodyText"/>
                    <w:jc w:val="left"/>
                  </w:pPr>
                  <w:r w:rsidRPr="00EF7969">
                    <w:t xml:space="preserve">Christy McManus – Far West Local Health District </w:t>
                  </w:r>
                </w:p>
              </w:tc>
            </w:tr>
            <w:tr w:rsidR="009C6940" w:rsidRPr="00EF7969" w14:paraId="419B63A3" w14:textId="77777777" w:rsidTr="009C6940">
              <w:tc>
                <w:tcPr>
                  <w:tcW w:w="5000" w:type="pct"/>
                  <w:shd w:val="clear" w:color="auto" w:fill="auto"/>
                </w:tcPr>
                <w:p w14:paraId="661B5511" w14:textId="77777777" w:rsidR="009C6940" w:rsidRPr="00EF7969" w:rsidRDefault="009C6940" w:rsidP="009C6940">
                  <w:pPr>
                    <w:pStyle w:val="TableBodyText"/>
                    <w:jc w:val="left"/>
                  </w:pPr>
                  <w:r w:rsidRPr="00EF7969">
                    <w:t xml:space="preserve">Les Jones – Murdi Paaki Regional Assembly, Maari Ma Health, Murdi Paaki Regional Housing Corporation </w:t>
                  </w:r>
                </w:p>
              </w:tc>
            </w:tr>
            <w:tr w:rsidR="009C6940" w:rsidRPr="00EF7969" w14:paraId="193B4540" w14:textId="77777777" w:rsidTr="009C6940">
              <w:tc>
                <w:tcPr>
                  <w:tcW w:w="5000" w:type="pct"/>
                  <w:shd w:val="clear" w:color="auto" w:fill="auto"/>
                </w:tcPr>
                <w:p w14:paraId="014A44BA" w14:textId="77777777" w:rsidR="009C6940" w:rsidRPr="00EF7969" w:rsidRDefault="009C6940" w:rsidP="009C6940">
                  <w:pPr>
                    <w:pStyle w:val="TableBodyText"/>
                    <w:jc w:val="left"/>
                  </w:pPr>
                  <w:r w:rsidRPr="00EF7969">
                    <w:t xml:space="preserve">Vanessa Latham and Emma Osman – Royal Flying Doctor Service </w:t>
                  </w:r>
                </w:p>
              </w:tc>
            </w:tr>
            <w:tr w:rsidR="009C6940" w:rsidRPr="00EF7969" w14:paraId="502D4F6C" w14:textId="77777777" w:rsidTr="009C6940">
              <w:tc>
                <w:tcPr>
                  <w:tcW w:w="5000" w:type="pct"/>
                  <w:shd w:val="clear" w:color="auto" w:fill="auto"/>
                </w:tcPr>
                <w:p w14:paraId="11DC6C24" w14:textId="77777777" w:rsidR="009C6940" w:rsidRPr="00EF7969" w:rsidRDefault="009C6940" w:rsidP="009C6940">
                  <w:pPr>
                    <w:pStyle w:val="TableBodyText"/>
                    <w:jc w:val="left"/>
                  </w:pPr>
                  <w:r w:rsidRPr="00EF7969">
                    <w:t>Kayelene Crossing – Warra Warra Legal Service</w:t>
                  </w:r>
                </w:p>
              </w:tc>
            </w:tr>
            <w:tr w:rsidR="009C6940" w:rsidRPr="00EF7969" w14:paraId="1AF370D2" w14:textId="77777777" w:rsidTr="009C6940">
              <w:tc>
                <w:tcPr>
                  <w:tcW w:w="5000" w:type="pct"/>
                  <w:shd w:val="clear" w:color="auto" w:fill="auto"/>
                </w:tcPr>
                <w:p w14:paraId="754CB61D" w14:textId="77777777" w:rsidR="009C6940" w:rsidRPr="00EF7969" w:rsidRDefault="009C6940" w:rsidP="009C6940">
                  <w:pPr>
                    <w:pStyle w:val="TableBodyText"/>
                    <w:jc w:val="left"/>
                  </w:pPr>
                  <w:r w:rsidRPr="00EF7969">
                    <w:t>Famu Nachiappan – General Practitioner</w:t>
                  </w:r>
                </w:p>
              </w:tc>
            </w:tr>
            <w:tr w:rsidR="009C6940" w:rsidRPr="00EF7969" w14:paraId="7DEEA2E7" w14:textId="77777777" w:rsidTr="009C6940">
              <w:tc>
                <w:tcPr>
                  <w:tcW w:w="5000" w:type="pct"/>
                  <w:shd w:val="clear" w:color="auto" w:fill="auto"/>
                </w:tcPr>
                <w:p w14:paraId="083BEC8D" w14:textId="77777777" w:rsidR="009C6940" w:rsidRPr="00EF7969" w:rsidRDefault="009C6940" w:rsidP="009C6940">
                  <w:pPr>
                    <w:pStyle w:val="TableBodyText"/>
                    <w:jc w:val="left"/>
                  </w:pPr>
                  <w:r w:rsidRPr="00EF7969">
                    <w:t>Jo-Anne Cole</w:t>
                  </w:r>
                </w:p>
              </w:tc>
            </w:tr>
            <w:tr w:rsidR="009C6940" w:rsidRPr="00EF7969" w14:paraId="785BD3EB" w14:textId="77777777" w:rsidTr="009C6940">
              <w:tc>
                <w:tcPr>
                  <w:tcW w:w="5000" w:type="pct"/>
                  <w:shd w:val="clear" w:color="auto" w:fill="auto"/>
                </w:tcPr>
                <w:p w14:paraId="46EC7546" w14:textId="77777777" w:rsidR="009C6940" w:rsidRPr="00EF7969" w:rsidRDefault="009C6940" w:rsidP="009C6940">
                  <w:pPr>
                    <w:pStyle w:val="TableBodyText"/>
                    <w:spacing w:before="60" w:line="180" w:lineRule="atLeast"/>
                    <w:jc w:val="left"/>
                  </w:pPr>
                  <w:r w:rsidRPr="00EF7969">
                    <w:rPr>
                      <w:b/>
                    </w:rPr>
                    <w:t>Rockhampton — 2 December 2019</w:t>
                  </w:r>
                </w:p>
              </w:tc>
            </w:tr>
            <w:tr w:rsidR="009C6940" w:rsidRPr="00EF7969" w14:paraId="5D234E64" w14:textId="77777777" w:rsidTr="009C6940">
              <w:tc>
                <w:tcPr>
                  <w:tcW w:w="5000" w:type="pct"/>
                  <w:shd w:val="clear" w:color="auto" w:fill="auto"/>
                </w:tcPr>
                <w:p w14:paraId="75DDE83C" w14:textId="77777777" w:rsidR="009C6940" w:rsidRPr="00EF7969" w:rsidRDefault="009C6940" w:rsidP="009C6940">
                  <w:pPr>
                    <w:pStyle w:val="TableBodyText"/>
                    <w:jc w:val="left"/>
                  </w:pPr>
                  <w:r w:rsidRPr="00EF7969">
                    <w:t>Queensland Alliance for Mental Health</w:t>
                  </w:r>
                </w:p>
              </w:tc>
            </w:tr>
            <w:tr w:rsidR="009C6940" w:rsidRPr="00EF7969" w14:paraId="7A05B67F" w14:textId="77777777" w:rsidTr="009C6940">
              <w:tc>
                <w:tcPr>
                  <w:tcW w:w="5000" w:type="pct"/>
                  <w:shd w:val="clear" w:color="auto" w:fill="auto"/>
                </w:tcPr>
                <w:p w14:paraId="2E833143" w14:textId="77777777" w:rsidR="009C6940" w:rsidRPr="00EF7969" w:rsidRDefault="009C6940" w:rsidP="009C6940">
                  <w:pPr>
                    <w:pStyle w:val="TableBodyText"/>
                    <w:jc w:val="left"/>
                  </w:pPr>
                  <w:r w:rsidRPr="00EF7969">
                    <w:t>John Pink</w:t>
                  </w:r>
                </w:p>
              </w:tc>
            </w:tr>
            <w:tr w:rsidR="009C6940" w:rsidRPr="00EF7969" w14:paraId="04F4FE4F" w14:textId="77777777" w:rsidTr="009C6940">
              <w:tc>
                <w:tcPr>
                  <w:tcW w:w="5000" w:type="pct"/>
                  <w:shd w:val="clear" w:color="auto" w:fill="auto"/>
                </w:tcPr>
                <w:p w14:paraId="48371A33" w14:textId="77777777" w:rsidR="009C6940" w:rsidRPr="00EF7969" w:rsidRDefault="009C6940" w:rsidP="009C6940">
                  <w:pPr>
                    <w:pStyle w:val="TableBodyText"/>
                    <w:jc w:val="left"/>
                  </w:pPr>
                  <w:r w:rsidRPr="00EF7969">
                    <w:t>Headspace, Bundaberg</w:t>
                  </w:r>
                </w:p>
              </w:tc>
            </w:tr>
            <w:tr w:rsidR="009C6940" w:rsidRPr="00EF7969" w14:paraId="5AE59C57" w14:textId="77777777" w:rsidTr="009C6940">
              <w:tc>
                <w:tcPr>
                  <w:tcW w:w="5000" w:type="pct"/>
                  <w:shd w:val="clear" w:color="auto" w:fill="auto"/>
                </w:tcPr>
                <w:p w14:paraId="45CCBFC4" w14:textId="77777777" w:rsidR="009C6940" w:rsidRPr="00EF7969" w:rsidRDefault="009C6940" w:rsidP="009C6940">
                  <w:pPr>
                    <w:pStyle w:val="TableBodyText"/>
                    <w:jc w:val="left"/>
                  </w:pPr>
                  <w:r w:rsidRPr="00EF7969">
                    <w:t>Rise Above Aces Group</w:t>
                  </w:r>
                </w:p>
              </w:tc>
            </w:tr>
            <w:tr w:rsidR="009C6940" w:rsidRPr="00EF7969" w14:paraId="149ED814" w14:textId="77777777" w:rsidTr="009C6940">
              <w:tc>
                <w:tcPr>
                  <w:tcW w:w="5000" w:type="pct"/>
                  <w:shd w:val="clear" w:color="auto" w:fill="auto"/>
                </w:tcPr>
                <w:p w14:paraId="35ABA327" w14:textId="77777777" w:rsidR="009C6940" w:rsidRPr="00EF7969" w:rsidRDefault="009C6940" w:rsidP="009C6940">
                  <w:pPr>
                    <w:pStyle w:val="TableBodyText"/>
                    <w:jc w:val="left"/>
                  </w:pPr>
                  <w:r w:rsidRPr="00EF7969">
                    <w:t>Anglicare Central Queensland</w:t>
                  </w:r>
                </w:p>
              </w:tc>
            </w:tr>
            <w:tr w:rsidR="009C6940" w:rsidRPr="00EF7969" w14:paraId="60F47E27" w14:textId="77777777" w:rsidTr="009C6940">
              <w:tc>
                <w:tcPr>
                  <w:tcW w:w="5000" w:type="pct"/>
                  <w:shd w:val="clear" w:color="auto" w:fill="auto"/>
                </w:tcPr>
                <w:p w14:paraId="2CD420A1" w14:textId="77777777" w:rsidR="009C6940" w:rsidRPr="00EF7969" w:rsidRDefault="009C6940" w:rsidP="009C6940">
                  <w:pPr>
                    <w:pStyle w:val="TableBodyText"/>
                    <w:jc w:val="left"/>
                  </w:pPr>
                  <w:r w:rsidRPr="00EF7969">
                    <w:t>Eating Disorders Queensland</w:t>
                  </w:r>
                </w:p>
              </w:tc>
            </w:tr>
            <w:tr w:rsidR="009C6940" w:rsidRPr="00EF7969" w14:paraId="5D1235F0" w14:textId="77777777" w:rsidTr="009C6940">
              <w:tc>
                <w:tcPr>
                  <w:tcW w:w="5000" w:type="pct"/>
                  <w:shd w:val="clear" w:color="auto" w:fill="auto"/>
                </w:tcPr>
                <w:p w14:paraId="1E988AD1" w14:textId="77777777" w:rsidR="009C6940" w:rsidRPr="00EF7969" w:rsidRDefault="009C6940" w:rsidP="009C6940">
                  <w:pPr>
                    <w:pStyle w:val="TableBodyText"/>
                    <w:jc w:val="left"/>
                  </w:pPr>
                  <w:r w:rsidRPr="00EF7969">
                    <w:t>Triple P International</w:t>
                  </w:r>
                </w:p>
              </w:tc>
            </w:tr>
            <w:tr w:rsidR="009C6940" w:rsidRPr="00EF7969" w14:paraId="4A61C689" w14:textId="77777777" w:rsidTr="009C6940">
              <w:tc>
                <w:tcPr>
                  <w:tcW w:w="5000" w:type="pct"/>
                  <w:shd w:val="clear" w:color="auto" w:fill="auto"/>
                </w:tcPr>
                <w:p w14:paraId="1EAC1301" w14:textId="77777777" w:rsidR="009C6940" w:rsidRPr="00EF7969" w:rsidRDefault="009C6940" w:rsidP="009C6940">
                  <w:pPr>
                    <w:pStyle w:val="TableBodyText"/>
                    <w:jc w:val="left"/>
                  </w:pPr>
                  <w:r w:rsidRPr="00EF7969">
                    <w:t>Robert Wellman</w:t>
                  </w:r>
                </w:p>
              </w:tc>
            </w:tr>
            <w:tr w:rsidR="009C6940" w:rsidRPr="00EF7969" w14:paraId="38442060" w14:textId="77777777" w:rsidTr="009C6940">
              <w:tc>
                <w:tcPr>
                  <w:tcW w:w="5000" w:type="pct"/>
                  <w:shd w:val="clear" w:color="auto" w:fill="auto"/>
                </w:tcPr>
                <w:p w14:paraId="240A3FF3" w14:textId="77777777" w:rsidR="009C6940" w:rsidRPr="00EF7969" w:rsidRDefault="009C6940" w:rsidP="009C6940">
                  <w:pPr>
                    <w:pStyle w:val="TableBodyText"/>
                    <w:jc w:val="left"/>
                  </w:pPr>
                  <w:r w:rsidRPr="00EF7969">
                    <w:t>Anonymous</w:t>
                  </w:r>
                </w:p>
              </w:tc>
            </w:tr>
            <w:tr w:rsidR="009C6940" w:rsidRPr="00EF7969" w14:paraId="54D92F45" w14:textId="77777777" w:rsidTr="009C6940">
              <w:tc>
                <w:tcPr>
                  <w:tcW w:w="5000" w:type="pct"/>
                  <w:shd w:val="clear" w:color="auto" w:fill="auto"/>
                </w:tcPr>
                <w:p w14:paraId="289AC736" w14:textId="77777777" w:rsidR="009C6940" w:rsidRPr="00EF7969" w:rsidRDefault="009C6940" w:rsidP="009C6940">
                  <w:pPr>
                    <w:pStyle w:val="TableBodyText"/>
                    <w:spacing w:before="60" w:line="180" w:lineRule="atLeast"/>
                    <w:jc w:val="left"/>
                  </w:pPr>
                  <w:r w:rsidRPr="00EF7969">
                    <w:rPr>
                      <w:b/>
                    </w:rPr>
                    <w:t>Brisbane — 3 December 2019</w:t>
                  </w:r>
                </w:p>
              </w:tc>
            </w:tr>
            <w:tr w:rsidR="009C6940" w:rsidRPr="00EF7969" w14:paraId="69E998FA" w14:textId="77777777" w:rsidTr="009C6940">
              <w:tc>
                <w:tcPr>
                  <w:tcW w:w="5000" w:type="pct"/>
                  <w:shd w:val="clear" w:color="auto" w:fill="auto"/>
                </w:tcPr>
                <w:p w14:paraId="2AF73CF0" w14:textId="77777777" w:rsidR="009C6940" w:rsidRPr="005A71BD" w:rsidRDefault="009C6940" w:rsidP="009C6940">
                  <w:pPr>
                    <w:pStyle w:val="TableBodyText"/>
                    <w:jc w:val="left"/>
                  </w:pPr>
                  <w:r w:rsidRPr="005A71BD">
                    <w:t>Grow Australia</w:t>
                  </w:r>
                </w:p>
              </w:tc>
            </w:tr>
            <w:tr w:rsidR="009C6940" w:rsidRPr="00EF7969" w14:paraId="7F8DAC45" w14:textId="77777777" w:rsidTr="009C6940">
              <w:tc>
                <w:tcPr>
                  <w:tcW w:w="5000" w:type="pct"/>
                  <w:shd w:val="clear" w:color="auto" w:fill="auto"/>
                </w:tcPr>
                <w:p w14:paraId="419EAE33" w14:textId="77777777" w:rsidR="009C6940" w:rsidRPr="005A71BD" w:rsidRDefault="009C6940" w:rsidP="009C6940">
                  <w:pPr>
                    <w:pStyle w:val="TableBodyText"/>
                    <w:jc w:val="left"/>
                  </w:pPr>
                  <w:r w:rsidRPr="005A71BD">
                    <w:t>Helena Williams</w:t>
                  </w:r>
                </w:p>
              </w:tc>
            </w:tr>
            <w:tr w:rsidR="009C6940" w:rsidRPr="00EF7969" w14:paraId="7CADE4A2" w14:textId="77777777" w:rsidTr="009C6940">
              <w:tc>
                <w:tcPr>
                  <w:tcW w:w="5000" w:type="pct"/>
                  <w:shd w:val="clear" w:color="auto" w:fill="auto"/>
                </w:tcPr>
                <w:p w14:paraId="7916D9C9" w14:textId="77777777" w:rsidR="009C6940" w:rsidRPr="005A71BD" w:rsidRDefault="009C6940" w:rsidP="009C6940">
                  <w:pPr>
                    <w:pStyle w:val="TableBodyText"/>
                    <w:jc w:val="left"/>
                  </w:pPr>
                  <w:r w:rsidRPr="005A71BD">
                    <w:t>Mental Illness Fellowship of Australia</w:t>
                  </w:r>
                  <w:r>
                    <w:t xml:space="preserve"> (MIFA)</w:t>
                  </w:r>
                </w:p>
              </w:tc>
            </w:tr>
            <w:tr w:rsidR="009C6940" w:rsidRPr="00EF7969" w14:paraId="620B3950" w14:textId="77777777" w:rsidTr="009C6940">
              <w:tc>
                <w:tcPr>
                  <w:tcW w:w="5000" w:type="pct"/>
                  <w:shd w:val="clear" w:color="auto" w:fill="auto"/>
                </w:tcPr>
                <w:p w14:paraId="36291B5B" w14:textId="77777777" w:rsidR="009C6940" w:rsidRPr="005A71BD" w:rsidRDefault="009C6940" w:rsidP="009C6940">
                  <w:pPr>
                    <w:pStyle w:val="TableBodyText"/>
                    <w:jc w:val="left"/>
                  </w:pPr>
                  <w:r w:rsidRPr="005A71BD">
                    <w:t>Geoffrey Waghorn</w:t>
                  </w:r>
                </w:p>
              </w:tc>
            </w:tr>
            <w:tr w:rsidR="009C6940" w:rsidRPr="00EF7969" w14:paraId="721F5D93" w14:textId="77777777" w:rsidTr="009C6940">
              <w:tc>
                <w:tcPr>
                  <w:tcW w:w="5000" w:type="pct"/>
                  <w:shd w:val="clear" w:color="auto" w:fill="auto"/>
                </w:tcPr>
                <w:p w14:paraId="63A2A84C" w14:textId="77777777" w:rsidR="009C6940" w:rsidRPr="005A71BD" w:rsidRDefault="009C6940" w:rsidP="009C6940">
                  <w:pPr>
                    <w:pStyle w:val="TableBodyText"/>
                    <w:jc w:val="left"/>
                  </w:pPr>
                  <w:r w:rsidRPr="005A71BD">
                    <w:t>Royal Australian and New Zealand College of Psychiatrists</w:t>
                  </w:r>
                </w:p>
              </w:tc>
            </w:tr>
            <w:tr w:rsidR="009C6940" w:rsidRPr="00EF7969" w14:paraId="4B062BF6" w14:textId="77777777" w:rsidTr="009C6940">
              <w:tc>
                <w:tcPr>
                  <w:tcW w:w="5000" w:type="pct"/>
                  <w:shd w:val="clear" w:color="auto" w:fill="auto"/>
                </w:tcPr>
                <w:p w14:paraId="3855B4CF" w14:textId="77777777" w:rsidR="009C6940" w:rsidRPr="005A71BD" w:rsidRDefault="009C6940" w:rsidP="009C6940">
                  <w:pPr>
                    <w:pStyle w:val="TableBodyText"/>
                    <w:jc w:val="left"/>
                  </w:pPr>
                  <w:r w:rsidRPr="005A71BD">
                    <w:t>Christine Newton</w:t>
                  </w:r>
                </w:p>
              </w:tc>
            </w:tr>
            <w:tr w:rsidR="009C6940" w:rsidRPr="00EF7969" w14:paraId="66FC2B66" w14:textId="77777777" w:rsidTr="009C6940">
              <w:tc>
                <w:tcPr>
                  <w:tcW w:w="5000" w:type="pct"/>
                  <w:shd w:val="clear" w:color="auto" w:fill="auto"/>
                </w:tcPr>
                <w:p w14:paraId="46D15023" w14:textId="77777777" w:rsidR="009C6940" w:rsidRPr="005A71BD" w:rsidRDefault="009C6940" w:rsidP="009C6940">
                  <w:pPr>
                    <w:pStyle w:val="TableBodyText"/>
                    <w:jc w:val="left"/>
                  </w:pPr>
                  <w:r w:rsidRPr="005A71BD">
                    <w:t>Tania Murdock</w:t>
                  </w:r>
                </w:p>
              </w:tc>
            </w:tr>
            <w:tr w:rsidR="009C6940" w:rsidRPr="00EF7969" w14:paraId="4226F236" w14:textId="77777777" w:rsidTr="009C6940">
              <w:tc>
                <w:tcPr>
                  <w:tcW w:w="5000" w:type="pct"/>
                  <w:shd w:val="clear" w:color="auto" w:fill="auto"/>
                </w:tcPr>
                <w:p w14:paraId="7319DC57" w14:textId="77777777" w:rsidR="009C6940" w:rsidRPr="005A71BD" w:rsidRDefault="009C6940" w:rsidP="009C6940">
                  <w:pPr>
                    <w:pStyle w:val="TableBodyText"/>
                    <w:jc w:val="left"/>
                  </w:pPr>
                  <w:r w:rsidRPr="005A71BD">
                    <w:t>Qld Nurses and Midwives Union</w:t>
                  </w:r>
                </w:p>
              </w:tc>
            </w:tr>
            <w:tr w:rsidR="009C6940" w:rsidRPr="00EF7969" w14:paraId="4D256485" w14:textId="77777777" w:rsidTr="009C6940">
              <w:tc>
                <w:tcPr>
                  <w:tcW w:w="5000" w:type="pct"/>
                  <w:shd w:val="clear" w:color="auto" w:fill="auto"/>
                </w:tcPr>
                <w:p w14:paraId="6B26DE27" w14:textId="77777777" w:rsidR="009C6940" w:rsidRPr="005A71BD" w:rsidRDefault="009C6940" w:rsidP="009C6940">
                  <w:pPr>
                    <w:pStyle w:val="TableBodyText"/>
                    <w:jc w:val="left"/>
                  </w:pPr>
                  <w:r w:rsidRPr="005A71BD">
                    <w:t>Qld Council for LGBTI Health</w:t>
                  </w:r>
                </w:p>
              </w:tc>
            </w:tr>
            <w:tr w:rsidR="009C6940" w:rsidRPr="00EF7969" w14:paraId="1D92F3EE" w14:textId="77777777" w:rsidTr="009C6940">
              <w:tc>
                <w:tcPr>
                  <w:tcW w:w="5000" w:type="pct"/>
                  <w:shd w:val="clear" w:color="auto" w:fill="auto"/>
                </w:tcPr>
                <w:p w14:paraId="2E8E20F4" w14:textId="77777777" w:rsidR="009C6940" w:rsidRPr="005A71BD" w:rsidRDefault="009C6940" w:rsidP="009C6940">
                  <w:pPr>
                    <w:pStyle w:val="TableBodyText"/>
                    <w:jc w:val="left"/>
                  </w:pPr>
                  <w:r w:rsidRPr="005A71BD">
                    <w:t>Beryl-Ann Anderson</w:t>
                  </w:r>
                </w:p>
              </w:tc>
            </w:tr>
            <w:tr w:rsidR="009C6940" w:rsidRPr="00EF7969" w14:paraId="2CFF155C" w14:textId="77777777" w:rsidTr="009C6940">
              <w:tc>
                <w:tcPr>
                  <w:tcW w:w="5000" w:type="pct"/>
                  <w:shd w:val="clear" w:color="auto" w:fill="auto"/>
                </w:tcPr>
                <w:p w14:paraId="29A4A949" w14:textId="77777777" w:rsidR="009C6940" w:rsidRPr="005A71BD" w:rsidRDefault="009C6940" w:rsidP="009C6940">
                  <w:pPr>
                    <w:pStyle w:val="TableBodyText"/>
                    <w:jc w:val="left"/>
                  </w:pPr>
                  <w:r w:rsidRPr="005A71BD">
                    <w:t>Qld Seafood Industry Council</w:t>
                  </w:r>
                </w:p>
              </w:tc>
            </w:tr>
            <w:tr w:rsidR="009C6940" w:rsidRPr="00EF7969" w14:paraId="385A200D" w14:textId="77777777" w:rsidTr="009C6940">
              <w:tc>
                <w:tcPr>
                  <w:tcW w:w="5000" w:type="pct"/>
                  <w:shd w:val="clear" w:color="auto" w:fill="auto"/>
                </w:tcPr>
                <w:p w14:paraId="50E33AF8" w14:textId="77777777" w:rsidR="009C6940" w:rsidRPr="005A71BD" w:rsidRDefault="009C6940" w:rsidP="009C6940">
                  <w:pPr>
                    <w:pStyle w:val="TableBodyText"/>
                    <w:jc w:val="left"/>
                  </w:pPr>
                  <w:r w:rsidRPr="005A71BD">
                    <w:t>Kay Cogan</w:t>
                  </w:r>
                </w:p>
              </w:tc>
            </w:tr>
            <w:tr w:rsidR="009C6940" w:rsidRPr="00EF7969" w14:paraId="46340FC4" w14:textId="77777777" w:rsidTr="009C6940">
              <w:tc>
                <w:tcPr>
                  <w:tcW w:w="5000" w:type="pct"/>
                  <w:shd w:val="clear" w:color="auto" w:fill="auto"/>
                </w:tcPr>
                <w:p w14:paraId="748C5209" w14:textId="77777777" w:rsidR="009C6940" w:rsidRPr="005A71BD" w:rsidRDefault="009C6940" w:rsidP="009C6940">
                  <w:pPr>
                    <w:pStyle w:val="TableBodyText"/>
                    <w:jc w:val="left"/>
                  </w:pPr>
                  <w:r w:rsidRPr="005A71BD">
                    <w:t>Arafmi</w:t>
                  </w:r>
                </w:p>
              </w:tc>
            </w:tr>
            <w:tr w:rsidR="009C6940" w:rsidRPr="00EF7969" w14:paraId="7CE4F2A1" w14:textId="77777777" w:rsidTr="009C6940">
              <w:tc>
                <w:tcPr>
                  <w:tcW w:w="5000" w:type="pct"/>
                  <w:shd w:val="clear" w:color="auto" w:fill="auto"/>
                </w:tcPr>
                <w:p w14:paraId="564DACA4" w14:textId="77777777" w:rsidR="009C6940" w:rsidRPr="005A71BD" w:rsidRDefault="009C6940" w:rsidP="009C6940">
                  <w:pPr>
                    <w:pStyle w:val="TableBodyText"/>
                    <w:jc w:val="left"/>
                  </w:pPr>
                  <w:r w:rsidRPr="005A71BD">
                    <w:t>Niall McLaren</w:t>
                  </w:r>
                </w:p>
              </w:tc>
            </w:tr>
            <w:tr w:rsidR="009C6940" w:rsidRPr="00EF7969" w14:paraId="1F8DB184" w14:textId="77777777" w:rsidTr="009C6940">
              <w:tc>
                <w:tcPr>
                  <w:tcW w:w="5000" w:type="pct"/>
                  <w:shd w:val="clear" w:color="auto" w:fill="auto"/>
                </w:tcPr>
                <w:p w14:paraId="763D0FA2" w14:textId="77777777" w:rsidR="009C6940" w:rsidRPr="005A71BD" w:rsidRDefault="009C6940" w:rsidP="009C6940">
                  <w:pPr>
                    <w:pStyle w:val="TableBodyText"/>
                    <w:jc w:val="left"/>
                  </w:pPr>
                  <w:r w:rsidRPr="005A71BD">
                    <w:t>Qld PHNs (North Brisbane, South Brisbane and Western Qld)</w:t>
                  </w:r>
                </w:p>
              </w:tc>
            </w:tr>
            <w:tr w:rsidR="009C6940" w:rsidRPr="00EF7969" w14:paraId="3991B034" w14:textId="77777777" w:rsidTr="009C6940">
              <w:tc>
                <w:tcPr>
                  <w:tcW w:w="5000" w:type="pct"/>
                  <w:shd w:val="clear" w:color="auto" w:fill="auto"/>
                </w:tcPr>
                <w:p w14:paraId="19DFCB94" w14:textId="77777777" w:rsidR="009C6940" w:rsidRPr="005A71BD" w:rsidRDefault="009C6940" w:rsidP="009C6940">
                  <w:pPr>
                    <w:pStyle w:val="TableBodyText"/>
                    <w:jc w:val="left"/>
                  </w:pPr>
                  <w:r w:rsidRPr="005A71BD">
                    <w:t>Stefanie Roth</w:t>
                  </w:r>
                </w:p>
              </w:tc>
            </w:tr>
            <w:tr w:rsidR="009C6940" w:rsidRPr="00EF7969" w14:paraId="11513E45" w14:textId="77777777" w:rsidTr="009C6940">
              <w:tc>
                <w:tcPr>
                  <w:tcW w:w="5000" w:type="pct"/>
                  <w:shd w:val="clear" w:color="auto" w:fill="auto"/>
                </w:tcPr>
                <w:p w14:paraId="252180A7" w14:textId="77777777" w:rsidR="009C6940" w:rsidRPr="005A71BD" w:rsidRDefault="009C6940" w:rsidP="009C6940">
                  <w:pPr>
                    <w:pStyle w:val="TableBodyText"/>
                    <w:jc w:val="left"/>
                  </w:pPr>
                  <w:r w:rsidRPr="005A71BD">
                    <w:t>Melissa Costin</w:t>
                  </w:r>
                </w:p>
              </w:tc>
            </w:tr>
          </w:tbl>
          <w:p w14:paraId="74CE87FF" w14:textId="77777777" w:rsidR="009C6940" w:rsidRPr="00EF7969" w:rsidRDefault="009C6940" w:rsidP="009C6940">
            <w:pPr>
              <w:pStyle w:val="Box"/>
            </w:pPr>
          </w:p>
        </w:tc>
      </w:tr>
      <w:tr w:rsidR="009C6940" w:rsidRPr="00EF7969" w14:paraId="2DB7EF33" w14:textId="77777777" w:rsidTr="009C6940">
        <w:tc>
          <w:tcPr>
            <w:tcW w:w="5000" w:type="pct"/>
            <w:tcBorders>
              <w:top w:val="nil"/>
              <w:left w:val="nil"/>
              <w:bottom w:val="nil"/>
              <w:right w:val="nil"/>
            </w:tcBorders>
            <w:shd w:val="clear" w:color="auto" w:fill="auto"/>
          </w:tcPr>
          <w:p w14:paraId="0014817B" w14:textId="77777777" w:rsidR="009C6940" w:rsidRPr="00EF7969" w:rsidRDefault="009C6940" w:rsidP="009C6940">
            <w:pPr>
              <w:pStyle w:val="Continued"/>
            </w:pPr>
            <w:r w:rsidRPr="00EF7969">
              <w:t>(continued next page)</w:t>
            </w:r>
          </w:p>
        </w:tc>
      </w:tr>
      <w:tr w:rsidR="009C6940" w:rsidRPr="00EF7969" w14:paraId="7EAE1BFD" w14:textId="77777777" w:rsidTr="009C6940">
        <w:tc>
          <w:tcPr>
            <w:tcW w:w="5000" w:type="pct"/>
            <w:tcBorders>
              <w:top w:val="nil"/>
              <w:left w:val="nil"/>
              <w:bottom w:val="single" w:sz="6" w:space="0" w:color="78A22F"/>
              <w:right w:val="nil"/>
            </w:tcBorders>
            <w:shd w:val="clear" w:color="auto" w:fill="auto"/>
          </w:tcPr>
          <w:p w14:paraId="0460551E" w14:textId="77777777" w:rsidR="009C6940" w:rsidRPr="00EF7969" w:rsidRDefault="009C6940" w:rsidP="009C6940">
            <w:pPr>
              <w:pStyle w:val="Box"/>
              <w:spacing w:before="0" w:line="120" w:lineRule="exact"/>
            </w:pPr>
          </w:p>
        </w:tc>
      </w:tr>
      <w:tr w:rsidR="009C6940" w:rsidRPr="00EF7969" w14:paraId="2F1134C0" w14:textId="77777777" w:rsidTr="009C6940">
        <w:tc>
          <w:tcPr>
            <w:tcW w:w="5000" w:type="pct"/>
            <w:tcBorders>
              <w:top w:val="single" w:sz="6" w:space="0" w:color="78A22F"/>
              <w:left w:val="nil"/>
              <w:bottom w:val="nil"/>
              <w:right w:val="nil"/>
            </w:tcBorders>
          </w:tcPr>
          <w:p w14:paraId="7874ACAC" w14:textId="77777777" w:rsidR="009C6940" w:rsidRPr="00EF7969" w:rsidRDefault="009C6940" w:rsidP="009C6940">
            <w:pPr>
              <w:pStyle w:val="BoxSpaceBelow"/>
            </w:pPr>
          </w:p>
        </w:tc>
      </w:tr>
    </w:tbl>
    <w:p w14:paraId="422183BD"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7D812D36" w14:textId="77777777" w:rsidTr="009C6940">
        <w:trPr>
          <w:tblHeader/>
        </w:trPr>
        <w:tc>
          <w:tcPr>
            <w:tcW w:w="5000" w:type="pct"/>
            <w:tcBorders>
              <w:top w:val="single" w:sz="6" w:space="0" w:color="78A22F"/>
              <w:left w:val="nil"/>
              <w:bottom w:val="nil"/>
              <w:right w:val="nil"/>
            </w:tcBorders>
            <w:shd w:val="clear" w:color="auto" w:fill="auto"/>
          </w:tcPr>
          <w:p w14:paraId="1AC7C945" w14:textId="77777777" w:rsidR="009C6940" w:rsidRPr="00EF7969" w:rsidRDefault="009C6940" w:rsidP="009C6940">
            <w:pPr>
              <w:pStyle w:val="TableTitle"/>
            </w:pPr>
            <w:r w:rsidRPr="00EF7969">
              <w:rPr>
                <w:b w:val="0"/>
              </w:rPr>
              <w:t xml:space="preserve">Table </w:t>
            </w:r>
            <w:r>
              <w:rPr>
                <w:b w:val="0"/>
              </w:rPr>
              <w:t>B.</w:t>
            </w:r>
            <w:r w:rsidRPr="00EF7969">
              <w:rPr>
                <w:b w:val="0"/>
              </w:rPr>
              <w:t>4</w:t>
            </w:r>
            <w:r w:rsidRPr="00EF7969">
              <w:tab/>
            </w:r>
            <w:r w:rsidRPr="00EF7969">
              <w:rPr>
                <w:rStyle w:val="Continuedintitle"/>
              </w:rPr>
              <w:t>(continued)</w:t>
            </w:r>
          </w:p>
        </w:tc>
      </w:tr>
      <w:tr w:rsidR="009C6940" w:rsidRPr="00EF7969" w14:paraId="6AA4A63D" w14:textId="77777777" w:rsidTr="009C6940">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tblBorders>
              <w:tblCellMar>
                <w:top w:w="28" w:type="dxa"/>
                <w:left w:w="0" w:type="dxa"/>
                <w:right w:w="0" w:type="dxa"/>
              </w:tblCellMar>
              <w:tblLook w:val="0000" w:firstRow="0" w:lastRow="0" w:firstColumn="0" w:lastColumn="0" w:noHBand="0" w:noVBand="0"/>
            </w:tblPr>
            <w:tblGrid>
              <w:gridCol w:w="8505"/>
            </w:tblGrid>
            <w:tr w:rsidR="009C6940" w:rsidRPr="00EF7969" w14:paraId="0D442CDE" w14:textId="77777777" w:rsidTr="009C6940">
              <w:tc>
                <w:tcPr>
                  <w:tcW w:w="5000" w:type="pct"/>
                  <w:vAlign w:val="center"/>
                </w:tcPr>
                <w:p w14:paraId="5FB065F4" w14:textId="77777777" w:rsidR="009C6940" w:rsidRPr="00EF7969" w:rsidRDefault="009C6940" w:rsidP="009C6940">
                  <w:pPr>
                    <w:pStyle w:val="TableBodyText"/>
                    <w:spacing w:before="80" w:line="180" w:lineRule="atLeast"/>
                    <w:jc w:val="left"/>
                  </w:pPr>
                  <w:r w:rsidRPr="00EF7969">
                    <w:rPr>
                      <w:b/>
                    </w:rPr>
                    <w:t>Launceston — 9 December 2019</w:t>
                  </w:r>
                </w:p>
              </w:tc>
            </w:tr>
            <w:tr w:rsidR="009C6940" w:rsidRPr="00EF7969" w14:paraId="602CE615" w14:textId="77777777" w:rsidTr="009C6940">
              <w:tc>
                <w:tcPr>
                  <w:tcW w:w="5000" w:type="pct"/>
                </w:tcPr>
                <w:p w14:paraId="0B79F15B" w14:textId="77777777" w:rsidR="009C6940" w:rsidRPr="00EF7969" w:rsidRDefault="009C6940" w:rsidP="009C6940">
                  <w:pPr>
                    <w:pStyle w:val="TableBodyText"/>
                    <w:jc w:val="left"/>
                  </w:pPr>
                  <w:r w:rsidRPr="00EF7969">
                    <w:t>Sleep Health Foundation</w:t>
                  </w:r>
                </w:p>
              </w:tc>
            </w:tr>
            <w:tr w:rsidR="009C6940" w:rsidRPr="00EF7969" w14:paraId="12A068BA" w14:textId="77777777" w:rsidTr="009C6940">
              <w:tc>
                <w:tcPr>
                  <w:tcW w:w="5000" w:type="pct"/>
                </w:tcPr>
                <w:p w14:paraId="35838C0C" w14:textId="77777777" w:rsidR="009C6940" w:rsidRPr="00EF7969" w:rsidRDefault="009C6940" w:rsidP="009C6940">
                  <w:pPr>
                    <w:pStyle w:val="TableBodyText"/>
                    <w:jc w:val="left"/>
                  </w:pPr>
                  <w:r w:rsidRPr="00EF7969">
                    <w:t>Australian Psychological Society</w:t>
                  </w:r>
                </w:p>
              </w:tc>
            </w:tr>
            <w:tr w:rsidR="009C6940" w:rsidRPr="00EF7969" w14:paraId="2382CB18" w14:textId="77777777" w:rsidTr="009C6940">
              <w:tc>
                <w:tcPr>
                  <w:tcW w:w="5000" w:type="pct"/>
                </w:tcPr>
                <w:p w14:paraId="2EDE5C2C" w14:textId="77777777" w:rsidR="009C6940" w:rsidRPr="00EF7969" w:rsidRDefault="009C6940" w:rsidP="009C6940">
                  <w:pPr>
                    <w:pStyle w:val="TableBodyText"/>
                    <w:jc w:val="left"/>
                  </w:pPr>
                  <w:r w:rsidRPr="00EF7969">
                    <w:t>Psychology Caffe</w:t>
                  </w:r>
                </w:p>
              </w:tc>
            </w:tr>
            <w:tr w:rsidR="009C6940" w:rsidRPr="00EF7969" w14:paraId="440315E0" w14:textId="77777777" w:rsidTr="009C6940">
              <w:tc>
                <w:tcPr>
                  <w:tcW w:w="5000" w:type="pct"/>
                </w:tcPr>
                <w:p w14:paraId="6BB619A7" w14:textId="77777777" w:rsidR="009C6940" w:rsidRPr="00EF7969" w:rsidRDefault="009C6940" w:rsidP="009C6940">
                  <w:pPr>
                    <w:pStyle w:val="TableBodyText"/>
                    <w:jc w:val="left"/>
                  </w:pPr>
                  <w:r w:rsidRPr="00EF7969">
                    <w:t>Pippa Ross</w:t>
                  </w:r>
                </w:p>
              </w:tc>
            </w:tr>
            <w:tr w:rsidR="009C6940" w:rsidRPr="00EF7969" w14:paraId="383BDA95" w14:textId="77777777" w:rsidTr="009C6940">
              <w:tc>
                <w:tcPr>
                  <w:tcW w:w="5000" w:type="pct"/>
                </w:tcPr>
                <w:p w14:paraId="456B161B" w14:textId="77777777" w:rsidR="009C6940" w:rsidRPr="00EF7969" w:rsidRDefault="009C6940" w:rsidP="009C6940">
                  <w:pPr>
                    <w:pStyle w:val="TableBodyText"/>
                    <w:jc w:val="left"/>
                  </w:pPr>
                  <w:r w:rsidRPr="00EF7969">
                    <w:t>Balancing of Life Counsellors</w:t>
                  </w:r>
                </w:p>
              </w:tc>
            </w:tr>
            <w:tr w:rsidR="009C6940" w:rsidRPr="00EF7969" w14:paraId="2B7DCB71" w14:textId="77777777" w:rsidTr="009C6940">
              <w:tc>
                <w:tcPr>
                  <w:tcW w:w="5000" w:type="pct"/>
                </w:tcPr>
                <w:p w14:paraId="6B3D589F" w14:textId="77777777" w:rsidR="009C6940" w:rsidRPr="00EF7969" w:rsidRDefault="009C6940" w:rsidP="009C6940">
                  <w:pPr>
                    <w:pStyle w:val="TableBodyText"/>
                    <w:jc w:val="left"/>
                  </w:pPr>
                  <w:r w:rsidRPr="00EF7969">
                    <w:t>Diane Kube</w:t>
                  </w:r>
                </w:p>
              </w:tc>
            </w:tr>
            <w:tr w:rsidR="009C6940" w:rsidRPr="00EF7969" w14:paraId="578B2792" w14:textId="77777777" w:rsidTr="009C6940">
              <w:tc>
                <w:tcPr>
                  <w:tcW w:w="5000" w:type="pct"/>
                </w:tcPr>
                <w:p w14:paraId="13F27550" w14:textId="77777777" w:rsidR="009C6940" w:rsidRPr="00EF7969" w:rsidRDefault="009C6940" w:rsidP="009C6940">
                  <w:pPr>
                    <w:pStyle w:val="TableBodyText"/>
                    <w:jc w:val="left"/>
                  </w:pPr>
                  <w:r w:rsidRPr="00EF7969">
                    <w:t>David Asten</w:t>
                  </w:r>
                </w:p>
              </w:tc>
            </w:tr>
            <w:tr w:rsidR="009C6940" w:rsidRPr="00EF7969" w14:paraId="331250C5" w14:textId="77777777" w:rsidTr="009C6940">
              <w:tc>
                <w:tcPr>
                  <w:tcW w:w="5000" w:type="pct"/>
                </w:tcPr>
                <w:p w14:paraId="1079FE02" w14:textId="77777777" w:rsidR="009C6940" w:rsidRPr="00EF7969" w:rsidRDefault="009C6940" w:rsidP="009C6940">
                  <w:pPr>
                    <w:pStyle w:val="TableBodyText"/>
                    <w:jc w:val="left"/>
                  </w:pPr>
                  <w:r w:rsidRPr="00EF7969">
                    <w:t>Tasmanian Life Counselling</w:t>
                  </w:r>
                </w:p>
              </w:tc>
            </w:tr>
            <w:tr w:rsidR="009C6940" w:rsidRPr="00EF7969" w14:paraId="0E96624A" w14:textId="77777777" w:rsidTr="009C6940">
              <w:tc>
                <w:tcPr>
                  <w:tcW w:w="5000" w:type="pct"/>
                </w:tcPr>
                <w:p w14:paraId="60B15853" w14:textId="77777777" w:rsidR="009C6940" w:rsidRPr="00EF7969" w:rsidRDefault="009C6940" w:rsidP="009C6940">
                  <w:pPr>
                    <w:pStyle w:val="TableBodyText"/>
                    <w:jc w:val="left"/>
                  </w:pPr>
                  <w:r w:rsidRPr="00EF7969">
                    <w:t>Australian College of Mental Health Nurses</w:t>
                  </w:r>
                </w:p>
              </w:tc>
            </w:tr>
            <w:tr w:rsidR="009C6940" w:rsidRPr="00EF7969" w14:paraId="13952A2F" w14:textId="77777777" w:rsidTr="009C6940">
              <w:tc>
                <w:tcPr>
                  <w:tcW w:w="5000" w:type="pct"/>
                </w:tcPr>
                <w:p w14:paraId="3A456735" w14:textId="77777777" w:rsidR="009C6940" w:rsidRPr="00EF7969" w:rsidRDefault="009C6940" w:rsidP="009C6940">
                  <w:pPr>
                    <w:pStyle w:val="TableBodyText"/>
                    <w:jc w:val="left"/>
                  </w:pPr>
                  <w:r w:rsidRPr="00EF7969">
                    <w:t>Mental Health Council of Tasmania</w:t>
                  </w:r>
                </w:p>
              </w:tc>
            </w:tr>
            <w:tr w:rsidR="009C6940" w:rsidRPr="00EF7969" w14:paraId="3517F91A" w14:textId="77777777" w:rsidTr="009C6940">
              <w:tc>
                <w:tcPr>
                  <w:tcW w:w="5000" w:type="pct"/>
                </w:tcPr>
                <w:p w14:paraId="5C7FFCF4" w14:textId="77777777" w:rsidR="009C6940" w:rsidRPr="00EF7969" w:rsidRDefault="009C6940" w:rsidP="009C6940">
                  <w:pPr>
                    <w:pStyle w:val="TableBodyText"/>
                    <w:jc w:val="left"/>
                  </w:pPr>
                  <w:r w:rsidRPr="00EF7969">
                    <w:t>Psychotherapy and Counselling Federation of Australia</w:t>
                  </w:r>
                </w:p>
              </w:tc>
            </w:tr>
            <w:tr w:rsidR="009C6940" w:rsidRPr="00EF7969" w14:paraId="17035CA0" w14:textId="77777777" w:rsidTr="009C6940">
              <w:tc>
                <w:tcPr>
                  <w:tcW w:w="5000" w:type="pct"/>
                </w:tcPr>
                <w:p w14:paraId="73BC39D4" w14:textId="77777777" w:rsidR="009C6940" w:rsidRPr="00EF7969" w:rsidRDefault="009C6940" w:rsidP="009C6940">
                  <w:pPr>
                    <w:pStyle w:val="TableBodyText"/>
                    <w:jc w:val="left"/>
                  </w:pPr>
                  <w:r w:rsidRPr="00EF7969">
                    <w:t>Caring Fairly</w:t>
                  </w:r>
                </w:p>
              </w:tc>
            </w:tr>
            <w:tr w:rsidR="009C6940" w:rsidRPr="00EF7969" w14:paraId="19ED7809" w14:textId="77777777" w:rsidTr="009C6940">
              <w:tc>
                <w:tcPr>
                  <w:tcW w:w="5000" w:type="pct"/>
                </w:tcPr>
                <w:p w14:paraId="77051B19" w14:textId="77777777" w:rsidR="009C6940" w:rsidRPr="00EF7969" w:rsidRDefault="009C6940" w:rsidP="009C6940">
                  <w:pPr>
                    <w:pStyle w:val="TableBodyText"/>
                    <w:jc w:val="left"/>
                  </w:pPr>
                  <w:r w:rsidRPr="00EF7969">
                    <w:t>Mental Health Families and Friends Tasmania</w:t>
                  </w:r>
                  <w:r>
                    <w:t xml:space="preserve"> (MHFFTas)</w:t>
                  </w:r>
                </w:p>
              </w:tc>
            </w:tr>
            <w:tr w:rsidR="009C6940" w:rsidRPr="00EF7969" w14:paraId="39310F68" w14:textId="77777777" w:rsidTr="009C6940">
              <w:tc>
                <w:tcPr>
                  <w:tcW w:w="5000" w:type="pct"/>
                </w:tcPr>
                <w:p w14:paraId="46229EC0" w14:textId="77777777" w:rsidR="009C6940" w:rsidRPr="00EF7969" w:rsidRDefault="009C6940" w:rsidP="009C6940">
                  <w:pPr>
                    <w:pStyle w:val="TableBodyText"/>
                    <w:jc w:val="left"/>
                  </w:pPr>
                  <w:r w:rsidRPr="00EF7969">
                    <w:t>Royal Flying Doctor Service Tasmania</w:t>
                  </w:r>
                </w:p>
              </w:tc>
            </w:tr>
            <w:tr w:rsidR="009C6940" w:rsidRPr="00EF7969" w14:paraId="7B239B1B" w14:textId="77777777" w:rsidTr="009C6940">
              <w:tc>
                <w:tcPr>
                  <w:tcW w:w="5000" w:type="pct"/>
                </w:tcPr>
                <w:p w14:paraId="2A28D296" w14:textId="77777777" w:rsidR="009C6940" w:rsidRPr="00EF7969" w:rsidRDefault="009C6940" w:rsidP="009C6940">
                  <w:pPr>
                    <w:pStyle w:val="TableBodyText"/>
                    <w:jc w:val="left"/>
                  </w:pPr>
                  <w:r w:rsidRPr="00EF7969">
                    <w:t>Victi</w:t>
                  </w:r>
                  <w:r>
                    <w:t xml:space="preserve">ms </w:t>
                  </w:r>
                  <w:r w:rsidRPr="00EF7969">
                    <w:t>of Psychiatrists</w:t>
                  </w:r>
                </w:p>
              </w:tc>
            </w:tr>
            <w:tr w:rsidR="009C6940" w:rsidRPr="00EF7969" w14:paraId="1547D564" w14:textId="77777777" w:rsidTr="009C6940">
              <w:tc>
                <w:tcPr>
                  <w:tcW w:w="5000" w:type="pct"/>
                </w:tcPr>
                <w:p w14:paraId="20025A1D" w14:textId="77777777" w:rsidR="009C6940" w:rsidRPr="00EF7969" w:rsidRDefault="009C6940" w:rsidP="009C6940">
                  <w:pPr>
                    <w:pStyle w:val="TableBodyText"/>
                    <w:jc w:val="left"/>
                  </w:pPr>
                  <w:r w:rsidRPr="00EF7969">
                    <w:t>Abolish Psychiatry Party</w:t>
                  </w:r>
                </w:p>
              </w:tc>
            </w:tr>
            <w:tr w:rsidR="009C6940" w:rsidRPr="00EF7969" w14:paraId="3B7F021E" w14:textId="77777777" w:rsidTr="009C6940">
              <w:tc>
                <w:tcPr>
                  <w:tcW w:w="5000" w:type="pct"/>
                </w:tcPr>
                <w:p w14:paraId="7FD22269" w14:textId="77777777" w:rsidR="009C6940" w:rsidRPr="00EF7969" w:rsidRDefault="009C6940" w:rsidP="009C6940">
                  <w:pPr>
                    <w:pStyle w:val="TableBodyText"/>
                    <w:spacing w:before="120"/>
                    <w:jc w:val="left"/>
                  </w:pPr>
                  <w:r w:rsidRPr="00EF7969">
                    <w:rPr>
                      <w:b/>
                    </w:rPr>
                    <w:t>Adelaide — 5 February 2020</w:t>
                  </w:r>
                </w:p>
              </w:tc>
            </w:tr>
            <w:tr w:rsidR="009C6940" w:rsidRPr="00EF7969" w14:paraId="7B42FF24" w14:textId="77777777" w:rsidTr="009C6940">
              <w:tc>
                <w:tcPr>
                  <w:tcW w:w="5000" w:type="pct"/>
                </w:tcPr>
                <w:p w14:paraId="12810900" w14:textId="77777777" w:rsidR="009C6940" w:rsidRPr="005A71BD" w:rsidRDefault="009C6940" w:rsidP="009C6940">
                  <w:pPr>
                    <w:pStyle w:val="TableBodyText"/>
                    <w:jc w:val="left"/>
                  </w:pPr>
                  <w:r w:rsidRPr="005A71BD">
                    <w:t>Australian Counselling Association</w:t>
                  </w:r>
                </w:p>
              </w:tc>
            </w:tr>
            <w:tr w:rsidR="009C6940" w:rsidRPr="00EF7969" w14:paraId="2A5C8702" w14:textId="77777777" w:rsidTr="009C6940">
              <w:tc>
                <w:tcPr>
                  <w:tcW w:w="5000" w:type="pct"/>
                </w:tcPr>
                <w:p w14:paraId="5443067B" w14:textId="77777777" w:rsidR="009C6940" w:rsidRPr="005A71BD" w:rsidRDefault="009C6940" w:rsidP="009C6940">
                  <w:pPr>
                    <w:pStyle w:val="TableBodyText"/>
                    <w:jc w:val="left"/>
                  </w:pPr>
                  <w:r w:rsidRPr="005A71BD">
                    <w:t>Bob Riessen</w:t>
                  </w:r>
                </w:p>
              </w:tc>
            </w:tr>
            <w:tr w:rsidR="009C6940" w:rsidRPr="00EF7969" w14:paraId="2C6B8A08" w14:textId="77777777" w:rsidTr="009C6940">
              <w:tc>
                <w:tcPr>
                  <w:tcW w:w="5000" w:type="pct"/>
                </w:tcPr>
                <w:p w14:paraId="3AB427E7" w14:textId="77777777" w:rsidR="009C6940" w:rsidRPr="005A71BD" w:rsidRDefault="009C6940" w:rsidP="009C6940">
                  <w:pPr>
                    <w:pStyle w:val="TableBodyText"/>
                    <w:jc w:val="left"/>
                  </w:pPr>
                  <w:r w:rsidRPr="005A71BD">
                    <w:t>Skylight Mental health</w:t>
                  </w:r>
                </w:p>
              </w:tc>
            </w:tr>
            <w:tr w:rsidR="009C6940" w:rsidRPr="00EF7969" w14:paraId="3F7A1147" w14:textId="77777777" w:rsidTr="009C6940">
              <w:tc>
                <w:tcPr>
                  <w:tcW w:w="5000" w:type="pct"/>
                </w:tcPr>
                <w:p w14:paraId="349B28D4" w14:textId="77777777" w:rsidR="009C6940" w:rsidRPr="005A71BD" w:rsidRDefault="009C6940" w:rsidP="009C6940">
                  <w:pPr>
                    <w:pStyle w:val="TableBodyText"/>
                    <w:jc w:val="left"/>
                  </w:pPr>
                  <w:r w:rsidRPr="005A71BD">
                    <w:t>Medical Consumers Association</w:t>
                  </w:r>
                </w:p>
              </w:tc>
            </w:tr>
            <w:tr w:rsidR="009C6940" w:rsidRPr="00EF7969" w14:paraId="109A9D51" w14:textId="77777777" w:rsidTr="009C6940">
              <w:tc>
                <w:tcPr>
                  <w:tcW w:w="5000" w:type="pct"/>
                </w:tcPr>
                <w:p w14:paraId="48F5967A" w14:textId="77777777" w:rsidR="009C6940" w:rsidRPr="005A71BD" w:rsidRDefault="009C6940" w:rsidP="009C6940">
                  <w:pPr>
                    <w:pStyle w:val="TableBodyText"/>
                    <w:jc w:val="left"/>
                  </w:pPr>
                  <w:r w:rsidRPr="005A71BD">
                    <w:t>Aaron Fornarino</w:t>
                  </w:r>
                </w:p>
              </w:tc>
            </w:tr>
            <w:tr w:rsidR="009C6940" w:rsidRPr="00EF7969" w14:paraId="749DDA38" w14:textId="77777777" w:rsidTr="009C6940">
              <w:tc>
                <w:tcPr>
                  <w:tcW w:w="5000" w:type="pct"/>
                </w:tcPr>
                <w:p w14:paraId="1691DB7C" w14:textId="77777777" w:rsidR="009C6940" w:rsidRPr="005A71BD" w:rsidRDefault="009C6940" w:rsidP="009C6940">
                  <w:pPr>
                    <w:pStyle w:val="TableBodyText"/>
                    <w:jc w:val="left"/>
                  </w:pPr>
                  <w:r w:rsidRPr="005A71BD">
                    <w:t>GP Mental Health Standards Collaboration</w:t>
                  </w:r>
                </w:p>
              </w:tc>
            </w:tr>
            <w:tr w:rsidR="009C6940" w:rsidRPr="00EF7969" w14:paraId="5AC1974C" w14:textId="77777777" w:rsidTr="009C6940">
              <w:tc>
                <w:tcPr>
                  <w:tcW w:w="5000" w:type="pct"/>
                </w:tcPr>
                <w:p w14:paraId="66C97CB2" w14:textId="77777777" w:rsidR="009C6940" w:rsidRPr="005A71BD" w:rsidRDefault="009C6940" w:rsidP="009C6940">
                  <w:pPr>
                    <w:pStyle w:val="TableBodyText"/>
                    <w:jc w:val="left"/>
                  </w:pPr>
                  <w:r w:rsidRPr="005A71BD">
                    <w:t>Leanne Longfellow</w:t>
                  </w:r>
                </w:p>
              </w:tc>
            </w:tr>
            <w:tr w:rsidR="009C6940" w:rsidRPr="00EF7969" w14:paraId="65D34A29" w14:textId="77777777" w:rsidTr="009C6940">
              <w:tc>
                <w:tcPr>
                  <w:tcW w:w="5000" w:type="pct"/>
                </w:tcPr>
                <w:p w14:paraId="4FD62842" w14:textId="77777777" w:rsidR="009C6940" w:rsidRPr="005A71BD" w:rsidRDefault="009C6940" w:rsidP="009C6940">
                  <w:pPr>
                    <w:pStyle w:val="TableBodyText"/>
                    <w:jc w:val="left"/>
                  </w:pPr>
                  <w:r w:rsidRPr="005A71BD">
                    <w:t>Sally Tregenza</w:t>
                  </w:r>
                </w:p>
              </w:tc>
            </w:tr>
            <w:tr w:rsidR="009C6940" w:rsidRPr="00EF7969" w14:paraId="6B24A8A1" w14:textId="77777777" w:rsidTr="009C6940">
              <w:tc>
                <w:tcPr>
                  <w:tcW w:w="5000" w:type="pct"/>
                </w:tcPr>
                <w:p w14:paraId="75D0ED18" w14:textId="77777777" w:rsidR="009C6940" w:rsidRPr="005A71BD" w:rsidRDefault="009C6940" w:rsidP="009C6940">
                  <w:pPr>
                    <w:pStyle w:val="TableBodyText"/>
                    <w:jc w:val="left"/>
                  </w:pPr>
                  <w:r w:rsidRPr="005A71BD">
                    <w:t>Patricia Sutton</w:t>
                  </w:r>
                </w:p>
              </w:tc>
            </w:tr>
            <w:tr w:rsidR="009C6940" w:rsidRPr="00EF7969" w14:paraId="7DFB10AC" w14:textId="77777777" w:rsidTr="009C6940">
              <w:tc>
                <w:tcPr>
                  <w:tcW w:w="5000" w:type="pct"/>
                </w:tcPr>
                <w:p w14:paraId="78660C84" w14:textId="77777777" w:rsidR="009C6940" w:rsidRPr="005A71BD" w:rsidRDefault="009C6940" w:rsidP="009C6940">
                  <w:pPr>
                    <w:pStyle w:val="TableBodyText"/>
                    <w:jc w:val="left"/>
                  </w:pPr>
                  <w:r w:rsidRPr="005A71BD">
                    <w:t>Danielle Malone</w:t>
                  </w:r>
                </w:p>
              </w:tc>
            </w:tr>
            <w:tr w:rsidR="009C6940" w:rsidRPr="00EF7969" w14:paraId="6C0CCCA7" w14:textId="77777777" w:rsidTr="009C6940">
              <w:tc>
                <w:tcPr>
                  <w:tcW w:w="5000" w:type="pct"/>
                </w:tcPr>
                <w:p w14:paraId="23BB85E8" w14:textId="77777777" w:rsidR="009C6940" w:rsidRPr="005A71BD" w:rsidRDefault="009C6940" w:rsidP="009C6940">
                  <w:pPr>
                    <w:pStyle w:val="TableBodyText"/>
                    <w:jc w:val="left"/>
                  </w:pPr>
                  <w:r w:rsidRPr="005A71BD">
                    <w:t>Lived Experience Leadership and Advocacy Network</w:t>
                  </w:r>
                </w:p>
              </w:tc>
            </w:tr>
            <w:tr w:rsidR="009C6940" w:rsidRPr="00EF7969" w14:paraId="1520E9A9" w14:textId="77777777" w:rsidTr="009C6940">
              <w:tc>
                <w:tcPr>
                  <w:tcW w:w="5000" w:type="pct"/>
                </w:tcPr>
                <w:p w14:paraId="4214056C" w14:textId="77777777" w:rsidR="009C6940" w:rsidRPr="005A71BD" w:rsidRDefault="009C6940" w:rsidP="009C6940">
                  <w:pPr>
                    <w:pStyle w:val="TableBodyText"/>
                    <w:jc w:val="left"/>
                  </w:pPr>
                  <w:r w:rsidRPr="005A71BD">
                    <w:t>Mental Health Coalition South Australia</w:t>
                  </w:r>
                </w:p>
              </w:tc>
            </w:tr>
            <w:tr w:rsidR="009C6940" w:rsidRPr="00EF7969" w14:paraId="5A02D60C" w14:textId="77777777" w:rsidTr="009C6940">
              <w:tc>
                <w:tcPr>
                  <w:tcW w:w="5000" w:type="pct"/>
                </w:tcPr>
                <w:p w14:paraId="2AB0C1AD" w14:textId="77777777" w:rsidR="009C6940" w:rsidRPr="005A71BD" w:rsidRDefault="009C6940" w:rsidP="009C6940">
                  <w:pPr>
                    <w:pStyle w:val="TableBodyText"/>
                    <w:jc w:val="left"/>
                  </w:pPr>
                  <w:r>
                    <w:t>Uniting</w:t>
                  </w:r>
                  <w:r w:rsidRPr="005A71BD">
                    <w:t>SA</w:t>
                  </w:r>
                </w:p>
              </w:tc>
            </w:tr>
            <w:tr w:rsidR="009C6940" w:rsidRPr="00EF7969" w14:paraId="0E72F9F7" w14:textId="77777777" w:rsidTr="009C6940">
              <w:tc>
                <w:tcPr>
                  <w:tcW w:w="5000" w:type="pct"/>
                </w:tcPr>
                <w:p w14:paraId="39DA8026" w14:textId="77777777" w:rsidR="009C6940" w:rsidRPr="005A71BD" w:rsidRDefault="009C6940" w:rsidP="009C6940">
                  <w:pPr>
                    <w:pStyle w:val="TableBodyText"/>
                    <w:jc w:val="left"/>
                  </w:pPr>
                  <w:r w:rsidRPr="005A71BD">
                    <w:t>Melissa Raven</w:t>
                  </w:r>
                </w:p>
              </w:tc>
            </w:tr>
            <w:tr w:rsidR="009C6940" w:rsidRPr="00EF7969" w14:paraId="5DF2E43A" w14:textId="77777777" w:rsidTr="009C6940">
              <w:tc>
                <w:tcPr>
                  <w:tcW w:w="5000" w:type="pct"/>
                </w:tcPr>
                <w:p w14:paraId="6BEC2922" w14:textId="77777777" w:rsidR="009C6940" w:rsidRPr="00EF7969" w:rsidRDefault="009C6940" w:rsidP="009C6940">
                  <w:pPr>
                    <w:pStyle w:val="TableBodyText"/>
                    <w:jc w:val="left"/>
                  </w:pPr>
                  <w:r w:rsidRPr="00EF7969">
                    <w:t>Royal Australian College of General Practitioners</w:t>
                  </w:r>
                </w:p>
              </w:tc>
            </w:tr>
            <w:tr w:rsidR="009C6940" w:rsidRPr="00EF7969" w14:paraId="58CC8831" w14:textId="77777777" w:rsidTr="009C6940">
              <w:tc>
                <w:tcPr>
                  <w:tcW w:w="5000" w:type="pct"/>
                </w:tcPr>
                <w:p w14:paraId="4A2A6E0B" w14:textId="77777777" w:rsidR="009C6940" w:rsidRPr="00EF7969" w:rsidRDefault="009C6940" w:rsidP="009C6940">
                  <w:pPr>
                    <w:pStyle w:val="TableBodyText"/>
                    <w:jc w:val="left"/>
                  </w:pPr>
                  <w:r w:rsidRPr="00EF7969">
                    <w:t>J Michael Innes</w:t>
                  </w:r>
                </w:p>
              </w:tc>
            </w:tr>
            <w:tr w:rsidR="009C6940" w:rsidRPr="00EF7969" w14:paraId="2369671D" w14:textId="77777777" w:rsidTr="009C6940">
              <w:tc>
                <w:tcPr>
                  <w:tcW w:w="5000" w:type="pct"/>
                </w:tcPr>
                <w:p w14:paraId="3991A4BB" w14:textId="77777777" w:rsidR="009C6940" w:rsidRPr="00EF7969" w:rsidRDefault="009C6940" w:rsidP="009C6940">
                  <w:pPr>
                    <w:pStyle w:val="TableBodyText"/>
                    <w:jc w:val="left"/>
                  </w:pPr>
                  <w:r w:rsidRPr="00EF7969">
                    <w:t>Salvation Army Ingle Farm</w:t>
                  </w:r>
                </w:p>
              </w:tc>
            </w:tr>
            <w:tr w:rsidR="009C6940" w:rsidRPr="00EF7969" w14:paraId="7057B9CF" w14:textId="77777777" w:rsidTr="009C6940">
              <w:tc>
                <w:tcPr>
                  <w:tcW w:w="5000" w:type="pct"/>
                </w:tcPr>
                <w:p w14:paraId="1DA57A76" w14:textId="77777777" w:rsidR="009C6940" w:rsidRPr="00EF7969" w:rsidRDefault="009C6940" w:rsidP="009C6940">
                  <w:pPr>
                    <w:pStyle w:val="TableBodyText"/>
                    <w:jc w:val="left"/>
                  </w:pPr>
                  <w:r w:rsidRPr="00EF7969">
                    <w:t>Emerging Minds</w:t>
                  </w:r>
                </w:p>
              </w:tc>
            </w:tr>
            <w:tr w:rsidR="009C6940" w:rsidRPr="00EF7969" w14:paraId="02925011" w14:textId="77777777" w:rsidTr="009C6940">
              <w:tc>
                <w:tcPr>
                  <w:tcW w:w="5000" w:type="pct"/>
                </w:tcPr>
                <w:p w14:paraId="70803C32" w14:textId="77777777" w:rsidR="009C6940" w:rsidRPr="00EF7969" w:rsidRDefault="009C6940" w:rsidP="009C6940">
                  <w:pPr>
                    <w:pStyle w:val="TableBodyText"/>
                    <w:jc w:val="left"/>
                  </w:pPr>
                  <w:r w:rsidRPr="00EF7969">
                    <w:t>Lucy Trethewey</w:t>
                  </w:r>
                </w:p>
              </w:tc>
            </w:tr>
          </w:tbl>
          <w:p w14:paraId="42164011" w14:textId="77777777" w:rsidR="009C6940" w:rsidRPr="00EF7969" w:rsidRDefault="009C6940" w:rsidP="009C6940">
            <w:pPr>
              <w:pStyle w:val="Box"/>
            </w:pPr>
          </w:p>
        </w:tc>
      </w:tr>
      <w:tr w:rsidR="009C6940" w:rsidRPr="00EF7969" w14:paraId="5EED8FFB" w14:textId="77777777" w:rsidTr="009C6940">
        <w:tc>
          <w:tcPr>
            <w:tcW w:w="5000" w:type="pct"/>
            <w:tcBorders>
              <w:top w:val="nil"/>
              <w:left w:val="nil"/>
              <w:bottom w:val="nil"/>
              <w:right w:val="nil"/>
            </w:tcBorders>
            <w:shd w:val="clear" w:color="auto" w:fill="auto"/>
          </w:tcPr>
          <w:p w14:paraId="498A6FBD" w14:textId="77777777" w:rsidR="009C6940" w:rsidRPr="00EF7969" w:rsidRDefault="009C6940" w:rsidP="009C6940">
            <w:pPr>
              <w:pStyle w:val="Continued"/>
            </w:pPr>
            <w:r w:rsidRPr="00EF7969">
              <w:t>(continued next page)</w:t>
            </w:r>
          </w:p>
        </w:tc>
      </w:tr>
      <w:tr w:rsidR="009C6940" w:rsidRPr="00EF7969" w14:paraId="1A722853" w14:textId="77777777" w:rsidTr="009C6940">
        <w:tc>
          <w:tcPr>
            <w:tcW w:w="5000" w:type="pct"/>
            <w:tcBorders>
              <w:top w:val="nil"/>
              <w:left w:val="nil"/>
              <w:bottom w:val="single" w:sz="6" w:space="0" w:color="78A22F"/>
              <w:right w:val="nil"/>
            </w:tcBorders>
            <w:shd w:val="clear" w:color="auto" w:fill="auto"/>
          </w:tcPr>
          <w:p w14:paraId="5AB986B8" w14:textId="77777777" w:rsidR="009C6940" w:rsidRPr="00EF7969" w:rsidRDefault="009C6940" w:rsidP="009C6940">
            <w:pPr>
              <w:pStyle w:val="Box"/>
              <w:spacing w:before="0" w:line="120" w:lineRule="exact"/>
            </w:pPr>
          </w:p>
        </w:tc>
      </w:tr>
      <w:tr w:rsidR="009C6940" w:rsidRPr="00EF7969" w14:paraId="10BEFB61" w14:textId="77777777" w:rsidTr="009C6940">
        <w:tc>
          <w:tcPr>
            <w:tcW w:w="5000" w:type="pct"/>
            <w:tcBorders>
              <w:top w:val="single" w:sz="6" w:space="0" w:color="78A22F"/>
              <w:left w:val="nil"/>
              <w:bottom w:val="nil"/>
              <w:right w:val="nil"/>
            </w:tcBorders>
          </w:tcPr>
          <w:p w14:paraId="2881A5B6" w14:textId="77777777" w:rsidR="009C6940" w:rsidRPr="00EF7969" w:rsidRDefault="009C6940" w:rsidP="009C6940">
            <w:pPr>
              <w:pStyle w:val="BoxSpaceBelow"/>
            </w:pPr>
          </w:p>
        </w:tc>
      </w:tr>
    </w:tbl>
    <w:p w14:paraId="09BE7DED"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2F3CBDFD" w14:textId="77777777" w:rsidTr="009C6940">
        <w:trPr>
          <w:tblHeader/>
        </w:trPr>
        <w:tc>
          <w:tcPr>
            <w:tcW w:w="5000" w:type="pct"/>
            <w:tcBorders>
              <w:top w:val="single" w:sz="6" w:space="0" w:color="78A22F"/>
              <w:left w:val="nil"/>
              <w:bottom w:val="nil"/>
              <w:right w:val="nil"/>
            </w:tcBorders>
            <w:shd w:val="clear" w:color="auto" w:fill="auto"/>
          </w:tcPr>
          <w:p w14:paraId="6BF19DB9" w14:textId="77777777" w:rsidR="009C6940" w:rsidRPr="00EF7969" w:rsidRDefault="009C6940" w:rsidP="009C6940">
            <w:pPr>
              <w:pStyle w:val="TableTitle"/>
            </w:pPr>
            <w:r w:rsidRPr="00EF7969">
              <w:rPr>
                <w:b w:val="0"/>
              </w:rPr>
              <w:t xml:space="preserve">Table </w:t>
            </w:r>
            <w:r>
              <w:rPr>
                <w:b w:val="0"/>
              </w:rPr>
              <w:t>B.</w:t>
            </w:r>
            <w:r w:rsidRPr="00EF7969">
              <w:rPr>
                <w:b w:val="0"/>
              </w:rPr>
              <w:t>4</w:t>
            </w:r>
            <w:r w:rsidRPr="00EF7969">
              <w:tab/>
            </w:r>
            <w:r w:rsidRPr="00EF7969">
              <w:rPr>
                <w:rStyle w:val="Continuedintitle"/>
              </w:rPr>
              <w:t>(continued)</w:t>
            </w:r>
          </w:p>
        </w:tc>
      </w:tr>
      <w:tr w:rsidR="009C6940" w:rsidRPr="00EF7969" w14:paraId="5D9628D3" w14:textId="77777777" w:rsidTr="009C6940">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tblBorders>
              <w:tblCellMar>
                <w:top w:w="28" w:type="dxa"/>
                <w:left w:w="0" w:type="dxa"/>
                <w:right w:w="0" w:type="dxa"/>
              </w:tblCellMar>
              <w:tblLook w:val="0000" w:firstRow="0" w:lastRow="0" w:firstColumn="0" w:lastColumn="0" w:noHBand="0" w:noVBand="0"/>
            </w:tblPr>
            <w:tblGrid>
              <w:gridCol w:w="8505"/>
            </w:tblGrid>
            <w:tr w:rsidR="009C6940" w:rsidRPr="00EF7969" w14:paraId="772D4EC3" w14:textId="77777777" w:rsidTr="009C6940">
              <w:tc>
                <w:tcPr>
                  <w:tcW w:w="5000" w:type="pct"/>
                </w:tcPr>
                <w:p w14:paraId="48516F72" w14:textId="77777777" w:rsidR="009C6940" w:rsidRPr="00EF7969" w:rsidRDefault="009C6940" w:rsidP="009C6940">
                  <w:pPr>
                    <w:pStyle w:val="TableBodyText"/>
                    <w:spacing w:before="80" w:line="180" w:lineRule="atLeast"/>
                    <w:jc w:val="left"/>
                    <w:rPr>
                      <w:b/>
                    </w:rPr>
                  </w:pPr>
                  <w:r w:rsidRPr="00EF7969">
                    <w:rPr>
                      <w:b/>
                    </w:rPr>
                    <w:t>Darwin — 24 February 2020</w:t>
                  </w:r>
                </w:p>
              </w:tc>
            </w:tr>
            <w:tr w:rsidR="009C6940" w:rsidRPr="00EF7969" w14:paraId="75B5A2B9" w14:textId="77777777" w:rsidTr="009C6940">
              <w:tc>
                <w:tcPr>
                  <w:tcW w:w="5000" w:type="pct"/>
                </w:tcPr>
                <w:p w14:paraId="203393B1" w14:textId="77777777" w:rsidR="009C6940" w:rsidRPr="00EF7969" w:rsidRDefault="009C6940" w:rsidP="009C6940">
                  <w:pPr>
                    <w:pStyle w:val="TableBodyText"/>
                    <w:jc w:val="left"/>
                  </w:pPr>
                  <w:r w:rsidRPr="00EF7969">
                    <w:t>Bob Napier</w:t>
                  </w:r>
                </w:p>
              </w:tc>
            </w:tr>
            <w:tr w:rsidR="009C6940" w:rsidRPr="00EF7969" w14:paraId="63C27546" w14:textId="77777777" w:rsidTr="009C6940">
              <w:tc>
                <w:tcPr>
                  <w:tcW w:w="5000" w:type="pct"/>
                </w:tcPr>
                <w:p w14:paraId="5430809A" w14:textId="77777777" w:rsidR="009C6940" w:rsidRPr="00EF7969" w:rsidRDefault="009C6940" w:rsidP="009C6940">
                  <w:pPr>
                    <w:pStyle w:val="TableBodyText"/>
                    <w:jc w:val="left"/>
                  </w:pPr>
                  <w:r w:rsidRPr="00EF7969">
                    <w:t>Rosemary Clancy</w:t>
                  </w:r>
                </w:p>
              </w:tc>
            </w:tr>
            <w:tr w:rsidR="009C6940" w:rsidRPr="00EF7969" w14:paraId="1E0281C2" w14:textId="77777777" w:rsidTr="009C6940">
              <w:tc>
                <w:tcPr>
                  <w:tcW w:w="5000" w:type="pct"/>
                </w:tcPr>
                <w:p w14:paraId="3619FCC2" w14:textId="77777777" w:rsidR="009C6940" w:rsidRPr="00EF7969" w:rsidRDefault="009C6940" w:rsidP="009C6940">
                  <w:pPr>
                    <w:pStyle w:val="TableBodyText"/>
                    <w:jc w:val="left"/>
                  </w:pPr>
                  <w:r w:rsidRPr="00EF7969">
                    <w:t>Linda Spencer</w:t>
                  </w:r>
                </w:p>
              </w:tc>
            </w:tr>
            <w:tr w:rsidR="009C6940" w:rsidRPr="00EF7969" w14:paraId="58AFEFB2" w14:textId="77777777" w:rsidTr="009C6940">
              <w:tc>
                <w:tcPr>
                  <w:tcW w:w="5000" w:type="pct"/>
                </w:tcPr>
                <w:p w14:paraId="6138BCCD" w14:textId="77777777" w:rsidR="009C6940" w:rsidRPr="00EF7969" w:rsidRDefault="009C6940" w:rsidP="009C6940">
                  <w:pPr>
                    <w:pStyle w:val="TableBodyText"/>
                    <w:jc w:val="left"/>
                  </w:pPr>
                  <w:r w:rsidRPr="00EF7969">
                    <w:t>Jos Van Der Sman</w:t>
                  </w:r>
                </w:p>
              </w:tc>
            </w:tr>
            <w:tr w:rsidR="009C6940" w:rsidRPr="00EF7969" w14:paraId="2C8B2052" w14:textId="77777777" w:rsidTr="009C6940">
              <w:tc>
                <w:tcPr>
                  <w:tcW w:w="5000" w:type="pct"/>
                </w:tcPr>
                <w:p w14:paraId="708B56BA" w14:textId="77777777" w:rsidR="009C6940" w:rsidRPr="00EF7969" w:rsidRDefault="009C6940" w:rsidP="009C6940">
                  <w:pPr>
                    <w:pStyle w:val="TableBodyText"/>
                    <w:jc w:val="left"/>
                  </w:pPr>
                  <w:r w:rsidRPr="00EF7969">
                    <w:t>Philip Benjamin</w:t>
                  </w:r>
                </w:p>
              </w:tc>
            </w:tr>
            <w:tr w:rsidR="009C6940" w:rsidRPr="00EF7969" w14:paraId="3E210B7D" w14:textId="77777777" w:rsidTr="009C6940">
              <w:tc>
                <w:tcPr>
                  <w:tcW w:w="5000" w:type="pct"/>
                </w:tcPr>
                <w:p w14:paraId="7063C247" w14:textId="77777777" w:rsidR="009C6940" w:rsidRPr="00EF7969" w:rsidRDefault="009C6940" w:rsidP="009C6940">
                  <w:pPr>
                    <w:pStyle w:val="TableBodyText"/>
                    <w:jc w:val="left"/>
                  </w:pPr>
                  <w:r w:rsidRPr="00EF7969">
                    <w:t>Top End Women’s Legal Service</w:t>
                  </w:r>
                </w:p>
              </w:tc>
            </w:tr>
            <w:tr w:rsidR="009C6940" w:rsidRPr="00EF7969" w14:paraId="074B3219" w14:textId="77777777" w:rsidTr="009C6940">
              <w:tc>
                <w:tcPr>
                  <w:tcW w:w="5000" w:type="pct"/>
                </w:tcPr>
                <w:p w14:paraId="14C29141" w14:textId="77777777" w:rsidR="009C6940" w:rsidRPr="00EF7969" w:rsidRDefault="009C6940" w:rsidP="009C6940">
                  <w:pPr>
                    <w:pStyle w:val="TableBodyText"/>
                    <w:jc w:val="left"/>
                  </w:pPr>
                  <w:r w:rsidRPr="00EF7969">
                    <w:t>Hristina Piltz</w:t>
                  </w:r>
                </w:p>
              </w:tc>
            </w:tr>
            <w:tr w:rsidR="009C6940" w:rsidRPr="00EF7969" w14:paraId="6E9F98BD" w14:textId="77777777" w:rsidTr="009C6940">
              <w:tc>
                <w:tcPr>
                  <w:tcW w:w="5000" w:type="pct"/>
                </w:tcPr>
                <w:p w14:paraId="6ACDA77F" w14:textId="77777777" w:rsidR="009C6940" w:rsidRPr="00EF7969" w:rsidRDefault="009C6940" w:rsidP="009C6940">
                  <w:pPr>
                    <w:pStyle w:val="TableBodyText"/>
                    <w:jc w:val="left"/>
                  </w:pPr>
                  <w:r w:rsidRPr="00EF7969">
                    <w:t>Warwick Smith</w:t>
                  </w:r>
                </w:p>
              </w:tc>
            </w:tr>
            <w:tr w:rsidR="009C6940" w:rsidRPr="00EF7969" w14:paraId="2DE3C013" w14:textId="77777777" w:rsidTr="009C6940">
              <w:tc>
                <w:tcPr>
                  <w:tcW w:w="5000" w:type="pct"/>
                </w:tcPr>
                <w:p w14:paraId="7BB3702F" w14:textId="77777777" w:rsidR="009C6940" w:rsidRPr="00EF7969" w:rsidRDefault="009C6940" w:rsidP="009C6940">
                  <w:pPr>
                    <w:pStyle w:val="TableBodyText"/>
                    <w:jc w:val="left"/>
                  </w:pPr>
                  <w:r w:rsidRPr="00EF7969">
                    <w:t>myDNA</w:t>
                  </w:r>
                </w:p>
              </w:tc>
            </w:tr>
            <w:tr w:rsidR="009C6940" w:rsidRPr="00EF7969" w14:paraId="2D7C5B7F" w14:textId="77777777" w:rsidTr="009C6940">
              <w:tc>
                <w:tcPr>
                  <w:tcW w:w="5000" w:type="pct"/>
                </w:tcPr>
                <w:p w14:paraId="154C5C44" w14:textId="77777777" w:rsidR="009C6940" w:rsidRPr="00EF7969" w:rsidRDefault="009C6940" w:rsidP="009C6940">
                  <w:pPr>
                    <w:pStyle w:val="TableBodyText"/>
                    <w:jc w:val="left"/>
                  </w:pPr>
                  <w:r w:rsidRPr="00EF7969">
                    <w:t>Tanya Kretschmann</w:t>
                  </w:r>
                </w:p>
              </w:tc>
            </w:tr>
            <w:tr w:rsidR="009C6940" w:rsidRPr="00EF7969" w14:paraId="177BEC7C" w14:textId="77777777" w:rsidTr="009C6940">
              <w:tc>
                <w:tcPr>
                  <w:tcW w:w="5000" w:type="pct"/>
                </w:tcPr>
                <w:p w14:paraId="16CED2DB" w14:textId="77777777" w:rsidR="009C6940" w:rsidRPr="00EF7969" w:rsidRDefault="009C6940" w:rsidP="009C6940">
                  <w:pPr>
                    <w:pStyle w:val="TableBodyText"/>
                    <w:jc w:val="left"/>
                  </w:pPr>
                  <w:r w:rsidRPr="00EF7969">
                    <w:t>Northern Territory Mental Health Coalition</w:t>
                  </w:r>
                </w:p>
              </w:tc>
            </w:tr>
            <w:tr w:rsidR="009C6940" w:rsidRPr="00EF7969" w14:paraId="1CB34EF9" w14:textId="77777777" w:rsidTr="009C6940">
              <w:tc>
                <w:tcPr>
                  <w:tcW w:w="5000" w:type="pct"/>
                </w:tcPr>
                <w:p w14:paraId="082C0B1F" w14:textId="77777777" w:rsidR="009C6940" w:rsidRPr="00EF7969" w:rsidRDefault="009C6940" w:rsidP="009C6940">
                  <w:pPr>
                    <w:pStyle w:val="TableBodyText"/>
                    <w:jc w:val="left"/>
                  </w:pPr>
                  <w:r w:rsidRPr="00EF7969">
                    <w:t>Mental Health Association of Central Australia</w:t>
                  </w:r>
                </w:p>
              </w:tc>
            </w:tr>
            <w:tr w:rsidR="009C6940" w:rsidRPr="00EF7969" w14:paraId="073F9411" w14:textId="77777777" w:rsidTr="009C6940">
              <w:tc>
                <w:tcPr>
                  <w:tcW w:w="5000" w:type="pct"/>
                </w:tcPr>
                <w:p w14:paraId="25E96E77" w14:textId="77777777" w:rsidR="009C6940" w:rsidRPr="00EF7969" w:rsidRDefault="009C6940" w:rsidP="009C6940">
                  <w:pPr>
                    <w:pStyle w:val="TableBodyText"/>
                    <w:jc w:val="left"/>
                  </w:pPr>
                  <w:r w:rsidRPr="00EF7969">
                    <w:t>Trinity Ryan</w:t>
                  </w:r>
                </w:p>
              </w:tc>
            </w:tr>
            <w:tr w:rsidR="009C6940" w:rsidRPr="00EF7969" w14:paraId="3DA98CD4" w14:textId="77777777" w:rsidTr="009C6940">
              <w:tc>
                <w:tcPr>
                  <w:tcW w:w="5000" w:type="pct"/>
                </w:tcPr>
                <w:p w14:paraId="2D1FF292" w14:textId="77777777" w:rsidR="009C6940" w:rsidRPr="00EF7969" w:rsidRDefault="009C6940" w:rsidP="009C6940">
                  <w:pPr>
                    <w:pStyle w:val="TableBodyText"/>
                    <w:jc w:val="left"/>
                  </w:pPr>
                  <w:r w:rsidRPr="00EF7969">
                    <w:t>Aboriginal Medical Services Alliance Northern Territory</w:t>
                  </w:r>
                </w:p>
              </w:tc>
            </w:tr>
            <w:tr w:rsidR="009C6940" w:rsidRPr="00EF7969" w14:paraId="215557A2" w14:textId="77777777" w:rsidTr="009C6940">
              <w:tc>
                <w:tcPr>
                  <w:tcW w:w="5000" w:type="pct"/>
                </w:tcPr>
                <w:p w14:paraId="2C8C66ED" w14:textId="77777777" w:rsidR="009C6940" w:rsidRPr="00EF7969" w:rsidRDefault="009C6940" w:rsidP="009C6940">
                  <w:pPr>
                    <w:pStyle w:val="TableBodyText"/>
                    <w:jc w:val="left"/>
                  </w:pPr>
                  <w:r w:rsidRPr="00EF7969">
                    <w:t>Saltbush Social Enterprises</w:t>
                  </w:r>
                </w:p>
              </w:tc>
            </w:tr>
            <w:tr w:rsidR="009C6940" w:rsidRPr="00EF7969" w14:paraId="0E1C63F2" w14:textId="77777777" w:rsidTr="009C6940">
              <w:tc>
                <w:tcPr>
                  <w:tcW w:w="5000" w:type="pct"/>
                </w:tcPr>
                <w:p w14:paraId="620FAAE8" w14:textId="77777777" w:rsidR="009C6940" w:rsidRPr="00EF7969" w:rsidRDefault="009C6940" w:rsidP="009C6940">
                  <w:pPr>
                    <w:pStyle w:val="TableBodyText"/>
                    <w:jc w:val="left"/>
                  </w:pPr>
                  <w:r w:rsidRPr="00EF7969">
                    <w:t>Australian Association for Infant Mental Health</w:t>
                  </w:r>
                </w:p>
              </w:tc>
            </w:tr>
            <w:tr w:rsidR="009C6940" w:rsidRPr="00EF7969" w14:paraId="273B00A4" w14:textId="77777777" w:rsidTr="009C6940">
              <w:tc>
                <w:tcPr>
                  <w:tcW w:w="5000" w:type="pct"/>
                </w:tcPr>
                <w:p w14:paraId="7232F056" w14:textId="77777777" w:rsidR="009C6940" w:rsidRPr="00EF7969" w:rsidRDefault="009C6940" w:rsidP="009C6940">
                  <w:pPr>
                    <w:pStyle w:val="TableBodyText"/>
                    <w:jc w:val="left"/>
                  </w:pPr>
                  <w:r w:rsidRPr="00EF7969">
                    <w:t>TeamHealth</w:t>
                  </w:r>
                </w:p>
              </w:tc>
            </w:tr>
          </w:tbl>
          <w:p w14:paraId="1D944E8D" w14:textId="77777777" w:rsidR="009C6940" w:rsidRPr="00EF7969" w:rsidRDefault="009C6940" w:rsidP="009C6940">
            <w:pPr>
              <w:pStyle w:val="Box"/>
            </w:pPr>
          </w:p>
        </w:tc>
      </w:tr>
      <w:tr w:rsidR="009C6940" w:rsidRPr="00EF7969" w14:paraId="43EEE326" w14:textId="77777777" w:rsidTr="009C6940">
        <w:tc>
          <w:tcPr>
            <w:tcW w:w="5000" w:type="pct"/>
            <w:tcBorders>
              <w:top w:val="nil"/>
              <w:left w:val="nil"/>
              <w:bottom w:val="single" w:sz="6" w:space="0" w:color="78A22F"/>
              <w:right w:val="nil"/>
            </w:tcBorders>
            <w:shd w:val="clear" w:color="auto" w:fill="auto"/>
          </w:tcPr>
          <w:p w14:paraId="64A909EE" w14:textId="77777777" w:rsidR="009C6940" w:rsidRPr="00EF7969" w:rsidRDefault="009C6940" w:rsidP="009C6940">
            <w:pPr>
              <w:pStyle w:val="Box"/>
              <w:spacing w:before="0" w:line="120" w:lineRule="exact"/>
            </w:pPr>
          </w:p>
        </w:tc>
      </w:tr>
      <w:tr w:rsidR="009C6940" w:rsidRPr="00EF7969" w14:paraId="4546279C" w14:textId="77777777" w:rsidTr="009C6940">
        <w:tc>
          <w:tcPr>
            <w:tcW w:w="5000" w:type="pct"/>
            <w:tcBorders>
              <w:top w:val="single" w:sz="6" w:space="0" w:color="78A22F"/>
              <w:left w:val="nil"/>
              <w:bottom w:val="nil"/>
              <w:right w:val="nil"/>
            </w:tcBorders>
          </w:tcPr>
          <w:p w14:paraId="3E8D1407" w14:textId="77777777" w:rsidR="009C6940" w:rsidRPr="00EF7969" w:rsidRDefault="009C6940" w:rsidP="009C6940">
            <w:pPr>
              <w:pStyle w:val="BoxSpaceBelow"/>
            </w:pPr>
          </w:p>
        </w:tc>
      </w:tr>
    </w:tbl>
    <w:p w14:paraId="2F6A680F"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9C6940" w:rsidRPr="00EF7969" w14:paraId="0E670804" w14:textId="77777777" w:rsidTr="009C6940">
        <w:trPr>
          <w:tblHeader/>
        </w:trPr>
        <w:tc>
          <w:tcPr>
            <w:tcW w:w="5000" w:type="pct"/>
            <w:tcBorders>
              <w:top w:val="single" w:sz="6" w:space="0" w:color="78A22F"/>
              <w:left w:val="nil"/>
              <w:bottom w:val="nil"/>
              <w:right w:val="nil"/>
            </w:tcBorders>
            <w:shd w:val="clear" w:color="auto" w:fill="auto"/>
          </w:tcPr>
          <w:p w14:paraId="2026DFDE" w14:textId="77777777" w:rsidR="009C6940" w:rsidRPr="00EF7969" w:rsidRDefault="009C6940" w:rsidP="009C6940">
            <w:pPr>
              <w:pStyle w:val="TableTitle"/>
            </w:pPr>
            <w:r w:rsidRPr="00EF7969">
              <w:rPr>
                <w:b w:val="0"/>
              </w:rPr>
              <w:t xml:space="preserve">Table </w:t>
            </w:r>
            <w:r>
              <w:rPr>
                <w:b w:val="0"/>
              </w:rPr>
              <w:t>B.</w:t>
            </w:r>
            <w:r w:rsidRPr="00EF7969">
              <w:rPr>
                <w:b w:val="0"/>
                <w:noProof/>
              </w:rPr>
              <w:t>5</w:t>
            </w:r>
            <w:r w:rsidRPr="00EF7969">
              <w:tab/>
              <w:t>Roundtables</w:t>
            </w:r>
          </w:p>
        </w:tc>
      </w:tr>
      <w:tr w:rsidR="009C6940" w:rsidRPr="00EF7969" w14:paraId="19380142"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6095"/>
              <w:gridCol w:w="2410"/>
            </w:tblGrid>
            <w:tr w:rsidR="009C6940" w:rsidRPr="00EF7969" w14:paraId="4507061A" w14:textId="77777777" w:rsidTr="009C6940">
              <w:trPr>
                <w:tblHeader/>
              </w:trPr>
              <w:tc>
                <w:tcPr>
                  <w:tcW w:w="3583" w:type="pct"/>
                  <w:tcBorders>
                    <w:top w:val="single" w:sz="6" w:space="0" w:color="BFBFBF"/>
                  </w:tcBorders>
                  <w:shd w:val="clear" w:color="auto" w:fill="auto"/>
                  <w:tcMar>
                    <w:top w:w="28" w:type="dxa"/>
                  </w:tcMar>
                </w:tcPr>
                <w:p w14:paraId="21AB360E" w14:textId="77777777" w:rsidR="009C6940" w:rsidRPr="00EF7969" w:rsidRDefault="009C6940" w:rsidP="009C6940">
                  <w:pPr>
                    <w:pStyle w:val="TableColumnHeading"/>
                    <w:spacing w:before="120" w:after="0"/>
                    <w:jc w:val="left"/>
                    <w:rPr>
                      <w:i w:val="0"/>
                    </w:rPr>
                  </w:pPr>
                  <w:r w:rsidRPr="00EF7969">
                    <w:rPr>
                      <w:b/>
                      <w:i w:val="0"/>
                    </w:rPr>
                    <w:t>4 February 2020  —</w:t>
                  </w:r>
                  <w:r>
                    <w:rPr>
                      <w:b/>
                      <w:i w:val="0"/>
                    </w:rPr>
                    <w:t xml:space="preserve"> </w:t>
                  </w:r>
                  <w:r w:rsidRPr="00EF7969">
                    <w:rPr>
                      <w:b/>
                      <w:i w:val="0"/>
                    </w:rPr>
                    <w:t xml:space="preserve">Consumers and Carers </w:t>
                  </w:r>
                </w:p>
              </w:tc>
              <w:tc>
                <w:tcPr>
                  <w:tcW w:w="1417" w:type="pct"/>
                  <w:tcBorders>
                    <w:top w:val="single" w:sz="6" w:space="0" w:color="BFBFBF"/>
                  </w:tcBorders>
                  <w:shd w:val="clear" w:color="auto" w:fill="auto"/>
                  <w:tcMar>
                    <w:top w:w="28" w:type="dxa"/>
                  </w:tcMar>
                </w:tcPr>
                <w:p w14:paraId="40457E31" w14:textId="77777777" w:rsidR="009C6940" w:rsidRPr="00EF7969" w:rsidRDefault="009C6940" w:rsidP="009C6940">
                  <w:pPr>
                    <w:pStyle w:val="TableColumnHeading"/>
                    <w:spacing w:before="120" w:after="0"/>
                    <w:jc w:val="left"/>
                  </w:pPr>
                </w:p>
              </w:tc>
            </w:tr>
            <w:tr w:rsidR="009C6940" w:rsidRPr="00EF7969" w14:paraId="697CA8EF" w14:textId="77777777" w:rsidTr="009C6940">
              <w:tc>
                <w:tcPr>
                  <w:tcW w:w="3583" w:type="pct"/>
                  <w:shd w:val="clear" w:color="auto" w:fill="auto"/>
                </w:tcPr>
                <w:p w14:paraId="3981E74A" w14:textId="77777777" w:rsidR="009C6940" w:rsidRPr="00EF7969" w:rsidRDefault="009C6940" w:rsidP="009C6940">
                  <w:pPr>
                    <w:pStyle w:val="TableBodyText"/>
                    <w:jc w:val="left"/>
                  </w:pPr>
                  <w:r w:rsidRPr="00EF7969">
                    <w:t>Andris Banders</w:t>
                  </w:r>
                </w:p>
              </w:tc>
              <w:tc>
                <w:tcPr>
                  <w:tcW w:w="1417" w:type="pct"/>
                  <w:shd w:val="clear" w:color="auto" w:fill="auto"/>
                  <w:vAlign w:val="center"/>
                </w:tcPr>
                <w:p w14:paraId="4792E58A" w14:textId="77777777" w:rsidR="009C6940" w:rsidRPr="00EF7969" w:rsidRDefault="009C6940" w:rsidP="009C6940">
                  <w:pPr>
                    <w:pStyle w:val="TableBodyText"/>
                    <w:ind w:right="28"/>
                  </w:pPr>
                </w:p>
              </w:tc>
            </w:tr>
            <w:tr w:rsidR="009C6940" w:rsidRPr="00EF7969" w14:paraId="358F5526" w14:textId="77777777" w:rsidTr="009C6940">
              <w:tc>
                <w:tcPr>
                  <w:tcW w:w="3583" w:type="pct"/>
                </w:tcPr>
                <w:p w14:paraId="6E69D5CD" w14:textId="77777777" w:rsidR="009C6940" w:rsidRPr="00EF7969" w:rsidRDefault="009C6940" w:rsidP="009C6940">
                  <w:pPr>
                    <w:pStyle w:val="TableBodyText"/>
                    <w:jc w:val="left"/>
                  </w:pPr>
                  <w:r w:rsidRPr="00EF7969">
                    <w:t>Anne Barbara</w:t>
                  </w:r>
                </w:p>
              </w:tc>
              <w:tc>
                <w:tcPr>
                  <w:tcW w:w="1417" w:type="pct"/>
                  <w:vAlign w:val="center"/>
                </w:tcPr>
                <w:p w14:paraId="6D3C18C6" w14:textId="77777777" w:rsidR="009C6940" w:rsidRPr="00EF7969" w:rsidRDefault="009C6940" w:rsidP="009C6940">
                  <w:pPr>
                    <w:pStyle w:val="TableBodyText"/>
                    <w:ind w:right="28"/>
                  </w:pPr>
                </w:p>
              </w:tc>
            </w:tr>
            <w:tr w:rsidR="009C6940" w:rsidRPr="00EF7969" w14:paraId="62E2819A" w14:textId="77777777" w:rsidTr="009C6940">
              <w:tc>
                <w:tcPr>
                  <w:tcW w:w="3583" w:type="pct"/>
                  <w:shd w:val="clear" w:color="auto" w:fill="auto"/>
                </w:tcPr>
                <w:p w14:paraId="56C257F6" w14:textId="77777777" w:rsidR="009C6940" w:rsidRPr="00EF7969" w:rsidRDefault="009C6940" w:rsidP="009C6940">
                  <w:pPr>
                    <w:pStyle w:val="TableBodyText"/>
                    <w:jc w:val="left"/>
                  </w:pPr>
                  <w:r w:rsidRPr="00EF7969">
                    <w:t>Belinda Ryan</w:t>
                  </w:r>
                </w:p>
              </w:tc>
              <w:tc>
                <w:tcPr>
                  <w:tcW w:w="1417" w:type="pct"/>
                  <w:shd w:val="clear" w:color="auto" w:fill="auto"/>
                  <w:vAlign w:val="center"/>
                </w:tcPr>
                <w:p w14:paraId="78B56B4E" w14:textId="77777777" w:rsidR="009C6940" w:rsidRPr="00EF7969" w:rsidRDefault="009C6940" w:rsidP="009C6940">
                  <w:pPr>
                    <w:pStyle w:val="TableBodyText"/>
                    <w:ind w:right="28"/>
                  </w:pPr>
                </w:p>
              </w:tc>
            </w:tr>
            <w:tr w:rsidR="009C6940" w:rsidRPr="00EF7969" w14:paraId="144FFD79" w14:textId="77777777" w:rsidTr="009C6940">
              <w:tc>
                <w:tcPr>
                  <w:tcW w:w="3583" w:type="pct"/>
                  <w:shd w:val="clear" w:color="auto" w:fill="auto"/>
                </w:tcPr>
                <w:p w14:paraId="2692CAF0" w14:textId="77777777" w:rsidR="009C6940" w:rsidRPr="00EF7969" w:rsidRDefault="009C6940" w:rsidP="009C6940">
                  <w:pPr>
                    <w:pStyle w:val="TableBodyText"/>
                    <w:jc w:val="left"/>
                  </w:pPr>
                  <w:r w:rsidRPr="00EF7969">
                    <w:t>Camilo Guaqueta</w:t>
                  </w:r>
                </w:p>
              </w:tc>
              <w:tc>
                <w:tcPr>
                  <w:tcW w:w="1417" w:type="pct"/>
                  <w:shd w:val="clear" w:color="auto" w:fill="auto"/>
                  <w:vAlign w:val="center"/>
                </w:tcPr>
                <w:p w14:paraId="6880126E" w14:textId="77777777" w:rsidR="009C6940" w:rsidRPr="00EF7969" w:rsidRDefault="009C6940" w:rsidP="009C6940">
                  <w:pPr>
                    <w:pStyle w:val="TableBodyText"/>
                    <w:ind w:right="28"/>
                  </w:pPr>
                </w:p>
              </w:tc>
            </w:tr>
            <w:tr w:rsidR="009C6940" w:rsidRPr="00EF7969" w14:paraId="4E97D2E6" w14:textId="77777777" w:rsidTr="009C6940">
              <w:tc>
                <w:tcPr>
                  <w:tcW w:w="3583" w:type="pct"/>
                  <w:shd w:val="clear" w:color="auto" w:fill="auto"/>
                </w:tcPr>
                <w:p w14:paraId="5BBBD9EE" w14:textId="77777777" w:rsidR="009C6940" w:rsidRPr="00EF7969" w:rsidRDefault="009C6940" w:rsidP="009C6940">
                  <w:pPr>
                    <w:pStyle w:val="TableBodyText"/>
                    <w:jc w:val="left"/>
                  </w:pPr>
                  <w:r w:rsidRPr="00EF7969">
                    <w:t>Carmen H</w:t>
                  </w:r>
                </w:p>
              </w:tc>
              <w:tc>
                <w:tcPr>
                  <w:tcW w:w="1417" w:type="pct"/>
                  <w:shd w:val="clear" w:color="auto" w:fill="auto"/>
                  <w:vAlign w:val="center"/>
                </w:tcPr>
                <w:p w14:paraId="50A46A88" w14:textId="77777777" w:rsidR="009C6940" w:rsidRPr="00EF7969" w:rsidRDefault="009C6940" w:rsidP="009C6940">
                  <w:pPr>
                    <w:pStyle w:val="TableBodyText"/>
                    <w:ind w:right="28"/>
                  </w:pPr>
                </w:p>
              </w:tc>
            </w:tr>
            <w:tr w:rsidR="009C6940" w:rsidRPr="00EF7969" w14:paraId="1310B06F" w14:textId="77777777" w:rsidTr="009C6940">
              <w:tc>
                <w:tcPr>
                  <w:tcW w:w="3583" w:type="pct"/>
                  <w:shd w:val="clear" w:color="auto" w:fill="auto"/>
                </w:tcPr>
                <w:p w14:paraId="3182A62F" w14:textId="77777777" w:rsidR="009C6940" w:rsidRPr="00EF7969" w:rsidRDefault="009C6940" w:rsidP="009C6940">
                  <w:pPr>
                    <w:pStyle w:val="TableBodyText"/>
                    <w:jc w:val="left"/>
                  </w:pPr>
                  <w:r w:rsidRPr="00EF7969">
                    <w:t>Cecil Camilleri</w:t>
                  </w:r>
                </w:p>
              </w:tc>
              <w:tc>
                <w:tcPr>
                  <w:tcW w:w="1417" w:type="pct"/>
                  <w:shd w:val="clear" w:color="auto" w:fill="auto"/>
                  <w:vAlign w:val="center"/>
                </w:tcPr>
                <w:p w14:paraId="7C2E30BD" w14:textId="77777777" w:rsidR="009C6940" w:rsidRPr="00EF7969" w:rsidRDefault="009C6940" w:rsidP="009C6940">
                  <w:pPr>
                    <w:pStyle w:val="TableBodyText"/>
                    <w:ind w:right="28"/>
                  </w:pPr>
                </w:p>
              </w:tc>
            </w:tr>
            <w:tr w:rsidR="009C6940" w:rsidRPr="00EF7969" w14:paraId="08D609EF" w14:textId="77777777" w:rsidTr="009C6940">
              <w:tc>
                <w:tcPr>
                  <w:tcW w:w="3583" w:type="pct"/>
                  <w:shd w:val="clear" w:color="auto" w:fill="auto"/>
                </w:tcPr>
                <w:p w14:paraId="024D49DA" w14:textId="77777777" w:rsidR="009C6940" w:rsidRPr="00EF7969" w:rsidRDefault="009C6940" w:rsidP="009C6940">
                  <w:pPr>
                    <w:pStyle w:val="TableBodyText"/>
                    <w:jc w:val="left"/>
                  </w:pPr>
                  <w:r w:rsidRPr="00EF7969">
                    <w:t>Dannielle Post</w:t>
                  </w:r>
                </w:p>
              </w:tc>
              <w:tc>
                <w:tcPr>
                  <w:tcW w:w="1417" w:type="pct"/>
                  <w:shd w:val="clear" w:color="auto" w:fill="auto"/>
                  <w:vAlign w:val="center"/>
                </w:tcPr>
                <w:p w14:paraId="6A16D429" w14:textId="77777777" w:rsidR="009C6940" w:rsidRPr="00EF7969" w:rsidRDefault="009C6940" w:rsidP="009C6940">
                  <w:pPr>
                    <w:pStyle w:val="TableBodyText"/>
                    <w:ind w:right="28"/>
                  </w:pPr>
                </w:p>
              </w:tc>
            </w:tr>
            <w:tr w:rsidR="009C6940" w:rsidRPr="00EF7969" w14:paraId="4081392C" w14:textId="77777777" w:rsidTr="009C6940">
              <w:tc>
                <w:tcPr>
                  <w:tcW w:w="3583" w:type="pct"/>
                  <w:shd w:val="clear" w:color="auto" w:fill="auto"/>
                </w:tcPr>
                <w:p w14:paraId="1647C28F" w14:textId="77777777" w:rsidR="009C6940" w:rsidRPr="00EF7969" w:rsidRDefault="009C6940" w:rsidP="009C6940">
                  <w:pPr>
                    <w:pStyle w:val="TableBodyText"/>
                    <w:jc w:val="left"/>
                  </w:pPr>
                  <w:r w:rsidRPr="00EF7969">
                    <w:t>Darren Hunt</w:t>
                  </w:r>
                </w:p>
              </w:tc>
              <w:tc>
                <w:tcPr>
                  <w:tcW w:w="1417" w:type="pct"/>
                  <w:shd w:val="clear" w:color="auto" w:fill="auto"/>
                  <w:vAlign w:val="center"/>
                </w:tcPr>
                <w:p w14:paraId="59FFAC48" w14:textId="77777777" w:rsidR="009C6940" w:rsidRPr="00EF7969" w:rsidRDefault="009C6940" w:rsidP="009C6940">
                  <w:pPr>
                    <w:pStyle w:val="TableBodyText"/>
                    <w:ind w:right="28"/>
                  </w:pPr>
                </w:p>
              </w:tc>
            </w:tr>
            <w:tr w:rsidR="009C6940" w:rsidRPr="00EF7969" w14:paraId="210857B6" w14:textId="77777777" w:rsidTr="009C6940">
              <w:tc>
                <w:tcPr>
                  <w:tcW w:w="3583" w:type="pct"/>
                  <w:shd w:val="clear" w:color="auto" w:fill="auto"/>
                </w:tcPr>
                <w:p w14:paraId="387B1FDB" w14:textId="77777777" w:rsidR="009C6940" w:rsidRPr="00EF7969" w:rsidRDefault="009C6940" w:rsidP="009C6940">
                  <w:pPr>
                    <w:pStyle w:val="TableBodyText"/>
                    <w:jc w:val="left"/>
                  </w:pPr>
                  <w:r w:rsidRPr="00EF7969">
                    <w:t>Ellie Hodges</w:t>
                  </w:r>
                </w:p>
              </w:tc>
              <w:tc>
                <w:tcPr>
                  <w:tcW w:w="1417" w:type="pct"/>
                  <w:shd w:val="clear" w:color="auto" w:fill="auto"/>
                  <w:vAlign w:val="center"/>
                </w:tcPr>
                <w:p w14:paraId="6681EA59" w14:textId="77777777" w:rsidR="009C6940" w:rsidRPr="00EF7969" w:rsidRDefault="009C6940" w:rsidP="009C6940">
                  <w:pPr>
                    <w:pStyle w:val="TableBodyText"/>
                    <w:ind w:right="28"/>
                  </w:pPr>
                </w:p>
              </w:tc>
            </w:tr>
            <w:tr w:rsidR="009C6940" w:rsidRPr="00EF7969" w14:paraId="41258C0C" w14:textId="77777777" w:rsidTr="009C6940">
              <w:tc>
                <w:tcPr>
                  <w:tcW w:w="3583" w:type="pct"/>
                  <w:shd w:val="clear" w:color="auto" w:fill="auto"/>
                </w:tcPr>
                <w:p w14:paraId="5819B2DD" w14:textId="77777777" w:rsidR="009C6940" w:rsidRPr="00EF7969" w:rsidRDefault="009C6940" w:rsidP="009C6940">
                  <w:pPr>
                    <w:pStyle w:val="TableBodyText"/>
                    <w:jc w:val="left"/>
                  </w:pPr>
                  <w:r w:rsidRPr="00EF7969">
                    <w:t>Enaam Oudih</w:t>
                  </w:r>
                </w:p>
              </w:tc>
              <w:tc>
                <w:tcPr>
                  <w:tcW w:w="1417" w:type="pct"/>
                  <w:shd w:val="clear" w:color="auto" w:fill="auto"/>
                  <w:vAlign w:val="center"/>
                </w:tcPr>
                <w:p w14:paraId="6CEFA8A4" w14:textId="77777777" w:rsidR="009C6940" w:rsidRPr="00EF7969" w:rsidRDefault="009C6940" w:rsidP="009C6940">
                  <w:pPr>
                    <w:pStyle w:val="TableBodyText"/>
                    <w:ind w:right="28"/>
                  </w:pPr>
                </w:p>
              </w:tc>
            </w:tr>
            <w:tr w:rsidR="009C6940" w:rsidRPr="00EF7969" w14:paraId="7D2225D0" w14:textId="77777777" w:rsidTr="009C6940">
              <w:tc>
                <w:tcPr>
                  <w:tcW w:w="3583" w:type="pct"/>
                  <w:shd w:val="clear" w:color="auto" w:fill="auto"/>
                </w:tcPr>
                <w:p w14:paraId="587A748F" w14:textId="77777777" w:rsidR="009C6940" w:rsidRPr="00EF7969" w:rsidRDefault="009C6940" w:rsidP="009C6940">
                  <w:pPr>
                    <w:pStyle w:val="TableBodyText"/>
                    <w:jc w:val="left"/>
                  </w:pPr>
                  <w:r w:rsidRPr="00EF7969">
                    <w:t>Graham Deakin</w:t>
                  </w:r>
                </w:p>
              </w:tc>
              <w:tc>
                <w:tcPr>
                  <w:tcW w:w="1417" w:type="pct"/>
                  <w:shd w:val="clear" w:color="auto" w:fill="auto"/>
                  <w:vAlign w:val="center"/>
                </w:tcPr>
                <w:p w14:paraId="6CD687BC" w14:textId="77777777" w:rsidR="009C6940" w:rsidRPr="00EF7969" w:rsidRDefault="009C6940" w:rsidP="009C6940">
                  <w:pPr>
                    <w:pStyle w:val="TableBodyText"/>
                    <w:ind w:right="28"/>
                  </w:pPr>
                </w:p>
              </w:tc>
            </w:tr>
            <w:tr w:rsidR="009C6940" w:rsidRPr="00EF7969" w14:paraId="25A3AB03" w14:textId="77777777" w:rsidTr="009C6940">
              <w:tc>
                <w:tcPr>
                  <w:tcW w:w="3583" w:type="pct"/>
                  <w:shd w:val="clear" w:color="auto" w:fill="auto"/>
                </w:tcPr>
                <w:p w14:paraId="221199C5" w14:textId="77777777" w:rsidR="009C6940" w:rsidRPr="00EF7969" w:rsidRDefault="009C6940" w:rsidP="009C6940">
                  <w:pPr>
                    <w:pStyle w:val="TableBodyText"/>
                    <w:jc w:val="left"/>
                  </w:pPr>
                  <w:r w:rsidRPr="00EF7969">
                    <w:t>Jodus Madrid</w:t>
                  </w:r>
                </w:p>
              </w:tc>
              <w:tc>
                <w:tcPr>
                  <w:tcW w:w="1417" w:type="pct"/>
                  <w:shd w:val="clear" w:color="auto" w:fill="auto"/>
                  <w:vAlign w:val="center"/>
                </w:tcPr>
                <w:p w14:paraId="1844E220" w14:textId="77777777" w:rsidR="009C6940" w:rsidRPr="00EF7969" w:rsidRDefault="009C6940" w:rsidP="009C6940">
                  <w:pPr>
                    <w:pStyle w:val="TableBodyText"/>
                    <w:ind w:right="28"/>
                  </w:pPr>
                </w:p>
              </w:tc>
            </w:tr>
            <w:tr w:rsidR="009C6940" w:rsidRPr="00EF7969" w14:paraId="5EA86991" w14:textId="77777777" w:rsidTr="009C6940">
              <w:tc>
                <w:tcPr>
                  <w:tcW w:w="3583" w:type="pct"/>
                  <w:shd w:val="clear" w:color="auto" w:fill="auto"/>
                </w:tcPr>
                <w:p w14:paraId="12E44D36" w14:textId="77777777" w:rsidR="009C6940" w:rsidRPr="00EF7969" w:rsidRDefault="009C6940" w:rsidP="009C6940">
                  <w:pPr>
                    <w:pStyle w:val="TableBodyText"/>
                    <w:jc w:val="left"/>
                  </w:pPr>
                  <w:r w:rsidRPr="00EF7969">
                    <w:t>Keryn Robelin</w:t>
                  </w:r>
                </w:p>
              </w:tc>
              <w:tc>
                <w:tcPr>
                  <w:tcW w:w="1417" w:type="pct"/>
                  <w:shd w:val="clear" w:color="auto" w:fill="auto"/>
                  <w:vAlign w:val="center"/>
                </w:tcPr>
                <w:p w14:paraId="5B72D028" w14:textId="77777777" w:rsidR="009C6940" w:rsidRPr="00EF7969" w:rsidRDefault="009C6940" w:rsidP="009C6940">
                  <w:pPr>
                    <w:pStyle w:val="TableBodyText"/>
                    <w:ind w:right="28"/>
                  </w:pPr>
                </w:p>
              </w:tc>
            </w:tr>
            <w:tr w:rsidR="009C6940" w:rsidRPr="00EF7969" w14:paraId="701380C6" w14:textId="77777777" w:rsidTr="009C6940">
              <w:tc>
                <w:tcPr>
                  <w:tcW w:w="3583" w:type="pct"/>
                  <w:shd w:val="clear" w:color="auto" w:fill="auto"/>
                </w:tcPr>
                <w:p w14:paraId="7DE6D41C" w14:textId="77777777" w:rsidR="009C6940" w:rsidRPr="00EF7969" w:rsidRDefault="009C6940" w:rsidP="009C6940">
                  <w:pPr>
                    <w:pStyle w:val="TableBodyText"/>
                    <w:jc w:val="left"/>
                  </w:pPr>
                  <w:r w:rsidRPr="00EF7969">
                    <w:t>Leanne Galpin</w:t>
                  </w:r>
                </w:p>
              </w:tc>
              <w:tc>
                <w:tcPr>
                  <w:tcW w:w="1417" w:type="pct"/>
                  <w:shd w:val="clear" w:color="auto" w:fill="auto"/>
                  <w:vAlign w:val="center"/>
                </w:tcPr>
                <w:p w14:paraId="1B6440B8" w14:textId="77777777" w:rsidR="009C6940" w:rsidRPr="00EF7969" w:rsidRDefault="009C6940" w:rsidP="009C6940">
                  <w:pPr>
                    <w:pStyle w:val="TableBodyText"/>
                    <w:ind w:right="28"/>
                  </w:pPr>
                </w:p>
              </w:tc>
            </w:tr>
            <w:tr w:rsidR="009C6940" w:rsidRPr="00EF7969" w14:paraId="6105BC32" w14:textId="77777777" w:rsidTr="009C6940">
              <w:tc>
                <w:tcPr>
                  <w:tcW w:w="3583" w:type="pct"/>
                  <w:shd w:val="clear" w:color="auto" w:fill="auto"/>
                </w:tcPr>
                <w:p w14:paraId="37401308" w14:textId="77777777" w:rsidR="009C6940" w:rsidRPr="00EF7969" w:rsidRDefault="009C6940" w:rsidP="009C6940">
                  <w:pPr>
                    <w:pStyle w:val="TableBodyText"/>
                    <w:jc w:val="left"/>
                  </w:pPr>
                  <w:r w:rsidRPr="00EF7969">
                    <w:t>Lyn English</w:t>
                  </w:r>
                </w:p>
              </w:tc>
              <w:tc>
                <w:tcPr>
                  <w:tcW w:w="1417" w:type="pct"/>
                  <w:shd w:val="clear" w:color="auto" w:fill="auto"/>
                  <w:vAlign w:val="center"/>
                </w:tcPr>
                <w:p w14:paraId="3026F159" w14:textId="77777777" w:rsidR="009C6940" w:rsidRPr="00EF7969" w:rsidRDefault="009C6940" w:rsidP="009C6940">
                  <w:pPr>
                    <w:pStyle w:val="TableBodyText"/>
                    <w:ind w:right="28"/>
                  </w:pPr>
                </w:p>
              </w:tc>
            </w:tr>
            <w:tr w:rsidR="009C6940" w:rsidRPr="00EF7969" w14:paraId="07783AD4" w14:textId="77777777" w:rsidTr="009C6940">
              <w:tc>
                <w:tcPr>
                  <w:tcW w:w="3583" w:type="pct"/>
                  <w:shd w:val="clear" w:color="auto" w:fill="auto"/>
                </w:tcPr>
                <w:p w14:paraId="3411B457" w14:textId="77777777" w:rsidR="009C6940" w:rsidRPr="00EF7969" w:rsidRDefault="009C6940" w:rsidP="009C6940">
                  <w:pPr>
                    <w:pStyle w:val="TableBodyText"/>
                    <w:jc w:val="left"/>
                  </w:pPr>
                  <w:r w:rsidRPr="00EF7969">
                    <w:t>Paola Mason</w:t>
                  </w:r>
                </w:p>
              </w:tc>
              <w:tc>
                <w:tcPr>
                  <w:tcW w:w="1417" w:type="pct"/>
                  <w:shd w:val="clear" w:color="auto" w:fill="auto"/>
                  <w:vAlign w:val="center"/>
                </w:tcPr>
                <w:p w14:paraId="26402FD8" w14:textId="77777777" w:rsidR="009C6940" w:rsidRPr="00EF7969" w:rsidRDefault="009C6940" w:rsidP="009C6940">
                  <w:pPr>
                    <w:pStyle w:val="TableBodyText"/>
                    <w:ind w:right="28"/>
                  </w:pPr>
                </w:p>
              </w:tc>
            </w:tr>
            <w:tr w:rsidR="009C6940" w:rsidRPr="00EF7969" w14:paraId="66E47F88" w14:textId="77777777" w:rsidTr="009C6940">
              <w:tc>
                <w:tcPr>
                  <w:tcW w:w="3583" w:type="pct"/>
                  <w:shd w:val="clear" w:color="auto" w:fill="auto"/>
                </w:tcPr>
                <w:p w14:paraId="2A7583D3" w14:textId="77777777" w:rsidR="009C6940" w:rsidRPr="00EF7969" w:rsidRDefault="009C6940" w:rsidP="009C6940">
                  <w:pPr>
                    <w:pStyle w:val="TableBodyText"/>
                    <w:jc w:val="left"/>
                  </w:pPr>
                  <w:r w:rsidRPr="00EF7969">
                    <w:t>Patricia Sutton</w:t>
                  </w:r>
                </w:p>
              </w:tc>
              <w:tc>
                <w:tcPr>
                  <w:tcW w:w="1417" w:type="pct"/>
                  <w:shd w:val="clear" w:color="auto" w:fill="auto"/>
                  <w:vAlign w:val="center"/>
                </w:tcPr>
                <w:p w14:paraId="794F00F4" w14:textId="77777777" w:rsidR="009C6940" w:rsidRPr="00EF7969" w:rsidRDefault="009C6940" w:rsidP="009C6940">
                  <w:pPr>
                    <w:pStyle w:val="TableBodyText"/>
                    <w:ind w:right="28"/>
                  </w:pPr>
                </w:p>
              </w:tc>
            </w:tr>
            <w:tr w:rsidR="009C6940" w:rsidRPr="00EF7969" w14:paraId="71F870FA" w14:textId="77777777" w:rsidTr="009C6940">
              <w:tc>
                <w:tcPr>
                  <w:tcW w:w="3583" w:type="pct"/>
                </w:tcPr>
                <w:p w14:paraId="66FD7E03" w14:textId="77777777" w:rsidR="009C6940" w:rsidRPr="00EF7969" w:rsidRDefault="009C6940" w:rsidP="009C6940">
                  <w:pPr>
                    <w:pStyle w:val="TableUnitsRow"/>
                    <w:spacing w:before="0"/>
                    <w:jc w:val="left"/>
                  </w:pPr>
                  <w:r w:rsidRPr="00EF7969">
                    <w:t>Sarah Sutton</w:t>
                  </w:r>
                </w:p>
              </w:tc>
              <w:tc>
                <w:tcPr>
                  <w:tcW w:w="1417" w:type="pct"/>
                  <w:vAlign w:val="center"/>
                </w:tcPr>
                <w:p w14:paraId="25D831BA" w14:textId="77777777" w:rsidR="009C6940" w:rsidRPr="00EF7969" w:rsidRDefault="009C6940" w:rsidP="009C6940">
                  <w:pPr>
                    <w:pStyle w:val="TableUnitsRow"/>
                    <w:spacing w:before="0"/>
                    <w:ind w:right="28"/>
                  </w:pPr>
                </w:p>
              </w:tc>
            </w:tr>
            <w:tr w:rsidR="009C6940" w:rsidRPr="00EF7969" w14:paraId="3E5349A9" w14:textId="77777777" w:rsidTr="009C6940">
              <w:tc>
                <w:tcPr>
                  <w:tcW w:w="3583" w:type="pct"/>
                  <w:shd w:val="clear" w:color="auto" w:fill="auto"/>
                </w:tcPr>
                <w:p w14:paraId="631320CD" w14:textId="77777777" w:rsidR="009C6940" w:rsidRPr="00EF7969" w:rsidRDefault="009C6940" w:rsidP="009C6940">
                  <w:pPr>
                    <w:pStyle w:val="TableBodyText"/>
                    <w:jc w:val="left"/>
                  </w:pPr>
                  <w:r w:rsidRPr="00EF7969">
                    <w:t>Tanya Hunter</w:t>
                  </w:r>
                </w:p>
              </w:tc>
              <w:tc>
                <w:tcPr>
                  <w:tcW w:w="1417" w:type="pct"/>
                  <w:shd w:val="clear" w:color="auto" w:fill="auto"/>
                  <w:vAlign w:val="center"/>
                </w:tcPr>
                <w:p w14:paraId="6FDE4D95" w14:textId="77777777" w:rsidR="009C6940" w:rsidRPr="00EF7969" w:rsidRDefault="009C6940" w:rsidP="009C6940">
                  <w:pPr>
                    <w:pStyle w:val="TableBodyText"/>
                    <w:ind w:right="28"/>
                  </w:pPr>
                </w:p>
              </w:tc>
            </w:tr>
            <w:tr w:rsidR="009C6940" w:rsidRPr="00EF7969" w14:paraId="1638A01C" w14:textId="77777777" w:rsidTr="009C6940">
              <w:tc>
                <w:tcPr>
                  <w:tcW w:w="3583" w:type="pct"/>
                  <w:shd w:val="clear" w:color="auto" w:fill="auto"/>
                </w:tcPr>
                <w:p w14:paraId="1C3DAE0A" w14:textId="77777777" w:rsidR="009C6940" w:rsidRPr="00EF7969" w:rsidRDefault="009C6940" w:rsidP="009C6940">
                  <w:pPr>
                    <w:pStyle w:val="TableBodyText"/>
                    <w:spacing w:before="120"/>
                    <w:jc w:val="left"/>
                  </w:pPr>
                  <w:r w:rsidRPr="00EF7969">
                    <w:rPr>
                      <w:b/>
                    </w:rPr>
                    <w:t>11 February 2020  —</w:t>
                  </w:r>
                  <w:r>
                    <w:rPr>
                      <w:b/>
                    </w:rPr>
                    <w:t xml:space="preserve"> </w:t>
                  </w:r>
                  <w:r w:rsidRPr="00EF7969">
                    <w:rPr>
                      <w:b/>
                    </w:rPr>
                    <w:t>Workplace Mental Health</w:t>
                  </w:r>
                </w:p>
              </w:tc>
              <w:tc>
                <w:tcPr>
                  <w:tcW w:w="1417" w:type="pct"/>
                  <w:shd w:val="clear" w:color="auto" w:fill="auto"/>
                </w:tcPr>
                <w:p w14:paraId="054A80B7" w14:textId="77777777" w:rsidR="009C6940" w:rsidRPr="00EF7969" w:rsidRDefault="009C6940" w:rsidP="009C6940">
                  <w:pPr>
                    <w:pStyle w:val="TableBodyText"/>
                    <w:ind w:right="28"/>
                  </w:pPr>
                </w:p>
              </w:tc>
            </w:tr>
            <w:tr w:rsidR="009C6940" w:rsidRPr="00EF7969" w14:paraId="5BC763CA" w14:textId="77777777" w:rsidTr="009C6940">
              <w:tc>
                <w:tcPr>
                  <w:tcW w:w="3583" w:type="pct"/>
                  <w:shd w:val="clear" w:color="auto" w:fill="auto"/>
                </w:tcPr>
                <w:p w14:paraId="15630B6C" w14:textId="77777777" w:rsidR="009C6940" w:rsidRPr="00EF7969" w:rsidRDefault="009C6940" w:rsidP="009C6940">
                  <w:pPr>
                    <w:pStyle w:val="TableBodyText"/>
                    <w:jc w:val="left"/>
                  </w:pPr>
                  <w:r w:rsidRPr="00EF7969">
                    <w:t>Allianz</w:t>
                  </w:r>
                </w:p>
              </w:tc>
              <w:tc>
                <w:tcPr>
                  <w:tcW w:w="1417" w:type="pct"/>
                  <w:shd w:val="clear" w:color="auto" w:fill="auto"/>
                  <w:vAlign w:val="center"/>
                </w:tcPr>
                <w:p w14:paraId="13B9D905" w14:textId="77777777" w:rsidR="009C6940" w:rsidRPr="00EF7969" w:rsidRDefault="009C6940" w:rsidP="009C6940">
                  <w:pPr>
                    <w:pStyle w:val="TableBodyText"/>
                    <w:ind w:right="28"/>
                  </w:pPr>
                  <w:r w:rsidRPr="00EF7969">
                    <w:t>Mark Pittman</w:t>
                  </w:r>
                </w:p>
              </w:tc>
            </w:tr>
            <w:tr w:rsidR="009C6940" w:rsidRPr="00EF7969" w14:paraId="25C4377B" w14:textId="77777777" w:rsidTr="009C6940">
              <w:tc>
                <w:tcPr>
                  <w:tcW w:w="3583" w:type="pct"/>
                  <w:shd w:val="clear" w:color="auto" w:fill="auto"/>
                </w:tcPr>
                <w:p w14:paraId="0B4C2775" w14:textId="77777777" w:rsidR="009C6940" w:rsidRPr="00EF7969" w:rsidRDefault="009C6940" w:rsidP="009C6940">
                  <w:pPr>
                    <w:pStyle w:val="TableBodyText"/>
                    <w:jc w:val="left"/>
                  </w:pPr>
                  <w:r w:rsidRPr="00EF7969">
                    <w:t>Australian Chamber of Commerce and Industry</w:t>
                  </w:r>
                </w:p>
              </w:tc>
              <w:tc>
                <w:tcPr>
                  <w:tcW w:w="1417" w:type="pct"/>
                  <w:shd w:val="clear" w:color="auto" w:fill="auto"/>
                  <w:vAlign w:val="center"/>
                </w:tcPr>
                <w:p w14:paraId="03927CA3" w14:textId="77777777" w:rsidR="009C6940" w:rsidRPr="00EF7969" w:rsidRDefault="009C6940" w:rsidP="009C6940">
                  <w:pPr>
                    <w:pStyle w:val="TableBodyText"/>
                    <w:ind w:right="28"/>
                  </w:pPr>
                  <w:r w:rsidRPr="00EF7969">
                    <w:t>Jennifer Low</w:t>
                  </w:r>
                </w:p>
              </w:tc>
            </w:tr>
            <w:tr w:rsidR="009C6940" w:rsidRPr="00EF7969" w14:paraId="52BC8054" w14:textId="77777777" w:rsidTr="009C6940">
              <w:tc>
                <w:tcPr>
                  <w:tcW w:w="3583" w:type="pct"/>
                  <w:shd w:val="clear" w:color="auto" w:fill="auto"/>
                </w:tcPr>
                <w:p w14:paraId="73914159" w14:textId="77777777" w:rsidR="009C6940" w:rsidRPr="00EF7969" w:rsidRDefault="009C6940" w:rsidP="009C6940">
                  <w:pPr>
                    <w:pStyle w:val="TableBodyText"/>
                    <w:jc w:val="left"/>
                  </w:pPr>
                  <w:r w:rsidRPr="00EF7969">
                    <w:t>Australian Council of Trade Unions</w:t>
                  </w:r>
                </w:p>
              </w:tc>
              <w:tc>
                <w:tcPr>
                  <w:tcW w:w="1417" w:type="pct"/>
                  <w:shd w:val="clear" w:color="auto" w:fill="auto"/>
                  <w:vAlign w:val="center"/>
                </w:tcPr>
                <w:p w14:paraId="2684E11B" w14:textId="77777777" w:rsidR="009C6940" w:rsidRPr="00EF7969" w:rsidRDefault="009C6940" w:rsidP="009C6940">
                  <w:pPr>
                    <w:pStyle w:val="TableBodyText"/>
                    <w:ind w:right="28"/>
                  </w:pPr>
                  <w:r w:rsidRPr="00EF7969">
                    <w:t>Liam O’Brien</w:t>
                  </w:r>
                </w:p>
              </w:tc>
            </w:tr>
            <w:tr w:rsidR="009C6940" w:rsidRPr="00EF7969" w14:paraId="43389BFA" w14:textId="77777777" w:rsidTr="009C6940">
              <w:tc>
                <w:tcPr>
                  <w:tcW w:w="3583" w:type="pct"/>
                  <w:shd w:val="clear" w:color="auto" w:fill="auto"/>
                </w:tcPr>
                <w:p w14:paraId="24940736" w14:textId="77777777" w:rsidR="009C6940" w:rsidRPr="00EF7969" w:rsidRDefault="009C6940" w:rsidP="009C6940">
                  <w:pPr>
                    <w:pStyle w:val="TableBodyText"/>
                    <w:jc w:val="left"/>
                  </w:pPr>
                  <w:r w:rsidRPr="00EF7969">
                    <w:t>Australian Industry Group</w:t>
                  </w:r>
                </w:p>
              </w:tc>
              <w:tc>
                <w:tcPr>
                  <w:tcW w:w="1417" w:type="pct"/>
                  <w:shd w:val="clear" w:color="auto" w:fill="auto"/>
                  <w:vAlign w:val="center"/>
                </w:tcPr>
                <w:p w14:paraId="5DE55D49" w14:textId="77777777" w:rsidR="009C6940" w:rsidRPr="00EF7969" w:rsidRDefault="009C6940" w:rsidP="009C6940">
                  <w:pPr>
                    <w:pStyle w:val="TableBodyText"/>
                    <w:ind w:right="28"/>
                  </w:pPr>
                  <w:r w:rsidRPr="00EF7969">
                    <w:t>Tracey Browne</w:t>
                  </w:r>
                </w:p>
              </w:tc>
            </w:tr>
            <w:tr w:rsidR="009C6940" w:rsidRPr="00EF7969" w14:paraId="198403B8" w14:textId="77777777" w:rsidTr="009C6940">
              <w:tc>
                <w:tcPr>
                  <w:tcW w:w="3583" w:type="pct"/>
                  <w:shd w:val="clear" w:color="auto" w:fill="auto"/>
                </w:tcPr>
                <w:p w14:paraId="6DC49338" w14:textId="77777777" w:rsidR="009C6940" w:rsidRPr="00EF7969" w:rsidRDefault="009C6940" w:rsidP="009C6940">
                  <w:pPr>
                    <w:pStyle w:val="TableBodyText"/>
                    <w:jc w:val="left"/>
                  </w:pPr>
                  <w:r w:rsidRPr="00EF7969">
                    <w:t>Beyond Blue</w:t>
                  </w:r>
                </w:p>
              </w:tc>
              <w:tc>
                <w:tcPr>
                  <w:tcW w:w="1417" w:type="pct"/>
                  <w:shd w:val="clear" w:color="auto" w:fill="auto"/>
                  <w:vAlign w:val="center"/>
                </w:tcPr>
                <w:p w14:paraId="2950BD89" w14:textId="77777777" w:rsidR="009C6940" w:rsidRPr="00EF7969" w:rsidRDefault="009C6940" w:rsidP="009C6940">
                  <w:pPr>
                    <w:pStyle w:val="TableBodyText"/>
                    <w:ind w:right="28"/>
                  </w:pPr>
                  <w:r w:rsidRPr="00EF7969">
                    <w:t xml:space="preserve">Greg Jennings </w:t>
                  </w:r>
                </w:p>
              </w:tc>
            </w:tr>
            <w:tr w:rsidR="009C6940" w:rsidRPr="00EF7969" w14:paraId="5D327E11" w14:textId="77777777" w:rsidTr="009C6940">
              <w:tc>
                <w:tcPr>
                  <w:tcW w:w="3583" w:type="pct"/>
                  <w:shd w:val="clear" w:color="auto" w:fill="auto"/>
                </w:tcPr>
                <w:p w14:paraId="788F603D" w14:textId="77777777" w:rsidR="009C6940" w:rsidRPr="00EF7969" w:rsidRDefault="009C6940" w:rsidP="009C6940">
                  <w:pPr>
                    <w:pStyle w:val="TableBodyText"/>
                    <w:jc w:val="left"/>
                  </w:pPr>
                  <w:r w:rsidRPr="00EF7969">
                    <w:t>Beyond Blue</w:t>
                  </w:r>
                </w:p>
              </w:tc>
              <w:tc>
                <w:tcPr>
                  <w:tcW w:w="1417" w:type="pct"/>
                  <w:shd w:val="clear" w:color="auto" w:fill="auto"/>
                  <w:vAlign w:val="center"/>
                </w:tcPr>
                <w:p w14:paraId="2F6BFF6B" w14:textId="77777777" w:rsidR="009C6940" w:rsidRPr="00EF7969" w:rsidRDefault="009C6940" w:rsidP="009C6940">
                  <w:pPr>
                    <w:pStyle w:val="TableBodyText"/>
                    <w:ind w:right="28"/>
                  </w:pPr>
                  <w:r w:rsidRPr="00EF7969">
                    <w:t>Jason Davies-Kildea</w:t>
                  </w:r>
                </w:p>
              </w:tc>
            </w:tr>
            <w:tr w:rsidR="009C6940" w:rsidRPr="00EF7969" w14:paraId="0D3A138D" w14:textId="77777777" w:rsidTr="009C6940">
              <w:tc>
                <w:tcPr>
                  <w:tcW w:w="3583" w:type="pct"/>
                  <w:shd w:val="clear" w:color="auto" w:fill="auto"/>
                </w:tcPr>
                <w:p w14:paraId="751B35FA" w14:textId="77777777" w:rsidR="009C6940" w:rsidRPr="00EF7969" w:rsidRDefault="009C6940" w:rsidP="009C6940">
                  <w:pPr>
                    <w:pStyle w:val="TableBodyText"/>
                    <w:jc w:val="left"/>
                  </w:pPr>
                  <w:r w:rsidRPr="00EF7969">
                    <w:t>Carolyn Davis</w:t>
                  </w:r>
                </w:p>
              </w:tc>
              <w:tc>
                <w:tcPr>
                  <w:tcW w:w="1417" w:type="pct"/>
                  <w:shd w:val="clear" w:color="auto" w:fill="auto"/>
                  <w:vAlign w:val="center"/>
                </w:tcPr>
                <w:p w14:paraId="2FF2B5ED" w14:textId="77777777" w:rsidR="009C6940" w:rsidRPr="00EF7969" w:rsidRDefault="009C6940" w:rsidP="009C6940">
                  <w:pPr>
                    <w:pStyle w:val="TableBodyText"/>
                    <w:ind w:right="28"/>
                  </w:pPr>
                </w:p>
              </w:tc>
            </w:tr>
            <w:tr w:rsidR="009C6940" w:rsidRPr="00EF7969" w14:paraId="4AFBB778" w14:textId="77777777" w:rsidTr="009C6940">
              <w:tc>
                <w:tcPr>
                  <w:tcW w:w="3583" w:type="pct"/>
                  <w:shd w:val="clear" w:color="auto" w:fill="auto"/>
                </w:tcPr>
                <w:p w14:paraId="080CC285" w14:textId="77777777" w:rsidR="009C6940" w:rsidRPr="00EF7969" w:rsidRDefault="009C6940" w:rsidP="009C6940">
                  <w:pPr>
                    <w:pStyle w:val="TableBodyText"/>
                    <w:jc w:val="left"/>
                  </w:pPr>
                  <w:r w:rsidRPr="00EF7969">
                    <w:t>Chamber of Minerals and Energy WA</w:t>
                  </w:r>
                </w:p>
              </w:tc>
              <w:tc>
                <w:tcPr>
                  <w:tcW w:w="1417" w:type="pct"/>
                  <w:shd w:val="clear" w:color="auto" w:fill="auto"/>
                  <w:vAlign w:val="center"/>
                </w:tcPr>
                <w:p w14:paraId="6C8F27EE" w14:textId="77777777" w:rsidR="009C6940" w:rsidRPr="00EF7969" w:rsidRDefault="009C6940" w:rsidP="009C6940">
                  <w:pPr>
                    <w:pStyle w:val="TableBodyText"/>
                    <w:ind w:right="28"/>
                  </w:pPr>
                  <w:r w:rsidRPr="00EF7969">
                    <w:t>Elysha Millard</w:t>
                  </w:r>
                </w:p>
              </w:tc>
            </w:tr>
            <w:tr w:rsidR="009C6940" w:rsidRPr="00EF7969" w14:paraId="6E00F634" w14:textId="77777777" w:rsidTr="009C6940">
              <w:tc>
                <w:tcPr>
                  <w:tcW w:w="3583" w:type="pct"/>
                  <w:shd w:val="clear" w:color="auto" w:fill="auto"/>
                </w:tcPr>
                <w:p w14:paraId="35BA408D" w14:textId="77777777" w:rsidR="009C6940" w:rsidRPr="00EF7969" w:rsidRDefault="009C6940" w:rsidP="009C6940">
                  <w:pPr>
                    <w:pStyle w:val="TableBodyText"/>
                    <w:jc w:val="left"/>
                  </w:pPr>
                  <w:r w:rsidRPr="00EF7969">
                    <w:t>Comcare</w:t>
                  </w:r>
                </w:p>
              </w:tc>
              <w:tc>
                <w:tcPr>
                  <w:tcW w:w="1417" w:type="pct"/>
                  <w:shd w:val="clear" w:color="auto" w:fill="auto"/>
                  <w:vAlign w:val="center"/>
                </w:tcPr>
                <w:p w14:paraId="454B1F6A" w14:textId="77777777" w:rsidR="009C6940" w:rsidRPr="00EF7969" w:rsidRDefault="009C6940" w:rsidP="009C6940">
                  <w:pPr>
                    <w:pStyle w:val="TableBodyText"/>
                    <w:ind w:right="28"/>
                  </w:pPr>
                  <w:r w:rsidRPr="00EF7969">
                    <w:t>Natalie Bekis</w:t>
                  </w:r>
                </w:p>
              </w:tc>
            </w:tr>
            <w:tr w:rsidR="009C6940" w:rsidRPr="00EF7969" w14:paraId="53AC879A" w14:textId="77777777" w:rsidTr="009C6940">
              <w:tc>
                <w:tcPr>
                  <w:tcW w:w="3583" w:type="pct"/>
                  <w:shd w:val="clear" w:color="auto" w:fill="auto"/>
                </w:tcPr>
                <w:p w14:paraId="35F21AC8" w14:textId="77777777" w:rsidR="009C6940" w:rsidRPr="00EF7969" w:rsidRDefault="009C6940" w:rsidP="009C6940">
                  <w:pPr>
                    <w:pStyle w:val="TableBodyText"/>
                    <w:jc w:val="left"/>
                  </w:pPr>
                  <w:r w:rsidRPr="00EF7969">
                    <w:t>Converge International</w:t>
                  </w:r>
                </w:p>
              </w:tc>
              <w:tc>
                <w:tcPr>
                  <w:tcW w:w="1417" w:type="pct"/>
                  <w:shd w:val="clear" w:color="auto" w:fill="auto"/>
                  <w:vAlign w:val="center"/>
                </w:tcPr>
                <w:p w14:paraId="23FA4818" w14:textId="77777777" w:rsidR="009C6940" w:rsidRPr="00EF7969" w:rsidRDefault="009C6940" w:rsidP="009C6940">
                  <w:pPr>
                    <w:pStyle w:val="TableBodyText"/>
                    <w:ind w:right="28"/>
                  </w:pPr>
                  <w:r w:rsidRPr="00EF7969">
                    <w:t>Jenny George</w:t>
                  </w:r>
                </w:p>
              </w:tc>
            </w:tr>
            <w:tr w:rsidR="009C6940" w:rsidRPr="00EF7969" w14:paraId="26BDB518" w14:textId="77777777" w:rsidTr="009C6940">
              <w:tc>
                <w:tcPr>
                  <w:tcW w:w="3583" w:type="pct"/>
                  <w:shd w:val="clear" w:color="auto" w:fill="auto"/>
                </w:tcPr>
                <w:p w14:paraId="1CDAF258" w14:textId="77777777" w:rsidR="009C6940" w:rsidRPr="00EF7969" w:rsidRDefault="009C6940" w:rsidP="009C6940">
                  <w:pPr>
                    <w:pStyle w:val="TableBodyText"/>
                    <w:jc w:val="left"/>
                  </w:pPr>
                  <w:r w:rsidRPr="00EF7969">
                    <w:t>Corporate Mental Health Alliance</w:t>
                  </w:r>
                </w:p>
              </w:tc>
              <w:tc>
                <w:tcPr>
                  <w:tcW w:w="1417" w:type="pct"/>
                  <w:shd w:val="clear" w:color="auto" w:fill="auto"/>
                  <w:vAlign w:val="center"/>
                </w:tcPr>
                <w:p w14:paraId="168FD3D1" w14:textId="77777777" w:rsidR="009C6940" w:rsidRPr="00EF7969" w:rsidRDefault="009C6940" w:rsidP="009C6940">
                  <w:pPr>
                    <w:pStyle w:val="TableBodyText"/>
                    <w:ind w:right="28"/>
                  </w:pPr>
                  <w:r w:rsidRPr="00EF7969">
                    <w:t>Kate Connors</w:t>
                  </w:r>
                </w:p>
              </w:tc>
            </w:tr>
            <w:tr w:rsidR="009C6940" w:rsidRPr="00EF7969" w14:paraId="320B6922" w14:textId="77777777" w:rsidTr="009C6940">
              <w:tc>
                <w:tcPr>
                  <w:tcW w:w="3583" w:type="pct"/>
                  <w:shd w:val="clear" w:color="auto" w:fill="auto"/>
                </w:tcPr>
                <w:p w14:paraId="56D92E16" w14:textId="77777777" w:rsidR="009C6940" w:rsidRPr="00EF7969" w:rsidRDefault="009C6940" w:rsidP="009C6940">
                  <w:pPr>
                    <w:pStyle w:val="TableBodyText"/>
                    <w:jc w:val="left"/>
                  </w:pPr>
                  <w:r w:rsidRPr="00EF7969">
                    <w:t>EAP Professionals Association of Australia</w:t>
                  </w:r>
                </w:p>
              </w:tc>
              <w:tc>
                <w:tcPr>
                  <w:tcW w:w="1417" w:type="pct"/>
                  <w:shd w:val="clear" w:color="auto" w:fill="auto"/>
                  <w:vAlign w:val="center"/>
                </w:tcPr>
                <w:p w14:paraId="64C9F00F" w14:textId="77777777" w:rsidR="009C6940" w:rsidRPr="00EF7969" w:rsidRDefault="009C6940" w:rsidP="009C6940">
                  <w:pPr>
                    <w:pStyle w:val="TableBodyText"/>
                    <w:ind w:right="28"/>
                  </w:pPr>
                  <w:r w:rsidRPr="00EF7969">
                    <w:t>Lana Schwartz</w:t>
                  </w:r>
                </w:p>
              </w:tc>
            </w:tr>
            <w:tr w:rsidR="009C6940" w:rsidRPr="00EF7969" w14:paraId="7B56A05E" w14:textId="77777777" w:rsidTr="009C6940">
              <w:tc>
                <w:tcPr>
                  <w:tcW w:w="3583" w:type="pct"/>
                  <w:shd w:val="clear" w:color="auto" w:fill="auto"/>
                </w:tcPr>
                <w:p w14:paraId="7ACD1697" w14:textId="77777777" w:rsidR="009C6940" w:rsidRPr="00EF7969" w:rsidRDefault="009C6940" w:rsidP="009C6940">
                  <w:pPr>
                    <w:pStyle w:val="TableBodyText"/>
                    <w:jc w:val="left"/>
                  </w:pPr>
                  <w:r w:rsidRPr="00EF7969">
                    <w:t>Insurance Council of Australia</w:t>
                  </w:r>
                </w:p>
              </w:tc>
              <w:tc>
                <w:tcPr>
                  <w:tcW w:w="1417" w:type="pct"/>
                  <w:shd w:val="clear" w:color="auto" w:fill="auto"/>
                  <w:vAlign w:val="center"/>
                </w:tcPr>
                <w:p w14:paraId="28E88582" w14:textId="77777777" w:rsidR="009C6940" w:rsidRPr="00EF7969" w:rsidRDefault="009C6940" w:rsidP="009C6940">
                  <w:pPr>
                    <w:pStyle w:val="TableBodyText"/>
                    <w:ind w:right="28"/>
                  </w:pPr>
                  <w:r w:rsidRPr="00EF7969">
                    <w:t>Tom Lunn</w:t>
                  </w:r>
                </w:p>
              </w:tc>
            </w:tr>
            <w:tr w:rsidR="009C6940" w:rsidRPr="00EF7969" w14:paraId="21FCB244" w14:textId="77777777" w:rsidTr="009C6940">
              <w:tc>
                <w:tcPr>
                  <w:tcW w:w="3583" w:type="pct"/>
                  <w:shd w:val="clear" w:color="auto" w:fill="auto"/>
                </w:tcPr>
                <w:p w14:paraId="455335AD" w14:textId="77777777" w:rsidR="009C6940" w:rsidRPr="00EF7969" w:rsidRDefault="009C6940" w:rsidP="009C6940">
                  <w:pPr>
                    <w:pStyle w:val="TableBodyText"/>
                    <w:jc w:val="left"/>
                  </w:pPr>
                  <w:r w:rsidRPr="00EF7969">
                    <w:t>Mentally Healthy Workplace Alliance</w:t>
                  </w:r>
                </w:p>
              </w:tc>
              <w:tc>
                <w:tcPr>
                  <w:tcW w:w="1417" w:type="pct"/>
                  <w:shd w:val="clear" w:color="auto" w:fill="auto"/>
                  <w:vAlign w:val="center"/>
                </w:tcPr>
                <w:p w14:paraId="243F0DAF" w14:textId="77777777" w:rsidR="009C6940" w:rsidRPr="00EF7969" w:rsidRDefault="009C6940" w:rsidP="009C6940">
                  <w:pPr>
                    <w:pStyle w:val="TableBodyText"/>
                    <w:ind w:right="28"/>
                  </w:pPr>
                  <w:r w:rsidRPr="00EF7969">
                    <w:t>Lucy Brogden</w:t>
                  </w:r>
                </w:p>
              </w:tc>
            </w:tr>
            <w:tr w:rsidR="009C6940" w:rsidRPr="00EF7969" w14:paraId="7424B2E7" w14:textId="77777777" w:rsidTr="009C6940">
              <w:tc>
                <w:tcPr>
                  <w:tcW w:w="3583" w:type="pct"/>
                  <w:shd w:val="clear" w:color="auto" w:fill="auto"/>
                </w:tcPr>
                <w:p w14:paraId="764F9D50" w14:textId="77777777" w:rsidR="009C6940" w:rsidRPr="00EF7969" w:rsidRDefault="009C6940" w:rsidP="009C6940">
                  <w:pPr>
                    <w:pStyle w:val="TableBodyText"/>
                    <w:jc w:val="left"/>
                  </w:pPr>
                  <w:r>
                    <w:t>i</w:t>
                  </w:r>
                  <w:r w:rsidRPr="00EF7969">
                    <w:t>care NSW</w:t>
                  </w:r>
                </w:p>
              </w:tc>
              <w:tc>
                <w:tcPr>
                  <w:tcW w:w="1417" w:type="pct"/>
                  <w:shd w:val="clear" w:color="auto" w:fill="auto"/>
                  <w:vAlign w:val="center"/>
                </w:tcPr>
                <w:p w14:paraId="6752F242" w14:textId="77777777" w:rsidR="009C6940" w:rsidRPr="00EF7969" w:rsidRDefault="009C6940" w:rsidP="009C6940">
                  <w:pPr>
                    <w:pStyle w:val="TableBodyText"/>
                    <w:ind w:right="28"/>
                  </w:pPr>
                  <w:r w:rsidRPr="00EF7969">
                    <w:t>Chris Harnett</w:t>
                  </w:r>
                </w:p>
              </w:tc>
            </w:tr>
            <w:tr w:rsidR="009C6940" w:rsidRPr="00EF7969" w14:paraId="4366E86F" w14:textId="77777777" w:rsidTr="009C6940">
              <w:tc>
                <w:tcPr>
                  <w:tcW w:w="3583" w:type="pct"/>
                  <w:shd w:val="clear" w:color="auto" w:fill="auto"/>
                </w:tcPr>
                <w:p w14:paraId="3EF03B75" w14:textId="77777777" w:rsidR="009C6940" w:rsidRPr="00EF7969" w:rsidRDefault="009C6940" w:rsidP="009C6940">
                  <w:pPr>
                    <w:pStyle w:val="TableBodyText"/>
                    <w:jc w:val="left"/>
                  </w:pPr>
                  <w:r w:rsidRPr="00EF7969">
                    <w:t>Superfriend</w:t>
                  </w:r>
                </w:p>
              </w:tc>
              <w:tc>
                <w:tcPr>
                  <w:tcW w:w="1417" w:type="pct"/>
                  <w:shd w:val="clear" w:color="auto" w:fill="auto"/>
                  <w:vAlign w:val="center"/>
                </w:tcPr>
                <w:p w14:paraId="2125D4F1" w14:textId="77777777" w:rsidR="009C6940" w:rsidRPr="00EF7969" w:rsidRDefault="009C6940" w:rsidP="009C6940">
                  <w:pPr>
                    <w:pStyle w:val="TableBodyText"/>
                    <w:ind w:right="28"/>
                  </w:pPr>
                  <w:r w:rsidRPr="00EF7969">
                    <w:t>Margo Lydon</w:t>
                  </w:r>
                </w:p>
              </w:tc>
            </w:tr>
            <w:tr w:rsidR="009C6940" w:rsidRPr="00EF7969" w14:paraId="3C970141" w14:textId="77777777" w:rsidTr="009C6940">
              <w:tc>
                <w:tcPr>
                  <w:tcW w:w="3583" w:type="pct"/>
                  <w:tcBorders>
                    <w:bottom w:val="single" w:sz="6" w:space="0" w:color="BFBFBF" w:themeColor="background1" w:themeShade="BF"/>
                  </w:tcBorders>
                  <w:shd w:val="clear" w:color="auto" w:fill="auto"/>
                </w:tcPr>
                <w:p w14:paraId="5DEFBDB8" w14:textId="77777777" w:rsidR="009C6940" w:rsidRPr="00EF7969" w:rsidRDefault="009C6940" w:rsidP="009C6940">
                  <w:pPr>
                    <w:pStyle w:val="TableBodyText"/>
                    <w:jc w:val="left"/>
                  </w:pPr>
                  <w:r w:rsidRPr="00EF7969">
                    <w:t>Workcover Qld</w:t>
                  </w:r>
                </w:p>
              </w:tc>
              <w:tc>
                <w:tcPr>
                  <w:tcW w:w="1417" w:type="pct"/>
                  <w:tcBorders>
                    <w:bottom w:val="single" w:sz="6" w:space="0" w:color="BFBFBF" w:themeColor="background1" w:themeShade="BF"/>
                  </w:tcBorders>
                  <w:shd w:val="clear" w:color="auto" w:fill="auto"/>
                  <w:vAlign w:val="center"/>
                </w:tcPr>
                <w:p w14:paraId="514E1C0D" w14:textId="77777777" w:rsidR="009C6940" w:rsidRPr="00EF7969" w:rsidRDefault="009C6940" w:rsidP="009C6940">
                  <w:pPr>
                    <w:pStyle w:val="TableBodyText"/>
                    <w:ind w:right="28"/>
                  </w:pPr>
                  <w:r w:rsidRPr="00EF7969">
                    <w:t>Matt Bannon</w:t>
                  </w:r>
                </w:p>
              </w:tc>
            </w:tr>
          </w:tbl>
          <w:p w14:paraId="0817EEFC" w14:textId="77777777" w:rsidR="009C6940" w:rsidRPr="00EF7969" w:rsidRDefault="009C6940" w:rsidP="009C6940">
            <w:pPr>
              <w:pStyle w:val="Box"/>
            </w:pPr>
          </w:p>
        </w:tc>
      </w:tr>
      <w:tr w:rsidR="009C6940" w:rsidRPr="00EF7969" w14:paraId="3078C311" w14:textId="77777777" w:rsidTr="009C6940">
        <w:tc>
          <w:tcPr>
            <w:tcW w:w="5000" w:type="pct"/>
            <w:tcBorders>
              <w:top w:val="nil"/>
              <w:left w:val="nil"/>
              <w:bottom w:val="single" w:sz="6" w:space="0" w:color="78A22F"/>
              <w:right w:val="nil"/>
            </w:tcBorders>
            <w:shd w:val="clear" w:color="auto" w:fill="auto"/>
          </w:tcPr>
          <w:p w14:paraId="1494EDF0" w14:textId="77777777" w:rsidR="009C6940" w:rsidRPr="00EF7969" w:rsidRDefault="009C6940" w:rsidP="009C6940">
            <w:pPr>
              <w:pStyle w:val="Box"/>
              <w:spacing w:before="0" w:line="120" w:lineRule="exact"/>
            </w:pPr>
          </w:p>
        </w:tc>
      </w:tr>
      <w:tr w:rsidR="009C6940" w:rsidRPr="00EF7969" w14:paraId="68BD6039" w14:textId="77777777" w:rsidTr="009C6940">
        <w:tc>
          <w:tcPr>
            <w:tcW w:w="5000" w:type="pct"/>
            <w:tcBorders>
              <w:top w:val="single" w:sz="6" w:space="0" w:color="78A22F"/>
              <w:left w:val="nil"/>
              <w:bottom w:val="nil"/>
              <w:right w:val="nil"/>
            </w:tcBorders>
          </w:tcPr>
          <w:p w14:paraId="23E02377" w14:textId="77777777" w:rsidR="009C6940" w:rsidRPr="00EF7969" w:rsidRDefault="009C6940" w:rsidP="009C6940">
            <w:pPr>
              <w:pStyle w:val="BoxSpaceBelow"/>
            </w:pPr>
          </w:p>
        </w:tc>
      </w:tr>
    </w:tbl>
    <w:p w14:paraId="44215C4C"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5133DA23" w14:textId="77777777" w:rsidTr="009C6940">
        <w:trPr>
          <w:tblHeader/>
        </w:trPr>
        <w:tc>
          <w:tcPr>
            <w:tcW w:w="5000" w:type="pct"/>
            <w:tcBorders>
              <w:top w:val="single" w:sz="6" w:space="0" w:color="78A22F"/>
              <w:left w:val="nil"/>
              <w:bottom w:val="single" w:sz="6" w:space="0" w:color="BFBFBF" w:themeColor="background1" w:themeShade="BF"/>
              <w:right w:val="nil"/>
            </w:tcBorders>
            <w:shd w:val="clear" w:color="auto" w:fill="auto"/>
          </w:tcPr>
          <w:p w14:paraId="4EDEB789" w14:textId="77777777" w:rsidR="009C6940" w:rsidRPr="00EF7969" w:rsidRDefault="009C6940" w:rsidP="009C6940">
            <w:pPr>
              <w:pStyle w:val="TableTitle"/>
            </w:pPr>
            <w:r w:rsidRPr="00EF7969">
              <w:rPr>
                <w:b w:val="0"/>
              </w:rPr>
              <w:t xml:space="preserve">Table </w:t>
            </w:r>
            <w:r>
              <w:rPr>
                <w:b w:val="0"/>
              </w:rPr>
              <w:t>B.</w:t>
            </w:r>
            <w:r w:rsidRPr="00EF7969">
              <w:rPr>
                <w:b w:val="0"/>
                <w:noProof/>
              </w:rPr>
              <w:t>5</w:t>
            </w:r>
            <w:r w:rsidRPr="00EF7969">
              <w:tab/>
            </w:r>
            <w:r w:rsidRPr="00EF7969">
              <w:rPr>
                <w:rStyle w:val="Continuedintitle"/>
              </w:rPr>
              <w:t>(continued)</w:t>
            </w:r>
          </w:p>
        </w:tc>
      </w:tr>
      <w:tr w:rsidR="009C6940" w:rsidRPr="00EF7969" w14:paraId="7431ABF3" w14:textId="77777777" w:rsidTr="009C6940">
        <w:tc>
          <w:tcPr>
            <w:tcW w:w="5000" w:type="pct"/>
            <w:tcBorders>
              <w:top w:val="single" w:sz="6" w:space="0" w:color="BFBFBF" w:themeColor="background1" w:themeShade="BF"/>
              <w:left w:val="nil"/>
              <w:bottom w:val="single" w:sz="4" w:space="0" w:color="D9D9D9"/>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669"/>
              <w:gridCol w:w="2836"/>
            </w:tblGrid>
            <w:tr w:rsidR="009C6940" w:rsidRPr="00EF7969" w14:paraId="284813F5" w14:textId="77777777" w:rsidTr="009C6940">
              <w:tc>
                <w:tcPr>
                  <w:tcW w:w="3333" w:type="pct"/>
                  <w:shd w:val="clear" w:color="auto" w:fill="auto"/>
                </w:tcPr>
                <w:p w14:paraId="4D44429C" w14:textId="77777777" w:rsidR="009C6940" w:rsidRPr="00EF7969" w:rsidRDefault="009C6940" w:rsidP="009C6940">
                  <w:pPr>
                    <w:pStyle w:val="TableColumnHeading"/>
                    <w:spacing w:before="120" w:after="0"/>
                    <w:jc w:val="left"/>
                    <w:rPr>
                      <w:b/>
                      <w:i w:val="0"/>
                    </w:rPr>
                  </w:pPr>
                  <w:r w:rsidRPr="00EF7969">
                    <w:rPr>
                      <w:b/>
                      <w:i w:val="0"/>
                    </w:rPr>
                    <w:t>11 February 2020  —</w:t>
                  </w:r>
                  <w:r>
                    <w:rPr>
                      <w:b/>
                      <w:i w:val="0"/>
                    </w:rPr>
                    <w:t xml:space="preserve"> </w:t>
                  </w:r>
                  <w:r w:rsidRPr="00EF7969">
                    <w:rPr>
                      <w:b/>
                      <w:i w:val="0"/>
                    </w:rPr>
                    <w:t>M</w:t>
                  </w:r>
                  <w:r>
                    <w:rPr>
                      <w:b/>
                      <w:i w:val="0"/>
                    </w:rPr>
                    <w:t>ental Health M</w:t>
                  </w:r>
                  <w:r w:rsidRPr="00EF7969">
                    <w:rPr>
                      <w:b/>
                      <w:i w:val="0"/>
                    </w:rPr>
                    <w:t>odelling</w:t>
                  </w:r>
                </w:p>
              </w:tc>
              <w:tc>
                <w:tcPr>
                  <w:tcW w:w="1667" w:type="pct"/>
                  <w:shd w:val="clear" w:color="auto" w:fill="auto"/>
                </w:tcPr>
                <w:p w14:paraId="4EBC48F7" w14:textId="77777777" w:rsidR="009C6940" w:rsidRPr="00EF7969" w:rsidRDefault="009C6940" w:rsidP="009C6940">
                  <w:pPr>
                    <w:pStyle w:val="TableColumnHeading"/>
                    <w:spacing w:before="120" w:after="0"/>
                    <w:jc w:val="left"/>
                    <w:rPr>
                      <w:b/>
                    </w:rPr>
                  </w:pPr>
                </w:p>
              </w:tc>
            </w:tr>
            <w:tr w:rsidR="009C6940" w:rsidRPr="00EF7969" w14:paraId="4C818E75" w14:textId="77777777" w:rsidTr="009C6940">
              <w:tc>
                <w:tcPr>
                  <w:tcW w:w="3333" w:type="pct"/>
                  <w:shd w:val="clear" w:color="auto" w:fill="auto"/>
                  <w:vAlign w:val="center"/>
                </w:tcPr>
                <w:p w14:paraId="70326AE1" w14:textId="77777777" w:rsidR="009C6940" w:rsidRPr="00EF7969" w:rsidRDefault="009C6940" w:rsidP="009C6940">
                  <w:pPr>
                    <w:pStyle w:val="TableBodyText"/>
                    <w:jc w:val="left"/>
                  </w:pPr>
                  <w:r w:rsidRPr="00EF7969">
                    <w:t>ANU College of Health and Medicine; Melbourne Institute</w:t>
                  </w:r>
                </w:p>
              </w:tc>
              <w:tc>
                <w:tcPr>
                  <w:tcW w:w="1667" w:type="pct"/>
                  <w:shd w:val="clear" w:color="auto" w:fill="auto"/>
                  <w:vAlign w:val="center"/>
                </w:tcPr>
                <w:p w14:paraId="593B2183" w14:textId="77777777" w:rsidR="009C6940" w:rsidRPr="00EF7969" w:rsidRDefault="009C6940" w:rsidP="009C6940">
                  <w:pPr>
                    <w:pStyle w:val="TableBodyText"/>
                  </w:pPr>
                  <w:r w:rsidRPr="00EF7969">
                    <w:t>Peter Butterworth</w:t>
                  </w:r>
                </w:p>
              </w:tc>
            </w:tr>
            <w:tr w:rsidR="009C6940" w:rsidRPr="00EF7969" w14:paraId="2F18A15D" w14:textId="77777777" w:rsidTr="009C6940">
              <w:tc>
                <w:tcPr>
                  <w:tcW w:w="3333" w:type="pct"/>
                  <w:shd w:val="clear" w:color="auto" w:fill="auto"/>
                  <w:vAlign w:val="center"/>
                </w:tcPr>
                <w:p w14:paraId="2142FF9D" w14:textId="77777777" w:rsidR="009C6940" w:rsidRPr="00EF7969" w:rsidRDefault="009C6940" w:rsidP="009C6940">
                  <w:pPr>
                    <w:pStyle w:val="TableBodyText"/>
                    <w:jc w:val="left"/>
                  </w:pPr>
                  <w:r w:rsidRPr="00EF7969">
                    <w:t>Bill Buckingham</w:t>
                  </w:r>
                </w:p>
              </w:tc>
              <w:tc>
                <w:tcPr>
                  <w:tcW w:w="1667" w:type="pct"/>
                  <w:shd w:val="clear" w:color="auto" w:fill="auto"/>
                  <w:vAlign w:val="center"/>
                </w:tcPr>
                <w:p w14:paraId="2254ED19" w14:textId="77777777" w:rsidR="009C6940" w:rsidRPr="00EF7969" w:rsidRDefault="009C6940" w:rsidP="009C6940">
                  <w:pPr>
                    <w:pStyle w:val="TableBodyText"/>
                    <w:ind w:right="28"/>
                  </w:pPr>
                </w:p>
              </w:tc>
            </w:tr>
            <w:tr w:rsidR="009C6940" w:rsidRPr="00EF7969" w14:paraId="694BD865" w14:textId="77777777" w:rsidTr="009C6940">
              <w:tc>
                <w:tcPr>
                  <w:tcW w:w="3333" w:type="pct"/>
                  <w:shd w:val="clear" w:color="auto" w:fill="auto"/>
                  <w:vAlign w:val="center"/>
                </w:tcPr>
                <w:p w14:paraId="5EF338FC" w14:textId="77777777" w:rsidR="009C6940" w:rsidRPr="00EF7969" w:rsidRDefault="009C6940" w:rsidP="009C6940">
                  <w:pPr>
                    <w:pStyle w:val="TableBodyText"/>
                    <w:jc w:val="left"/>
                  </w:pPr>
                  <w:r w:rsidRPr="00EF7969">
                    <w:t>Centre for Health Economics, Monash University</w:t>
                  </w:r>
                </w:p>
              </w:tc>
              <w:tc>
                <w:tcPr>
                  <w:tcW w:w="1667" w:type="pct"/>
                  <w:shd w:val="clear" w:color="auto" w:fill="auto"/>
                  <w:vAlign w:val="center"/>
                </w:tcPr>
                <w:p w14:paraId="33DE1156" w14:textId="77777777" w:rsidR="009C6940" w:rsidRPr="00EF7969" w:rsidRDefault="009C6940" w:rsidP="009C6940">
                  <w:pPr>
                    <w:pStyle w:val="TableBodyText"/>
                  </w:pPr>
                  <w:r w:rsidRPr="00EF7969">
                    <w:t>David Johnston</w:t>
                  </w:r>
                </w:p>
              </w:tc>
            </w:tr>
            <w:tr w:rsidR="009C6940" w:rsidRPr="00EF7969" w14:paraId="147E4629" w14:textId="77777777" w:rsidTr="009C6940">
              <w:tc>
                <w:tcPr>
                  <w:tcW w:w="3333" w:type="pct"/>
                  <w:shd w:val="clear" w:color="auto" w:fill="auto"/>
                  <w:vAlign w:val="center"/>
                </w:tcPr>
                <w:p w14:paraId="1DB997D3" w14:textId="77777777" w:rsidR="009C6940" w:rsidRPr="00EF7969" w:rsidRDefault="009C6940" w:rsidP="009C6940">
                  <w:pPr>
                    <w:pStyle w:val="TableBodyText"/>
                    <w:jc w:val="left"/>
                  </w:pPr>
                  <w:r w:rsidRPr="00EF7969">
                    <w:t>Deakin Health Economics, Deakin University</w:t>
                  </w:r>
                </w:p>
              </w:tc>
              <w:tc>
                <w:tcPr>
                  <w:tcW w:w="1667" w:type="pct"/>
                  <w:shd w:val="clear" w:color="auto" w:fill="auto"/>
                  <w:vAlign w:val="center"/>
                </w:tcPr>
                <w:p w14:paraId="74023A2A" w14:textId="77777777" w:rsidR="009C6940" w:rsidRPr="00EF7969" w:rsidRDefault="009C6940" w:rsidP="009C6940">
                  <w:pPr>
                    <w:pStyle w:val="TableBodyText"/>
                    <w:ind w:right="28"/>
                  </w:pPr>
                  <w:r w:rsidRPr="00EF7969">
                    <w:t>Cathy Mihalopoulous</w:t>
                  </w:r>
                </w:p>
              </w:tc>
            </w:tr>
            <w:tr w:rsidR="009C6940" w:rsidRPr="00EF7969" w14:paraId="0435CFD9" w14:textId="77777777" w:rsidTr="009C6940">
              <w:tc>
                <w:tcPr>
                  <w:tcW w:w="3333" w:type="pct"/>
                  <w:shd w:val="clear" w:color="auto" w:fill="auto"/>
                  <w:vAlign w:val="center"/>
                </w:tcPr>
                <w:p w14:paraId="4B5651C2" w14:textId="77777777" w:rsidR="009C6940" w:rsidRPr="00EF7969" w:rsidRDefault="009C6940" w:rsidP="009C6940">
                  <w:pPr>
                    <w:pStyle w:val="TableBodyText"/>
                    <w:jc w:val="left"/>
                  </w:pPr>
                  <w:r w:rsidRPr="00EF7969">
                    <w:t>Department of Health</w:t>
                  </w:r>
                </w:p>
              </w:tc>
              <w:tc>
                <w:tcPr>
                  <w:tcW w:w="1667" w:type="pct"/>
                  <w:shd w:val="clear" w:color="auto" w:fill="auto"/>
                  <w:vAlign w:val="center"/>
                </w:tcPr>
                <w:p w14:paraId="498B6887" w14:textId="77777777" w:rsidR="009C6940" w:rsidRPr="00EF7969" w:rsidRDefault="009C6940" w:rsidP="009C6940">
                  <w:pPr>
                    <w:pStyle w:val="TableBodyText"/>
                    <w:ind w:right="28"/>
                  </w:pPr>
                  <w:r w:rsidRPr="00EF7969">
                    <w:t>Jian Wang</w:t>
                  </w:r>
                </w:p>
              </w:tc>
            </w:tr>
            <w:tr w:rsidR="009C6940" w:rsidRPr="00EF7969" w14:paraId="683298BB" w14:textId="77777777" w:rsidTr="009C6940">
              <w:tc>
                <w:tcPr>
                  <w:tcW w:w="3333" w:type="pct"/>
                  <w:shd w:val="clear" w:color="auto" w:fill="auto"/>
                  <w:vAlign w:val="center"/>
                </w:tcPr>
                <w:p w14:paraId="1F737247" w14:textId="77777777" w:rsidR="009C6940" w:rsidRPr="00EF7969" w:rsidRDefault="009C6940" w:rsidP="009C6940">
                  <w:pPr>
                    <w:pStyle w:val="TableBodyText"/>
                    <w:jc w:val="left"/>
                  </w:pPr>
                  <w:r w:rsidRPr="00EF7969">
                    <w:t>Economic Modelling Group, KPMG</w:t>
                  </w:r>
                </w:p>
              </w:tc>
              <w:tc>
                <w:tcPr>
                  <w:tcW w:w="1667" w:type="pct"/>
                  <w:shd w:val="clear" w:color="auto" w:fill="auto"/>
                  <w:vAlign w:val="center"/>
                </w:tcPr>
                <w:p w14:paraId="2AF3DB58" w14:textId="77777777" w:rsidR="009C6940" w:rsidRPr="00EF7969" w:rsidRDefault="009C6940" w:rsidP="009C6940">
                  <w:pPr>
                    <w:pStyle w:val="TableBodyText"/>
                    <w:ind w:right="28"/>
                  </w:pPr>
                  <w:r w:rsidRPr="00EF7969">
                    <w:t>Chris Schilling</w:t>
                  </w:r>
                </w:p>
              </w:tc>
            </w:tr>
            <w:tr w:rsidR="009C6940" w:rsidRPr="00EF7969" w14:paraId="09DC9F72" w14:textId="77777777" w:rsidTr="009C6940">
              <w:tc>
                <w:tcPr>
                  <w:tcW w:w="3333" w:type="pct"/>
                  <w:shd w:val="clear" w:color="auto" w:fill="auto"/>
                  <w:vAlign w:val="center"/>
                </w:tcPr>
                <w:p w14:paraId="781A2EFF" w14:textId="77777777" w:rsidR="009C6940" w:rsidRPr="00EF7969" w:rsidRDefault="009C6940" w:rsidP="009C6940">
                  <w:pPr>
                    <w:pStyle w:val="TableBodyText"/>
                    <w:jc w:val="left"/>
                  </w:pPr>
                  <w:r w:rsidRPr="00EF7969">
                    <w:t>Royal Commission into Victoria’s Mental Health System</w:t>
                  </w:r>
                </w:p>
              </w:tc>
              <w:tc>
                <w:tcPr>
                  <w:tcW w:w="1667" w:type="pct"/>
                  <w:shd w:val="clear" w:color="auto" w:fill="auto"/>
                  <w:vAlign w:val="center"/>
                </w:tcPr>
                <w:p w14:paraId="1F89F083" w14:textId="77777777" w:rsidR="009C6940" w:rsidRPr="00EF7969" w:rsidRDefault="009C6940" w:rsidP="009C6940">
                  <w:pPr>
                    <w:pStyle w:val="TableBodyText"/>
                    <w:ind w:right="28"/>
                  </w:pPr>
                  <w:r w:rsidRPr="00EF7969">
                    <w:t>Phuong Nguyen</w:t>
                  </w:r>
                </w:p>
              </w:tc>
            </w:tr>
            <w:tr w:rsidR="009C6940" w:rsidRPr="00EF7969" w14:paraId="51626461" w14:textId="77777777" w:rsidTr="009C6940">
              <w:tc>
                <w:tcPr>
                  <w:tcW w:w="3333" w:type="pct"/>
                  <w:shd w:val="clear" w:color="auto" w:fill="auto"/>
                  <w:vAlign w:val="center"/>
                </w:tcPr>
                <w:p w14:paraId="6FDD8153" w14:textId="77777777" w:rsidR="009C6940" w:rsidRPr="00EF7969" w:rsidRDefault="009C6940" w:rsidP="009C6940">
                  <w:pPr>
                    <w:pStyle w:val="TableBodyText"/>
                    <w:jc w:val="left"/>
                  </w:pPr>
                  <w:r w:rsidRPr="00EF7969">
                    <w:t>Treasury</w:t>
                  </w:r>
                </w:p>
              </w:tc>
              <w:tc>
                <w:tcPr>
                  <w:tcW w:w="1667" w:type="pct"/>
                  <w:shd w:val="clear" w:color="auto" w:fill="auto"/>
                  <w:vAlign w:val="center"/>
                </w:tcPr>
                <w:p w14:paraId="1FB72DBD" w14:textId="77777777" w:rsidR="009C6940" w:rsidRPr="00EF7969" w:rsidRDefault="009C6940" w:rsidP="009C6940">
                  <w:pPr>
                    <w:pStyle w:val="TableBodyText"/>
                    <w:ind w:right="28"/>
                  </w:pPr>
                  <w:r w:rsidRPr="00EF7969">
                    <w:t>Phil Harslett</w:t>
                  </w:r>
                </w:p>
              </w:tc>
            </w:tr>
            <w:tr w:rsidR="009C6940" w:rsidRPr="00EF7969" w14:paraId="3C235D7A" w14:textId="77777777" w:rsidTr="00536C2C">
              <w:trPr>
                <w:trHeight w:val="55"/>
              </w:trPr>
              <w:tc>
                <w:tcPr>
                  <w:tcW w:w="3333" w:type="pct"/>
                  <w:shd w:val="clear" w:color="auto" w:fill="auto"/>
                  <w:vAlign w:val="center"/>
                </w:tcPr>
                <w:p w14:paraId="46B1CA55" w14:textId="77777777" w:rsidR="009C6940" w:rsidRPr="00EF7969" w:rsidRDefault="009C6940" w:rsidP="009C6940">
                  <w:pPr>
                    <w:pStyle w:val="TableBodyText"/>
                    <w:jc w:val="left"/>
                  </w:pPr>
                  <w:r w:rsidRPr="00EF7969">
                    <w:t>Victoria Institute of Strategic Economic Studies, Victoria University</w:t>
                  </w:r>
                </w:p>
              </w:tc>
              <w:tc>
                <w:tcPr>
                  <w:tcW w:w="1667" w:type="pct"/>
                  <w:shd w:val="clear" w:color="auto" w:fill="auto"/>
                  <w:vAlign w:val="center"/>
                </w:tcPr>
                <w:p w14:paraId="2DAC0AB4" w14:textId="77777777" w:rsidR="009C6940" w:rsidRPr="00EF7969" w:rsidRDefault="009C6940" w:rsidP="009C6940">
                  <w:pPr>
                    <w:pStyle w:val="TableBodyText"/>
                    <w:ind w:right="28"/>
                  </w:pPr>
                  <w:r w:rsidRPr="00EF7969">
                    <w:t>Kim Sweeney</w:t>
                  </w:r>
                </w:p>
              </w:tc>
            </w:tr>
            <w:tr w:rsidR="00536C2C" w:rsidRPr="00EF7969" w14:paraId="4C0C07DB" w14:textId="77777777" w:rsidTr="00536C2C">
              <w:tc>
                <w:tcPr>
                  <w:tcW w:w="5000" w:type="pct"/>
                  <w:gridSpan w:val="2"/>
                  <w:shd w:val="clear" w:color="auto" w:fill="auto"/>
                </w:tcPr>
                <w:p w14:paraId="33C5F31A" w14:textId="77777777" w:rsidR="00536C2C" w:rsidRPr="00EF7969" w:rsidRDefault="00536C2C" w:rsidP="00536C2C">
                  <w:pPr>
                    <w:pStyle w:val="TableBodyText"/>
                    <w:spacing w:before="120"/>
                    <w:ind w:right="28"/>
                    <w:jc w:val="left"/>
                  </w:pPr>
                  <w:r w:rsidRPr="00EF7969">
                    <w:rPr>
                      <w:b/>
                    </w:rPr>
                    <w:t>13 February 2020  —</w:t>
                  </w:r>
                  <w:r>
                    <w:rPr>
                      <w:b/>
                    </w:rPr>
                    <w:t xml:space="preserve"> </w:t>
                  </w:r>
                  <w:r w:rsidRPr="002213E0">
                    <w:rPr>
                      <w:b/>
                    </w:rPr>
                    <w:t xml:space="preserve">Aboriginal and Torres Strait Islander </w:t>
                  </w:r>
                  <w:r>
                    <w:rPr>
                      <w:b/>
                    </w:rPr>
                    <w:t>P</w:t>
                  </w:r>
                  <w:r w:rsidRPr="002213E0">
                    <w:rPr>
                      <w:b/>
                    </w:rPr>
                    <w:t xml:space="preserve">eople in </w:t>
                  </w:r>
                  <w:r>
                    <w:rPr>
                      <w:b/>
                    </w:rPr>
                    <w:t>U</w:t>
                  </w:r>
                  <w:r w:rsidRPr="002213E0">
                    <w:rPr>
                      <w:b/>
                    </w:rPr>
                    <w:t xml:space="preserve">rban </w:t>
                  </w:r>
                  <w:r>
                    <w:rPr>
                      <w:b/>
                    </w:rPr>
                    <w:t>A</w:t>
                  </w:r>
                  <w:r w:rsidRPr="002213E0">
                    <w:rPr>
                      <w:b/>
                    </w:rPr>
                    <w:t>reas</w:t>
                  </w:r>
                </w:p>
              </w:tc>
            </w:tr>
            <w:tr w:rsidR="009C6940" w:rsidRPr="00EF7969" w14:paraId="16BFF749" w14:textId="77777777" w:rsidTr="009C6940">
              <w:tc>
                <w:tcPr>
                  <w:tcW w:w="3333" w:type="pct"/>
                  <w:shd w:val="clear" w:color="auto" w:fill="auto"/>
                </w:tcPr>
                <w:p w14:paraId="04964D7B" w14:textId="77777777" w:rsidR="009C6940" w:rsidRPr="00EF7969" w:rsidRDefault="009C6940" w:rsidP="009C6940">
                  <w:pPr>
                    <w:pStyle w:val="TableBodyText"/>
                    <w:jc w:val="left"/>
                  </w:pPr>
                  <w:r w:rsidRPr="00EF7969">
                    <w:t>Aboriginal Affairs NSW</w:t>
                  </w:r>
                </w:p>
              </w:tc>
              <w:tc>
                <w:tcPr>
                  <w:tcW w:w="1667" w:type="pct"/>
                  <w:shd w:val="clear" w:color="auto" w:fill="auto"/>
                  <w:vAlign w:val="center"/>
                </w:tcPr>
                <w:p w14:paraId="152710E6" w14:textId="77777777" w:rsidR="009C6940" w:rsidRPr="00EF7969" w:rsidRDefault="009C6940" w:rsidP="009C6940">
                  <w:pPr>
                    <w:pStyle w:val="TableBodyText"/>
                    <w:ind w:right="28"/>
                  </w:pPr>
                  <w:r w:rsidRPr="00EF7969">
                    <w:t>Lillian Gordon</w:t>
                  </w:r>
                </w:p>
              </w:tc>
            </w:tr>
            <w:tr w:rsidR="009C6940" w:rsidRPr="00EF7969" w14:paraId="66BBB89E" w14:textId="77777777" w:rsidTr="009C6940">
              <w:tc>
                <w:tcPr>
                  <w:tcW w:w="3333" w:type="pct"/>
                  <w:shd w:val="clear" w:color="auto" w:fill="auto"/>
                </w:tcPr>
                <w:p w14:paraId="5D7E7A0B" w14:textId="77777777" w:rsidR="009C6940" w:rsidRPr="00EF7969" w:rsidRDefault="009C6940" w:rsidP="009C6940">
                  <w:pPr>
                    <w:pStyle w:val="TableBodyText"/>
                    <w:jc w:val="left"/>
                  </w:pPr>
                  <w:r w:rsidRPr="00EF7969">
                    <w:t>Aboriginal Affairs NSW</w:t>
                  </w:r>
                </w:p>
              </w:tc>
              <w:tc>
                <w:tcPr>
                  <w:tcW w:w="1667" w:type="pct"/>
                  <w:shd w:val="clear" w:color="auto" w:fill="auto"/>
                  <w:vAlign w:val="center"/>
                </w:tcPr>
                <w:p w14:paraId="581CDF9F" w14:textId="77777777" w:rsidR="009C6940" w:rsidRPr="00EF7969" w:rsidRDefault="009C6940" w:rsidP="009C6940">
                  <w:pPr>
                    <w:pStyle w:val="TableBodyText"/>
                    <w:ind w:right="28"/>
                  </w:pPr>
                  <w:r w:rsidRPr="00EF7969">
                    <w:t>Anthony Seiver</w:t>
                  </w:r>
                </w:p>
              </w:tc>
            </w:tr>
            <w:tr w:rsidR="009C6940" w:rsidRPr="00EF7969" w14:paraId="21A3844E" w14:textId="77777777" w:rsidTr="009C6940">
              <w:tc>
                <w:tcPr>
                  <w:tcW w:w="3333" w:type="pct"/>
                  <w:shd w:val="clear" w:color="auto" w:fill="auto"/>
                </w:tcPr>
                <w:p w14:paraId="4AA667C7" w14:textId="77777777" w:rsidR="009C6940" w:rsidRPr="00EF7969" w:rsidRDefault="009C6940" w:rsidP="009C6940">
                  <w:pPr>
                    <w:pStyle w:val="TableBodyText"/>
                    <w:jc w:val="left"/>
                  </w:pPr>
                  <w:r w:rsidRPr="00EF7969">
                    <w:t>Aboriginal Affairs NSW</w:t>
                  </w:r>
                </w:p>
              </w:tc>
              <w:tc>
                <w:tcPr>
                  <w:tcW w:w="1667" w:type="pct"/>
                  <w:shd w:val="clear" w:color="auto" w:fill="auto"/>
                  <w:vAlign w:val="center"/>
                </w:tcPr>
                <w:p w14:paraId="6CE82A16" w14:textId="77777777" w:rsidR="009C6940" w:rsidRPr="00EF7969" w:rsidRDefault="009C6940" w:rsidP="009C6940">
                  <w:pPr>
                    <w:pStyle w:val="TableBodyText"/>
                    <w:ind w:right="28"/>
                  </w:pPr>
                  <w:r w:rsidRPr="00EF7969">
                    <w:t>Renee Thomson</w:t>
                  </w:r>
                </w:p>
              </w:tc>
            </w:tr>
            <w:tr w:rsidR="009C6940" w:rsidRPr="00EF7969" w14:paraId="0B9921B5" w14:textId="77777777" w:rsidTr="009C6940">
              <w:tc>
                <w:tcPr>
                  <w:tcW w:w="3333" w:type="pct"/>
                  <w:shd w:val="clear" w:color="auto" w:fill="auto"/>
                </w:tcPr>
                <w:p w14:paraId="191776FC" w14:textId="77777777" w:rsidR="009C6940" w:rsidRPr="00EF7969" w:rsidRDefault="009C6940" w:rsidP="009C6940">
                  <w:pPr>
                    <w:pStyle w:val="TableBodyText"/>
                    <w:jc w:val="left"/>
                  </w:pPr>
                  <w:r w:rsidRPr="00EF7969">
                    <w:t>Aboriginal Counselling</w:t>
                  </w:r>
                </w:p>
              </w:tc>
              <w:tc>
                <w:tcPr>
                  <w:tcW w:w="1667" w:type="pct"/>
                  <w:shd w:val="clear" w:color="auto" w:fill="auto"/>
                </w:tcPr>
                <w:p w14:paraId="343C6270" w14:textId="77777777" w:rsidR="009C6940" w:rsidRPr="00EF7969" w:rsidRDefault="009C6940" w:rsidP="009C6940">
                  <w:pPr>
                    <w:pStyle w:val="TableBodyText"/>
                    <w:ind w:right="28"/>
                  </w:pPr>
                  <w:r w:rsidRPr="00EF7969">
                    <w:t>Craig Brown</w:t>
                  </w:r>
                </w:p>
              </w:tc>
            </w:tr>
            <w:tr w:rsidR="009C6940" w:rsidRPr="00EF7969" w14:paraId="6201B9A5" w14:textId="77777777" w:rsidTr="009C6940">
              <w:tc>
                <w:tcPr>
                  <w:tcW w:w="3333" w:type="pct"/>
                  <w:shd w:val="clear" w:color="auto" w:fill="auto"/>
                </w:tcPr>
                <w:p w14:paraId="0CAEC704" w14:textId="77777777" w:rsidR="009C6940" w:rsidRPr="00EF7969" w:rsidRDefault="009C6940" w:rsidP="009C6940">
                  <w:pPr>
                    <w:pStyle w:val="TableBodyText"/>
                    <w:jc w:val="left"/>
                  </w:pPr>
                  <w:r w:rsidRPr="00EF7969">
                    <w:t>Aboriginal Medical Service (Redfern)</w:t>
                  </w:r>
                </w:p>
              </w:tc>
              <w:tc>
                <w:tcPr>
                  <w:tcW w:w="1667" w:type="pct"/>
                  <w:shd w:val="clear" w:color="auto" w:fill="auto"/>
                </w:tcPr>
                <w:p w14:paraId="2815A904" w14:textId="77777777" w:rsidR="009C6940" w:rsidRPr="00EF7969" w:rsidRDefault="009C6940" w:rsidP="009C6940">
                  <w:pPr>
                    <w:pStyle w:val="TableBodyText"/>
                    <w:ind w:right="28"/>
                  </w:pPr>
                  <w:r w:rsidRPr="00EF7969">
                    <w:t>LaVerne Bellear</w:t>
                  </w:r>
                </w:p>
              </w:tc>
            </w:tr>
            <w:tr w:rsidR="009C6940" w:rsidRPr="00EF7969" w14:paraId="3615EA22" w14:textId="77777777" w:rsidTr="009C6940">
              <w:tc>
                <w:tcPr>
                  <w:tcW w:w="3333" w:type="pct"/>
                  <w:shd w:val="clear" w:color="auto" w:fill="auto"/>
                </w:tcPr>
                <w:p w14:paraId="773BDBCF" w14:textId="77777777" w:rsidR="009C6940" w:rsidRPr="00EF7969" w:rsidRDefault="009C6940" w:rsidP="009C6940">
                  <w:pPr>
                    <w:pStyle w:val="TableBodyText"/>
                    <w:jc w:val="left"/>
                  </w:pPr>
                  <w:r w:rsidRPr="00EF7969">
                    <w:t>InCulture</w:t>
                  </w:r>
                </w:p>
              </w:tc>
              <w:tc>
                <w:tcPr>
                  <w:tcW w:w="1667" w:type="pct"/>
                  <w:shd w:val="clear" w:color="auto" w:fill="auto"/>
                </w:tcPr>
                <w:p w14:paraId="4E6C917B" w14:textId="77777777" w:rsidR="009C6940" w:rsidRPr="00EF7969" w:rsidRDefault="009C6940" w:rsidP="009C6940">
                  <w:pPr>
                    <w:pStyle w:val="TableBodyText"/>
                    <w:ind w:right="28"/>
                  </w:pPr>
                  <w:r w:rsidRPr="00EF7969">
                    <w:t>William Trewlynn</w:t>
                  </w:r>
                </w:p>
              </w:tc>
            </w:tr>
            <w:tr w:rsidR="009C6940" w:rsidRPr="00EF7969" w14:paraId="3C8E1866" w14:textId="77777777" w:rsidTr="009C6940">
              <w:tc>
                <w:tcPr>
                  <w:tcW w:w="3333" w:type="pct"/>
                  <w:shd w:val="clear" w:color="auto" w:fill="auto"/>
                </w:tcPr>
                <w:p w14:paraId="01C3FB03" w14:textId="77777777" w:rsidR="009C6940" w:rsidRPr="00EF7969" w:rsidRDefault="009C6940" w:rsidP="009C6940">
                  <w:pPr>
                    <w:pStyle w:val="TableBodyText"/>
                    <w:jc w:val="left"/>
                  </w:pPr>
                  <w:r w:rsidRPr="00EF7969">
                    <w:t>Karabena Consulting</w:t>
                  </w:r>
                </w:p>
              </w:tc>
              <w:tc>
                <w:tcPr>
                  <w:tcW w:w="1667" w:type="pct"/>
                  <w:shd w:val="clear" w:color="auto" w:fill="auto"/>
                </w:tcPr>
                <w:p w14:paraId="568161B4" w14:textId="77777777" w:rsidR="009C6940" w:rsidRPr="00EF7969" w:rsidRDefault="009C6940" w:rsidP="009C6940">
                  <w:pPr>
                    <w:pStyle w:val="TableBodyText"/>
                    <w:ind w:right="28"/>
                  </w:pPr>
                  <w:r w:rsidRPr="00EF7969">
                    <w:t>Kerry Arabena</w:t>
                  </w:r>
                </w:p>
              </w:tc>
            </w:tr>
            <w:tr w:rsidR="009C6940" w:rsidRPr="00EF7969" w14:paraId="4C31C74A" w14:textId="77777777" w:rsidTr="009C6940">
              <w:tc>
                <w:tcPr>
                  <w:tcW w:w="3333" w:type="pct"/>
                  <w:shd w:val="clear" w:color="auto" w:fill="auto"/>
                </w:tcPr>
                <w:p w14:paraId="324AE203" w14:textId="77777777" w:rsidR="009C6940" w:rsidRPr="00EF7969" w:rsidRDefault="009C6940" w:rsidP="009C6940">
                  <w:pPr>
                    <w:pStyle w:val="TableBodyText"/>
                    <w:jc w:val="left"/>
                  </w:pPr>
                  <w:r w:rsidRPr="00EF7969">
                    <w:t>Lowitja Institute</w:t>
                  </w:r>
                </w:p>
              </w:tc>
              <w:tc>
                <w:tcPr>
                  <w:tcW w:w="1667" w:type="pct"/>
                  <w:shd w:val="clear" w:color="auto" w:fill="auto"/>
                </w:tcPr>
                <w:p w14:paraId="7DCD6893" w14:textId="77777777" w:rsidR="009C6940" w:rsidRPr="00EF7969" w:rsidRDefault="009C6940" w:rsidP="009C6940">
                  <w:pPr>
                    <w:pStyle w:val="TableBodyText"/>
                    <w:ind w:right="28"/>
                  </w:pPr>
                  <w:r w:rsidRPr="00EF7969">
                    <w:t>Sanchia Shibasaki</w:t>
                  </w:r>
                </w:p>
              </w:tc>
            </w:tr>
            <w:tr w:rsidR="009C6940" w:rsidRPr="00EF7969" w14:paraId="30019B1F" w14:textId="77777777" w:rsidTr="009C6940">
              <w:tc>
                <w:tcPr>
                  <w:tcW w:w="3333" w:type="pct"/>
                  <w:shd w:val="clear" w:color="auto" w:fill="auto"/>
                </w:tcPr>
                <w:p w14:paraId="2CB72D56" w14:textId="77777777" w:rsidR="009C6940" w:rsidRPr="00EF7969" w:rsidRDefault="009C6940" w:rsidP="009C6940">
                  <w:pPr>
                    <w:pStyle w:val="TableBodyText"/>
                    <w:jc w:val="left"/>
                  </w:pPr>
                  <w:r w:rsidRPr="00EF7969">
                    <w:t>Marrin Weejali Aboriginal Corporation</w:t>
                  </w:r>
                </w:p>
              </w:tc>
              <w:tc>
                <w:tcPr>
                  <w:tcW w:w="1667" w:type="pct"/>
                  <w:shd w:val="clear" w:color="auto" w:fill="auto"/>
                </w:tcPr>
                <w:p w14:paraId="0A5312B7" w14:textId="77777777" w:rsidR="009C6940" w:rsidRPr="00EF7969" w:rsidRDefault="009C6940" w:rsidP="009C6940">
                  <w:pPr>
                    <w:pStyle w:val="TableBodyText"/>
                  </w:pPr>
                  <w:r w:rsidRPr="00EF7969">
                    <w:t>Cheryl Jackson</w:t>
                  </w:r>
                </w:p>
              </w:tc>
            </w:tr>
            <w:tr w:rsidR="009C6940" w:rsidRPr="00EF7969" w14:paraId="16E5ED3E" w14:textId="77777777" w:rsidTr="009C6940">
              <w:tc>
                <w:tcPr>
                  <w:tcW w:w="3333" w:type="pct"/>
                  <w:shd w:val="clear" w:color="auto" w:fill="auto"/>
                </w:tcPr>
                <w:p w14:paraId="48A8C748" w14:textId="77777777" w:rsidR="009C6940" w:rsidRPr="00EF7969" w:rsidRDefault="009C6940" w:rsidP="009C6940">
                  <w:pPr>
                    <w:pStyle w:val="TableBodyText"/>
                    <w:jc w:val="left"/>
                  </w:pPr>
                  <w:r w:rsidRPr="00EF7969">
                    <w:t>Ngaoara Ltd</w:t>
                  </w:r>
                </w:p>
              </w:tc>
              <w:tc>
                <w:tcPr>
                  <w:tcW w:w="1667" w:type="pct"/>
                  <w:shd w:val="clear" w:color="auto" w:fill="auto"/>
                </w:tcPr>
                <w:p w14:paraId="0DF1F8E4" w14:textId="77777777" w:rsidR="009C6940" w:rsidRPr="00EF7969" w:rsidRDefault="009C6940" w:rsidP="009C6940">
                  <w:pPr>
                    <w:pStyle w:val="TableBodyText"/>
                  </w:pPr>
                  <w:r w:rsidRPr="00EF7969">
                    <w:t>Ngiare Brown</w:t>
                  </w:r>
                </w:p>
              </w:tc>
            </w:tr>
            <w:tr w:rsidR="009C6940" w:rsidRPr="00EF7969" w14:paraId="0C501298" w14:textId="77777777" w:rsidTr="009C6940">
              <w:tc>
                <w:tcPr>
                  <w:tcW w:w="3333" w:type="pct"/>
                  <w:shd w:val="clear" w:color="auto" w:fill="auto"/>
                </w:tcPr>
                <w:p w14:paraId="0DCB0FA9" w14:textId="77777777" w:rsidR="009C6940" w:rsidRPr="00EF7969" w:rsidRDefault="009C6940" w:rsidP="009C6940">
                  <w:pPr>
                    <w:pStyle w:val="TableBodyText"/>
                    <w:jc w:val="left"/>
                  </w:pPr>
                  <w:r w:rsidRPr="00EF7969">
                    <w:t>NSW Health</w:t>
                  </w:r>
                </w:p>
              </w:tc>
              <w:tc>
                <w:tcPr>
                  <w:tcW w:w="1667" w:type="pct"/>
                  <w:shd w:val="clear" w:color="auto" w:fill="auto"/>
                </w:tcPr>
                <w:p w14:paraId="42247959" w14:textId="77777777" w:rsidR="009C6940" w:rsidRPr="00EF7969" w:rsidRDefault="009C6940" w:rsidP="009C6940">
                  <w:pPr>
                    <w:pStyle w:val="TableBodyText"/>
                  </w:pPr>
                  <w:r w:rsidRPr="00EF7969">
                    <w:t>Tom Brideson</w:t>
                  </w:r>
                </w:p>
              </w:tc>
            </w:tr>
            <w:tr w:rsidR="009C6940" w:rsidRPr="00EF7969" w14:paraId="321EA340" w14:textId="77777777" w:rsidTr="009C6940">
              <w:tc>
                <w:tcPr>
                  <w:tcW w:w="3333" w:type="pct"/>
                  <w:shd w:val="clear" w:color="auto" w:fill="auto"/>
                </w:tcPr>
                <w:p w14:paraId="76E5FABA" w14:textId="77777777" w:rsidR="009C6940" w:rsidRPr="00EF7969" w:rsidRDefault="009C6940" w:rsidP="009C6940">
                  <w:pPr>
                    <w:pStyle w:val="TableBodyText"/>
                    <w:jc w:val="left"/>
                  </w:pPr>
                  <w:r w:rsidRPr="00EF7969">
                    <w:t>Ozchild</w:t>
                  </w:r>
                </w:p>
              </w:tc>
              <w:tc>
                <w:tcPr>
                  <w:tcW w:w="1667" w:type="pct"/>
                  <w:shd w:val="clear" w:color="auto" w:fill="auto"/>
                </w:tcPr>
                <w:p w14:paraId="6FD0A389" w14:textId="77777777" w:rsidR="009C6940" w:rsidRPr="00EF7969" w:rsidRDefault="009C6940" w:rsidP="009C6940">
                  <w:pPr>
                    <w:pStyle w:val="TableBodyText"/>
                  </w:pPr>
                  <w:r w:rsidRPr="00EF7969">
                    <w:t>Dea Delaney-Thiele</w:t>
                  </w:r>
                </w:p>
              </w:tc>
            </w:tr>
            <w:tr w:rsidR="009C6940" w:rsidRPr="00EF7969" w14:paraId="132EFD55" w14:textId="77777777" w:rsidTr="009C6940">
              <w:tc>
                <w:tcPr>
                  <w:tcW w:w="3333" w:type="pct"/>
                  <w:shd w:val="clear" w:color="auto" w:fill="auto"/>
                </w:tcPr>
                <w:p w14:paraId="5C69980E" w14:textId="77777777" w:rsidR="009C6940" w:rsidRPr="00EF7969" w:rsidRDefault="009C6940" w:rsidP="009C6940">
                  <w:pPr>
                    <w:pStyle w:val="TableBodyText"/>
                    <w:jc w:val="left"/>
                  </w:pPr>
                  <w:r w:rsidRPr="00EF7969">
                    <w:t>Tharawal Aboriginal Corporation</w:t>
                  </w:r>
                </w:p>
              </w:tc>
              <w:tc>
                <w:tcPr>
                  <w:tcW w:w="1667" w:type="pct"/>
                  <w:shd w:val="clear" w:color="auto" w:fill="auto"/>
                </w:tcPr>
                <w:p w14:paraId="59FB27B4" w14:textId="77777777" w:rsidR="009C6940" w:rsidRPr="00EF7969" w:rsidRDefault="009C6940" w:rsidP="009C6940">
                  <w:pPr>
                    <w:pStyle w:val="TableBodyText"/>
                  </w:pPr>
                  <w:r w:rsidRPr="00EF7969">
                    <w:t>Darryl Wright</w:t>
                  </w:r>
                </w:p>
              </w:tc>
            </w:tr>
            <w:tr w:rsidR="009C6940" w:rsidRPr="00EF7969" w14:paraId="13C38853" w14:textId="77777777" w:rsidTr="009C6940">
              <w:tc>
                <w:tcPr>
                  <w:tcW w:w="3333" w:type="pct"/>
                  <w:shd w:val="clear" w:color="auto" w:fill="auto"/>
                </w:tcPr>
                <w:p w14:paraId="0CB970A9" w14:textId="77777777" w:rsidR="009C6940" w:rsidRPr="00EF7969" w:rsidRDefault="009C6940" w:rsidP="009C6940">
                  <w:pPr>
                    <w:pStyle w:val="TableBodyText"/>
                    <w:jc w:val="left"/>
                  </w:pPr>
                  <w:r w:rsidRPr="00EF7969">
                    <w:t>Thirrili</w:t>
                  </w:r>
                </w:p>
              </w:tc>
              <w:tc>
                <w:tcPr>
                  <w:tcW w:w="1667" w:type="pct"/>
                  <w:shd w:val="clear" w:color="auto" w:fill="auto"/>
                </w:tcPr>
                <w:p w14:paraId="4123C183" w14:textId="77777777" w:rsidR="009C6940" w:rsidRPr="00EF7969" w:rsidRDefault="009C6940" w:rsidP="009C6940">
                  <w:pPr>
                    <w:pStyle w:val="TableBodyText"/>
                    <w:ind w:right="28"/>
                  </w:pPr>
                  <w:r w:rsidRPr="00EF7969">
                    <w:t>Adele Cox</w:t>
                  </w:r>
                </w:p>
              </w:tc>
            </w:tr>
            <w:tr w:rsidR="009C6940" w:rsidRPr="00EF7969" w14:paraId="0DA7CA28" w14:textId="77777777" w:rsidTr="009C6940">
              <w:tc>
                <w:tcPr>
                  <w:tcW w:w="3333" w:type="pct"/>
                  <w:shd w:val="clear" w:color="auto" w:fill="auto"/>
                </w:tcPr>
                <w:p w14:paraId="4F518170" w14:textId="77777777" w:rsidR="009C6940" w:rsidRPr="00EF7969" w:rsidRDefault="009C6940" w:rsidP="009C6940">
                  <w:pPr>
                    <w:pStyle w:val="TableBodyText"/>
                    <w:jc w:val="left"/>
                  </w:pPr>
                  <w:r w:rsidRPr="00EF7969">
                    <w:t>University of Western Australia</w:t>
                  </w:r>
                </w:p>
              </w:tc>
              <w:tc>
                <w:tcPr>
                  <w:tcW w:w="1667" w:type="pct"/>
                  <w:shd w:val="clear" w:color="auto" w:fill="auto"/>
                </w:tcPr>
                <w:p w14:paraId="04DF82C1" w14:textId="77777777" w:rsidR="009C6940" w:rsidRPr="00EF7969" w:rsidRDefault="009C6940" w:rsidP="009C6940">
                  <w:pPr>
                    <w:pStyle w:val="TableBodyText"/>
                    <w:ind w:right="28"/>
                  </w:pPr>
                  <w:r w:rsidRPr="00EF7969">
                    <w:t>Helen Milroy</w:t>
                  </w:r>
                </w:p>
              </w:tc>
            </w:tr>
            <w:tr w:rsidR="009C6940" w:rsidRPr="00EF7969" w14:paraId="007EE9DC" w14:textId="77777777" w:rsidTr="009C6940">
              <w:tc>
                <w:tcPr>
                  <w:tcW w:w="3333" w:type="pct"/>
                  <w:shd w:val="clear" w:color="auto" w:fill="auto"/>
                  <w:vAlign w:val="center"/>
                </w:tcPr>
                <w:p w14:paraId="7903222A" w14:textId="77777777" w:rsidR="009C6940" w:rsidRPr="006305C5" w:rsidRDefault="009C6940" w:rsidP="009C6940">
                  <w:pPr>
                    <w:pStyle w:val="TableBodyText"/>
                    <w:spacing w:before="120"/>
                    <w:jc w:val="left"/>
                  </w:pPr>
                  <w:r w:rsidRPr="006305C5">
                    <w:rPr>
                      <w:b/>
                    </w:rPr>
                    <w:t xml:space="preserve">17 February 2020 </w:t>
                  </w:r>
                  <w:r>
                    <w:rPr>
                      <w:b/>
                    </w:rPr>
                    <w:t>—</w:t>
                  </w:r>
                  <w:r w:rsidRPr="006305C5">
                    <w:rPr>
                      <w:b/>
                    </w:rPr>
                    <w:t xml:space="preserve"> Early Childhood</w:t>
                  </w:r>
                  <w:r>
                    <w:rPr>
                      <w:b/>
                    </w:rPr>
                    <w:t xml:space="preserve"> Services</w:t>
                  </w:r>
                </w:p>
              </w:tc>
              <w:tc>
                <w:tcPr>
                  <w:tcW w:w="1667" w:type="pct"/>
                  <w:shd w:val="clear" w:color="auto" w:fill="auto"/>
                  <w:vAlign w:val="center"/>
                </w:tcPr>
                <w:p w14:paraId="0842A9F6" w14:textId="77777777" w:rsidR="009C6940" w:rsidRPr="00EF7969" w:rsidRDefault="009C6940" w:rsidP="009C6940">
                  <w:pPr>
                    <w:pStyle w:val="TableBodyText"/>
                    <w:ind w:right="28"/>
                  </w:pPr>
                </w:p>
              </w:tc>
            </w:tr>
            <w:tr w:rsidR="009C6940" w:rsidRPr="00EF7969" w14:paraId="3A0EB3E1" w14:textId="77777777" w:rsidTr="009C6940">
              <w:tc>
                <w:tcPr>
                  <w:tcW w:w="3333" w:type="pct"/>
                  <w:shd w:val="clear" w:color="auto" w:fill="auto"/>
                </w:tcPr>
                <w:p w14:paraId="1FDE45D6" w14:textId="77777777" w:rsidR="009C6940" w:rsidRPr="00EF7969" w:rsidRDefault="009C6940" w:rsidP="009C6940">
                  <w:pPr>
                    <w:pStyle w:val="TableBodyText"/>
                    <w:jc w:val="left"/>
                  </w:pPr>
                  <w:r w:rsidRPr="00EF7969">
                    <w:t>Ann Kennedy</w:t>
                  </w:r>
                </w:p>
              </w:tc>
              <w:tc>
                <w:tcPr>
                  <w:tcW w:w="1667" w:type="pct"/>
                  <w:shd w:val="clear" w:color="auto" w:fill="auto"/>
                  <w:vAlign w:val="center"/>
                </w:tcPr>
                <w:p w14:paraId="2D29DCF7" w14:textId="77777777" w:rsidR="009C6940" w:rsidRPr="00EF7969" w:rsidRDefault="009C6940" w:rsidP="009C6940">
                  <w:pPr>
                    <w:pStyle w:val="TableBodyText"/>
                    <w:ind w:right="28"/>
                  </w:pPr>
                </w:p>
              </w:tc>
            </w:tr>
            <w:tr w:rsidR="009C6940" w:rsidRPr="00EF7969" w14:paraId="067BF8B1" w14:textId="77777777" w:rsidTr="009C6940">
              <w:tc>
                <w:tcPr>
                  <w:tcW w:w="3333" w:type="pct"/>
                  <w:shd w:val="clear" w:color="auto" w:fill="auto"/>
                  <w:vAlign w:val="center"/>
                </w:tcPr>
                <w:p w14:paraId="61178D26" w14:textId="77777777" w:rsidR="009C6940" w:rsidRPr="00EF7969" w:rsidRDefault="009C6940" w:rsidP="009C6940">
                  <w:pPr>
                    <w:pStyle w:val="TableBodyText"/>
                    <w:jc w:val="left"/>
                  </w:pPr>
                  <w:r w:rsidRPr="00EF7969">
                    <w:t xml:space="preserve">Australian Children’s Education </w:t>
                  </w:r>
                  <w:r>
                    <w:t>and</w:t>
                  </w:r>
                  <w:r w:rsidRPr="00EF7969">
                    <w:t xml:space="preserve"> Care Quality Authority</w:t>
                  </w:r>
                </w:p>
              </w:tc>
              <w:tc>
                <w:tcPr>
                  <w:tcW w:w="1667" w:type="pct"/>
                  <w:shd w:val="clear" w:color="auto" w:fill="auto"/>
                  <w:vAlign w:val="center"/>
                </w:tcPr>
                <w:p w14:paraId="5F8EDB32" w14:textId="77777777" w:rsidR="009C6940" w:rsidRPr="00EF7969" w:rsidRDefault="009C6940" w:rsidP="009C6940">
                  <w:pPr>
                    <w:pStyle w:val="TableBodyText"/>
                    <w:ind w:right="28"/>
                  </w:pPr>
                  <w:r w:rsidRPr="00EF7969">
                    <w:t>Jason Mason</w:t>
                  </w:r>
                </w:p>
              </w:tc>
            </w:tr>
            <w:tr w:rsidR="009C6940" w:rsidRPr="00EF7969" w14:paraId="3F3E7679" w14:textId="77777777" w:rsidTr="009C6940">
              <w:tc>
                <w:tcPr>
                  <w:tcW w:w="3333" w:type="pct"/>
                  <w:shd w:val="clear" w:color="auto" w:fill="auto"/>
                </w:tcPr>
                <w:p w14:paraId="5D004483" w14:textId="77777777" w:rsidR="009C6940" w:rsidRPr="00EF7969" w:rsidRDefault="009C6940" w:rsidP="009C6940">
                  <w:pPr>
                    <w:pStyle w:val="TableBodyText"/>
                    <w:jc w:val="left"/>
                  </w:pPr>
                  <w:r w:rsidRPr="00EF7969">
                    <w:t>Australian Government Department of Education</w:t>
                  </w:r>
                </w:p>
              </w:tc>
              <w:tc>
                <w:tcPr>
                  <w:tcW w:w="1667" w:type="pct"/>
                  <w:shd w:val="clear" w:color="auto" w:fill="auto"/>
                  <w:vAlign w:val="center"/>
                </w:tcPr>
                <w:p w14:paraId="6E5147DA" w14:textId="77777777" w:rsidR="009C6940" w:rsidRPr="00EF7969" w:rsidRDefault="009C6940" w:rsidP="009C6940">
                  <w:pPr>
                    <w:pStyle w:val="TableBodyText"/>
                    <w:ind w:right="28"/>
                  </w:pPr>
                  <w:r w:rsidRPr="00EF7969">
                    <w:t>Joanna Harrison</w:t>
                  </w:r>
                </w:p>
              </w:tc>
            </w:tr>
            <w:tr w:rsidR="009C6940" w:rsidRPr="00EF7969" w14:paraId="40438BCC" w14:textId="77777777" w:rsidTr="009C6940">
              <w:tc>
                <w:tcPr>
                  <w:tcW w:w="3333" w:type="pct"/>
                  <w:shd w:val="clear" w:color="auto" w:fill="auto"/>
                  <w:vAlign w:val="center"/>
                </w:tcPr>
                <w:p w14:paraId="5A53D899" w14:textId="77777777" w:rsidR="009C6940" w:rsidRPr="00EF7969" w:rsidRDefault="009C6940" w:rsidP="009C6940">
                  <w:pPr>
                    <w:pStyle w:val="TableBodyText"/>
                    <w:jc w:val="left"/>
                  </w:pPr>
                  <w:r w:rsidRPr="00EF7969">
                    <w:t>Early Childhood Australia</w:t>
                  </w:r>
                </w:p>
              </w:tc>
              <w:tc>
                <w:tcPr>
                  <w:tcW w:w="1667" w:type="pct"/>
                  <w:shd w:val="clear" w:color="auto" w:fill="auto"/>
                  <w:vAlign w:val="center"/>
                </w:tcPr>
                <w:p w14:paraId="5DA93AD9" w14:textId="77777777" w:rsidR="009C6940" w:rsidRPr="00EF7969" w:rsidRDefault="009C6940" w:rsidP="009C6940">
                  <w:pPr>
                    <w:pStyle w:val="TableBodyText"/>
                    <w:ind w:right="28"/>
                  </w:pPr>
                  <w:r w:rsidRPr="00EF7969">
                    <w:t>Samantha Page</w:t>
                  </w:r>
                </w:p>
              </w:tc>
            </w:tr>
            <w:tr w:rsidR="009C6940" w:rsidRPr="00EF7969" w14:paraId="5F32386F" w14:textId="77777777" w:rsidTr="009C6940">
              <w:tc>
                <w:tcPr>
                  <w:tcW w:w="3333" w:type="pct"/>
                  <w:shd w:val="clear" w:color="auto" w:fill="auto"/>
                  <w:vAlign w:val="center"/>
                </w:tcPr>
                <w:p w14:paraId="7A56D956" w14:textId="77777777" w:rsidR="009C6940" w:rsidRPr="00EF7969" w:rsidRDefault="009C6940" w:rsidP="009C6940">
                  <w:pPr>
                    <w:pStyle w:val="TableBodyText"/>
                    <w:jc w:val="left"/>
                  </w:pPr>
                  <w:r w:rsidRPr="00EF7969">
                    <w:t>Emerging Minds</w:t>
                  </w:r>
                </w:p>
              </w:tc>
              <w:tc>
                <w:tcPr>
                  <w:tcW w:w="1667" w:type="pct"/>
                  <w:shd w:val="clear" w:color="auto" w:fill="auto"/>
                  <w:vAlign w:val="center"/>
                </w:tcPr>
                <w:p w14:paraId="70DCBC57" w14:textId="77777777" w:rsidR="009C6940" w:rsidRPr="00EF7969" w:rsidRDefault="009C6940" w:rsidP="009C6940">
                  <w:pPr>
                    <w:pStyle w:val="TableBodyText"/>
                    <w:ind w:right="28"/>
                  </w:pPr>
                  <w:r w:rsidRPr="00EF7969">
                    <w:t>Brad Morgan</w:t>
                  </w:r>
                </w:p>
              </w:tc>
            </w:tr>
            <w:tr w:rsidR="009C6940" w:rsidRPr="00EF7969" w14:paraId="543B3B0C" w14:textId="77777777" w:rsidTr="009C6940">
              <w:tc>
                <w:tcPr>
                  <w:tcW w:w="3333" w:type="pct"/>
                  <w:shd w:val="clear" w:color="auto" w:fill="auto"/>
                </w:tcPr>
                <w:p w14:paraId="24ABEAA5" w14:textId="77777777" w:rsidR="009C6940" w:rsidRPr="00EF7969" w:rsidRDefault="009C6940" w:rsidP="009C6940">
                  <w:pPr>
                    <w:pStyle w:val="TableBodyText"/>
                    <w:jc w:val="left"/>
                  </w:pPr>
                  <w:r w:rsidRPr="00EF7969">
                    <w:t>Goodstart Early Learning</w:t>
                  </w:r>
                </w:p>
              </w:tc>
              <w:tc>
                <w:tcPr>
                  <w:tcW w:w="1667" w:type="pct"/>
                  <w:shd w:val="clear" w:color="auto" w:fill="auto"/>
                  <w:vAlign w:val="center"/>
                </w:tcPr>
                <w:p w14:paraId="72557A21" w14:textId="77777777" w:rsidR="009C6940" w:rsidRPr="00EF7969" w:rsidRDefault="009C6940" w:rsidP="009C6940">
                  <w:pPr>
                    <w:pStyle w:val="TableBodyText"/>
                    <w:ind w:right="28"/>
                  </w:pPr>
                  <w:r w:rsidRPr="00EF7969">
                    <w:t>Penny Markham</w:t>
                  </w:r>
                </w:p>
              </w:tc>
            </w:tr>
            <w:tr w:rsidR="009C6940" w:rsidRPr="00EF7969" w14:paraId="24E709B6" w14:textId="77777777" w:rsidTr="009C6940">
              <w:tc>
                <w:tcPr>
                  <w:tcW w:w="3333" w:type="pct"/>
                  <w:shd w:val="clear" w:color="auto" w:fill="auto"/>
                </w:tcPr>
                <w:p w14:paraId="7F552D52" w14:textId="77777777" w:rsidR="009C6940" w:rsidRPr="00EF7969" w:rsidRDefault="009C6940" w:rsidP="009C6940">
                  <w:pPr>
                    <w:pStyle w:val="TableBodyText"/>
                    <w:jc w:val="left"/>
                  </w:pPr>
                  <w:r>
                    <w:t>Maternal, Child and</w:t>
                  </w:r>
                  <w:r w:rsidRPr="00EF7969">
                    <w:t xml:space="preserve"> Family Health Nurses Australia</w:t>
                  </w:r>
                </w:p>
              </w:tc>
              <w:tc>
                <w:tcPr>
                  <w:tcW w:w="1667" w:type="pct"/>
                  <w:shd w:val="clear" w:color="auto" w:fill="auto"/>
                  <w:vAlign w:val="center"/>
                </w:tcPr>
                <w:p w14:paraId="01B8AD8F" w14:textId="77777777" w:rsidR="009C6940" w:rsidRPr="00EF7969" w:rsidRDefault="009C6940" w:rsidP="009C6940">
                  <w:pPr>
                    <w:pStyle w:val="TableBodyText"/>
                    <w:ind w:right="28"/>
                  </w:pPr>
                  <w:r w:rsidRPr="00EF7969">
                    <w:t>Jan  Finlayson</w:t>
                  </w:r>
                </w:p>
              </w:tc>
            </w:tr>
            <w:tr w:rsidR="009C6940" w:rsidRPr="00EF7969" w14:paraId="2A6EA964" w14:textId="77777777" w:rsidTr="009C6940">
              <w:tc>
                <w:tcPr>
                  <w:tcW w:w="3333" w:type="pct"/>
                  <w:shd w:val="clear" w:color="auto" w:fill="auto"/>
                </w:tcPr>
                <w:p w14:paraId="4E6C5EE4" w14:textId="77777777" w:rsidR="009C6940" w:rsidRPr="00EF7969" w:rsidRDefault="009C6940" w:rsidP="009C6940">
                  <w:pPr>
                    <w:pStyle w:val="TableBodyText"/>
                    <w:jc w:val="left"/>
                  </w:pPr>
                  <w:r w:rsidRPr="00EF7969">
                    <w:t>Murdoch Children’s Research Institute</w:t>
                  </w:r>
                </w:p>
              </w:tc>
              <w:tc>
                <w:tcPr>
                  <w:tcW w:w="1667" w:type="pct"/>
                  <w:shd w:val="clear" w:color="auto" w:fill="auto"/>
                  <w:vAlign w:val="center"/>
                </w:tcPr>
                <w:p w14:paraId="2E811E28" w14:textId="77777777" w:rsidR="009C6940" w:rsidRPr="00EF7969" w:rsidRDefault="009C6940" w:rsidP="009C6940">
                  <w:pPr>
                    <w:pStyle w:val="TableBodyText"/>
                    <w:ind w:right="28"/>
                  </w:pPr>
                  <w:r w:rsidRPr="00EF7969">
                    <w:t>Frank Oberklaid</w:t>
                  </w:r>
                </w:p>
              </w:tc>
            </w:tr>
            <w:tr w:rsidR="009C6940" w:rsidRPr="00EF7969" w14:paraId="6FE672C1" w14:textId="77777777" w:rsidTr="009C6940">
              <w:tc>
                <w:tcPr>
                  <w:tcW w:w="3333" w:type="pct"/>
                  <w:shd w:val="clear" w:color="auto" w:fill="auto"/>
                </w:tcPr>
                <w:p w14:paraId="72653864" w14:textId="77777777" w:rsidR="009C6940" w:rsidRPr="00EF7969" w:rsidRDefault="009C6940" w:rsidP="009C6940">
                  <w:pPr>
                    <w:pStyle w:val="TableBodyText"/>
                    <w:jc w:val="left"/>
                  </w:pPr>
                  <w:r w:rsidRPr="00EF7969">
                    <w:t>Murdoch Children’s Research Institute</w:t>
                  </w:r>
                </w:p>
              </w:tc>
              <w:tc>
                <w:tcPr>
                  <w:tcW w:w="1667" w:type="pct"/>
                  <w:shd w:val="clear" w:color="auto" w:fill="auto"/>
                  <w:vAlign w:val="center"/>
                </w:tcPr>
                <w:p w14:paraId="30315714" w14:textId="77777777" w:rsidR="009C6940" w:rsidRPr="00EF7969" w:rsidRDefault="009C6940" w:rsidP="009C6940">
                  <w:pPr>
                    <w:pStyle w:val="TableBodyText"/>
                    <w:ind w:right="28"/>
                  </w:pPr>
                  <w:r w:rsidRPr="00EF7969">
                    <w:t>Brigid Jordan</w:t>
                  </w:r>
                </w:p>
              </w:tc>
            </w:tr>
            <w:tr w:rsidR="009C6940" w:rsidRPr="00EF7969" w14:paraId="4B45F48D" w14:textId="77777777" w:rsidTr="009C6940">
              <w:tc>
                <w:tcPr>
                  <w:tcW w:w="3333" w:type="pct"/>
                  <w:shd w:val="clear" w:color="auto" w:fill="auto"/>
                  <w:vAlign w:val="center"/>
                </w:tcPr>
                <w:p w14:paraId="76CD43CE" w14:textId="77777777" w:rsidR="009C6940" w:rsidRPr="00EF7969" w:rsidRDefault="009C6940" w:rsidP="009C6940">
                  <w:pPr>
                    <w:pStyle w:val="TableBodyText"/>
                    <w:jc w:val="left"/>
                  </w:pPr>
                  <w:r w:rsidRPr="00EF7969">
                    <w:t>Parenting Research Centre</w:t>
                  </w:r>
                </w:p>
              </w:tc>
              <w:tc>
                <w:tcPr>
                  <w:tcW w:w="1667" w:type="pct"/>
                  <w:shd w:val="clear" w:color="auto" w:fill="auto"/>
                  <w:vAlign w:val="center"/>
                </w:tcPr>
                <w:p w14:paraId="3BAF330B" w14:textId="77777777" w:rsidR="009C6940" w:rsidRPr="00EF7969" w:rsidRDefault="009C6940" w:rsidP="009C6940">
                  <w:pPr>
                    <w:pStyle w:val="TableBodyText"/>
                    <w:ind w:right="28"/>
                  </w:pPr>
                  <w:r w:rsidRPr="00EF7969">
                    <w:t>Warren Cann</w:t>
                  </w:r>
                </w:p>
              </w:tc>
            </w:tr>
            <w:tr w:rsidR="009C6940" w:rsidRPr="00EF7969" w14:paraId="09881C4F" w14:textId="77777777" w:rsidTr="009C6940">
              <w:tc>
                <w:tcPr>
                  <w:tcW w:w="3333" w:type="pct"/>
                  <w:shd w:val="clear" w:color="auto" w:fill="auto"/>
                </w:tcPr>
                <w:p w14:paraId="55C3B0F8" w14:textId="77777777" w:rsidR="009C6940" w:rsidRPr="00EF7969" w:rsidRDefault="009C6940" w:rsidP="009C6940">
                  <w:pPr>
                    <w:pStyle w:val="TableBodyText"/>
                    <w:jc w:val="left"/>
                  </w:pPr>
                  <w:r w:rsidRPr="00EF7969">
                    <w:t>Victorian Department of Education</w:t>
                  </w:r>
                </w:p>
              </w:tc>
              <w:tc>
                <w:tcPr>
                  <w:tcW w:w="1667" w:type="pct"/>
                  <w:shd w:val="clear" w:color="auto" w:fill="auto"/>
                  <w:vAlign w:val="center"/>
                </w:tcPr>
                <w:p w14:paraId="4F68FB93" w14:textId="77777777" w:rsidR="009C6940" w:rsidRPr="00EF7969" w:rsidRDefault="009C6940" w:rsidP="009C6940">
                  <w:pPr>
                    <w:pStyle w:val="TableBodyText"/>
                    <w:ind w:right="28"/>
                  </w:pPr>
                  <w:r w:rsidRPr="00EF7969">
                    <w:t>Susan McDonald</w:t>
                  </w:r>
                </w:p>
              </w:tc>
            </w:tr>
          </w:tbl>
          <w:p w14:paraId="45B2B760" w14:textId="77777777" w:rsidR="009C6940" w:rsidRPr="00EF7969" w:rsidRDefault="009C6940" w:rsidP="009C6940">
            <w:pPr>
              <w:pStyle w:val="Box"/>
            </w:pPr>
          </w:p>
        </w:tc>
      </w:tr>
      <w:tr w:rsidR="009C6940" w:rsidRPr="00EF7969" w14:paraId="48D9F5CC" w14:textId="77777777" w:rsidTr="009C6940">
        <w:tc>
          <w:tcPr>
            <w:tcW w:w="5000" w:type="pct"/>
            <w:tcBorders>
              <w:top w:val="single" w:sz="4" w:space="0" w:color="D9D9D9"/>
              <w:left w:val="nil"/>
              <w:bottom w:val="nil"/>
              <w:right w:val="nil"/>
            </w:tcBorders>
            <w:shd w:val="clear" w:color="auto" w:fill="auto"/>
          </w:tcPr>
          <w:p w14:paraId="309E6D75" w14:textId="77777777" w:rsidR="009C6940" w:rsidRPr="00EF7969" w:rsidRDefault="009C6940" w:rsidP="009C6940">
            <w:pPr>
              <w:pStyle w:val="Continued"/>
            </w:pPr>
            <w:r w:rsidRPr="00EF7969">
              <w:t>(continued next page)</w:t>
            </w:r>
          </w:p>
        </w:tc>
      </w:tr>
      <w:tr w:rsidR="009C6940" w:rsidRPr="00EF7969" w14:paraId="55D8410F" w14:textId="77777777" w:rsidTr="009C6940">
        <w:tc>
          <w:tcPr>
            <w:tcW w:w="5000" w:type="pct"/>
            <w:tcBorders>
              <w:top w:val="nil"/>
              <w:left w:val="nil"/>
              <w:bottom w:val="single" w:sz="6" w:space="0" w:color="78A22F"/>
              <w:right w:val="nil"/>
            </w:tcBorders>
            <w:shd w:val="clear" w:color="auto" w:fill="auto"/>
          </w:tcPr>
          <w:p w14:paraId="6CB77A35" w14:textId="77777777" w:rsidR="009C6940" w:rsidRPr="00EF7969" w:rsidRDefault="009C6940" w:rsidP="009C6940">
            <w:pPr>
              <w:pStyle w:val="Box"/>
              <w:spacing w:before="0" w:line="120" w:lineRule="exact"/>
            </w:pPr>
          </w:p>
        </w:tc>
      </w:tr>
      <w:tr w:rsidR="009C6940" w:rsidRPr="00EF7969" w14:paraId="3AEF881B" w14:textId="77777777" w:rsidTr="009C6940">
        <w:tc>
          <w:tcPr>
            <w:tcW w:w="5000" w:type="pct"/>
            <w:tcBorders>
              <w:top w:val="single" w:sz="6" w:space="0" w:color="78A22F"/>
              <w:left w:val="nil"/>
              <w:bottom w:val="nil"/>
              <w:right w:val="nil"/>
            </w:tcBorders>
          </w:tcPr>
          <w:p w14:paraId="6444B563" w14:textId="77777777" w:rsidR="009C6940" w:rsidRPr="00EF7969" w:rsidRDefault="009C6940" w:rsidP="009C6940">
            <w:pPr>
              <w:pStyle w:val="BoxSpaceBelow"/>
            </w:pPr>
          </w:p>
        </w:tc>
      </w:tr>
    </w:tbl>
    <w:p w14:paraId="1245584A" w14:textId="77777777" w:rsidR="009C6940" w:rsidRPr="00EF7969"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EF7969" w14:paraId="307ACEAF" w14:textId="77777777" w:rsidTr="009C6940">
        <w:trPr>
          <w:tblHeader/>
        </w:trPr>
        <w:tc>
          <w:tcPr>
            <w:tcW w:w="5000" w:type="pct"/>
            <w:tcBorders>
              <w:top w:val="single" w:sz="6" w:space="0" w:color="78A22F"/>
              <w:left w:val="nil"/>
              <w:bottom w:val="nil"/>
              <w:right w:val="nil"/>
            </w:tcBorders>
            <w:shd w:val="clear" w:color="auto" w:fill="auto"/>
          </w:tcPr>
          <w:p w14:paraId="0958D89E" w14:textId="77777777" w:rsidR="009C6940" w:rsidRPr="00EF7969" w:rsidRDefault="009C6940" w:rsidP="009C6940">
            <w:pPr>
              <w:pStyle w:val="TableTitle"/>
            </w:pPr>
            <w:r w:rsidRPr="00EF7969">
              <w:rPr>
                <w:b w:val="0"/>
              </w:rPr>
              <w:t xml:space="preserve">Table </w:t>
            </w:r>
            <w:r>
              <w:rPr>
                <w:b w:val="0"/>
              </w:rPr>
              <w:t>B.</w:t>
            </w:r>
            <w:r w:rsidRPr="00EF7969">
              <w:rPr>
                <w:b w:val="0"/>
                <w:noProof/>
              </w:rPr>
              <w:t>5</w:t>
            </w:r>
            <w:r w:rsidRPr="00EF7969">
              <w:tab/>
            </w:r>
            <w:r w:rsidRPr="00EF7969">
              <w:rPr>
                <w:rStyle w:val="Continuedintitle"/>
              </w:rPr>
              <w:t>(continued)</w:t>
            </w:r>
          </w:p>
        </w:tc>
      </w:tr>
      <w:tr w:rsidR="009C6940" w:rsidRPr="00EF7969" w14:paraId="779DD157" w14:textId="77777777" w:rsidTr="009C6940">
        <w:tc>
          <w:tcPr>
            <w:tcW w:w="5000" w:type="pct"/>
            <w:tcBorders>
              <w:top w:val="nil"/>
              <w:left w:val="nil"/>
              <w:bottom w:val="single" w:sz="4" w:space="0" w:color="D9D9D9"/>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962"/>
              <w:gridCol w:w="3543"/>
            </w:tblGrid>
            <w:tr w:rsidR="009C6940" w:rsidRPr="00EF7969" w14:paraId="4217DC79" w14:textId="77777777" w:rsidTr="009C6940">
              <w:trPr>
                <w:tblHeader/>
              </w:trPr>
              <w:tc>
                <w:tcPr>
                  <w:tcW w:w="2917" w:type="pct"/>
                  <w:tcBorders>
                    <w:top w:val="single" w:sz="6" w:space="0" w:color="BFBFBF"/>
                  </w:tcBorders>
                  <w:shd w:val="clear" w:color="auto" w:fill="auto"/>
                  <w:tcMar>
                    <w:top w:w="28" w:type="dxa"/>
                  </w:tcMar>
                </w:tcPr>
                <w:p w14:paraId="7257ECA2" w14:textId="77777777" w:rsidR="009C6940" w:rsidRPr="00EF7969" w:rsidRDefault="009C6940" w:rsidP="009C6940">
                  <w:pPr>
                    <w:pStyle w:val="TableColumnHeading"/>
                    <w:spacing w:before="120" w:after="0"/>
                    <w:jc w:val="left"/>
                    <w:rPr>
                      <w:i w:val="0"/>
                    </w:rPr>
                  </w:pPr>
                  <w:r w:rsidRPr="00EF7969">
                    <w:rPr>
                      <w:b/>
                      <w:i w:val="0"/>
                    </w:rPr>
                    <w:t xml:space="preserve">17 February 2020  — </w:t>
                  </w:r>
                  <w:r>
                    <w:rPr>
                      <w:b/>
                      <w:i w:val="0"/>
                    </w:rPr>
                    <w:t>Education System</w:t>
                  </w:r>
                </w:p>
              </w:tc>
              <w:tc>
                <w:tcPr>
                  <w:tcW w:w="2083" w:type="pct"/>
                  <w:tcBorders>
                    <w:top w:val="single" w:sz="6" w:space="0" w:color="BFBFBF"/>
                  </w:tcBorders>
                  <w:shd w:val="clear" w:color="auto" w:fill="auto"/>
                  <w:tcMar>
                    <w:top w:w="28" w:type="dxa"/>
                  </w:tcMar>
                  <w:vAlign w:val="center"/>
                </w:tcPr>
                <w:p w14:paraId="321DF39F" w14:textId="77777777" w:rsidR="009C6940" w:rsidRPr="00EF7969" w:rsidRDefault="009C6940" w:rsidP="009C6940">
                  <w:pPr>
                    <w:pStyle w:val="TableColumnHeading"/>
                    <w:spacing w:before="120" w:after="0"/>
                  </w:pPr>
                </w:p>
              </w:tc>
            </w:tr>
            <w:tr w:rsidR="009C6940" w:rsidRPr="00EF7969" w14:paraId="04AE7152" w14:textId="77777777" w:rsidTr="009C6940">
              <w:tc>
                <w:tcPr>
                  <w:tcW w:w="2917" w:type="pct"/>
                  <w:shd w:val="clear" w:color="auto" w:fill="auto"/>
                  <w:vAlign w:val="bottom"/>
                </w:tcPr>
                <w:p w14:paraId="2871F343" w14:textId="77777777" w:rsidR="009C6940" w:rsidRPr="00EF7969" w:rsidRDefault="009C6940" w:rsidP="009C6940">
                  <w:pPr>
                    <w:pStyle w:val="TableBodyText"/>
                    <w:jc w:val="left"/>
                  </w:pPr>
                  <w:r w:rsidRPr="00EF7969">
                    <w:t>Australian Government Department of Education</w:t>
                  </w:r>
                </w:p>
              </w:tc>
              <w:tc>
                <w:tcPr>
                  <w:tcW w:w="2083" w:type="pct"/>
                  <w:shd w:val="clear" w:color="auto" w:fill="auto"/>
                  <w:vAlign w:val="center"/>
                </w:tcPr>
                <w:p w14:paraId="368E1AFF" w14:textId="77777777" w:rsidR="009C6940" w:rsidRPr="00EF7969" w:rsidRDefault="009C6940" w:rsidP="009C6940">
                  <w:pPr>
                    <w:pStyle w:val="TableBodyText"/>
                  </w:pPr>
                  <w:r w:rsidRPr="00EF7969">
                    <w:t>Michelle Clewett</w:t>
                  </w:r>
                </w:p>
              </w:tc>
            </w:tr>
            <w:tr w:rsidR="009C6940" w:rsidRPr="00EF7969" w14:paraId="12CF598D" w14:textId="77777777" w:rsidTr="009C6940">
              <w:tc>
                <w:tcPr>
                  <w:tcW w:w="2917" w:type="pct"/>
                  <w:shd w:val="clear" w:color="auto" w:fill="auto"/>
                </w:tcPr>
                <w:p w14:paraId="333E119C" w14:textId="77777777" w:rsidR="009C6940" w:rsidRPr="00EF7969" w:rsidRDefault="009C6940" w:rsidP="009C6940">
                  <w:pPr>
                    <w:pStyle w:val="TableBodyText"/>
                    <w:jc w:val="left"/>
                  </w:pPr>
                  <w:r w:rsidRPr="00EF7969">
                    <w:t>Australian Heads of Independent Schools</w:t>
                  </w:r>
                </w:p>
              </w:tc>
              <w:tc>
                <w:tcPr>
                  <w:tcW w:w="2083" w:type="pct"/>
                  <w:shd w:val="clear" w:color="auto" w:fill="auto"/>
                  <w:vAlign w:val="center"/>
                </w:tcPr>
                <w:p w14:paraId="6F3657B3" w14:textId="77777777" w:rsidR="009C6940" w:rsidRPr="00EF7969" w:rsidRDefault="009C6940" w:rsidP="009C6940">
                  <w:pPr>
                    <w:pStyle w:val="TableBodyText"/>
                    <w:ind w:right="28"/>
                  </w:pPr>
                  <w:r w:rsidRPr="00EF7969">
                    <w:t>Beth Blackwood</w:t>
                  </w:r>
                </w:p>
              </w:tc>
            </w:tr>
            <w:tr w:rsidR="009C6940" w:rsidRPr="00EF7969" w14:paraId="40F96CAE" w14:textId="77777777" w:rsidTr="009C6940">
              <w:tc>
                <w:tcPr>
                  <w:tcW w:w="2917" w:type="pct"/>
                  <w:shd w:val="clear" w:color="auto" w:fill="auto"/>
                  <w:vAlign w:val="bottom"/>
                </w:tcPr>
                <w:p w14:paraId="37AB42E0" w14:textId="77777777" w:rsidR="009C6940" w:rsidRPr="00EF7969" w:rsidRDefault="009C6940" w:rsidP="009C6940">
                  <w:pPr>
                    <w:pStyle w:val="TableBodyText"/>
                    <w:jc w:val="left"/>
                  </w:pPr>
                  <w:r w:rsidRPr="00EF7969">
                    <w:t>Australian Institute for Teaching and School Leadership</w:t>
                  </w:r>
                </w:p>
              </w:tc>
              <w:tc>
                <w:tcPr>
                  <w:tcW w:w="2083" w:type="pct"/>
                  <w:shd w:val="clear" w:color="auto" w:fill="auto"/>
                  <w:vAlign w:val="center"/>
                </w:tcPr>
                <w:p w14:paraId="40315E3F" w14:textId="77777777" w:rsidR="009C6940" w:rsidRPr="00EF7969" w:rsidRDefault="009C6940" w:rsidP="009C6940">
                  <w:pPr>
                    <w:pStyle w:val="TableBodyText"/>
                    <w:ind w:right="28"/>
                  </w:pPr>
                  <w:r w:rsidRPr="00EF7969">
                    <w:t>Daniel Pinchas</w:t>
                  </w:r>
                </w:p>
              </w:tc>
            </w:tr>
            <w:tr w:rsidR="009C6940" w:rsidRPr="00EF7969" w14:paraId="6A52D448" w14:textId="77777777" w:rsidTr="009C6940">
              <w:tc>
                <w:tcPr>
                  <w:tcW w:w="2917" w:type="pct"/>
                  <w:shd w:val="clear" w:color="auto" w:fill="auto"/>
                </w:tcPr>
                <w:p w14:paraId="3BCB283A" w14:textId="77777777" w:rsidR="009C6940" w:rsidRPr="00EF7969" w:rsidRDefault="009C6940" w:rsidP="009C6940">
                  <w:pPr>
                    <w:pStyle w:val="TableBodyText"/>
                    <w:jc w:val="left"/>
                  </w:pPr>
                  <w:r w:rsidRPr="00EF7969">
                    <w:t>Australian Primary Principals Association</w:t>
                  </w:r>
                </w:p>
              </w:tc>
              <w:tc>
                <w:tcPr>
                  <w:tcW w:w="2083" w:type="pct"/>
                  <w:shd w:val="clear" w:color="auto" w:fill="auto"/>
                  <w:vAlign w:val="center"/>
                </w:tcPr>
                <w:p w14:paraId="7BD30AD0" w14:textId="77777777" w:rsidR="009C6940" w:rsidRPr="00EF7969" w:rsidRDefault="009C6940" w:rsidP="009C6940">
                  <w:pPr>
                    <w:pStyle w:val="TableBodyText"/>
                    <w:ind w:right="28"/>
                  </w:pPr>
                  <w:r w:rsidRPr="00EF7969">
                    <w:t>Michael Nutall</w:t>
                  </w:r>
                </w:p>
              </w:tc>
            </w:tr>
            <w:tr w:rsidR="009C6940" w:rsidRPr="00EF7969" w14:paraId="5E9475D9" w14:textId="77777777" w:rsidTr="009C6940">
              <w:tc>
                <w:tcPr>
                  <w:tcW w:w="2917" w:type="pct"/>
                  <w:shd w:val="clear" w:color="auto" w:fill="auto"/>
                </w:tcPr>
                <w:p w14:paraId="06A6BEC7" w14:textId="77777777" w:rsidR="009C6940" w:rsidRPr="00EF7969" w:rsidRDefault="009C6940" w:rsidP="009C6940">
                  <w:pPr>
                    <w:pStyle w:val="TableBodyText"/>
                    <w:jc w:val="left"/>
                  </w:pPr>
                  <w:r w:rsidRPr="00EF7969">
                    <w:t>Australian Psychologists and Counsellors in Schools</w:t>
                  </w:r>
                </w:p>
              </w:tc>
              <w:tc>
                <w:tcPr>
                  <w:tcW w:w="2083" w:type="pct"/>
                  <w:shd w:val="clear" w:color="auto" w:fill="auto"/>
                  <w:vAlign w:val="center"/>
                </w:tcPr>
                <w:p w14:paraId="45F18BFE" w14:textId="77777777" w:rsidR="009C6940" w:rsidRPr="00EF7969" w:rsidRDefault="009C6940" w:rsidP="009C6940">
                  <w:pPr>
                    <w:pStyle w:val="TableBodyText"/>
                    <w:ind w:right="28"/>
                  </w:pPr>
                  <w:r w:rsidRPr="00EF7969">
                    <w:t>Marylin Campbell</w:t>
                  </w:r>
                </w:p>
              </w:tc>
            </w:tr>
            <w:tr w:rsidR="009C6940" w:rsidRPr="00EF7969" w14:paraId="50C633A3" w14:textId="77777777" w:rsidTr="009C6940">
              <w:tc>
                <w:tcPr>
                  <w:tcW w:w="2917" w:type="pct"/>
                  <w:shd w:val="clear" w:color="auto" w:fill="auto"/>
                </w:tcPr>
                <w:p w14:paraId="0079F93A" w14:textId="77777777" w:rsidR="009C6940" w:rsidRPr="00EF7969" w:rsidRDefault="009C6940" w:rsidP="009C6940">
                  <w:pPr>
                    <w:pStyle w:val="TableBodyText"/>
                    <w:jc w:val="left"/>
                  </w:pPr>
                  <w:r w:rsidRPr="00EF7969">
                    <w:t>Australian Secondary Principals Association</w:t>
                  </w:r>
                </w:p>
              </w:tc>
              <w:tc>
                <w:tcPr>
                  <w:tcW w:w="2083" w:type="pct"/>
                  <w:shd w:val="clear" w:color="auto" w:fill="auto"/>
                  <w:vAlign w:val="center"/>
                </w:tcPr>
                <w:p w14:paraId="625ACF0E" w14:textId="77777777" w:rsidR="009C6940" w:rsidRPr="00EF7969" w:rsidRDefault="009C6940" w:rsidP="009C6940">
                  <w:pPr>
                    <w:pStyle w:val="TableBodyText"/>
                    <w:ind w:right="28"/>
                  </w:pPr>
                  <w:r w:rsidRPr="00EF7969">
                    <w:t>Andrew Pierpoint</w:t>
                  </w:r>
                </w:p>
              </w:tc>
            </w:tr>
            <w:tr w:rsidR="009C6940" w:rsidRPr="00EF7969" w14:paraId="59A6BF9B" w14:textId="77777777" w:rsidTr="009C6940">
              <w:tc>
                <w:tcPr>
                  <w:tcW w:w="2917" w:type="pct"/>
                  <w:shd w:val="clear" w:color="auto" w:fill="auto"/>
                </w:tcPr>
                <w:p w14:paraId="5EB7DA91" w14:textId="77777777" w:rsidR="009C6940" w:rsidRPr="00EF7969" w:rsidRDefault="009C6940" w:rsidP="009C6940">
                  <w:pPr>
                    <w:pStyle w:val="TableBodyText"/>
                    <w:jc w:val="left"/>
                  </w:pPr>
                  <w:r w:rsidRPr="00EF7969">
                    <w:t>Be You</w:t>
                  </w:r>
                </w:p>
              </w:tc>
              <w:tc>
                <w:tcPr>
                  <w:tcW w:w="2083" w:type="pct"/>
                  <w:shd w:val="clear" w:color="auto" w:fill="auto"/>
                  <w:vAlign w:val="center"/>
                </w:tcPr>
                <w:p w14:paraId="4E48CB29" w14:textId="77777777" w:rsidR="009C6940" w:rsidRPr="00EF7969" w:rsidRDefault="009C6940" w:rsidP="009C6940">
                  <w:pPr>
                    <w:pStyle w:val="TableBodyText"/>
                    <w:ind w:right="28"/>
                  </w:pPr>
                  <w:r w:rsidRPr="00EF7969">
                    <w:t>Jason Davies-Kildea</w:t>
                  </w:r>
                </w:p>
              </w:tc>
            </w:tr>
            <w:tr w:rsidR="009C6940" w:rsidRPr="00EF7969" w14:paraId="5F11A57D" w14:textId="77777777" w:rsidTr="009C6940">
              <w:tc>
                <w:tcPr>
                  <w:tcW w:w="2917" w:type="pct"/>
                  <w:shd w:val="clear" w:color="auto" w:fill="auto"/>
                </w:tcPr>
                <w:p w14:paraId="6D1183BC" w14:textId="77777777" w:rsidR="009C6940" w:rsidRPr="00EF7969" w:rsidRDefault="009C6940" w:rsidP="009C6940">
                  <w:pPr>
                    <w:pStyle w:val="TableBodyText"/>
                    <w:jc w:val="left"/>
                  </w:pPr>
                  <w:r w:rsidRPr="00EF7969">
                    <w:t>Beyond  Blue</w:t>
                  </w:r>
                </w:p>
              </w:tc>
              <w:tc>
                <w:tcPr>
                  <w:tcW w:w="2083" w:type="pct"/>
                  <w:shd w:val="clear" w:color="auto" w:fill="auto"/>
                  <w:vAlign w:val="center"/>
                </w:tcPr>
                <w:p w14:paraId="53F7A8C0" w14:textId="77777777" w:rsidR="009C6940" w:rsidRPr="00EF7969" w:rsidRDefault="009C6940" w:rsidP="009C6940">
                  <w:pPr>
                    <w:pStyle w:val="TableBodyText"/>
                    <w:ind w:right="28"/>
                  </w:pPr>
                  <w:r w:rsidRPr="00EF7969">
                    <w:t>Louisa Ellum</w:t>
                  </w:r>
                </w:p>
              </w:tc>
            </w:tr>
            <w:tr w:rsidR="009C6940" w:rsidRPr="00EF7969" w14:paraId="558FB3DF" w14:textId="77777777" w:rsidTr="009C6940">
              <w:tc>
                <w:tcPr>
                  <w:tcW w:w="2917" w:type="pct"/>
                  <w:shd w:val="clear" w:color="auto" w:fill="auto"/>
                  <w:vAlign w:val="center"/>
                </w:tcPr>
                <w:p w14:paraId="4306A126" w14:textId="77777777" w:rsidR="009C6940" w:rsidRPr="00EF7969" w:rsidRDefault="009C6940" w:rsidP="009C6940">
                  <w:pPr>
                    <w:pStyle w:val="TableBodyText"/>
                    <w:jc w:val="left"/>
                  </w:pPr>
                  <w:r w:rsidRPr="00EF7969">
                    <w:t>Catholic Education Melbourne</w:t>
                  </w:r>
                </w:p>
              </w:tc>
              <w:tc>
                <w:tcPr>
                  <w:tcW w:w="2083" w:type="pct"/>
                  <w:shd w:val="clear" w:color="auto" w:fill="auto"/>
                  <w:vAlign w:val="center"/>
                </w:tcPr>
                <w:p w14:paraId="7061087E" w14:textId="77777777" w:rsidR="009C6940" w:rsidRPr="00EF7969" w:rsidRDefault="009C6940" w:rsidP="009C6940">
                  <w:pPr>
                    <w:pStyle w:val="TableBodyText"/>
                    <w:ind w:right="28"/>
                  </w:pPr>
                  <w:r w:rsidRPr="00EF7969">
                    <w:t>Dennis Torpy</w:t>
                  </w:r>
                </w:p>
              </w:tc>
            </w:tr>
            <w:tr w:rsidR="009C6940" w:rsidRPr="00EF7969" w14:paraId="3BE511AB" w14:textId="77777777" w:rsidTr="009C6940">
              <w:tc>
                <w:tcPr>
                  <w:tcW w:w="2917" w:type="pct"/>
                </w:tcPr>
                <w:p w14:paraId="04F453A6" w14:textId="77777777" w:rsidR="009C6940" w:rsidRPr="00EF7969" w:rsidRDefault="009C6940" w:rsidP="009C6940">
                  <w:pPr>
                    <w:pStyle w:val="TableBodyText"/>
                    <w:jc w:val="left"/>
                  </w:pPr>
                  <w:r w:rsidRPr="00EF7969">
                    <w:t>Headspace Schools</w:t>
                  </w:r>
                </w:p>
              </w:tc>
              <w:tc>
                <w:tcPr>
                  <w:tcW w:w="2083" w:type="pct"/>
                  <w:vAlign w:val="center"/>
                </w:tcPr>
                <w:p w14:paraId="2C39AE6B" w14:textId="77777777" w:rsidR="009C6940" w:rsidRPr="00EF7969" w:rsidRDefault="009C6940" w:rsidP="009C6940">
                  <w:pPr>
                    <w:pStyle w:val="TableBodyText"/>
                    <w:ind w:right="28"/>
                  </w:pPr>
                  <w:r w:rsidRPr="00EF7969">
                    <w:t>Kristen Douglas</w:t>
                  </w:r>
                </w:p>
              </w:tc>
            </w:tr>
            <w:tr w:rsidR="009C6940" w:rsidRPr="00EF7969" w14:paraId="2CF17419" w14:textId="77777777" w:rsidTr="009C6940">
              <w:tc>
                <w:tcPr>
                  <w:tcW w:w="2917" w:type="pct"/>
                  <w:shd w:val="clear" w:color="auto" w:fill="auto"/>
                  <w:vAlign w:val="bottom"/>
                </w:tcPr>
                <w:p w14:paraId="5DE39BF2" w14:textId="77777777" w:rsidR="009C6940" w:rsidRPr="00EF7969" w:rsidRDefault="009C6940" w:rsidP="009C6940">
                  <w:pPr>
                    <w:pStyle w:val="TableBodyText"/>
                    <w:jc w:val="left"/>
                  </w:pPr>
                  <w:r w:rsidRPr="00EF7969">
                    <w:t>La Trobe University</w:t>
                  </w:r>
                </w:p>
              </w:tc>
              <w:tc>
                <w:tcPr>
                  <w:tcW w:w="2083" w:type="pct"/>
                  <w:shd w:val="clear" w:color="auto" w:fill="auto"/>
                  <w:vAlign w:val="center"/>
                </w:tcPr>
                <w:p w14:paraId="7FE2700C" w14:textId="77777777" w:rsidR="009C6940" w:rsidRPr="00EF7969" w:rsidRDefault="009C6940" w:rsidP="009C6940">
                  <w:pPr>
                    <w:pStyle w:val="TableBodyText"/>
                  </w:pPr>
                  <w:r w:rsidRPr="00EF7969">
                    <w:t xml:space="preserve">Joanna Barbousas </w:t>
                  </w:r>
                </w:p>
              </w:tc>
            </w:tr>
            <w:tr w:rsidR="009C6940" w:rsidRPr="00EF7969" w14:paraId="32C29748" w14:textId="77777777" w:rsidTr="009C6940">
              <w:tc>
                <w:tcPr>
                  <w:tcW w:w="2917" w:type="pct"/>
                  <w:shd w:val="clear" w:color="auto" w:fill="auto"/>
                </w:tcPr>
                <w:p w14:paraId="45FFA0BF" w14:textId="77777777" w:rsidR="009C6940" w:rsidRPr="00EF7969" w:rsidRDefault="009C6940" w:rsidP="009C6940">
                  <w:pPr>
                    <w:pStyle w:val="TableBodyText"/>
                    <w:jc w:val="left"/>
                  </w:pPr>
                  <w:r w:rsidRPr="00EF7969">
                    <w:t>Melbourne Graduate School of Education</w:t>
                  </w:r>
                </w:p>
              </w:tc>
              <w:tc>
                <w:tcPr>
                  <w:tcW w:w="2083" w:type="pct"/>
                  <w:shd w:val="clear" w:color="auto" w:fill="auto"/>
                  <w:vAlign w:val="center"/>
                </w:tcPr>
                <w:p w14:paraId="7AC6AC08" w14:textId="77777777" w:rsidR="009C6940" w:rsidRPr="00EF7969" w:rsidRDefault="009C6940" w:rsidP="009C6940">
                  <w:pPr>
                    <w:pStyle w:val="TableBodyText"/>
                    <w:ind w:right="28"/>
                  </w:pPr>
                  <w:r w:rsidRPr="00EF7969">
                    <w:t>Jim Watterston</w:t>
                  </w:r>
                </w:p>
              </w:tc>
            </w:tr>
            <w:tr w:rsidR="009C6940" w:rsidRPr="00EF7969" w14:paraId="6657508E" w14:textId="77777777" w:rsidTr="009C6940">
              <w:tc>
                <w:tcPr>
                  <w:tcW w:w="2917" w:type="pct"/>
                </w:tcPr>
                <w:p w14:paraId="6E32800B" w14:textId="77777777" w:rsidR="009C6940" w:rsidRPr="00EF7969" w:rsidRDefault="009C6940" w:rsidP="009C6940">
                  <w:pPr>
                    <w:pStyle w:val="TableUnitsRow"/>
                    <w:spacing w:before="0"/>
                    <w:jc w:val="left"/>
                  </w:pPr>
                  <w:r w:rsidRPr="00EF7969">
                    <w:t>Murdoch Children’s Research Institute</w:t>
                  </w:r>
                </w:p>
              </w:tc>
              <w:tc>
                <w:tcPr>
                  <w:tcW w:w="2083" w:type="pct"/>
                  <w:vAlign w:val="center"/>
                </w:tcPr>
                <w:p w14:paraId="22670C80" w14:textId="77777777" w:rsidR="009C6940" w:rsidRPr="00EF7969" w:rsidRDefault="009C6940" w:rsidP="009C6940">
                  <w:pPr>
                    <w:pStyle w:val="TableUnitsRow"/>
                    <w:spacing w:before="0"/>
                    <w:ind w:right="28"/>
                  </w:pPr>
                  <w:r w:rsidRPr="00EF7969">
                    <w:t>Frank Oberklaid</w:t>
                  </w:r>
                </w:p>
              </w:tc>
            </w:tr>
            <w:tr w:rsidR="009C6940" w:rsidRPr="00EF7969" w14:paraId="7D4873C4" w14:textId="77777777" w:rsidTr="009C6940">
              <w:tc>
                <w:tcPr>
                  <w:tcW w:w="2917" w:type="pct"/>
                  <w:shd w:val="clear" w:color="auto" w:fill="auto"/>
                  <w:vAlign w:val="bottom"/>
                </w:tcPr>
                <w:p w14:paraId="3EBA516B" w14:textId="77777777" w:rsidR="009C6940" w:rsidRPr="00EF7969" w:rsidRDefault="009C6940" w:rsidP="009C6940">
                  <w:pPr>
                    <w:pStyle w:val="TableBodyText"/>
                    <w:jc w:val="left"/>
                  </w:pPr>
                  <w:r w:rsidRPr="00EF7969">
                    <w:t>NSW Education Standards Authority</w:t>
                  </w:r>
                </w:p>
              </w:tc>
              <w:tc>
                <w:tcPr>
                  <w:tcW w:w="2083" w:type="pct"/>
                  <w:shd w:val="clear" w:color="auto" w:fill="auto"/>
                  <w:vAlign w:val="center"/>
                </w:tcPr>
                <w:p w14:paraId="0CD25D0D" w14:textId="77777777" w:rsidR="009C6940" w:rsidRPr="00EF7969" w:rsidRDefault="009C6940" w:rsidP="009C6940">
                  <w:pPr>
                    <w:pStyle w:val="TableBodyText"/>
                  </w:pPr>
                  <w:r w:rsidRPr="00EF7969">
                    <w:t>Lyn Kirkby</w:t>
                  </w:r>
                </w:p>
              </w:tc>
            </w:tr>
            <w:tr w:rsidR="009C6940" w:rsidRPr="00EF7969" w14:paraId="33B23BD6" w14:textId="77777777" w:rsidTr="009C6940">
              <w:tc>
                <w:tcPr>
                  <w:tcW w:w="2917" w:type="pct"/>
                  <w:shd w:val="clear" w:color="auto" w:fill="auto"/>
                </w:tcPr>
                <w:p w14:paraId="5F8E214F" w14:textId="77777777" w:rsidR="009C6940" w:rsidRPr="00EF7969" w:rsidRDefault="009C6940" w:rsidP="009C6940">
                  <w:pPr>
                    <w:pStyle w:val="TableBodyText"/>
                    <w:jc w:val="left"/>
                  </w:pPr>
                  <w:r w:rsidRPr="00EF7969">
                    <w:t>Qld Department of Education</w:t>
                  </w:r>
                </w:p>
              </w:tc>
              <w:tc>
                <w:tcPr>
                  <w:tcW w:w="2083" w:type="pct"/>
                  <w:shd w:val="clear" w:color="auto" w:fill="auto"/>
                  <w:vAlign w:val="center"/>
                </w:tcPr>
                <w:p w14:paraId="6AA0BE52" w14:textId="77777777" w:rsidR="009C6940" w:rsidRPr="00EF7969" w:rsidRDefault="009C6940" w:rsidP="009C6940">
                  <w:pPr>
                    <w:pStyle w:val="TableBodyText"/>
                    <w:ind w:right="28"/>
                  </w:pPr>
                  <w:r w:rsidRPr="00EF7969">
                    <w:t>Hayley Stevenson</w:t>
                  </w:r>
                </w:p>
              </w:tc>
            </w:tr>
            <w:tr w:rsidR="009C6940" w:rsidRPr="00EF7969" w14:paraId="0650F505" w14:textId="77777777" w:rsidTr="009C6940">
              <w:tc>
                <w:tcPr>
                  <w:tcW w:w="2917" w:type="pct"/>
                  <w:shd w:val="clear" w:color="auto" w:fill="auto"/>
                  <w:vAlign w:val="bottom"/>
                </w:tcPr>
                <w:p w14:paraId="57AE57BC" w14:textId="77777777" w:rsidR="009C6940" w:rsidRPr="00EF7969" w:rsidRDefault="009C6940" w:rsidP="009C6940">
                  <w:pPr>
                    <w:pStyle w:val="TableBodyText"/>
                    <w:jc w:val="left"/>
                  </w:pPr>
                  <w:r w:rsidRPr="00EF7969">
                    <w:t>Rosebud Secondary College</w:t>
                  </w:r>
                </w:p>
              </w:tc>
              <w:tc>
                <w:tcPr>
                  <w:tcW w:w="2083" w:type="pct"/>
                  <w:shd w:val="clear" w:color="auto" w:fill="auto"/>
                  <w:vAlign w:val="center"/>
                </w:tcPr>
                <w:p w14:paraId="56689CB7" w14:textId="77777777" w:rsidR="009C6940" w:rsidRPr="00EF7969" w:rsidRDefault="009C6940" w:rsidP="009C6940">
                  <w:pPr>
                    <w:pStyle w:val="TableBodyText"/>
                    <w:ind w:right="28"/>
                  </w:pPr>
                  <w:r w:rsidRPr="00EF7969">
                    <w:t xml:space="preserve">Clorinda Siemenowicz </w:t>
                  </w:r>
                </w:p>
              </w:tc>
            </w:tr>
            <w:tr w:rsidR="009C6940" w:rsidRPr="00EF7969" w14:paraId="3B634E94" w14:textId="77777777" w:rsidTr="009C6940">
              <w:tc>
                <w:tcPr>
                  <w:tcW w:w="2917" w:type="pct"/>
                  <w:shd w:val="clear" w:color="auto" w:fill="auto"/>
                  <w:vAlign w:val="center"/>
                </w:tcPr>
                <w:p w14:paraId="6AD480CE" w14:textId="77777777" w:rsidR="009C6940" w:rsidRPr="00EF7969" w:rsidRDefault="009C6940" w:rsidP="009C6940">
                  <w:pPr>
                    <w:pStyle w:val="TableBodyText"/>
                    <w:jc w:val="left"/>
                  </w:pPr>
                  <w:r w:rsidRPr="00EF7969">
                    <w:t>SA Department of Education</w:t>
                  </w:r>
                </w:p>
              </w:tc>
              <w:tc>
                <w:tcPr>
                  <w:tcW w:w="2083" w:type="pct"/>
                  <w:shd w:val="clear" w:color="auto" w:fill="auto"/>
                  <w:vAlign w:val="center"/>
                </w:tcPr>
                <w:p w14:paraId="755E3D51" w14:textId="77777777" w:rsidR="009C6940" w:rsidRPr="00EF7969" w:rsidRDefault="009C6940" w:rsidP="009C6940">
                  <w:pPr>
                    <w:pStyle w:val="TableBodyText"/>
                  </w:pPr>
                  <w:r w:rsidRPr="00EF7969">
                    <w:t>Katerina Eleutheriou</w:t>
                  </w:r>
                </w:p>
              </w:tc>
            </w:tr>
            <w:tr w:rsidR="009C6940" w:rsidRPr="00EF7969" w14:paraId="0BB511E9" w14:textId="77777777" w:rsidTr="009C6940">
              <w:tc>
                <w:tcPr>
                  <w:tcW w:w="2917" w:type="pct"/>
                  <w:shd w:val="clear" w:color="auto" w:fill="auto"/>
                </w:tcPr>
                <w:p w14:paraId="6BCA4ADF" w14:textId="77777777" w:rsidR="009C6940" w:rsidRPr="00EF7969" w:rsidRDefault="009C6940" w:rsidP="009C6940">
                  <w:pPr>
                    <w:pStyle w:val="TableBodyText"/>
                    <w:jc w:val="left"/>
                  </w:pPr>
                  <w:r w:rsidRPr="00EF7969">
                    <w:t>St Charles Borromeo Primary School</w:t>
                  </w:r>
                </w:p>
              </w:tc>
              <w:tc>
                <w:tcPr>
                  <w:tcW w:w="2083" w:type="pct"/>
                  <w:shd w:val="clear" w:color="auto" w:fill="auto"/>
                  <w:vAlign w:val="center"/>
                </w:tcPr>
                <w:p w14:paraId="4AA73550" w14:textId="77777777" w:rsidR="009C6940" w:rsidRPr="00EF7969" w:rsidRDefault="009C6940" w:rsidP="009C6940">
                  <w:pPr>
                    <w:pStyle w:val="TableBodyText"/>
                    <w:ind w:right="28"/>
                  </w:pPr>
                  <w:r w:rsidRPr="00EF7969">
                    <w:t>Sue Cahill</w:t>
                  </w:r>
                </w:p>
              </w:tc>
            </w:tr>
            <w:tr w:rsidR="009C6940" w:rsidRPr="00EF7969" w14:paraId="0AEF1AE5" w14:textId="77777777" w:rsidTr="009C6940">
              <w:tc>
                <w:tcPr>
                  <w:tcW w:w="2917" w:type="pct"/>
                  <w:shd w:val="clear" w:color="auto" w:fill="auto"/>
                  <w:vAlign w:val="bottom"/>
                </w:tcPr>
                <w:p w14:paraId="3C7CD4F0" w14:textId="77777777" w:rsidR="009C6940" w:rsidRPr="00EF7969" w:rsidRDefault="009C6940" w:rsidP="009C6940">
                  <w:pPr>
                    <w:pStyle w:val="TableBodyText"/>
                    <w:jc w:val="left"/>
                  </w:pPr>
                  <w:r w:rsidRPr="00EF7969">
                    <w:t>Victorian Department of Education</w:t>
                  </w:r>
                </w:p>
              </w:tc>
              <w:tc>
                <w:tcPr>
                  <w:tcW w:w="2083" w:type="pct"/>
                  <w:shd w:val="clear" w:color="auto" w:fill="auto"/>
                  <w:vAlign w:val="center"/>
                </w:tcPr>
                <w:p w14:paraId="1C01C4FF" w14:textId="77777777" w:rsidR="009C6940" w:rsidRPr="00EF7969" w:rsidRDefault="009C6940" w:rsidP="009C6940">
                  <w:pPr>
                    <w:pStyle w:val="TableBodyText"/>
                  </w:pPr>
                  <w:r w:rsidRPr="00EF7969">
                    <w:t xml:space="preserve">Justin McDonnell </w:t>
                  </w:r>
                </w:p>
              </w:tc>
            </w:tr>
          </w:tbl>
          <w:p w14:paraId="11E775C5" w14:textId="77777777" w:rsidR="009C6940" w:rsidRPr="00EF7969" w:rsidRDefault="009C6940" w:rsidP="009C6940">
            <w:pPr>
              <w:pStyle w:val="Box"/>
            </w:pPr>
          </w:p>
        </w:tc>
      </w:tr>
      <w:tr w:rsidR="009C6940" w14:paraId="2FC56295" w14:textId="77777777" w:rsidTr="009C6940">
        <w:tc>
          <w:tcPr>
            <w:tcW w:w="5000" w:type="pct"/>
            <w:tcBorders>
              <w:top w:val="single" w:sz="4" w:space="0" w:color="D9D9D9"/>
              <w:left w:val="nil"/>
              <w:bottom w:val="single" w:sz="6" w:space="0" w:color="78A22F"/>
              <w:right w:val="nil"/>
            </w:tcBorders>
            <w:shd w:val="clear" w:color="auto" w:fill="auto"/>
          </w:tcPr>
          <w:p w14:paraId="7C750172" w14:textId="77777777" w:rsidR="009C6940" w:rsidRDefault="009C6940" w:rsidP="009C6940">
            <w:pPr>
              <w:pStyle w:val="Box"/>
              <w:spacing w:before="0" w:line="120" w:lineRule="exact"/>
            </w:pPr>
          </w:p>
        </w:tc>
      </w:tr>
      <w:tr w:rsidR="009C6940" w:rsidRPr="000863A5" w14:paraId="08828C33" w14:textId="77777777" w:rsidTr="009C6940">
        <w:tc>
          <w:tcPr>
            <w:tcW w:w="5000" w:type="pct"/>
            <w:tcBorders>
              <w:top w:val="single" w:sz="6" w:space="0" w:color="78A22F"/>
              <w:left w:val="nil"/>
              <w:bottom w:val="nil"/>
              <w:right w:val="nil"/>
            </w:tcBorders>
          </w:tcPr>
          <w:p w14:paraId="4263C4D2" w14:textId="77777777" w:rsidR="009C6940" w:rsidRPr="00626D32" w:rsidRDefault="009C6940" w:rsidP="009C6940">
            <w:pPr>
              <w:pStyle w:val="BoxSpaceBelow"/>
            </w:pPr>
          </w:p>
        </w:tc>
      </w:tr>
    </w:tbl>
    <w:p w14:paraId="13494730" w14:textId="77777777" w:rsidR="009C6940" w:rsidRDefault="009C6940" w:rsidP="009C6940">
      <w:pPr>
        <w:pStyle w:val="BodyText"/>
      </w:pPr>
    </w:p>
    <w:p w14:paraId="7D3CBAED" w14:textId="77777777" w:rsidR="009C6940" w:rsidRDefault="009C6940" w:rsidP="009C6940">
      <w:pPr>
        <w:sectPr w:rsidR="009C6940" w:rsidSect="0085206F">
          <w:headerReference w:type="even" r:id="rId14"/>
          <w:headerReference w:type="default" r:id="rId15"/>
          <w:footerReference w:type="even" r:id="rId16"/>
          <w:footerReference w:type="default" r:id="rId17"/>
          <w:type w:val="oddPage"/>
          <w:pgSz w:w="11907" w:h="16840" w:code="9"/>
          <w:pgMar w:top="1985" w:right="1304" w:bottom="1247" w:left="1814" w:header="1701" w:footer="397" w:gutter="0"/>
          <w:pgNumType w:chapSep="period"/>
          <w:cols w:space="720"/>
          <w:docGrid w:linePitch="326"/>
        </w:sectPr>
      </w:pPr>
    </w:p>
    <w:p w14:paraId="1DDC02AC" w14:textId="77777777" w:rsidR="009C6940" w:rsidRDefault="009C6940" w:rsidP="0085206F">
      <w:pPr>
        <w:pStyle w:val="Heading1"/>
      </w:pPr>
      <w:r>
        <w:lastRenderedPageBreak/>
        <w:t>C</w:t>
      </w:r>
      <w:r>
        <w:tab/>
        <w:t>Income and employment support</w:t>
      </w:r>
    </w:p>
    <w:p w14:paraId="1C5F3B9B" w14:textId="77777777" w:rsidR="009C6940" w:rsidRDefault="009C6940" w:rsidP="009C6940">
      <w:pPr>
        <w:pStyle w:val="BodyText"/>
        <w:keepNext/>
      </w:pPr>
      <w:r w:rsidRPr="006E4E8D">
        <w:t>This appendix provides further detail on:</w:t>
      </w:r>
    </w:p>
    <w:p w14:paraId="0C7E68DA" w14:textId="77777777" w:rsidR="009C6940" w:rsidRDefault="009C6940">
      <w:pPr>
        <w:pStyle w:val="ListBullet"/>
      </w:pPr>
      <w:r>
        <w:t>the current income and employment support system — including key payments (</w:t>
      </w:r>
      <w:r w:rsidRPr="0048186A">
        <w:t>Disability Support Pension</w:t>
      </w:r>
      <w:r>
        <w:t xml:space="preserve"> (DSP)</w:t>
      </w:r>
      <w:r w:rsidRPr="0048186A">
        <w:t xml:space="preserve">, </w:t>
      </w:r>
      <w:r>
        <w:t>JobSeeker Payment, Yout</w:t>
      </w:r>
      <w:r w:rsidRPr="0048186A">
        <w:t>h Allowance</w:t>
      </w:r>
      <w:r>
        <w:t>) and key employment programs (jobactive, Disability Employment Services (DES), Community Development Program (CDP))</w:t>
      </w:r>
    </w:p>
    <w:p w14:paraId="688927DE" w14:textId="77777777" w:rsidR="009C6940" w:rsidRPr="0048186A" w:rsidRDefault="009C6940" w:rsidP="009C6940">
      <w:pPr>
        <w:pStyle w:val="ListBullet"/>
      </w:pPr>
      <w:r>
        <w:t>mechanisms that stream</w:t>
      </w:r>
      <w:r w:rsidRPr="0048186A" w:rsidDel="00D702D9">
        <w:t xml:space="preserve"> income support </w:t>
      </w:r>
      <w:r>
        <w:t>recipients into employment support programs (Job Seeker Classification Instrument (JSCI) and Employment Services Assessment (ESAt))</w:t>
      </w:r>
    </w:p>
    <w:p w14:paraId="70CB6416" w14:textId="77777777" w:rsidR="009C6940" w:rsidRDefault="009C6940" w:rsidP="009C6940">
      <w:pPr>
        <w:pStyle w:val="ListBullet"/>
      </w:pPr>
      <w:r w:rsidRPr="0048186A">
        <w:t xml:space="preserve">the </w:t>
      </w:r>
      <w:r w:rsidRPr="0017305E">
        <w:t>Individual Placement and Support</w:t>
      </w:r>
      <w:r>
        <w:t xml:space="preserve"> (IPS)</w:t>
      </w:r>
      <w:r w:rsidRPr="0017305E">
        <w:t xml:space="preserve"> model </w:t>
      </w:r>
      <w:r>
        <w:t>of</w:t>
      </w:r>
      <w:r w:rsidRPr="0017305E">
        <w:t xml:space="preserve"> employment support</w:t>
      </w:r>
    </w:p>
    <w:p w14:paraId="45CB842C" w14:textId="77777777" w:rsidR="009C6940" w:rsidRDefault="009C6940" w:rsidP="009C6940">
      <w:pPr>
        <w:pStyle w:val="ListBullet"/>
      </w:pPr>
      <w:r>
        <w:t xml:space="preserve">employment support program mutual obligation requirements (MORs) </w:t>
      </w:r>
    </w:p>
    <w:p w14:paraId="2B9A6048" w14:textId="77777777" w:rsidR="009C6940" w:rsidRDefault="009C6940" w:rsidP="009C6940">
      <w:pPr>
        <w:pStyle w:val="ListBullet"/>
      </w:pPr>
      <w:r>
        <w:t>temporary changes to the income and employment support system in response to the COVID</w:t>
      </w:r>
      <w:r>
        <w:noBreakHyphen/>
        <w:t>19 pandemic.</w:t>
      </w:r>
    </w:p>
    <w:p w14:paraId="5C6C6AE5" w14:textId="77777777" w:rsidR="009C6940" w:rsidRDefault="009C6940" w:rsidP="009C6940">
      <w:pPr>
        <w:pStyle w:val="Heading2"/>
      </w:pPr>
      <w:r>
        <w:t>C.</w:t>
      </w:r>
      <w:r>
        <w:rPr>
          <w:noProof/>
        </w:rPr>
        <w:t>1</w:t>
      </w:r>
      <w:r>
        <w:tab/>
        <w:t>The income and employment support system</w:t>
      </w:r>
    </w:p>
    <w:p w14:paraId="464DAAA2" w14:textId="77777777" w:rsidR="009C6940" w:rsidRDefault="009C6940" w:rsidP="009C6940">
      <w:pPr>
        <w:pStyle w:val="Heading3"/>
        <w:spacing w:before="280"/>
      </w:pPr>
      <w:r>
        <w:t>Income support payments</w:t>
      </w:r>
    </w:p>
    <w:p w14:paraId="2C97E1B8" w14:textId="77777777" w:rsidR="009C6940" w:rsidRDefault="009C6940" w:rsidP="009C6940">
      <w:pPr>
        <w:pStyle w:val="BodyText"/>
      </w:pPr>
      <w:r w:rsidRPr="004B14CC">
        <w:t>Income support payments have different sized cohorts, payment rates</w:t>
      </w:r>
      <w:r>
        <w:t xml:space="preserve"> and eligibility criteria </w:t>
      </w:r>
      <w:r w:rsidRPr="004B14CC">
        <w:t>(table</w:t>
      </w:r>
      <w:r>
        <w:t> C.1</w:t>
      </w:r>
      <w:r w:rsidRPr="004B14CC">
        <w:t>).</w:t>
      </w:r>
      <w:r>
        <w:t xml:space="preserve"> Temporary changes were made to payments as part of the Australian Government response to the COVID</w:t>
      </w:r>
      <w:r>
        <w:noBreakHyphen/>
        <w:t xml:space="preserve">19 pandemic (section C.5). </w:t>
      </w:r>
    </w:p>
    <w:p w14:paraId="59BB13A7"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9C6940" w14:paraId="14FEA87C" w14:textId="77777777" w:rsidTr="009C6940">
        <w:trPr>
          <w:tblHeader/>
        </w:trPr>
        <w:tc>
          <w:tcPr>
            <w:tcW w:w="5000" w:type="pct"/>
            <w:tcBorders>
              <w:top w:val="single" w:sz="6" w:space="0" w:color="78A22F"/>
              <w:left w:val="nil"/>
              <w:bottom w:val="nil"/>
              <w:right w:val="nil"/>
            </w:tcBorders>
            <w:shd w:val="clear" w:color="auto" w:fill="auto"/>
          </w:tcPr>
          <w:p w14:paraId="78EDD644" w14:textId="77777777" w:rsidR="009C6940" w:rsidRDefault="009C6940" w:rsidP="009C6940">
            <w:pPr>
              <w:pStyle w:val="TableTitle"/>
            </w:pPr>
            <w:r>
              <w:rPr>
                <w:b w:val="0"/>
              </w:rPr>
              <w:t>Table C.</w:t>
            </w:r>
            <w:r>
              <w:rPr>
                <w:b w:val="0"/>
                <w:noProof/>
              </w:rPr>
              <w:t>1</w:t>
            </w:r>
            <w:r>
              <w:tab/>
              <w:t>Comparison of key income support payments</w:t>
            </w:r>
          </w:p>
          <w:p w14:paraId="5741DE6C" w14:textId="77777777" w:rsidR="009C6940" w:rsidRPr="00784A05" w:rsidRDefault="009C6940" w:rsidP="009C6940">
            <w:pPr>
              <w:pStyle w:val="Subtitle"/>
            </w:pPr>
            <w:r>
              <w:t>June 2019</w:t>
            </w:r>
          </w:p>
        </w:tc>
      </w:tr>
      <w:tr w:rsidR="009C6940" w14:paraId="31AAD53D" w14:textId="77777777" w:rsidTr="009C6940">
        <w:tc>
          <w:tcPr>
            <w:tcW w:w="5000" w:type="pct"/>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1985"/>
              <w:gridCol w:w="1984"/>
              <w:gridCol w:w="2126"/>
              <w:gridCol w:w="2410"/>
            </w:tblGrid>
            <w:tr w:rsidR="009C6940" w14:paraId="4478FDD4" w14:textId="77777777" w:rsidTr="009C6940">
              <w:trPr>
                <w:trHeight w:val="20"/>
                <w:tblHeader/>
              </w:trPr>
              <w:tc>
                <w:tcPr>
                  <w:tcW w:w="1985" w:type="dxa"/>
                  <w:tcBorders>
                    <w:top w:val="single" w:sz="6" w:space="0" w:color="BFBFBF"/>
                    <w:bottom w:val="single" w:sz="6" w:space="0" w:color="BFBFBF"/>
                  </w:tcBorders>
                </w:tcPr>
                <w:p w14:paraId="089248F5" w14:textId="77777777" w:rsidR="009C6940" w:rsidRDefault="009C6940" w:rsidP="009C6940">
                  <w:pPr>
                    <w:pStyle w:val="TableColumnHeading"/>
                  </w:pPr>
                </w:p>
              </w:tc>
              <w:tc>
                <w:tcPr>
                  <w:tcW w:w="1984" w:type="dxa"/>
                  <w:tcBorders>
                    <w:top w:val="single" w:sz="6" w:space="0" w:color="BFBFBF"/>
                    <w:bottom w:val="single" w:sz="6" w:space="0" w:color="BFBFBF"/>
                  </w:tcBorders>
                </w:tcPr>
                <w:p w14:paraId="6F05A369" w14:textId="77777777" w:rsidR="009C6940" w:rsidRDefault="009C6940" w:rsidP="009C6940">
                  <w:pPr>
                    <w:pStyle w:val="TableColumnHeading"/>
                    <w:ind w:right="11"/>
                    <w:jc w:val="left"/>
                  </w:pPr>
                  <w:r>
                    <w:t>Newstart Allowance</w:t>
                  </w:r>
                  <w:r w:rsidRPr="009A6B79">
                    <w:rPr>
                      <w:rStyle w:val="NoteLabel"/>
                      <w:i w:val="0"/>
                    </w:rPr>
                    <w:t>a</w:t>
                  </w:r>
                </w:p>
              </w:tc>
              <w:tc>
                <w:tcPr>
                  <w:tcW w:w="2126" w:type="dxa"/>
                  <w:tcBorders>
                    <w:top w:val="single" w:sz="6" w:space="0" w:color="BFBFBF"/>
                    <w:bottom w:val="single" w:sz="6" w:space="0" w:color="BFBFBF"/>
                  </w:tcBorders>
                  <w:shd w:val="clear" w:color="auto" w:fill="auto"/>
                  <w:tcMar>
                    <w:top w:w="28" w:type="dxa"/>
                  </w:tcMar>
                </w:tcPr>
                <w:p w14:paraId="465AED21" w14:textId="77777777" w:rsidR="009C6940" w:rsidRDefault="009C6940" w:rsidP="009C6940">
                  <w:pPr>
                    <w:pStyle w:val="TableColumnHeading"/>
                    <w:jc w:val="left"/>
                  </w:pPr>
                  <w:r>
                    <w:t>Youth Allowance</w:t>
                  </w:r>
                  <w:r>
                    <w:br/>
                    <w:t>(job seeker)</w:t>
                  </w:r>
                </w:p>
              </w:tc>
              <w:tc>
                <w:tcPr>
                  <w:tcW w:w="2410" w:type="dxa"/>
                  <w:tcBorders>
                    <w:top w:val="single" w:sz="6" w:space="0" w:color="BFBFBF"/>
                    <w:bottom w:val="single" w:sz="6" w:space="0" w:color="BFBFBF"/>
                  </w:tcBorders>
                  <w:shd w:val="clear" w:color="auto" w:fill="auto"/>
                  <w:tcMar>
                    <w:top w:w="28" w:type="dxa"/>
                  </w:tcMar>
                </w:tcPr>
                <w:p w14:paraId="2947D9BD" w14:textId="77777777" w:rsidR="009C6940" w:rsidRDefault="009C6940" w:rsidP="009C6940">
                  <w:pPr>
                    <w:pStyle w:val="TableColumnHeading"/>
                    <w:ind w:right="28"/>
                    <w:jc w:val="left"/>
                  </w:pPr>
                  <w:r>
                    <w:t>Disability Support Pension</w:t>
                  </w:r>
                </w:p>
              </w:tc>
            </w:tr>
            <w:tr w:rsidR="009C6940" w14:paraId="47EC69F6" w14:textId="77777777" w:rsidTr="009C6940">
              <w:trPr>
                <w:trHeight w:val="20"/>
              </w:trPr>
              <w:tc>
                <w:tcPr>
                  <w:tcW w:w="1985" w:type="dxa"/>
                  <w:tcBorders>
                    <w:top w:val="single" w:sz="6" w:space="0" w:color="BFBFBF"/>
                  </w:tcBorders>
                  <w:shd w:val="clear" w:color="auto" w:fill="F2F2F2" w:themeFill="background1" w:themeFillShade="F2"/>
                </w:tcPr>
                <w:p w14:paraId="70AE8382" w14:textId="77777777" w:rsidR="009C6940" w:rsidRDefault="009C6940" w:rsidP="009C6940">
                  <w:pPr>
                    <w:pStyle w:val="TableBodyText"/>
                    <w:jc w:val="left"/>
                  </w:pPr>
                  <w:r>
                    <w:t>Cohort of interest</w:t>
                  </w:r>
                  <w:r w:rsidRPr="00D91F11">
                    <w:rPr>
                      <w:rStyle w:val="NoteLabel"/>
                    </w:rPr>
                    <w:t>b</w:t>
                  </w:r>
                </w:p>
              </w:tc>
              <w:tc>
                <w:tcPr>
                  <w:tcW w:w="1984" w:type="dxa"/>
                  <w:tcBorders>
                    <w:top w:val="single" w:sz="6" w:space="0" w:color="BFBFBF"/>
                  </w:tcBorders>
                  <w:shd w:val="clear" w:color="auto" w:fill="F2F2F2" w:themeFill="background1" w:themeFillShade="F2"/>
                </w:tcPr>
                <w:p w14:paraId="71F7F5BB" w14:textId="77777777" w:rsidR="009C6940" w:rsidRDefault="009C6940" w:rsidP="009C6940">
                  <w:pPr>
                    <w:pStyle w:val="TableBodyText"/>
                    <w:spacing w:before="40"/>
                    <w:jc w:val="left"/>
                  </w:pPr>
                  <w:r>
                    <w:t>181 700</w:t>
                  </w:r>
                </w:p>
              </w:tc>
              <w:tc>
                <w:tcPr>
                  <w:tcW w:w="2126" w:type="dxa"/>
                  <w:tcBorders>
                    <w:top w:val="single" w:sz="6" w:space="0" w:color="BFBFBF"/>
                  </w:tcBorders>
                  <w:shd w:val="clear" w:color="auto" w:fill="F2F2F2" w:themeFill="background1" w:themeFillShade="F2"/>
                </w:tcPr>
                <w:p w14:paraId="509AE92A" w14:textId="77777777" w:rsidR="009C6940" w:rsidRDefault="009C6940" w:rsidP="009C6940">
                  <w:pPr>
                    <w:pStyle w:val="TableBodyText"/>
                    <w:spacing w:before="40"/>
                    <w:jc w:val="left"/>
                  </w:pPr>
                  <w:r>
                    <w:t>9 200</w:t>
                  </w:r>
                </w:p>
              </w:tc>
              <w:tc>
                <w:tcPr>
                  <w:tcW w:w="2410" w:type="dxa"/>
                  <w:tcBorders>
                    <w:top w:val="single" w:sz="6" w:space="0" w:color="BFBFBF"/>
                  </w:tcBorders>
                  <w:shd w:val="clear" w:color="auto" w:fill="F2F2F2" w:themeFill="background1" w:themeFillShade="F2"/>
                </w:tcPr>
                <w:p w14:paraId="61EFCF31" w14:textId="77777777" w:rsidR="009C6940" w:rsidRDefault="009C6940" w:rsidP="009C6940">
                  <w:pPr>
                    <w:pStyle w:val="TableBodyText"/>
                    <w:spacing w:before="40"/>
                    <w:ind w:right="11"/>
                    <w:jc w:val="left"/>
                  </w:pPr>
                  <w:r>
                    <w:t>258 600</w:t>
                  </w:r>
                </w:p>
              </w:tc>
            </w:tr>
            <w:tr w:rsidR="009C6940" w14:paraId="2CF21F57" w14:textId="77777777" w:rsidTr="009C6940">
              <w:trPr>
                <w:trHeight w:val="20"/>
              </w:trPr>
              <w:tc>
                <w:tcPr>
                  <w:tcW w:w="1985" w:type="dxa"/>
                </w:tcPr>
                <w:p w14:paraId="53A9D011" w14:textId="77777777" w:rsidR="009C6940" w:rsidRDefault="009C6940" w:rsidP="009C6940">
                  <w:pPr>
                    <w:pStyle w:val="TableBodyText"/>
                    <w:spacing w:before="40"/>
                    <w:jc w:val="left"/>
                  </w:pPr>
                  <w:r>
                    <w:t>Estimated c</w:t>
                  </w:r>
                  <w:r w:rsidRPr="002C47C2">
                    <w:t xml:space="preserve">ost </w:t>
                  </w:r>
                  <w:r>
                    <w:t>for cohort of interest</w:t>
                  </w:r>
                  <w:r>
                    <w:rPr>
                      <w:rStyle w:val="NoteLabel"/>
                    </w:rPr>
                    <w:t>c</w:t>
                  </w:r>
                </w:p>
              </w:tc>
              <w:tc>
                <w:tcPr>
                  <w:tcW w:w="1984" w:type="dxa"/>
                  <w:vAlign w:val="center"/>
                </w:tcPr>
                <w:p w14:paraId="34A003E1" w14:textId="77777777" w:rsidR="009C6940" w:rsidRDefault="009C6940" w:rsidP="009C6940">
                  <w:pPr>
                    <w:pStyle w:val="TableBodyText"/>
                    <w:spacing w:before="40"/>
                    <w:jc w:val="left"/>
                  </w:pPr>
                  <w:r>
                    <w:t>$2.6 billion</w:t>
                  </w:r>
                </w:p>
              </w:tc>
              <w:tc>
                <w:tcPr>
                  <w:tcW w:w="2126" w:type="dxa"/>
                  <w:vAlign w:val="center"/>
                </w:tcPr>
                <w:p w14:paraId="79C19132" w14:textId="77777777" w:rsidR="009C6940" w:rsidRDefault="009C6940" w:rsidP="009C6940">
                  <w:pPr>
                    <w:pStyle w:val="TableBodyText"/>
                    <w:spacing w:before="40"/>
                    <w:jc w:val="left"/>
                  </w:pPr>
                  <w:r>
                    <w:t>$98 million</w:t>
                  </w:r>
                </w:p>
              </w:tc>
              <w:tc>
                <w:tcPr>
                  <w:tcW w:w="2410" w:type="dxa"/>
                  <w:vAlign w:val="center"/>
                </w:tcPr>
                <w:p w14:paraId="11EC2FCA" w14:textId="77777777" w:rsidR="009C6940" w:rsidRDefault="009C6940" w:rsidP="009C6940">
                  <w:pPr>
                    <w:pStyle w:val="TableBodyText"/>
                    <w:spacing w:before="40"/>
                    <w:ind w:right="11"/>
                    <w:jc w:val="left"/>
                  </w:pPr>
                  <w:r>
                    <w:t>$5.8 billion</w:t>
                  </w:r>
                </w:p>
              </w:tc>
            </w:tr>
            <w:tr w:rsidR="009C6940" w14:paraId="2D8A735A" w14:textId="77777777" w:rsidTr="009C6940">
              <w:trPr>
                <w:trHeight w:val="20"/>
              </w:trPr>
              <w:tc>
                <w:tcPr>
                  <w:tcW w:w="1985" w:type="dxa"/>
                  <w:shd w:val="clear" w:color="auto" w:fill="F2F2F2" w:themeFill="background1" w:themeFillShade="F2"/>
                </w:tcPr>
                <w:p w14:paraId="5FA926F8" w14:textId="77777777" w:rsidR="009C6940" w:rsidRDefault="009C6940" w:rsidP="009C6940">
                  <w:pPr>
                    <w:pStyle w:val="TableBodyText"/>
                    <w:spacing w:before="40"/>
                    <w:jc w:val="left"/>
                  </w:pPr>
                  <w:r>
                    <w:t>Productivity Commission estimate of cohort of interest</w:t>
                  </w:r>
                  <w:r>
                    <w:rPr>
                      <w:rStyle w:val="NoteLabel"/>
                    </w:rPr>
                    <w:t>d</w:t>
                  </w:r>
                </w:p>
              </w:tc>
              <w:tc>
                <w:tcPr>
                  <w:tcW w:w="1984" w:type="dxa"/>
                  <w:shd w:val="clear" w:color="auto" w:fill="F2F2F2" w:themeFill="background1" w:themeFillShade="F2"/>
                  <w:vAlign w:val="center"/>
                </w:tcPr>
                <w:p w14:paraId="7748D42D" w14:textId="77777777" w:rsidR="009C6940" w:rsidRDefault="009C6940" w:rsidP="009C6940">
                  <w:pPr>
                    <w:pStyle w:val="TableBodyText"/>
                    <w:spacing w:before="40"/>
                    <w:jc w:val="left"/>
                  </w:pPr>
                  <w:r>
                    <w:t>291 600</w:t>
                  </w:r>
                </w:p>
              </w:tc>
              <w:tc>
                <w:tcPr>
                  <w:tcW w:w="2126" w:type="dxa"/>
                  <w:shd w:val="clear" w:color="auto" w:fill="F2F2F2" w:themeFill="background1" w:themeFillShade="F2"/>
                  <w:vAlign w:val="center"/>
                </w:tcPr>
                <w:p w14:paraId="4000CB9E" w14:textId="77777777" w:rsidR="009C6940" w:rsidRDefault="009C6940" w:rsidP="009C6940">
                  <w:pPr>
                    <w:pStyle w:val="TableBodyText"/>
                    <w:spacing w:before="40"/>
                    <w:jc w:val="left"/>
                  </w:pPr>
                  <w:r>
                    <w:t>24 400</w:t>
                  </w:r>
                </w:p>
              </w:tc>
              <w:tc>
                <w:tcPr>
                  <w:tcW w:w="2410" w:type="dxa"/>
                  <w:shd w:val="clear" w:color="auto" w:fill="F2F2F2" w:themeFill="background1" w:themeFillShade="F2"/>
                  <w:vAlign w:val="center"/>
                </w:tcPr>
                <w:p w14:paraId="79903D3E" w14:textId="77777777" w:rsidR="009C6940" w:rsidRDefault="009C6940" w:rsidP="009C6940">
                  <w:pPr>
                    <w:pStyle w:val="TableBodyText"/>
                    <w:spacing w:before="40"/>
                    <w:ind w:right="11"/>
                    <w:jc w:val="left"/>
                  </w:pPr>
                  <w:r>
                    <w:t>486 500</w:t>
                  </w:r>
                </w:p>
              </w:tc>
            </w:tr>
            <w:tr w:rsidR="009C6940" w14:paraId="39341068" w14:textId="77777777" w:rsidTr="009C6940">
              <w:trPr>
                <w:trHeight w:val="20"/>
              </w:trPr>
              <w:tc>
                <w:tcPr>
                  <w:tcW w:w="1985" w:type="dxa"/>
                </w:tcPr>
                <w:p w14:paraId="3378190A" w14:textId="77777777" w:rsidR="009C6940" w:rsidRDefault="009C6940" w:rsidP="009C6940">
                  <w:pPr>
                    <w:pStyle w:val="TableBodyText"/>
                    <w:spacing w:before="40"/>
                    <w:jc w:val="left"/>
                  </w:pPr>
                  <w:r>
                    <w:t>Estimated cost for Productivity Commission estimate of cohort of interest</w:t>
                  </w:r>
                </w:p>
              </w:tc>
              <w:tc>
                <w:tcPr>
                  <w:tcW w:w="1984" w:type="dxa"/>
                  <w:vAlign w:val="center"/>
                </w:tcPr>
                <w:p w14:paraId="21656A34" w14:textId="77777777" w:rsidR="009C6940" w:rsidRDefault="009C6940" w:rsidP="009C6940">
                  <w:pPr>
                    <w:pStyle w:val="TableBodyText"/>
                    <w:spacing w:before="40"/>
                    <w:jc w:val="left"/>
                  </w:pPr>
                  <w:r>
                    <w:t>$4.1 billion</w:t>
                  </w:r>
                </w:p>
              </w:tc>
              <w:tc>
                <w:tcPr>
                  <w:tcW w:w="2126" w:type="dxa"/>
                  <w:vAlign w:val="center"/>
                </w:tcPr>
                <w:p w14:paraId="4AA81100" w14:textId="77777777" w:rsidR="009C6940" w:rsidRDefault="009C6940" w:rsidP="009C6940">
                  <w:pPr>
                    <w:pStyle w:val="TableBodyText"/>
                    <w:spacing w:before="40"/>
                    <w:jc w:val="left"/>
                  </w:pPr>
                  <w:r>
                    <w:t>$259 million</w:t>
                  </w:r>
                </w:p>
              </w:tc>
              <w:tc>
                <w:tcPr>
                  <w:tcW w:w="2410" w:type="dxa"/>
                  <w:vAlign w:val="center"/>
                </w:tcPr>
                <w:p w14:paraId="2CA10B1D" w14:textId="77777777" w:rsidR="009C6940" w:rsidRDefault="009C6940" w:rsidP="009C6940">
                  <w:pPr>
                    <w:pStyle w:val="TableBodyText"/>
                    <w:spacing w:before="40"/>
                    <w:ind w:right="11"/>
                    <w:jc w:val="left"/>
                  </w:pPr>
                  <w:r>
                    <w:t>$10.9 billion</w:t>
                  </w:r>
                </w:p>
              </w:tc>
            </w:tr>
            <w:tr w:rsidR="009C6940" w14:paraId="266D2C0C" w14:textId="77777777" w:rsidTr="009C6940">
              <w:trPr>
                <w:trHeight w:val="20"/>
              </w:trPr>
              <w:tc>
                <w:tcPr>
                  <w:tcW w:w="1985" w:type="dxa"/>
                  <w:shd w:val="clear" w:color="auto" w:fill="F2F2F2" w:themeFill="background1" w:themeFillShade="F2"/>
                </w:tcPr>
                <w:p w14:paraId="1D663A74" w14:textId="77777777" w:rsidR="009C6940" w:rsidRPr="002C47C2" w:rsidRDefault="009C6940" w:rsidP="009C6940">
                  <w:pPr>
                    <w:pStyle w:val="TableBodyText"/>
                    <w:spacing w:before="40"/>
                    <w:jc w:val="left"/>
                  </w:pPr>
                  <w:r>
                    <w:t xml:space="preserve">Total recipients </w:t>
                  </w:r>
                </w:p>
              </w:tc>
              <w:tc>
                <w:tcPr>
                  <w:tcW w:w="1984" w:type="dxa"/>
                  <w:shd w:val="clear" w:color="auto" w:fill="F2F2F2" w:themeFill="background1" w:themeFillShade="F2"/>
                </w:tcPr>
                <w:p w14:paraId="75DD315B" w14:textId="77777777" w:rsidR="009C6940" w:rsidRDefault="009C6940" w:rsidP="009C6940">
                  <w:pPr>
                    <w:pStyle w:val="TableBodyText"/>
                    <w:spacing w:before="40"/>
                    <w:jc w:val="left"/>
                  </w:pPr>
                  <w:r>
                    <w:t>686 800</w:t>
                  </w:r>
                </w:p>
              </w:tc>
              <w:tc>
                <w:tcPr>
                  <w:tcW w:w="2126" w:type="dxa"/>
                  <w:shd w:val="clear" w:color="auto" w:fill="F2F2F2" w:themeFill="background1" w:themeFillShade="F2"/>
                </w:tcPr>
                <w:p w14:paraId="41BB5942" w14:textId="77777777" w:rsidR="009C6940" w:rsidRDefault="009C6940" w:rsidP="009C6940">
                  <w:pPr>
                    <w:pStyle w:val="TableBodyText"/>
                    <w:spacing w:before="40"/>
                    <w:jc w:val="left"/>
                  </w:pPr>
                  <w:r>
                    <w:t>82 800</w:t>
                  </w:r>
                </w:p>
              </w:tc>
              <w:tc>
                <w:tcPr>
                  <w:tcW w:w="2410" w:type="dxa"/>
                  <w:shd w:val="clear" w:color="auto" w:fill="F2F2F2" w:themeFill="background1" w:themeFillShade="F2"/>
                </w:tcPr>
                <w:p w14:paraId="4B5C13B7" w14:textId="77777777" w:rsidR="009C6940" w:rsidRDefault="009C6940" w:rsidP="009C6940">
                  <w:pPr>
                    <w:pStyle w:val="TableBodyText"/>
                    <w:spacing w:before="40"/>
                    <w:ind w:right="11"/>
                    <w:jc w:val="left"/>
                  </w:pPr>
                  <w:r>
                    <w:t>745 700</w:t>
                  </w:r>
                </w:p>
              </w:tc>
            </w:tr>
            <w:tr w:rsidR="009C6940" w14:paraId="6EA8B082" w14:textId="77777777" w:rsidTr="009C6940">
              <w:trPr>
                <w:trHeight w:val="20"/>
              </w:trPr>
              <w:tc>
                <w:tcPr>
                  <w:tcW w:w="1985" w:type="dxa"/>
                </w:tcPr>
                <w:p w14:paraId="453F96A9" w14:textId="77777777" w:rsidR="009C6940" w:rsidRDefault="009C6940" w:rsidP="009C6940">
                  <w:pPr>
                    <w:pStyle w:val="TableBodyText"/>
                    <w:spacing w:before="40"/>
                    <w:jc w:val="left"/>
                  </w:pPr>
                  <w:r w:rsidRPr="002C47C2">
                    <w:t>Payment rate</w:t>
                  </w:r>
                  <w:r>
                    <w:rPr>
                      <w:rStyle w:val="NoteLabel"/>
                    </w:rPr>
                    <w:t>e</w:t>
                  </w:r>
                  <w:r w:rsidRPr="002C47C2">
                    <w:t xml:space="preserve"> </w:t>
                  </w:r>
                </w:p>
              </w:tc>
              <w:tc>
                <w:tcPr>
                  <w:tcW w:w="1984" w:type="dxa"/>
                  <w:vAlign w:val="center"/>
                </w:tcPr>
                <w:p w14:paraId="3383A41E" w14:textId="77777777" w:rsidR="009C6940" w:rsidRDefault="009C6940" w:rsidP="009C6940">
                  <w:pPr>
                    <w:pStyle w:val="TableBodyText"/>
                    <w:spacing w:before="40"/>
                    <w:jc w:val="left"/>
                  </w:pPr>
                  <w:r>
                    <w:t>$565</w:t>
                  </w:r>
                  <w:r w:rsidRPr="002C47C2">
                    <w:t>.</w:t>
                  </w:r>
                  <w:r>
                    <w:t>7</w:t>
                  </w:r>
                  <w:r w:rsidRPr="002C47C2">
                    <w:t>0</w:t>
                  </w:r>
                </w:p>
              </w:tc>
              <w:tc>
                <w:tcPr>
                  <w:tcW w:w="2126" w:type="dxa"/>
                  <w:vAlign w:val="center"/>
                </w:tcPr>
                <w:p w14:paraId="5C3BDAC1" w14:textId="77777777" w:rsidR="009C6940" w:rsidRDefault="009C6940" w:rsidP="009C6940">
                  <w:pPr>
                    <w:pStyle w:val="TableBodyText"/>
                    <w:spacing w:before="40"/>
                    <w:jc w:val="left"/>
                  </w:pPr>
                  <w:r w:rsidRPr="002C47C2">
                    <w:t>$</w:t>
                  </w:r>
                  <w:r>
                    <w:t>462.50</w:t>
                  </w:r>
                </w:p>
              </w:tc>
              <w:tc>
                <w:tcPr>
                  <w:tcW w:w="2410" w:type="dxa"/>
                  <w:vAlign w:val="center"/>
                </w:tcPr>
                <w:p w14:paraId="7F43FF5E" w14:textId="77777777" w:rsidR="009C6940" w:rsidRDefault="009C6940" w:rsidP="009C6940">
                  <w:pPr>
                    <w:pStyle w:val="TableBodyText"/>
                    <w:spacing w:before="40"/>
                    <w:ind w:right="11"/>
                    <w:jc w:val="left"/>
                  </w:pPr>
                  <w:r>
                    <w:t>$860.60 (</w:t>
                  </w:r>
                  <w:r w:rsidRPr="002C47C2">
                    <w:t xml:space="preserve">if </w:t>
                  </w:r>
                  <w:r>
                    <w:t>aged over</w:t>
                  </w:r>
                  <w:r w:rsidRPr="002C47C2">
                    <w:t xml:space="preserve"> 21</w:t>
                  </w:r>
                  <w:r>
                    <w:t> years)</w:t>
                  </w:r>
                </w:p>
              </w:tc>
            </w:tr>
            <w:tr w:rsidR="009C6940" w14:paraId="30FDB850" w14:textId="77777777" w:rsidTr="009C6940">
              <w:trPr>
                <w:trHeight w:val="20"/>
              </w:trPr>
              <w:tc>
                <w:tcPr>
                  <w:tcW w:w="1985" w:type="dxa"/>
                  <w:tcBorders>
                    <w:bottom w:val="single" w:sz="6" w:space="0" w:color="BFBFBF"/>
                  </w:tcBorders>
                  <w:shd w:val="clear" w:color="auto" w:fill="F2F2F2" w:themeFill="background1" w:themeFillShade="F2"/>
                </w:tcPr>
                <w:p w14:paraId="588852B4" w14:textId="77777777" w:rsidR="009C6940" w:rsidRDefault="009C6940" w:rsidP="009C6940">
                  <w:pPr>
                    <w:pStyle w:val="TableBodyText"/>
                    <w:spacing w:before="40"/>
                    <w:jc w:val="left"/>
                  </w:pPr>
                  <w:r w:rsidRPr="002C47C2">
                    <w:t>Eligibility criteria</w:t>
                  </w:r>
                </w:p>
              </w:tc>
              <w:tc>
                <w:tcPr>
                  <w:tcW w:w="1984" w:type="dxa"/>
                  <w:tcBorders>
                    <w:bottom w:val="single" w:sz="6" w:space="0" w:color="BFBFBF"/>
                  </w:tcBorders>
                  <w:shd w:val="clear" w:color="auto" w:fill="F2F2F2" w:themeFill="background1" w:themeFillShade="F2"/>
                </w:tcPr>
                <w:p w14:paraId="00D99764" w14:textId="77777777" w:rsidR="009C6940" w:rsidRDefault="009C6940" w:rsidP="009C6940">
                  <w:pPr>
                    <w:pStyle w:val="TableBullet"/>
                    <w:spacing w:before="40"/>
                  </w:pPr>
                  <w:r w:rsidRPr="002C47C2">
                    <w:t>Aged 22</w:t>
                  </w:r>
                  <w:r>
                    <w:t>–66 years</w:t>
                  </w:r>
                </w:p>
                <w:p w14:paraId="36917C32" w14:textId="77777777" w:rsidR="009C6940" w:rsidRPr="002C47C2" w:rsidRDefault="009C6940" w:rsidP="009C6940">
                  <w:pPr>
                    <w:pStyle w:val="TableBullet"/>
                    <w:spacing w:before="40"/>
                  </w:pPr>
                  <w:r w:rsidRPr="002C47C2">
                    <w:t>Unemployed</w:t>
                  </w:r>
                  <w:r>
                    <w:t xml:space="preserve"> and looking for full</w:t>
                  </w:r>
                  <w:r>
                    <w:noBreakHyphen/>
                    <w:t>time work</w:t>
                  </w:r>
                </w:p>
                <w:p w14:paraId="06564BBB" w14:textId="77777777" w:rsidR="009C6940" w:rsidRDefault="009C6940" w:rsidP="009C6940">
                  <w:pPr>
                    <w:pStyle w:val="TableBullet"/>
                    <w:spacing w:before="40"/>
                  </w:pPr>
                  <w:r>
                    <w:t>Willing to c</w:t>
                  </w:r>
                  <w:r w:rsidRPr="002C47C2">
                    <w:t>omplet</w:t>
                  </w:r>
                  <w:r>
                    <w:t>e</w:t>
                  </w:r>
                  <w:r w:rsidRPr="002C47C2">
                    <w:t xml:space="preserve"> activity requirements</w:t>
                  </w:r>
                </w:p>
                <w:p w14:paraId="37A40167" w14:textId="77777777" w:rsidR="009C6940" w:rsidRDefault="009C6940" w:rsidP="009C6940">
                  <w:pPr>
                    <w:pStyle w:val="TableBullet"/>
                    <w:spacing w:before="40"/>
                  </w:pPr>
                  <w:r w:rsidRPr="002C47C2">
                    <w:t>Income and assets test</w:t>
                  </w:r>
                  <w:r>
                    <w:t>s</w:t>
                  </w:r>
                  <w:r w:rsidRPr="002C47C2">
                    <w:t xml:space="preserve"> (individual and partner)</w:t>
                  </w:r>
                </w:p>
                <w:p w14:paraId="29D6964D" w14:textId="77777777" w:rsidR="009C6940" w:rsidRDefault="009C6940" w:rsidP="009C6940">
                  <w:pPr>
                    <w:pStyle w:val="TableBullet"/>
                    <w:spacing w:before="40"/>
                  </w:pPr>
                  <w:r>
                    <w:t>Meet residency criteria</w:t>
                  </w:r>
                </w:p>
              </w:tc>
              <w:tc>
                <w:tcPr>
                  <w:tcW w:w="2126" w:type="dxa"/>
                  <w:tcBorders>
                    <w:bottom w:val="single" w:sz="6" w:space="0" w:color="BFBFBF"/>
                  </w:tcBorders>
                  <w:shd w:val="clear" w:color="auto" w:fill="F2F2F2" w:themeFill="background1" w:themeFillShade="F2"/>
                </w:tcPr>
                <w:p w14:paraId="2850BF32" w14:textId="77777777" w:rsidR="009C6940" w:rsidRPr="002C47C2" w:rsidRDefault="009C6940" w:rsidP="009C6940">
                  <w:pPr>
                    <w:pStyle w:val="TableBullet"/>
                    <w:spacing w:before="40"/>
                  </w:pPr>
                  <w:r w:rsidRPr="002C47C2">
                    <w:t>Aged 16</w:t>
                  </w:r>
                  <w:r>
                    <w:t>–</w:t>
                  </w:r>
                  <w:r w:rsidRPr="002C47C2">
                    <w:t>2</w:t>
                  </w:r>
                  <w:r>
                    <w:t>1 </w:t>
                  </w:r>
                  <w:r w:rsidRPr="00D05FEF">
                    <w:t>years</w:t>
                  </w:r>
                </w:p>
                <w:p w14:paraId="3CC3B5FC" w14:textId="77777777" w:rsidR="009C6940" w:rsidRPr="002C47C2" w:rsidRDefault="009C6940" w:rsidP="009C6940">
                  <w:pPr>
                    <w:pStyle w:val="TableBullet"/>
                    <w:spacing w:before="40"/>
                  </w:pPr>
                  <w:r>
                    <w:t>U</w:t>
                  </w:r>
                  <w:r w:rsidRPr="002C47C2">
                    <w:t>nemployed and looking for full</w:t>
                  </w:r>
                  <w:r>
                    <w:noBreakHyphen/>
                  </w:r>
                  <w:r w:rsidRPr="002C47C2">
                    <w:t>time work</w:t>
                  </w:r>
                </w:p>
                <w:p w14:paraId="3B294FB3" w14:textId="77777777" w:rsidR="009C6940" w:rsidRDefault="009C6940" w:rsidP="009C6940">
                  <w:pPr>
                    <w:pStyle w:val="TableBullet"/>
                    <w:spacing w:before="40"/>
                  </w:pPr>
                  <w:r w:rsidRPr="00F4226E">
                    <w:t>Willing to complete activity requirements</w:t>
                  </w:r>
                </w:p>
                <w:p w14:paraId="3AE366FC" w14:textId="77777777" w:rsidR="009C6940" w:rsidRDefault="009C6940" w:rsidP="009C6940">
                  <w:pPr>
                    <w:pStyle w:val="TableBullet"/>
                    <w:spacing w:before="40"/>
                  </w:pPr>
                  <w:r>
                    <w:t>I</w:t>
                  </w:r>
                  <w:r w:rsidRPr="002C47C2">
                    <w:t>nc</w:t>
                  </w:r>
                  <w:r>
                    <w:t>ome and assets tests (individual</w:t>
                  </w:r>
                  <w:r w:rsidRPr="002C47C2">
                    <w:t>, partner and parent)</w:t>
                  </w:r>
                </w:p>
                <w:p w14:paraId="40F2AD09" w14:textId="77777777" w:rsidR="009C6940" w:rsidRDefault="009C6940" w:rsidP="009C6940">
                  <w:pPr>
                    <w:pStyle w:val="TableBullet"/>
                    <w:spacing w:before="40"/>
                  </w:pPr>
                  <w:r w:rsidRPr="008E775F">
                    <w:t>Meet residency criteria</w:t>
                  </w:r>
                </w:p>
              </w:tc>
              <w:tc>
                <w:tcPr>
                  <w:tcW w:w="2410" w:type="dxa"/>
                  <w:tcBorders>
                    <w:bottom w:val="single" w:sz="6" w:space="0" w:color="BFBFBF"/>
                  </w:tcBorders>
                  <w:shd w:val="clear" w:color="auto" w:fill="F2F2F2" w:themeFill="background1" w:themeFillShade="F2"/>
                  <w:vAlign w:val="center"/>
                </w:tcPr>
                <w:p w14:paraId="38E503CB" w14:textId="77777777" w:rsidR="009C6940" w:rsidRPr="002C47C2" w:rsidRDefault="009C6940" w:rsidP="009C6940">
                  <w:pPr>
                    <w:pStyle w:val="TableBullet"/>
                    <w:spacing w:before="40"/>
                  </w:pPr>
                  <w:r w:rsidRPr="002C47C2">
                    <w:t>Aged 16</w:t>
                  </w:r>
                  <w:r>
                    <w:t>–66 </w:t>
                  </w:r>
                  <w:r w:rsidRPr="00D05FEF">
                    <w:t>years</w:t>
                  </w:r>
                </w:p>
                <w:p w14:paraId="44CF4E33" w14:textId="77777777" w:rsidR="009C6940" w:rsidRDefault="009C6940" w:rsidP="009C6940">
                  <w:pPr>
                    <w:pStyle w:val="TableBullet"/>
                    <w:spacing w:before="40"/>
                  </w:pPr>
                  <w:r>
                    <w:t>H</w:t>
                  </w:r>
                  <w:r w:rsidRPr="002C47C2">
                    <w:t>ave a permanent disability that reduces potential work capacity to less than 15</w:t>
                  </w:r>
                  <w:r>
                    <w:t> </w:t>
                  </w:r>
                  <w:r w:rsidRPr="002C47C2">
                    <w:t xml:space="preserve">hours a week over at least the next </w:t>
                  </w:r>
                  <w:r>
                    <w:t>2 </w:t>
                  </w:r>
                  <w:r w:rsidRPr="002C47C2">
                    <w:t>years</w:t>
                  </w:r>
                  <w:r>
                    <w:t xml:space="preserve"> (box C.1)</w:t>
                  </w:r>
                </w:p>
                <w:p w14:paraId="5FF7D0FE" w14:textId="77777777" w:rsidR="009C6940" w:rsidRDefault="009C6940" w:rsidP="009C6940">
                  <w:pPr>
                    <w:pStyle w:val="TableBullet"/>
                    <w:spacing w:before="40"/>
                  </w:pPr>
                  <w:r w:rsidRPr="00F4226E">
                    <w:t xml:space="preserve">Willing to complete activity requirements </w:t>
                  </w:r>
                  <w:r>
                    <w:t>(if aged under 35 years)</w:t>
                  </w:r>
                </w:p>
                <w:p w14:paraId="411991A4" w14:textId="77777777" w:rsidR="009C6940" w:rsidRDefault="009C6940" w:rsidP="009C6940">
                  <w:pPr>
                    <w:pStyle w:val="TableBullet"/>
                    <w:spacing w:before="40"/>
                  </w:pPr>
                  <w:r w:rsidRPr="002C47C2">
                    <w:t>Income and assets test (individual and partner)</w:t>
                  </w:r>
                </w:p>
                <w:p w14:paraId="0CF5139A" w14:textId="77777777" w:rsidR="009C6940" w:rsidRDefault="009C6940" w:rsidP="009C6940">
                  <w:pPr>
                    <w:pStyle w:val="TableBullet"/>
                    <w:spacing w:before="40"/>
                  </w:pPr>
                  <w:r w:rsidRPr="008E775F">
                    <w:t>Meet residency criteria</w:t>
                  </w:r>
                </w:p>
              </w:tc>
            </w:tr>
          </w:tbl>
          <w:p w14:paraId="1094A5D7" w14:textId="77777777" w:rsidR="009C6940" w:rsidRDefault="009C6940" w:rsidP="009C6940">
            <w:pPr>
              <w:pStyle w:val="Box"/>
            </w:pPr>
          </w:p>
        </w:tc>
      </w:tr>
      <w:tr w:rsidR="009C6940" w14:paraId="3F0C3594" w14:textId="77777777" w:rsidTr="009C6940">
        <w:tc>
          <w:tcPr>
            <w:tcW w:w="5000" w:type="pct"/>
            <w:tcBorders>
              <w:top w:val="nil"/>
              <w:left w:val="nil"/>
              <w:bottom w:val="nil"/>
              <w:right w:val="nil"/>
            </w:tcBorders>
            <w:shd w:val="clear" w:color="auto" w:fill="auto"/>
          </w:tcPr>
          <w:p w14:paraId="01C35E7B" w14:textId="77777777" w:rsidR="009C6940" w:rsidRDefault="009C6940" w:rsidP="009C6940">
            <w:pPr>
              <w:pStyle w:val="Note"/>
              <w:rPr>
                <w:i/>
              </w:rPr>
            </w:pPr>
            <w:r w:rsidRPr="008E77FE">
              <w:rPr>
                <w:rStyle w:val="NoteLabel"/>
              </w:rPr>
              <w:t>a</w:t>
            </w:r>
            <w:r>
              <w:rPr>
                <w:rStyle w:val="NoteLabel"/>
              </w:rPr>
              <w:t xml:space="preserve"> </w:t>
            </w:r>
            <w:r w:rsidRPr="00735BE3">
              <w:t>The JobSeeker Payment replaced the Newstart Allowance and some other payments in March 2020.</w:t>
            </w:r>
            <w:r>
              <w:rPr>
                <w:rStyle w:val="NoteLabel"/>
              </w:rPr>
              <w:t xml:space="preserve"> b</w:t>
            </w:r>
            <w:r w:rsidRPr="00034E7D">
              <w:t xml:space="preserve"> </w:t>
            </w:r>
            <w:r w:rsidRPr="00D91F11">
              <w:t>As determined by administrative data from the Department of Education, Skills and Employment and Departme</w:t>
            </w:r>
            <w:r>
              <w:t>n</w:t>
            </w:r>
            <w:r w:rsidRPr="00D91F11">
              <w:t>t of Social Services.</w:t>
            </w:r>
            <w:r>
              <w:t xml:space="preserve"> Newstart Allowance and Youth Allowance cohorts are recipients deemed to have a mental illness and the Disability Support Pension cohort is recipients with a primary psychological or psychiatric disability.</w:t>
            </w:r>
            <w:r>
              <w:rPr>
                <w:rStyle w:val="NoteLabel"/>
              </w:rPr>
              <w:t xml:space="preserve"> c</w:t>
            </w:r>
            <w:r w:rsidRPr="00034E7D">
              <w:t xml:space="preserve"> </w:t>
            </w:r>
            <w:r w:rsidRPr="00801F8A">
              <w:t>Productivity Commission cost estimates based on the total cost of provision apportioned to the relevant proportion of recipients for 2018</w:t>
            </w:r>
            <w:r>
              <w:noBreakHyphen/>
            </w:r>
            <w:r w:rsidRPr="00801F8A">
              <w:t>19.</w:t>
            </w:r>
            <w:r>
              <w:t xml:space="preserve"> </w:t>
            </w:r>
            <w:r>
              <w:rPr>
                <w:rStyle w:val="NoteLabel"/>
              </w:rPr>
              <w:t>d</w:t>
            </w:r>
            <w:r w:rsidRPr="00034E7D">
              <w:t xml:space="preserve"> </w:t>
            </w:r>
            <w:r w:rsidRPr="00801F8A">
              <w:t>Productivity Commission</w:t>
            </w:r>
            <w:r>
              <w:t xml:space="preserve"> estimates of the proportion of separate payment recipients with any mental illness from the National Health Survey 2014</w:t>
            </w:r>
            <w:r>
              <w:noBreakHyphen/>
              <w:t xml:space="preserve">15, apportioned to the number of total recipients in June 2019. </w:t>
            </w:r>
            <w:r>
              <w:rPr>
                <w:rStyle w:val="NoteLabel"/>
              </w:rPr>
              <w:t>e</w:t>
            </w:r>
            <w:r>
              <w:t xml:space="preserve"> Payment rate for people who are single, aged over 18 </w:t>
            </w:r>
            <w:r w:rsidRPr="00F106F2">
              <w:t xml:space="preserve">years, </w:t>
            </w:r>
            <w:r>
              <w:t>with no children and</w:t>
            </w:r>
            <w:r w:rsidRPr="00F106F2">
              <w:t xml:space="preserve"> no other income source</w:t>
            </w:r>
            <w:r>
              <w:t>.</w:t>
            </w:r>
          </w:p>
        </w:tc>
      </w:tr>
      <w:tr w:rsidR="009C6940" w14:paraId="371FFC2F" w14:textId="77777777" w:rsidTr="009C6940">
        <w:tc>
          <w:tcPr>
            <w:tcW w:w="5000" w:type="pct"/>
            <w:tcBorders>
              <w:top w:val="nil"/>
              <w:left w:val="nil"/>
              <w:bottom w:val="nil"/>
              <w:right w:val="nil"/>
            </w:tcBorders>
            <w:shd w:val="clear" w:color="auto" w:fill="auto"/>
          </w:tcPr>
          <w:p w14:paraId="52703EA4" w14:textId="77777777" w:rsidR="009C6940" w:rsidRDefault="009C6940" w:rsidP="009C6940">
            <w:pPr>
              <w:pStyle w:val="Source"/>
            </w:pPr>
            <w:r>
              <w:rPr>
                <w:i/>
              </w:rPr>
              <w:t>Source</w:t>
            </w:r>
            <w:r w:rsidRPr="00167F06">
              <w:t>:</w:t>
            </w:r>
            <w:r>
              <w:t xml:space="preserve"> ABS (</w:t>
            </w:r>
            <w:r w:rsidRPr="00034E7D">
              <w:rPr>
                <w:i/>
              </w:rPr>
              <w:t xml:space="preserve">Microdata: </w:t>
            </w:r>
            <w:r w:rsidRPr="00EF194A">
              <w:rPr>
                <w:i/>
              </w:rPr>
              <w:t>National Health Survey 2014</w:t>
            </w:r>
            <w:r>
              <w:rPr>
                <w:i/>
              </w:rPr>
              <w:noBreakHyphen/>
            </w:r>
            <w:r w:rsidRPr="00EF194A">
              <w:rPr>
                <w:i/>
              </w:rPr>
              <w:t>15</w:t>
            </w:r>
            <w:r>
              <w:t xml:space="preserve">, Cat. no. </w:t>
            </w:r>
            <w:r w:rsidRPr="00D03F78">
              <w:t>4364.0.55.001</w:t>
            </w:r>
            <w:r>
              <w:t xml:space="preserve">); Australian Government </w:t>
            </w:r>
            <w:r w:rsidRPr="004A6D54">
              <w:rPr>
                <w:rFonts w:cs="Arial"/>
              </w:rPr>
              <w:t>(2019b)</w:t>
            </w:r>
            <w:r>
              <w:t xml:space="preserve">; DESE (unpublished); DJSB </w:t>
            </w:r>
            <w:r w:rsidRPr="00410489">
              <w:rPr>
                <w:rFonts w:cs="Arial"/>
              </w:rPr>
              <w:t>(2019)</w:t>
            </w:r>
            <w:r>
              <w:t xml:space="preserve">; </w:t>
            </w:r>
            <w:r w:rsidRPr="00651D35">
              <w:t>D</w:t>
            </w:r>
            <w:r>
              <w:t>SS</w:t>
            </w:r>
            <w:r w:rsidRPr="00651D35">
              <w:t xml:space="preserve"> </w:t>
            </w:r>
            <w:r w:rsidRPr="002233FD">
              <w:rPr>
                <w:rFonts w:cs="Arial"/>
              </w:rPr>
              <w:t>(2018a, 2019a</w:t>
            </w:r>
            <w:r>
              <w:rPr>
                <w:rFonts w:cs="Arial"/>
              </w:rPr>
              <w:t>, unpublished</w:t>
            </w:r>
            <w:r w:rsidRPr="002233FD">
              <w:rPr>
                <w:rFonts w:cs="Arial"/>
              </w:rPr>
              <w:t>)</w:t>
            </w:r>
            <w:r>
              <w:t>; Parliamentary Library</w:t>
            </w:r>
            <w:r w:rsidRPr="00651D35">
              <w:t xml:space="preserve"> (2017)</w:t>
            </w:r>
            <w:r>
              <w:t xml:space="preserve">; Services Australia </w:t>
            </w:r>
            <w:r>
              <w:rPr>
                <w:rFonts w:cs="Arial"/>
              </w:rPr>
              <w:t>(2020b, 2020e, 2020h</w:t>
            </w:r>
            <w:r w:rsidRPr="00FB68FC">
              <w:rPr>
                <w:rFonts w:cs="Arial"/>
              </w:rPr>
              <w:t>)</w:t>
            </w:r>
            <w:r>
              <w:t>.</w:t>
            </w:r>
          </w:p>
        </w:tc>
      </w:tr>
      <w:tr w:rsidR="009C6940" w14:paraId="4EA41018" w14:textId="77777777" w:rsidTr="009C6940">
        <w:tc>
          <w:tcPr>
            <w:tcW w:w="5000" w:type="pct"/>
            <w:tcBorders>
              <w:top w:val="nil"/>
              <w:left w:val="nil"/>
              <w:bottom w:val="single" w:sz="6" w:space="0" w:color="78A22F"/>
              <w:right w:val="nil"/>
            </w:tcBorders>
            <w:shd w:val="clear" w:color="auto" w:fill="auto"/>
          </w:tcPr>
          <w:p w14:paraId="611A7269" w14:textId="77777777" w:rsidR="009C6940" w:rsidRDefault="009C6940" w:rsidP="009C6940">
            <w:pPr>
              <w:pStyle w:val="Box"/>
              <w:spacing w:before="0" w:line="120" w:lineRule="exact"/>
            </w:pPr>
          </w:p>
        </w:tc>
      </w:tr>
      <w:tr w:rsidR="009C6940" w:rsidRPr="000863A5" w14:paraId="2EBC843A" w14:textId="77777777" w:rsidTr="009C6940">
        <w:tc>
          <w:tcPr>
            <w:tcW w:w="5000" w:type="pct"/>
            <w:tcBorders>
              <w:top w:val="single" w:sz="6" w:space="0" w:color="78A22F"/>
              <w:left w:val="nil"/>
              <w:bottom w:val="nil"/>
              <w:right w:val="nil"/>
            </w:tcBorders>
          </w:tcPr>
          <w:p w14:paraId="070A3C6B" w14:textId="77777777" w:rsidR="009C6940" w:rsidRPr="00626D32" w:rsidRDefault="009C6940" w:rsidP="009C6940">
            <w:pPr>
              <w:pStyle w:val="BoxSpaceBelow"/>
            </w:pPr>
          </w:p>
        </w:tc>
      </w:tr>
    </w:tbl>
    <w:p w14:paraId="1129771F" w14:textId="77777777" w:rsidR="009C6940" w:rsidRPr="0017305E" w:rsidRDefault="009C6940" w:rsidP="009C6940">
      <w:pPr>
        <w:pStyle w:val="Heading4"/>
        <w:pageBreakBefore/>
      </w:pPr>
      <w:r w:rsidRPr="0017305E">
        <w:lastRenderedPageBreak/>
        <w:t>Disability Support Pension</w:t>
      </w:r>
    </w:p>
    <w:p w14:paraId="7ECB8FC3" w14:textId="77777777" w:rsidR="009C6940" w:rsidRPr="00651D35" w:rsidRDefault="009C6940" w:rsidP="009C6940">
      <w:pPr>
        <w:pStyle w:val="BodyText"/>
      </w:pPr>
      <w:r>
        <w:t>The DSP</w:t>
      </w:r>
      <w:r w:rsidRPr="0017305E">
        <w:t xml:space="preserve"> is an income support payment for people whose ability to work is impaired by a permanent physical, intel</w:t>
      </w:r>
      <w:r>
        <w:t>lectual or psychiatric condition</w:t>
      </w:r>
      <w:r w:rsidRPr="00651D35">
        <w:t>.</w:t>
      </w:r>
      <w:r>
        <w:t xml:space="preserve"> Applicants with a manifest condition (</w:t>
      </w:r>
      <w:r w:rsidRPr="00521D94">
        <w:t xml:space="preserve">for example, </w:t>
      </w:r>
      <w:r>
        <w:t xml:space="preserve">permanent blindness or terminal illness) are generally eligible if they meet age, residency and income and asset requirements (box C.1). All other applicants must have their eligibility determined through a range of criteria (as well as meeting the same </w:t>
      </w:r>
      <w:r w:rsidRPr="00212388">
        <w:t>age, residency and income and asset requirements</w:t>
      </w:r>
      <w:r>
        <w:t xml:space="preserve"> as manifest applicants).</w:t>
      </w:r>
    </w:p>
    <w:p w14:paraId="6257322F"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D900B6A" w14:textId="77777777" w:rsidTr="009C6940">
        <w:trPr>
          <w:tblHeader/>
        </w:trPr>
        <w:tc>
          <w:tcPr>
            <w:tcW w:w="5000" w:type="pct"/>
            <w:tcBorders>
              <w:top w:val="single" w:sz="6" w:space="0" w:color="78A22F"/>
              <w:left w:val="nil"/>
              <w:bottom w:val="nil"/>
              <w:right w:val="nil"/>
            </w:tcBorders>
            <w:shd w:val="clear" w:color="auto" w:fill="F2F2F2"/>
          </w:tcPr>
          <w:p w14:paraId="462D2923" w14:textId="77777777" w:rsidR="009C6940" w:rsidRDefault="009C6940" w:rsidP="009C6940">
            <w:pPr>
              <w:pStyle w:val="BoxTitle"/>
            </w:pPr>
            <w:r>
              <w:rPr>
                <w:b w:val="0"/>
              </w:rPr>
              <w:t>Box C.</w:t>
            </w:r>
            <w:r>
              <w:rPr>
                <w:b w:val="0"/>
                <w:noProof/>
              </w:rPr>
              <w:t>1</w:t>
            </w:r>
            <w:r>
              <w:tab/>
              <w:t>Disability Support Pension eligibility criteria</w:t>
            </w:r>
          </w:p>
        </w:tc>
      </w:tr>
      <w:tr w:rsidR="009C6940" w14:paraId="154F8539" w14:textId="77777777" w:rsidTr="009C6940">
        <w:tc>
          <w:tcPr>
            <w:tcW w:w="5000" w:type="pct"/>
            <w:tcBorders>
              <w:top w:val="nil"/>
              <w:left w:val="nil"/>
              <w:bottom w:val="nil"/>
              <w:right w:val="nil"/>
            </w:tcBorders>
            <w:shd w:val="clear" w:color="auto" w:fill="F2F2F2"/>
          </w:tcPr>
          <w:p w14:paraId="2A12CA56" w14:textId="77777777" w:rsidR="009C6940" w:rsidRPr="00651D35" w:rsidRDefault="009C6940" w:rsidP="009C6940">
            <w:pPr>
              <w:pStyle w:val="Box"/>
            </w:pPr>
            <w:r w:rsidRPr="00651D35">
              <w:t>The D</w:t>
            </w:r>
            <w:r>
              <w:t xml:space="preserve">isability </w:t>
            </w:r>
            <w:r w:rsidRPr="00651D35">
              <w:t>S</w:t>
            </w:r>
            <w:r>
              <w:t xml:space="preserve">upport </w:t>
            </w:r>
            <w:r w:rsidRPr="00651D35">
              <w:t>P</w:t>
            </w:r>
            <w:r>
              <w:t>ension</w:t>
            </w:r>
            <w:r w:rsidRPr="00651D35">
              <w:t xml:space="preserve"> application process gathers information about disability permanence, functional impairment caused by a disability and the impact of this functional impairment on </w:t>
            </w:r>
            <w:r>
              <w:t xml:space="preserve">an applicant’s </w:t>
            </w:r>
            <w:r w:rsidRPr="00651D35">
              <w:t xml:space="preserve">employment prospects. Recipients must be </w:t>
            </w:r>
            <w:r>
              <w:t>aged</w:t>
            </w:r>
            <w:r w:rsidRPr="00651D35">
              <w:t xml:space="preserve"> </w:t>
            </w:r>
            <w:r>
              <w:t xml:space="preserve">between </w:t>
            </w:r>
            <w:r>
              <w:br/>
            </w:r>
            <w:r w:rsidRPr="00651D35">
              <w:t>16</w:t>
            </w:r>
            <w:r>
              <w:t>–</w:t>
            </w:r>
            <w:r w:rsidRPr="00651D35">
              <w:t>6</w:t>
            </w:r>
            <w:r>
              <w:t>6 years</w:t>
            </w:r>
            <w:r w:rsidRPr="00651D35">
              <w:t xml:space="preserve"> (</w:t>
            </w:r>
            <w:r>
              <w:t>those aged over 66 years receive the Age Pension</w:t>
            </w:r>
            <w:r w:rsidRPr="00651D35">
              <w:t xml:space="preserve">) and income and asset limits also apply. </w:t>
            </w:r>
          </w:p>
          <w:p w14:paraId="2DE8FD24" w14:textId="77777777" w:rsidR="009C6940" w:rsidRPr="00651D35" w:rsidRDefault="009C6940" w:rsidP="009C6940">
            <w:pPr>
              <w:pStyle w:val="Box"/>
            </w:pPr>
            <w:r w:rsidRPr="00651D35">
              <w:t>Applicants must:</w:t>
            </w:r>
          </w:p>
          <w:p w14:paraId="5E4414E2" w14:textId="77777777" w:rsidR="009C6940" w:rsidRPr="00651D35" w:rsidRDefault="009C6940" w:rsidP="009C6940">
            <w:pPr>
              <w:pStyle w:val="BoxListBullet"/>
            </w:pPr>
            <w:r w:rsidRPr="00651D35">
              <w:t>have their condition assessed as ‘fully diagnosed, treated and stabilised’ by a Job Capacity Assessor</w:t>
            </w:r>
            <w:r>
              <w:t>;</w:t>
            </w:r>
          </w:p>
          <w:p w14:paraId="74E214E4" w14:textId="77777777" w:rsidR="009C6940" w:rsidRPr="00651D35" w:rsidRDefault="009C6940" w:rsidP="009C6940">
            <w:pPr>
              <w:pStyle w:val="BoxListBullet"/>
            </w:pPr>
            <w:r w:rsidRPr="00651D35">
              <w:t>be scored over 20</w:t>
            </w:r>
            <w:r>
              <w:t> </w:t>
            </w:r>
            <w:r w:rsidRPr="00651D35">
              <w:t>points across the Impairment Tables</w:t>
            </w:r>
            <w:r>
              <w:t xml:space="preserve"> (discussed below)</w:t>
            </w:r>
            <w:r w:rsidRPr="00651D35">
              <w:t xml:space="preserve"> by a Job Capacity Assessor (</w:t>
            </w:r>
            <w:r>
              <w:t>who</w:t>
            </w:r>
            <w:r w:rsidRPr="00651D35">
              <w:t xml:space="preserve"> assess</w:t>
            </w:r>
            <w:r>
              <w:t>es</w:t>
            </w:r>
            <w:r w:rsidRPr="00651D35">
              <w:t xml:space="preserve"> functional capacity)</w:t>
            </w:r>
            <w:r>
              <w:t>;</w:t>
            </w:r>
          </w:p>
          <w:p w14:paraId="20485329" w14:textId="77777777" w:rsidR="009C6940" w:rsidRPr="00651D35" w:rsidRDefault="009C6940" w:rsidP="009C6940">
            <w:pPr>
              <w:pStyle w:val="BoxListBullet"/>
            </w:pPr>
            <w:r w:rsidRPr="00651D35">
              <w:t>complete a</w:t>
            </w:r>
            <w:r>
              <w:t>n 18</w:t>
            </w:r>
            <w:r w:rsidRPr="005D3D97">
              <w:noBreakHyphen/>
            </w:r>
            <w:r>
              <w:t>month</w:t>
            </w:r>
            <w:r w:rsidRPr="00651D35">
              <w:t xml:space="preserve"> Program of Support (this requirement is void if the applicant scores </w:t>
            </w:r>
            <w:r>
              <w:t>at least</w:t>
            </w:r>
            <w:r w:rsidRPr="00651D35">
              <w:t xml:space="preserve"> 20 point</w:t>
            </w:r>
            <w:r>
              <w:t>s on a single impairment table);</w:t>
            </w:r>
            <w:r w:rsidRPr="00651D35">
              <w:t xml:space="preserve"> and</w:t>
            </w:r>
          </w:p>
          <w:p w14:paraId="11AB07C4" w14:textId="77777777" w:rsidR="009C6940" w:rsidRPr="00651D35" w:rsidRDefault="009C6940" w:rsidP="009C6940">
            <w:pPr>
              <w:pStyle w:val="BoxListBullet"/>
            </w:pPr>
            <w:r w:rsidRPr="00651D35">
              <w:t>complete a Disability Medical Assessment by a government contracted doctor.</w:t>
            </w:r>
          </w:p>
          <w:p w14:paraId="6955A2B2" w14:textId="77777777" w:rsidR="009C6940" w:rsidRDefault="009C6940" w:rsidP="009C6940">
            <w:pPr>
              <w:pStyle w:val="Box"/>
            </w:pPr>
            <w:r w:rsidRPr="00651D35">
              <w:t>Impairment Table</w:t>
            </w:r>
            <w:r>
              <w:t xml:space="preserve"> Five</w:t>
            </w:r>
            <w:r w:rsidRPr="00651D35">
              <w:t xml:space="preserve"> </w:t>
            </w:r>
            <w:r>
              <w:t xml:space="preserve">is used </w:t>
            </w:r>
            <w:r w:rsidRPr="00651D35">
              <w:t>to assess the functional capacity of applicants with a mental illness (self</w:t>
            </w:r>
            <w:r>
              <w:noBreakHyphen/>
            </w:r>
            <w:r w:rsidRPr="00651D35">
              <w:t xml:space="preserve">care and independent living, interpersonal relationships and concentration and task </w:t>
            </w:r>
            <w:r>
              <w:t>completion, among others (table C.2</w:t>
            </w:r>
            <w:r w:rsidRPr="00651D35">
              <w:t>)</w:t>
            </w:r>
            <w:r>
              <w:t>)</w:t>
            </w:r>
            <w:r w:rsidRPr="00651D35">
              <w:t>.</w:t>
            </w:r>
          </w:p>
        </w:tc>
      </w:tr>
      <w:tr w:rsidR="009C6940" w14:paraId="436C3D96" w14:textId="77777777" w:rsidTr="009C6940">
        <w:tc>
          <w:tcPr>
            <w:tcW w:w="5000" w:type="pct"/>
            <w:tcBorders>
              <w:top w:val="nil"/>
              <w:left w:val="nil"/>
              <w:bottom w:val="nil"/>
              <w:right w:val="nil"/>
            </w:tcBorders>
            <w:shd w:val="clear" w:color="auto" w:fill="F2F2F2"/>
          </w:tcPr>
          <w:p w14:paraId="26B6872B" w14:textId="77777777" w:rsidR="009C6940" w:rsidRPr="00651D35" w:rsidRDefault="009C6940" w:rsidP="009C6940">
            <w:pPr>
              <w:pStyle w:val="BoxSource"/>
            </w:pPr>
            <w:r>
              <w:rPr>
                <w:i/>
              </w:rPr>
              <w:t>Source</w:t>
            </w:r>
            <w:r w:rsidRPr="00F86FE0">
              <w:t>:</w:t>
            </w:r>
            <w:r>
              <w:rPr>
                <w:i/>
              </w:rPr>
              <w:t xml:space="preserve"> </w:t>
            </w:r>
            <w:r>
              <w:t>ANAO</w:t>
            </w:r>
            <w:r>
              <w:rPr>
                <w:i/>
              </w:rPr>
              <w:t xml:space="preserve"> </w:t>
            </w:r>
            <w:r w:rsidRPr="00F80DFA">
              <w:rPr>
                <w:rFonts w:cs="Arial"/>
              </w:rPr>
              <w:t>(2017b)</w:t>
            </w:r>
            <w:r>
              <w:t xml:space="preserve">; Services Australia </w:t>
            </w:r>
            <w:r w:rsidRPr="005F40C7">
              <w:rPr>
                <w:rFonts w:cs="Arial"/>
              </w:rPr>
              <w:t>(2019)</w:t>
            </w:r>
            <w:r>
              <w:rPr>
                <w:i/>
              </w:rPr>
              <w:t>.</w:t>
            </w:r>
          </w:p>
        </w:tc>
      </w:tr>
      <w:tr w:rsidR="009C6940" w14:paraId="0E7239D3" w14:textId="77777777" w:rsidTr="009C6940">
        <w:tc>
          <w:tcPr>
            <w:tcW w:w="5000" w:type="pct"/>
            <w:tcBorders>
              <w:top w:val="nil"/>
              <w:left w:val="nil"/>
              <w:bottom w:val="single" w:sz="6" w:space="0" w:color="78A22F"/>
              <w:right w:val="nil"/>
            </w:tcBorders>
            <w:shd w:val="clear" w:color="auto" w:fill="F2F2F2"/>
          </w:tcPr>
          <w:p w14:paraId="2A83697A" w14:textId="77777777" w:rsidR="009C6940" w:rsidRDefault="009C6940" w:rsidP="009C6940">
            <w:pPr>
              <w:pStyle w:val="Box"/>
              <w:spacing w:before="0" w:line="120" w:lineRule="exact"/>
            </w:pPr>
          </w:p>
        </w:tc>
      </w:tr>
      <w:tr w:rsidR="009C6940" w:rsidRPr="000863A5" w14:paraId="43B91087" w14:textId="77777777" w:rsidTr="009C6940">
        <w:trPr>
          <w:trHeight w:val="251"/>
        </w:trPr>
        <w:tc>
          <w:tcPr>
            <w:tcW w:w="5000" w:type="pct"/>
            <w:tcBorders>
              <w:top w:val="single" w:sz="6" w:space="0" w:color="78A22F"/>
              <w:left w:val="nil"/>
              <w:bottom w:val="nil"/>
              <w:right w:val="nil"/>
            </w:tcBorders>
          </w:tcPr>
          <w:p w14:paraId="4F211896" w14:textId="77777777" w:rsidR="009C6940" w:rsidRPr="00626D32" w:rsidRDefault="009C6940" w:rsidP="009C6940">
            <w:pPr>
              <w:pStyle w:val="BoxSpaceBelow"/>
            </w:pPr>
          </w:p>
        </w:tc>
      </w:tr>
    </w:tbl>
    <w:p w14:paraId="2DBBE34F" w14:textId="77777777" w:rsidR="009C6940" w:rsidRDefault="009C6940" w:rsidP="009C6940">
      <w:pPr>
        <w:pStyle w:val="Heading5"/>
      </w:pPr>
      <w:r>
        <w:t>Impairment tables</w:t>
      </w:r>
    </w:p>
    <w:p w14:paraId="1C0C267E" w14:textId="77777777" w:rsidR="009C6940" w:rsidRDefault="009C6940" w:rsidP="009C6940">
      <w:pPr>
        <w:pStyle w:val="BodyText"/>
      </w:pPr>
      <w:r>
        <w:t xml:space="preserve">Job Capacity Assessors assess the functional capacity of DSP applicants using ‘Impairment Tables’. Applicants must score at least 20 points across the impairment tables to be eligible for the payment. Applicants who score 20 points or more over multiple tables but do not score at least 20 points on a single table are deemed to not have a severe impairment. These applicants must compete a Program of Support — 18 months of participation in an employment support program (such as jobactive or DES), before becoming eligible for the DSP. This is not a requirement for those who score over 20 on a single table. </w:t>
      </w:r>
    </w:p>
    <w:p w14:paraId="192D6C9E" w14:textId="77777777" w:rsidR="009C6940" w:rsidRDefault="009C6940" w:rsidP="009C6940">
      <w:pPr>
        <w:pStyle w:val="BodyText"/>
      </w:pPr>
      <w:r>
        <w:t xml:space="preserve">Of particular relevance is Impairment Table Five, which assesses the impact of a psychological or psychiatric condition on an applicant’s functional impairment (table C.2). </w:t>
      </w:r>
    </w:p>
    <w:p w14:paraId="7EACAFC1"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339D5559" w14:textId="77777777" w:rsidTr="009C6940">
        <w:trPr>
          <w:tblHeader/>
        </w:trPr>
        <w:tc>
          <w:tcPr>
            <w:tcW w:w="5000" w:type="pct"/>
            <w:tcBorders>
              <w:top w:val="single" w:sz="6" w:space="0" w:color="78A22F"/>
              <w:left w:val="nil"/>
              <w:bottom w:val="nil"/>
              <w:right w:val="nil"/>
            </w:tcBorders>
            <w:shd w:val="clear" w:color="auto" w:fill="auto"/>
          </w:tcPr>
          <w:p w14:paraId="41DF6E75" w14:textId="77777777" w:rsidR="009C6940" w:rsidRPr="00784A05" w:rsidRDefault="009C6940" w:rsidP="009C6940">
            <w:pPr>
              <w:pStyle w:val="TableTitle"/>
            </w:pPr>
            <w:r>
              <w:rPr>
                <w:b w:val="0"/>
              </w:rPr>
              <w:t>Table C.</w:t>
            </w:r>
            <w:r>
              <w:rPr>
                <w:b w:val="0"/>
                <w:noProof/>
              </w:rPr>
              <w:t>2</w:t>
            </w:r>
            <w:r>
              <w:tab/>
              <w:t>Summary of Impairment Table Five</w:t>
            </w:r>
          </w:p>
        </w:tc>
      </w:tr>
      <w:tr w:rsidR="009C6940" w14:paraId="75037525" w14:textId="77777777" w:rsidTr="009C6940">
        <w:trPr>
          <w:trHeight w:val="10972"/>
        </w:trPr>
        <w:tc>
          <w:tcPr>
            <w:tcW w:w="5000" w:type="pct"/>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1584"/>
              <w:gridCol w:w="1730"/>
              <w:gridCol w:w="1730"/>
              <w:gridCol w:w="1730"/>
              <w:gridCol w:w="1731"/>
            </w:tblGrid>
            <w:tr w:rsidR="009C6940" w:rsidRPr="00B7470A" w14:paraId="587222A9" w14:textId="77777777" w:rsidTr="009C6940">
              <w:trPr>
                <w:trHeight w:val="137"/>
                <w:tblHeader/>
              </w:trPr>
              <w:tc>
                <w:tcPr>
                  <w:tcW w:w="1584" w:type="dxa"/>
                  <w:tcBorders>
                    <w:top w:val="single" w:sz="6" w:space="0" w:color="BFBFBF"/>
                    <w:bottom w:val="single" w:sz="6" w:space="0" w:color="BFBFBF"/>
                  </w:tcBorders>
                </w:tcPr>
                <w:p w14:paraId="35DFFED1" w14:textId="77777777" w:rsidR="009C6940" w:rsidRPr="00F6262F" w:rsidRDefault="009C6940" w:rsidP="009C6940">
                  <w:pPr>
                    <w:pStyle w:val="TableColumnHeading"/>
                    <w:jc w:val="left"/>
                    <w:rPr>
                      <w:sz w:val="17"/>
                      <w:szCs w:val="17"/>
                    </w:rPr>
                  </w:pPr>
                  <w:r w:rsidRPr="00F6262F">
                    <w:rPr>
                      <w:sz w:val="17"/>
                      <w:szCs w:val="17"/>
                    </w:rPr>
                    <w:t>Activity</w:t>
                  </w:r>
                </w:p>
              </w:tc>
              <w:tc>
                <w:tcPr>
                  <w:tcW w:w="1730" w:type="dxa"/>
                  <w:tcBorders>
                    <w:top w:val="single" w:sz="6" w:space="0" w:color="BFBFBF"/>
                    <w:bottom w:val="single" w:sz="6" w:space="0" w:color="BFBFBF"/>
                  </w:tcBorders>
                </w:tcPr>
                <w:p w14:paraId="6D3F5657" w14:textId="77777777" w:rsidR="009C6940" w:rsidRPr="00F6262F" w:rsidRDefault="009C6940" w:rsidP="009C6940">
                  <w:pPr>
                    <w:pStyle w:val="TableColumnHeading"/>
                    <w:jc w:val="left"/>
                    <w:rPr>
                      <w:sz w:val="17"/>
                      <w:szCs w:val="17"/>
                    </w:rPr>
                  </w:pPr>
                  <w:r w:rsidRPr="00F6262F">
                    <w:rPr>
                      <w:sz w:val="17"/>
                      <w:szCs w:val="17"/>
                    </w:rPr>
                    <w:t>None (0 points)</w:t>
                  </w:r>
                </w:p>
              </w:tc>
              <w:tc>
                <w:tcPr>
                  <w:tcW w:w="1730" w:type="dxa"/>
                  <w:tcBorders>
                    <w:top w:val="single" w:sz="6" w:space="0" w:color="BFBFBF"/>
                    <w:bottom w:val="single" w:sz="6" w:space="0" w:color="BFBFBF"/>
                  </w:tcBorders>
                </w:tcPr>
                <w:p w14:paraId="31E02D36" w14:textId="77777777" w:rsidR="009C6940" w:rsidRPr="00F6262F" w:rsidRDefault="009C6940" w:rsidP="009C6940">
                  <w:pPr>
                    <w:pStyle w:val="TableColumnHeading"/>
                    <w:jc w:val="left"/>
                    <w:rPr>
                      <w:sz w:val="17"/>
                      <w:szCs w:val="17"/>
                    </w:rPr>
                  </w:pPr>
                  <w:r w:rsidRPr="00F6262F">
                    <w:rPr>
                      <w:sz w:val="17"/>
                      <w:szCs w:val="17"/>
                    </w:rPr>
                    <w:t>Moderate (10 points)</w:t>
                  </w:r>
                </w:p>
              </w:tc>
              <w:tc>
                <w:tcPr>
                  <w:tcW w:w="1730" w:type="dxa"/>
                  <w:tcBorders>
                    <w:top w:val="single" w:sz="6" w:space="0" w:color="BFBFBF"/>
                    <w:bottom w:val="single" w:sz="6" w:space="0" w:color="BFBFBF"/>
                  </w:tcBorders>
                </w:tcPr>
                <w:p w14:paraId="00332FC9" w14:textId="77777777" w:rsidR="009C6940" w:rsidRPr="00F6262F" w:rsidRDefault="009C6940" w:rsidP="009C6940">
                  <w:pPr>
                    <w:pStyle w:val="TableColumnHeading"/>
                    <w:jc w:val="left"/>
                    <w:rPr>
                      <w:sz w:val="17"/>
                      <w:szCs w:val="17"/>
                    </w:rPr>
                  </w:pPr>
                  <w:r w:rsidRPr="00F6262F">
                    <w:rPr>
                      <w:sz w:val="17"/>
                      <w:szCs w:val="17"/>
                    </w:rPr>
                    <w:t>Severe (20 points)</w:t>
                  </w:r>
                </w:p>
              </w:tc>
              <w:tc>
                <w:tcPr>
                  <w:tcW w:w="1731" w:type="dxa"/>
                  <w:tcBorders>
                    <w:top w:val="single" w:sz="6" w:space="0" w:color="BFBFBF"/>
                    <w:bottom w:val="single" w:sz="6" w:space="0" w:color="BFBFBF"/>
                  </w:tcBorders>
                </w:tcPr>
                <w:p w14:paraId="46BCEA37" w14:textId="77777777" w:rsidR="009C6940" w:rsidRPr="00F6262F" w:rsidRDefault="009C6940" w:rsidP="009C6940">
                  <w:pPr>
                    <w:pStyle w:val="TableColumnHeading"/>
                    <w:jc w:val="left"/>
                    <w:rPr>
                      <w:sz w:val="17"/>
                      <w:szCs w:val="17"/>
                    </w:rPr>
                  </w:pPr>
                  <w:r w:rsidRPr="00F6262F">
                    <w:rPr>
                      <w:sz w:val="17"/>
                      <w:szCs w:val="17"/>
                    </w:rPr>
                    <w:t>Extreme (30 points)</w:t>
                  </w:r>
                </w:p>
              </w:tc>
            </w:tr>
            <w:tr w:rsidR="009C6940" w14:paraId="4E4EEE04" w14:textId="77777777" w:rsidTr="009C6940">
              <w:trPr>
                <w:trHeight w:val="1420"/>
              </w:trPr>
              <w:tc>
                <w:tcPr>
                  <w:tcW w:w="1584" w:type="dxa"/>
                  <w:tcBorders>
                    <w:top w:val="single" w:sz="6" w:space="0" w:color="BFBFBF"/>
                  </w:tcBorders>
                  <w:shd w:val="clear" w:color="auto" w:fill="F2F2F2" w:themeFill="background1" w:themeFillShade="F2"/>
                </w:tcPr>
                <w:p w14:paraId="2DA89E17" w14:textId="77777777" w:rsidR="009C6940" w:rsidRPr="00F6262F" w:rsidRDefault="009C6940" w:rsidP="009C6940">
                  <w:pPr>
                    <w:pStyle w:val="TableBodyText"/>
                    <w:jc w:val="left"/>
                    <w:rPr>
                      <w:sz w:val="17"/>
                      <w:szCs w:val="17"/>
                    </w:rPr>
                  </w:pPr>
                  <w:r w:rsidRPr="00F6262F">
                    <w:rPr>
                      <w:sz w:val="17"/>
                      <w:szCs w:val="17"/>
                    </w:rPr>
                    <w:t>Self</w:t>
                  </w:r>
                  <w:r w:rsidRPr="00F6262F">
                    <w:rPr>
                      <w:sz w:val="17"/>
                      <w:szCs w:val="17"/>
                    </w:rPr>
                    <w:noBreakHyphen/>
                    <w:t>care and independent living</w:t>
                  </w:r>
                </w:p>
              </w:tc>
              <w:tc>
                <w:tcPr>
                  <w:tcW w:w="1730" w:type="dxa"/>
                  <w:tcBorders>
                    <w:top w:val="single" w:sz="6" w:space="0" w:color="BFBFBF"/>
                  </w:tcBorders>
                  <w:shd w:val="clear" w:color="auto" w:fill="F2F2F2" w:themeFill="background1" w:themeFillShade="F2"/>
                </w:tcPr>
                <w:p w14:paraId="38C59306" w14:textId="77777777" w:rsidR="009C6940" w:rsidRPr="00F6262F" w:rsidRDefault="009C6940" w:rsidP="009C6940">
                  <w:pPr>
                    <w:pStyle w:val="TableBodyText"/>
                    <w:jc w:val="left"/>
                    <w:rPr>
                      <w:rFonts w:cs="Arial"/>
                      <w:color w:val="000000"/>
                      <w:sz w:val="17"/>
                      <w:szCs w:val="17"/>
                      <w:shd w:val="clear" w:color="auto" w:fill="FFFFFF"/>
                    </w:rPr>
                  </w:pPr>
                  <w:r w:rsidRPr="00F6262F">
                    <w:rPr>
                      <w:sz w:val="17"/>
                      <w:szCs w:val="17"/>
                    </w:rPr>
                    <w:t>The person lives independently and attends to all self</w:t>
                  </w:r>
                  <w:r w:rsidRPr="00F6262F">
                    <w:rPr>
                      <w:sz w:val="17"/>
                      <w:szCs w:val="17"/>
                    </w:rPr>
                    <w:noBreakHyphen/>
                    <w:t>care needs without support.</w:t>
                  </w:r>
                </w:p>
              </w:tc>
              <w:tc>
                <w:tcPr>
                  <w:tcW w:w="1730" w:type="dxa"/>
                  <w:tcBorders>
                    <w:top w:val="single" w:sz="6" w:space="0" w:color="BFBFBF"/>
                  </w:tcBorders>
                  <w:shd w:val="clear" w:color="auto" w:fill="F2F2F2" w:themeFill="background1" w:themeFillShade="F2"/>
                </w:tcPr>
                <w:p w14:paraId="0EA62FA4" w14:textId="77777777" w:rsidR="009C6940" w:rsidRPr="00F6262F" w:rsidRDefault="009C6940" w:rsidP="009C6940">
                  <w:pPr>
                    <w:pStyle w:val="TableBodyText"/>
                    <w:jc w:val="left"/>
                    <w:rPr>
                      <w:sz w:val="17"/>
                      <w:szCs w:val="17"/>
                    </w:rPr>
                  </w:pPr>
                  <w:r w:rsidRPr="00F6262F">
                    <w:rPr>
                      <w:rFonts w:cs="Arial"/>
                      <w:color w:val="000000"/>
                      <w:sz w:val="17"/>
                      <w:szCs w:val="17"/>
                      <w:shd w:val="clear" w:color="auto" w:fill="F2F2F2" w:themeFill="background1" w:themeFillShade="F2"/>
                    </w:rPr>
                    <w:t>The person needs some support to live independently and maintain adequate hygiene and nutrition.</w:t>
                  </w:r>
                </w:p>
              </w:tc>
              <w:tc>
                <w:tcPr>
                  <w:tcW w:w="1730" w:type="dxa"/>
                  <w:tcBorders>
                    <w:top w:val="single" w:sz="6" w:space="0" w:color="BFBFBF"/>
                  </w:tcBorders>
                  <w:shd w:val="clear" w:color="auto" w:fill="F2F2F2" w:themeFill="background1" w:themeFillShade="F2"/>
                </w:tcPr>
                <w:p w14:paraId="187E4D9E" w14:textId="77777777" w:rsidR="009C6940" w:rsidRPr="00F6262F" w:rsidRDefault="009C6940" w:rsidP="009C6940">
                  <w:pPr>
                    <w:pStyle w:val="TableBodyText"/>
                    <w:jc w:val="left"/>
                    <w:rPr>
                      <w:sz w:val="17"/>
                      <w:szCs w:val="17"/>
                    </w:rPr>
                  </w:pPr>
                  <w:r w:rsidRPr="00F6262F">
                    <w:rPr>
                      <w:rFonts w:cs="Arial"/>
                      <w:color w:val="000000"/>
                      <w:sz w:val="17"/>
                      <w:szCs w:val="17"/>
                      <w:shd w:val="clear" w:color="auto" w:fill="F2F2F2" w:themeFill="background1" w:themeFillShade="F2"/>
                    </w:rPr>
                    <w:t>The person needs regular support to live independently.</w:t>
                  </w:r>
                </w:p>
              </w:tc>
              <w:tc>
                <w:tcPr>
                  <w:tcW w:w="1731" w:type="dxa"/>
                  <w:tcBorders>
                    <w:top w:val="single" w:sz="6" w:space="0" w:color="BFBFBF"/>
                  </w:tcBorders>
                  <w:shd w:val="clear" w:color="auto" w:fill="F2F2F2" w:themeFill="background1" w:themeFillShade="F2"/>
                </w:tcPr>
                <w:p w14:paraId="4074723A" w14:textId="77777777" w:rsidR="009C6940" w:rsidRPr="00F6262F" w:rsidRDefault="009C6940" w:rsidP="009C6940">
                  <w:pPr>
                    <w:pStyle w:val="TableBodyText"/>
                    <w:jc w:val="left"/>
                    <w:rPr>
                      <w:sz w:val="17"/>
                      <w:szCs w:val="17"/>
                    </w:rPr>
                  </w:pPr>
                  <w:r w:rsidRPr="00F6262F">
                    <w:rPr>
                      <w:rFonts w:cs="Arial"/>
                      <w:color w:val="000000"/>
                      <w:sz w:val="17"/>
                      <w:szCs w:val="17"/>
                      <w:shd w:val="clear" w:color="auto" w:fill="F2F2F2" w:themeFill="background1" w:themeFillShade="F2"/>
                    </w:rPr>
                    <w:t>The person needs continual support with daily activities and self</w:t>
                  </w:r>
                  <w:r w:rsidRPr="00F6262F">
                    <w:rPr>
                      <w:rFonts w:cs="Arial"/>
                      <w:color w:val="000000"/>
                      <w:sz w:val="17"/>
                      <w:szCs w:val="17"/>
                      <w:shd w:val="clear" w:color="auto" w:fill="F2F2F2" w:themeFill="background1" w:themeFillShade="F2"/>
                    </w:rPr>
                    <w:noBreakHyphen/>
                    <w:t>care and/or is unable to live on their own and lives with family or supported residential or secure facility.</w:t>
                  </w:r>
                  <w:r w:rsidRPr="00F6262F">
                    <w:rPr>
                      <w:rFonts w:cs="Arial"/>
                      <w:color w:val="000000"/>
                      <w:sz w:val="17"/>
                      <w:szCs w:val="17"/>
                      <w:shd w:val="clear" w:color="auto" w:fill="FFFFFF"/>
                    </w:rPr>
                    <w:t xml:space="preserve"> </w:t>
                  </w:r>
                </w:p>
              </w:tc>
            </w:tr>
            <w:tr w:rsidR="009C6940" w14:paraId="261E34CB" w14:textId="77777777" w:rsidTr="009C6940">
              <w:trPr>
                <w:trHeight w:val="1140"/>
              </w:trPr>
              <w:tc>
                <w:tcPr>
                  <w:tcW w:w="1584" w:type="dxa"/>
                </w:tcPr>
                <w:p w14:paraId="450DEC37" w14:textId="77777777" w:rsidR="009C6940" w:rsidRPr="00F6262F" w:rsidRDefault="009C6940" w:rsidP="009C6940">
                  <w:pPr>
                    <w:pStyle w:val="TableBodyText"/>
                    <w:jc w:val="left"/>
                    <w:rPr>
                      <w:sz w:val="17"/>
                      <w:szCs w:val="17"/>
                    </w:rPr>
                  </w:pPr>
                  <w:r w:rsidRPr="00F6262F">
                    <w:rPr>
                      <w:rFonts w:cs="Arial"/>
                      <w:color w:val="000000"/>
                      <w:sz w:val="17"/>
                      <w:szCs w:val="17"/>
                      <w:lang w:val="en-US"/>
                    </w:rPr>
                    <w:t>Social/recreational activities and travel</w:t>
                  </w:r>
                </w:p>
              </w:tc>
              <w:tc>
                <w:tcPr>
                  <w:tcW w:w="1730" w:type="dxa"/>
                </w:tcPr>
                <w:p w14:paraId="422BCEE0" w14:textId="77777777" w:rsidR="009C6940" w:rsidRPr="00F6262F" w:rsidRDefault="009C6940" w:rsidP="009C6940">
                  <w:pPr>
                    <w:pStyle w:val="TableBodyText"/>
                    <w:jc w:val="left"/>
                    <w:rPr>
                      <w:rFonts w:cs="Arial"/>
                      <w:color w:val="000000"/>
                      <w:sz w:val="17"/>
                      <w:szCs w:val="17"/>
                      <w:lang w:val="en-US"/>
                    </w:rPr>
                  </w:pPr>
                  <w:r w:rsidRPr="00F6262F">
                    <w:rPr>
                      <w:rFonts w:cs="Arial"/>
                      <w:color w:val="000000"/>
                      <w:sz w:val="17"/>
                      <w:szCs w:val="17"/>
                      <w:lang w:val="en-US"/>
                    </w:rPr>
                    <w:t>The person goes to social or recreations events regularly without support and/or travels alone to new environments.</w:t>
                  </w:r>
                </w:p>
              </w:tc>
              <w:tc>
                <w:tcPr>
                  <w:tcW w:w="1730" w:type="dxa"/>
                </w:tcPr>
                <w:p w14:paraId="25AC3980"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FFFFF"/>
                    </w:rPr>
                    <w:t xml:space="preserve">The person goes out alone infrequently and/or will often refuse to travel alone to </w:t>
                  </w:r>
                  <w:r w:rsidRPr="00F6262F">
                    <w:rPr>
                      <w:rFonts w:cs="Arial"/>
                      <w:color w:val="000000"/>
                      <w:sz w:val="17"/>
                      <w:szCs w:val="17"/>
                      <w:shd w:val="clear" w:color="auto" w:fill="FFFFFF"/>
                      <w:lang w:val="en-US"/>
                    </w:rPr>
                    <w:t xml:space="preserve">new </w:t>
                  </w:r>
                  <w:r w:rsidRPr="00F6262F">
                    <w:rPr>
                      <w:rFonts w:cs="Arial"/>
                      <w:color w:val="000000"/>
                      <w:sz w:val="17"/>
                      <w:szCs w:val="17"/>
                      <w:shd w:val="clear" w:color="auto" w:fill="FFFFFF"/>
                    </w:rPr>
                    <w:t>environments.</w:t>
                  </w:r>
                </w:p>
              </w:tc>
              <w:tc>
                <w:tcPr>
                  <w:tcW w:w="1730" w:type="dxa"/>
                </w:tcPr>
                <w:p w14:paraId="5B2699F9" w14:textId="77777777" w:rsidR="009C6940" w:rsidRPr="00F6262F" w:rsidRDefault="009C6940" w:rsidP="009C6940">
                  <w:pPr>
                    <w:pStyle w:val="TableBodyText"/>
                    <w:jc w:val="left"/>
                    <w:rPr>
                      <w:sz w:val="17"/>
                      <w:szCs w:val="17"/>
                    </w:rPr>
                  </w:pPr>
                  <w:r w:rsidRPr="00F6262F">
                    <w:rPr>
                      <w:rFonts w:cs="Arial"/>
                      <w:color w:val="000000"/>
                      <w:sz w:val="17"/>
                      <w:szCs w:val="17"/>
                      <w:shd w:val="clear" w:color="auto" w:fill="FFFFFF"/>
                    </w:rPr>
                    <w:t xml:space="preserve">The person travels alone only in familiar areas. </w:t>
                  </w:r>
                </w:p>
              </w:tc>
              <w:tc>
                <w:tcPr>
                  <w:tcW w:w="1731" w:type="dxa"/>
                </w:tcPr>
                <w:p w14:paraId="72EDC151" w14:textId="77777777" w:rsidR="009C6940" w:rsidRPr="00F6262F" w:rsidRDefault="009C6940" w:rsidP="009C6940">
                  <w:pPr>
                    <w:pStyle w:val="TableBodyText"/>
                    <w:jc w:val="left"/>
                    <w:rPr>
                      <w:sz w:val="17"/>
                      <w:szCs w:val="17"/>
                    </w:rPr>
                  </w:pPr>
                  <w:r w:rsidRPr="00F6262F">
                    <w:rPr>
                      <w:rFonts w:cs="Arial"/>
                      <w:color w:val="000000"/>
                      <w:sz w:val="17"/>
                      <w:szCs w:val="17"/>
                      <w:shd w:val="clear" w:color="auto" w:fill="FFFFFF"/>
                    </w:rPr>
                    <w:t>The person is unable to travel away from own residence without a support person.</w:t>
                  </w:r>
                </w:p>
              </w:tc>
            </w:tr>
            <w:tr w:rsidR="009C6940" w:rsidRPr="003107B5" w14:paraId="2A8C9237" w14:textId="77777777" w:rsidTr="009C6940">
              <w:trPr>
                <w:trHeight w:val="1820"/>
              </w:trPr>
              <w:tc>
                <w:tcPr>
                  <w:tcW w:w="1584" w:type="dxa"/>
                  <w:shd w:val="clear" w:color="auto" w:fill="F2F2F2" w:themeFill="background1" w:themeFillShade="F2"/>
                </w:tcPr>
                <w:p w14:paraId="6FDC06AA" w14:textId="77777777" w:rsidR="009C6940" w:rsidRPr="00F6262F" w:rsidRDefault="009C6940" w:rsidP="009C6940">
                  <w:pPr>
                    <w:pStyle w:val="TableBodyText"/>
                    <w:jc w:val="left"/>
                    <w:rPr>
                      <w:sz w:val="17"/>
                      <w:szCs w:val="17"/>
                    </w:rPr>
                  </w:pPr>
                  <w:r w:rsidRPr="00F6262F">
                    <w:rPr>
                      <w:sz w:val="17"/>
                      <w:szCs w:val="17"/>
                    </w:rPr>
                    <w:t>Interpersonal relationships</w:t>
                  </w:r>
                </w:p>
              </w:tc>
              <w:tc>
                <w:tcPr>
                  <w:tcW w:w="1730" w:type="dxa"/>
                  <w:shd w:val="clear" w:color="auto" w:fill="F2F2F2" w:themeFill="background1" w:themeFillShade="F2"/>
                </w:tcPr>
                <w:p w14:paraId="66F8AD6E" w14:textId="77777777" w:rsidR="009C6940" w:rsidRPr="00F6262F" w:rsidRDefault="009C6940" w:rsidP="009C6940">
                  <w:pPr>
                    <w:pStyle w:val="TableBodyText"/>
                    <w:jc w:val="left"/>
                    <w:rPr>
                      <w:rFonts w:cs="Arial"/>
                      <w:sz w:val="17"/>
                      <w:szCs w:val="17"/>
                      <w:shd w:val="clear" w:color="auto" w:fill="FFFFFF"/>
                    </w:rPr>
                  </w:pPr>
                  <w:r w:rsidRPr="00F6262F">
                    <w:rPr>
                      <w:rFonts w:cs="Arial"/>
                      <w:sz w:val="17"/>
                      <w:szCs w:val="17"/>
                      <w:lang w:val="en-US"/>
                    </w:rPr>
                    <w:t>The person has no difficulty forming and sustaining relationships.</w:t>
                  </w:r>
                </w:p>
              </w:tc>
              <w:tc>
                <w:tcPr>
                  <w:tcW w:w="1730" w:type="dxa"/>
                  <w:shd w:val="clear" w:color="auto" w:fill="F2F2F2" w:themeFill="background1" w:themeFillShade="F2"/>
                </w:tcPr>
                <w:p w14:paraId="6D223099" w14:textId="77777777" w:rsidR="009C6940" w:rsidRPr="00F6262F" w:rsidRDefault="009C6940" w:rsidP="009C6940">
                  <w:pPr>
                    <w:pStyle w:val="TableBodyText"/>
                    <w:jc w:val="left"/>
                    <w:rPr>
                      <w:rFonts w:cs="Arial"/>
                      <w:sz w:val="17"/>
                      <w:szCs w:val="17"/>
                      <w:shd w:val="clear" w:color="auto" w:fill="FFFFFF"/>
                    </w:rPr>
                  </w:pPr>
                  <w:r w:rsidRPr="00F6262F">
                    <w:rPr>
                      <w:rFonts w:cs="Arial"/>
                      <w:sz w:val="17"/>
                      <w:szCs w:val="17"/>
                      <w:shd w:val="clear" w:color="auto" w:fill="F2F2F2" w:themeFill="background1" w:themeFillShade="F2"/>
                    </w:rPr>
                    <w:t>The person has difficulty making and</w:t>
                  </w:r>
                  <w:r w:rsidRPr="00F6262F">
                    <w:rPr>
                      <w:rFonts w:cs="Arial"/>
                      <w:sz w:val="17"/>
                      <w:szCs w:val="17"/>
                      <w:shd w:val="clear" w:color="auto" w:fill="FFFFFF"/>
                    </w:rPr>
                    <w:t xml:space="preserve"> </w:t>
                  </w:r>
                  <w:r w:rsidRPr="00F6262F">
                    <w:rPr>
                      <w:rFonts w:cs="Arial"/>
                      <w:sz w:val="17"/>
                      <w:szCs w:val="17"/>
                      <w:shd w:val="clear" w:color="auto" w:fill="F2F2F2" w:themeFill="background1" w:themeFillShade="F2"/>
                    </w:rPr>
                    <w:t>keeping friends or sustaining relationships.</w:t>
                  </w:r>
                </w:p>
              </w:tc>
              <w:tc>
                <w:tcPr>
                  <w:tcW w:w="1730" w:type="dxa"/>
                  <w:shd w:val="clear" w:color="auto" w:fill="F2F2F2" w:themeFill="background1" w:themeFillShade="F2"/>
                </w:tcPr>
                <w:p w14:paraId="53AF3D0A" w14:textId="77777777" w:rsidR="009C6940" w:rsidRPr="00F6262F" w:rsidRDefault="009C6940" w:rsidP="009C6940">
                  <w:pPr>
                    <w:pStyle w:val="TableBodyText"/>
                    <w:jc w:val="left"/>
                    <w:rPr>
                      <w:sz w:val="17"/>
                      <w:szCs w:val="17"/>
                    </w:rPr>
                  </w:pPr>
                  <w:r w:rsidRPr="00F6262F">
                    <w:rPr>
                      <w:rFonts w:cs="Arial"/>
                      <w:sz w:val="17"/>
                      <w:szCs w:val="17"/>
                      <w:shd w:val="clear" w:color="auto" w:fill="F2F2F2" w:themeFill="background1" w:themeFillShade="F2"/>
                    </w:rPr>
                    <w:t>The person has very limited social contacts/involvement unless organised for them and/or often has difficulty interacting with other people and may need assistance/support to socialise.</w:t>
                  </w:r>
                </w:p>
              </w:tc>
              <w:tc>
                <w:tcPr>
                  <w:tcW w:w="1731" w:type="dxa"/>
                  <w:shd w:val="clear" w:color="auto" w:fill="F2F2F2" w:themeFill="background1" w:themeFillShade="F2"/>
                </w:tcPr>
                <w:p w14:paraId="04C5925C" w14:textId="77777777" w:rsidR="009C6940" w:rsidRPr="00F6262F" w:rsidRDefault="009C6940" w:rsidP="009C6940">
                  <w:pPr>
                    <w:pStyle w:val="TableBodyText"/>
                    <w:jc w:val="left"/>
                    <w:rPr>
                      <w:sz w:val="17"/>
                      <w:szCs w:val="17"/>
                    </w:rPr>
                  </w:pPr>
                  <w:r w:rsidRPr="00F6262F">
                    <w:rPr>
                      <w:rFonts w:cs="Arial"/>
                      <w:sz w:val="17"/>
                      <w:szCs w:val="17"/>
                      <w:shd w:val="clear" w:color="auto" w:fill="F2F2F2" w:themeFill="background1" w:themeFillShade="F2"/>
                    </w:rPr>
                    <w:t>The person has extreme difficulty interacting with other people and is socially isolated.</w:t>
                  </w:r>
                </w:p>
              </w:tc>
            </w:tr>
            <w:tr w:rsidR="009C6940" w14:paraId="77E26C07" w14:textId="77777777" w:rsidTr="009C6940">
              <w:trPr>
                <w:trHeight w:val="1820"/>
              </w:trPr>
              <w:tc>
                <w:tcPr>
                  <w:tcW w:w="1584" w:type="dxa"/>
                </w:tcPr>
                <w:p w14:paraId="6DD203B2" w14:textId="77777777" w:rsidR="009C6940" w:rsidRPr="00F6262F" w:rsidRDefault="009C6940" w:rsidP="009C6940">
                  <w:pPr>
                    <w:pStyle w:val="TableBodyText"/>
                    <w:jc w:val="left"/>
                    <w:rPr>
                      <w:sz w:val="17"/>
                      <w:szCs w:val="17"/>
                    </w:rPr>
                  </w:pPr>
                  <w:r w:rsidRPr="00F6262F">
                    <w:rPr>
                      <w:rFonts w:cs="Arial"/>
                      <w:color w:val="000000"/>
                      <w:sz w:val="17"/>
                      <w:szCs w:val="17"/>
                      <w:lang w:val="en-US"/>
                    </w:rPr>
                    <w:t>Concentration and task completion</w:t>
                  </w:r>
                </w:p>
              </w:tc>
              <w:tc>
                <w:tcPr>
                  <w:tcW w:w="1730" w:type="dxa"/>
                </w:tcPr>
                <w:p w14:paraId="2CE4BAF4" w14:textId="77777777" w:rsidR="009C6940" w:rsidRPr="00F6262F" w:rsidRDefault="009C6940" w:rsidP="009C6940">
                  <w:pPr>
                    <w:pStyle w:val="TableBodyText"/>
                    <w:jc w:val="left"/>
                    <w:rPr>
                      <w:rFonts w:cs="Arial"/>
                      <w:color w:val="000000"/>
                      <w:sz w:val="17"/>
                      <w:szCs w:val="17"/>
                      <w:lang w:val="en-US"/>
                    </w:rPr>
                  </w:pPr>
                  <w:r w:rsidRPr="00F6262F">
                    <w:rPr>
                      <w:rFonts w:cs="Arial"/>
                      <w:color w:val="000000"/>
                      <w:sz w:val="17"/>
                      <w:szCs w:val="17"/>
                      <w:lang w:val="en-US"/>
                    </w:rPr>
                    <w:t>The person has no difficulties concentrating on most tasks and/or is able to complete a training or educational course or qualification in the normal timeframe.</w:t>
                  </w:r>
                </w:p>
              </w:tc>
              <w:tc>
                <w:tcPr>
                  <w:tcW w:w="1730" w:type="dxa"/>
                </w:tcPr>
                <w:p w14:paraId="5DE4DCB5"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FFFFF"/>
                    </w:rPr>
                    <w:t>The person finds it very difficult to concentrate on longer tasks for more than 30 minutes and/or finds it difficult to follow complex instructions.</w:t>
                  </w:r>
                </w:p>
              </w:tc>
              <w:tc>
                <w:tcPr>
                  <w:tcW w:w="1730" w:type="dxa"/>
                </w:tcPr>
                <w:p w14:paraId="2FF40331"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FFFFF"/>
                    </w:rPr>
                    <w:t>The person has difficulty concentrating on any task or conversation for more than 10 minutes and/or has slowed movements or reaction time due to psychiatric illness or treatment effects</w:t>
                  </w:r>
                </w:p>
              </w:tc>
              <w:tc>
                <w:tcPr>
                  <w:tcW w:w="1731" w:type="dxa"/>
                </w:tcPr>
                <w:p w14:paraId="3F2B36CF"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FFFFF"/>
                    </w:rPr>
                    <w:t>The person has extreme difficulty in concentrating on any productive task for more than a few minutes and/or has extreme difficulty in completing tasks or following instructions.</w:t>
                  </w:r>
                </w:p>
              </w:tc>
            </w:tr>
            <w:tr w:rsidR="009C6940" w14:paraId="37F5D288" w14:textId="77777777" w:rsidTr="009C6940">
              <w:trPr>
                <w:trHeight w:val="1820"/>
              </w:trPr>
              <w:tc>
                <w:tcPr>
                  <w:tcW w:w="1584" w:type="dxa"/>
                  <w:shd w:val="clear" w:color="auto" w:fill="F2F2F2" w:themeFill="background1" w:themeFillShade="F2"/>
                </w:tcPr>
                <w:p w14:paraId="445737A9" w14:textId="77777777" w:rsidR="009C6940" w:rsidRPr="00F6262F" w:rsidRDefault="009C6940" w:rsidP="009C6940">
                  <w:pPr>
                    <w:pStyle w:val="TableBodyText"/>
                    <w:jc w:val="left"/>
                    <w:rPr>
                      <w:rFonts w:cs="Arial"/>
                      <w:color w:val="000000"/>
                      <w:sz w:val="17"/>
                      <w:szCs w:val="17"/>
                      <w:lang w:val="en-US"/>
                    </w:rPr>
                  </w:pPr>
                  <w:r w:rsidRPr="00F6262F">
                    <w:rPr>
                      <w:rFonts w:cs="Arial"/>
                      <w:color w:val="000000"/>
                      <w:sz w:val="17"/>
                      <w:szCs w:val="17"/>
                      <w:lang w:val="en-US"/>
                    </w:rPr>
                    <w:t>Behaviour, planning and decision making</w:t>
                  </w:r>
                </w:p>
              </w:tc>
              <w:tc>
                <w:tcPr>
                  <w:tcW w:w="1730" w:type="dxa"/>
                  <w:shd w:val="clear" w:color="auto" w:fill="F2F2F2" w:themeFill="background1" w:themeFillShade="F2"/>
                </w:tcPr>
                <w:p w14:paraId="60FF369E" w14:textId="77777777" w:rsidR="009C6940" w:rsidRPr="00F6262F" w:rsidRDefault="009C6940" w:rsidP="009C6940">
                  <w:pPr>
                    <w:pStyle w:val="TableBodyText"/>
                    <w:jc w:val="left"/>
                    <w:rPr>
                      <w:rFonts w:cs="Arial"/>
                      <w:color w:val="000000"/>
                      <w:sz w:val="17"/>
                      <w:szCs w:val="17"/>
                      <w:lang w:val="en-US"/>
                    </w:rPr>
                  </w:pPr>
                  <w:r w:rsidRPr="00F6262F">
                    <w:rPr>
                      <w:rFonts w:cs="Arial"/>
                      <w:color w:val="000000"/>
                      <w:sz w:val="17"/>
                      <w:szCs w:val="17"/>
                      <w:lang w:val="en-US"/>
                    </w:rPr>
                    <w:t>There is no evidence of significant difficulties in behaviour, planning or decision</w:t>
                  </w:r>
                  <w:r w:rsidRPr="00F6262F">
                    <w:rPr>
                      <w:rFonts w:cs="Arial"/>
                      <w:color w:val="000000"/>
                      <w:sz w:val="17"/>
                      <w:szCs w:val="17"/>
                      <w:lang w:val="en-US"/>
                    </w:rPr>
                    <w:noBreakHyphen/>
                    <w:t>making.</w:t>
                  </w:r>
                </w:p>
              </w:tc>
              <w:tc>
                <w:tcPr>
                  <w:tcW w:w="1730" w:type="dxa"/>
                  <w:shd w:val="clear" w:color="auto" w:fill="F2F2F2" w:themeFill="background1" w:themeFillShade="F2"/>
                </w:tcPr>
                <w:p w14:paraId="39DF3EA4"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2F2F2" w:themeFill="background1" w:themeFillShade="F2"/>
                    </w:rPr>
                    <w:t>The person has difficulty coping with situations involving stress, pressure or performance demands, has occasional behavioural or mood difficulties.</w:t>
                  </w:r>
                </w:p>
              </w:tc>
              <w:tc>
                <w:tcPr>
                  <w:tcW w:w="1730" w:type="dxa"/>
                  <w:shd w:val="clear" w:color="auto" w:fill="F2F2F2" w:themeFill="background1" w:themeFillShade="F2"/>
                </w:tcPr>
                <w:p w14:paraId="4472DAFE"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2F2F2" w:themeFill="background1" w:themeFillShade="F2"/>
                    </w:rPr>
                    <w:t>The person’s behaviour, thoughts and conversation are significantly and frequently disturbed.</w:t>
                  </w:r>
                </w:p>
              </w:tc>
              <w:tc>
                <w:tcPr>
                  <w:tcW w:w="1731" w:type="dxa"/>
                  <w:shd w:val="clear" w:color="auto" w:fill="F2F2F2" w:themeFill="background1" w:themeFillShade="F2"/>
                </w:tcPr>
                <w:p w14:paraId="05480BB5"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2F2F2" w:themeFill="background1" w:themeFillShade="F2"/>
                    </w:rPr>
                    <w:t>The person has severely disturbed behaviour which may include self</w:t>
                  </w:r>
                  <w:r w:rsidRPr="00F6262F">
                    <w:rPr>
                      <w:rFonts w:cs="Arial"/>
                      <w:color w:val="000000"/>
                      <w:sz w:val="17"/>
                      <w:szCs w:val="17"/>
                      <w:shd w:val="clear" w:color="auto" w:fill="F2F2F2" w:themeFill="background1" w:themeFillShade="F2"/>
                    </w:rPr>
                    <w:noBreakHyphen/>
                    <w:t>harm, suicide attempts, unprovoked</w:t>
                  </w:r>
                  <w:r w:rsidRPr="00F6262F">
                    <w:rPr>
                      <w:rFonts w:cs="Arial"/>
                      <w:color w:val="000000"/>
                      <w:sz w:val="17"/>
                      <w:szCs w:val="17"/>
                      <w:shd w:val="clear" w:color="auto" w:fill="FFFFFF"/>
                    </w:rPr>
                    <w:t xml:space="preserve"> </w:t>
                  </w:r>
                  <w:r w:rsidRPr="00F6262F">
                    <w:rPr>
                      <w:rFonts w:cs="Arial"/>
                      <w:color w:val="000000"/>
                      <w:sz w:val="17"/>
                      <w:szCs w:val="17"/>
                      <w:shd w:val="clear" w:color="auto" w:fill="F2F2F2" w:themeFill="background1" w:themeFillShade="F2"/>
                    </w:rPr>
                    <w:t>aggression towards others or manic excitement.</w:t>
                  </w:r>
                </w:p>
              </w:tc>
            </w:tr>
            <w:tr w:rsidR="009C6940" w14:paraId="78313AB7" w14:textId="77777777" w:rsidTr="009C6940">
              <w:trPr>
                <w:trHeight w:val="1417"/>
              </w:trPr>
              <w:tc>
                <w:tcPr>
                  <w:tcW w:w="1584" w:type="dxa"/>
                  <w:tcBorders>
                    <w:bottom w:val="single" w:sz="6" w:space="0" w:color="BFBFBF"/>
                  </w:tcBorders>
                </w:tcPr>
                <w:p w14:paraId="6C9A7296" w14:textId="77777777" w:rsidR="009C6940" w:rsidRPr="00F6262F" w:rsidRDefault="009C6940" w:rsidP="009C6940">
                  <w:pPr>
                    <w:pStyle w:val="TableBodyText"/>
                    <w:jc w:val="left"/>
                    <w:rPr>
                      <w:rFonts w:cs="Arial"/>
                      <w:color w:val="000000"/>
                      <w:sz w:val="17"/>
                      <w:szCs w:val="17"/>
                      <w:lang w:val="en-US"/>
                    </w:rPr>
                  </w:pPr>
                  <w:r w:rsidRPr="00F6262F">
                    <w:rPr>
                      <w:rFonts w:cs="Arial"/>
                      <w:color w:val="000000"/>
                      <w:sz w:val="17"/>
                      <w:szCs w:val="17"/>
                      <w:lang w:val="en-US"/>
                    </w:rPr>
                    <w:t>Work/training capacity</w:t>
                  </w:r>
                </w:p>
              </w:tc>
              <w:tc>
                <w:tcPr>
                  <w:tcW w:w="1730" w:type="dxa"/>
                  <w:tcBorders>
                    <w:bottom w:val="single" w:sz="6" w:space="0" w:color="BFBFBF"/>
                  </w:tcBorders>
                </w:tcPr>
                <w:p w14:paraId="7C2AD3C2" w14:textId="77777777" w:rsidR="009C6940" w:rsidRPr="00F6262F" w:rsidRDefault="009C6940" w:rsidP="009C6940">
                  <w:pPr>
                    <w:pStyle w:val="TableBodyText"/>
                    <w:jc w:val="left"/>
                    <w:rPr>
                      <w:rFonts w:cs="Arial"/>
                      <w:color w:val="000000"/>
                      <w:sz w:val="17"/>
                      <w:szCs w:val="17"/>
                      <w:lang w:val="en-US"/>
                    </w:rPr>
                  </w:pPr>
                  <w:r w:rsidRPr="00F6262F">
                    <w:rPr>
                      <w:rFonts w:cs="Arial"/>
                      <w:color w:val="000000"/>
                      <w:sz w:val="17"/>
                      <w:szCs w:val="17"/>
                      <w:lang w:val="en-US"/>
                    </w:rPr>
                    <w:t>The person is able to cope with the normal demands of a job which is consistent with their education and training.</w:t>
                  </w:r>
                </w:p>
              </w:tc>
              <w:tc>
                <w:tcPr>
                  <w:tcW w:w="1730" w:type="dxa"/>
                  <w:tcBorders>
                    <w:bottom w:val="single" w:sz="6" w:space="0" w:color="BFBFBF"/>
                  </w:tcBorders>
                </w:tcPr>
                <w:p w14:paraId="120AAFA4"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FFFFF"/>
                    </w:rPr>
                    <w:t>The person often has interpersonal conflicts at work, education or training that require intervention or changes in placement or groupings.</w:t>
                  </w:r>
                </w:p>
              </w:tc>
              <w:tc>
                <w:tcPr>
                  <w:tcW w:w="1730" w:type="dxa"/>
                  <w:tcBorders>
                    <w:bottom w:val="single" w:sz="6" w:space="0" w:color="BFBFBF"/>
                  </w:tcBorders>
                </w:tcPr>
                <w:p w14:paraId="3F00EB4A"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FFFFF"/>
                    </w:rPr>
                    <w:t>The person is unable to attend work, education or training on a regular basis over a lengthy period due to ongoing mental illness.</w:t>
                  </w:r>
                </w:p>
              </w:tc>
              <w:tc>
                <w:tcPr>
                  <w:tcW w:w="1731" w:type="dxa"/>
                  <w:tcBorders>
                    <w:bottom w:val="single" w:sz="6" w:space="0" w:color="BFBFBF"/>
                  </w:tcBorders>
                </w:tcPr>
                <w:p w14:paraId="214F3F04" w14:textId="77777777" w:rsidR="009C6940" w:rsidRPr="00F6262F" w:rsidRDefault="009C6940" w:rsidP="009C6940">
                  <w:pPr>
                    <w:pStyle w:val="TableBodyText"/>
                    <w:jc w:val="left"/>
                    <w:rPr>
                      <w:rFonts w:cs="Arial"/>
                      <w:color w:val="000000"/>
                      <w:sz w:val="17"/>
                      <w:szCs w:val="17"/>
                      <w:shd w:val="clear" w:color="auto" w:fill="FFFFFF"/>
                    </w:rPr>
                  </w:pPr>
                  <w:r w:rsidRPr="00F6262F">
                    <w:rPr>
                      <w:rFonts w:cs="Arial"/>
                      <w:color w:val="000000"/>
                      <w:sz w:val="17"/>
                      <w:szCs w:val="17"/>
                      <w:shd w:val="clear" w:color="auto" w:fill="FFFFFF"/>
                    </w:rPr>
                    <w:t>The person is unable to attend work, education or training sessions other than for short periods of time.</w:t>
                  </w:r>
                </w:p>
              </w:tc>
            </w:tr>
          </w:tbl>
          <w:p w14:paraId="13A67C83" w14:textId="77777777" w:rsidR="009C6940" w:rsidRDefault="009C6940" w:rsidP="009C6940">
            <w:pPr>
              <w:pStyle w:val="Box"/>
            </w:pPr>
          </w:p>
        </w:tc>
      </w:tr>
      <w:tr w:rsidR="009C6940" w14:paraId="668B2B11" w14:textId="77777777" w:rsidTr="009C6940">
        <w:tc>
          <w:tcPr>
            <w:tcW w:w="5000" w:type="pct"/>
            <w:tcBorders>
              <w:top w:val="nil"/>
              <w:left w:val="nil"/>
              <w:bottom w:val="nil"/>
              <w:right w:val="nil"/>
            </w:tcBorders>
            <w:shd w:val="clear" w:color="auto" w:fill="auto"/>
          </w:tcPr>
          <w:p w14:paraId="20B1F831" w14:textId="77777777" w:rsidR="009C6940" w:rsidRDefault="009C6940" w:rsidP="009C6940">
            <w:pPr>
              <w:pStyle w:val="Source"/>
            </w:pPr>
            <w:r>
              <w:rPr>
                <w:i/>
              </w:rPr>
              <w:t>Source</w:t>
            </w:r>
            <w:r w:rsidRPr="00F86FE0">
              <w:t>:</w:t>
            </w:r>
            <w:r>
              <w:rPr>
                <w:i/>
              </w:rPr>
              <w:t xml:space="preserve"> </w:t>
            </w:r>
            <w:r w:rsidRPr="00881A43">
              <w:t>Social Security (Tables for the Assessment of Work</w:t>
            </w:r>
            <w:r>
              <w:noBreakHyphen/>
            </w:r>
            <w:r w:rsidRPr="00881A43">
              <w:t>related Impairment for Disability Support Pension) Determination 2011.</w:t>
            </w:r>
          </w:p>
        </w:tc>
      </w:tr>
      <w:tr w:rsidR="009C6940" w14:paraId="13B2AF40" w14:textId="77777777" w:rsidTr="009C6940">
        <w:tc>
          <w:tcPr>
            <w:tcW w:w="5000" w:type="pct"/>
            <w:tcBorders>
              <w:top w:val="nil"/>
              <w:left w:val="nil"/>
              <w:bottom w:val="single" w:sz="6" w:space="0" w:color="78A22F"/>
              <w:right w:val="nil"/>
            </w:tcBorders>
            <w:shd w:val="clear" w:color="auto" w:fill="auto"/>
          </w:tcPr>
          <w:p w14:paraId="04001F05" w14:textId="77777777" w:rsidR="009C6940" w:rsidRDefault="009C6940" w:rsidP="009C6940">
            <w:pPr>
              <w:pStyle w:val="Box"/>
              <w:spacing w:before="0" w:line="120" w:lineRule="exact"/>
            </w:pPr>
          </w:p>
        </w:tc>
      </w:tr>
      <w:tr w:rsidR="009C6940" w:rsidRPr="000863A5" w14:paraId="38D52B0A" w14:textId="77777777" w:rsidTr="009C6940">
        <w:tc>
          <w:tcPr>
            <w:tcW w:w="5000" w:type="pct"/>
            <w:tcBorders>
              <w:top w:val="single" w:sz="6" w:space="0" w:color="78A22F"/>
              <w:left w:val="nil"/>
              <w:bottom w:val="nil"/>
              <w:right w:val="nil"/>
            </w:tcBorders>
          </w:tcPr>
          <w:p w14:paraId="48F9F913" w14:textId="77777777" w:rsidR="009C6940" w:rsidRPr="00626D32" w:rsidRDefault="009C6940" w:rsidP="009C6940">
            <w:pPr>
              <w:pStyle w:val="BoxSpaceBelow"/>
            </w:pPr>
          </w:p>
        </w:tc>
      </w:tr>
    </w:tbl>
    <w:p w14:paraId="64E0F001" w14:textId="77777777" w:rsidR="009C6940" w:rsidRDefault="009C6940" w:rsidP="009C6940">
      <w:pPr>
        <w:pStyle w:val="Heading5"/>
      </w:pPr>
      <w:r>
        <w:lastRenderedPageBreak/>
        <w:t>Disability Support Pension population and trends</w:t>
      </w:r>
    </w:p>
    <w:p w14:paraId="24643A3F" w14:textId="77777777" w:rsidR="009C6940" w:rsidRDefault="009C6940" w:rsidP="009C6940">
      <w:pPr>
        <w:pStyle w:val="BodyText"/>
      </w:pPr>
      <w:r>
        <w:t>A growing share of DSP recipients live with mental ill</w:t>
      </w:r>
      <w:r>
        <w:noBreakHyphen/>
        <w:t>health. The share of the working</w:t>
      </w:r>
      <w:r>
        <w:noBreakHyphen/>
        <w:t>age population receiving the DSP for mental health</w:t>
      </w:r>
      <w:r>
        <w:noBreakHyphen/>
        <w:t xml:space="preserve">related conditions increased from 1.1% to 1.7% between 2001 and 2015, but declined to less than 1.6% by 2019 (figure C.1). And between 2001 and 2019, the share of DSP recipients with a primary psychological or psychiatric condition increased from </w:t>
      </w:r>
      <w:r w:rsidRPr="0017305E">
        <w:t>23% to 3</w:t>
      </w:r>
      <w:r>
        <w:t>5</w:t>
      </w:r>
      <w:r w:rsidRPr="0017305E">
        <w:t>%</w:t>
      </w:r>
      <w:r>
        <w:t>. This reflects both an increase in the number of recipients with a mental illness</w:t>
      </w:r>
      <w:r>
        <w:noBreakHyphen/>
        <w:t xml:space="preserve">related condition and a fall in the number of recipients with a </w:t>
      </w:r>
      <w:r w:rsidRPr="00CC24E3">
        <w:t xml:space="preserve">musculoskeletal </w:t>
      </w:r>
      <w:r>
        <w:t xml:space="preserve">impairment, which was previously the most common impairment type (figure C.2). </w:t>
      </w:r>
    </w:p>
    <w:p w14:paraId="341B3B3C"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E355099" w14:textId="77777777" w:rsidTr="009C6940">
        <w:trPr>
          <w:tblHeader/>
        </w:trPr>
        <w:tc>
          <w:tcPr>
            <w:tcW w:w="5000" w:type="pct"/>
            <w:tcBorders>
              <w:top w:val="single" w:sz="6" w:space="0" w:color="78A22F"/>
              <w:left w:val="nil"/>
              <w:bottom w:val="nil"/>
              <w:right w:val="nil"/>
            </w:tcBorders>
            <w:shd w:val="clear" w:color="auto" w:fill="auto"/>
          </w:tcPr>
          <w:p w14:paraId="13BC370E" w14:textId="77777777" w:rsidR="009C6940" w:rsidRDefault="009C6940" w:rsidP="009C6940">
            <w:pPr>
              <w:pStyle w:val="FigureTitle"/>
            </w:pPr>
            <w:r w:rsidRPr="00784A05">
              <w:rPr>
                <w:b w:val="0"/>
              </w:rPr>
              <w:t xml:space="preserve">Figure </w:t>
            </w:r>
            <w:r>
              <w:rPr>
                <w:b w:val="0"/>
              </w:rPr>
              <w:t>C.</w:t>
            </w:r>
            <w:r>
              <w:rPr>
                <w:b w:val="0"/>
                <w:noProof/>
              </w:rPr>
              <w:t>1</w:t>
            </w:r>
            <w:r>
              <w:tab/>
              <w:t>Mental illness-related Disability Support Pension recipients</w:t>
            </w:r>
          </w:p>
          <w:p w14:paraId="3698C7CA" w14:textId="77777777" w:rsidR="009C6940" w:rsidRPr="00176D3F" w:rsidRDefault="009C6940" w:rsidP="009C6940">
            <w:pPr>
              <w:pStyle w:val="Subtitle"/>
            </w:pPr>
            <w:r>
              <w:t>Share of working</w:t>
            </w:r>
            <w:r>
              <w:noBreakHyphen/>
              <w:t>age population and share of all DSP recipients who receive the DSP due to psychological or psychiatric disability</w:t>
            </w:r>
          </w:p>
        </w:tc>
      </w:tr>
      <w:tr w:rsidR="009C6940" w14:paraId="28701DE9"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B1465D" w14:paraId="08A69206" w14:textId="77777777" w:rsidTr="009C6940">
              <w:trPr>
                <w:tblHeader/>
                <w:jc w:val="center"/>
              </w:trPr>
              <w:tc>
                <w:tcPr>
                  <w:tcW w:w="5000" w:type="pct"/>
                  <w:tcBorders>
                    <w:top w:val="nil"/>
                    <w:bottom w:val="nil"/>
                  </w:tcBorders>
                </w:tcPr>
                <w:p w14:paraId="7E61CA9B" w14:textId="77777777" w:rsidR="009C6940" w:rsidRPr="00B1465D" w:rsidRDefault="009C6940" w:rsidP="009C6940">
                  <w:pPr>
                    <w:pStyle w:val="Figure"/>
                    <w:spacing w:before="60" w:after="60"/>
                    <w:rPr>
                      <w:rFonts w:ascii="Arial" w:hAnsi="Arial" w:cs="Arial"/>
                      <w:sz w:val="18"/>
                      <w:szCs w:val="18"/>
                    </w:rPr>
                  </w:pPr>
                  <w:r w:rsidRPr="00D91F11">
                    <w:rPr>
                      <w:rFonts w:ascii="Arial" w:hAnsi="Arial" w:cs="Arial"/>
                      <w:noProof/>
                      <w:sz w:val="18"/>
                      <w:szCs w:val="18"/>
                    </w:rPr>
                    <w:drawing>
                      <wp:inline distT="0" distB="0" distL="0" distR="0" wp14:anchorId="61717835" wp14:editId="591D8449">
                        <wp:extent cx="5404485" cy="2872740"/>
                        <wp:effectExtent l="0" t="0" r="5715" b="3810"/>
                        <wp:docPr id="5" name="Picture 5" descr="This figure depicts the share of Disability Support Recipients with a primary psychological or psychiatric condition increasing from 2001 through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4485" cy="2872740"/>
                                </a:xfrm>
                                <a:prstGeom prst="rect">
                                  <a:avLst/>
                                </a:prstGeom>
                                <a:noFill/>
                                <a:ln>
                                  <a:noFill/>
                                </a:ln>
                              </pic:spPr>
                            </pic:pic>
                          </a:graphicData>
                        </a:graphic>
                      </wp:inline>
                    </w:drawing>
                  </w:r>
                </w:p>
              </w:tc>
            </w:tr>
          </w:tbl>
          <w:p w14:paraId="793CB170" w14:textId="77777777" w:rsidR="009C6940" w:rsidRDefault="009C6940" w:rsidP="009C6940">
            <w:pPr>
              <w:pStyle w:val="Figure"/>
            </w:pPr>
          </w:p>
        </w:tc>
      </w:tr>
      <w:tr w:rsidR="009C6940" w:rsidRPr="00176D3F" w14:paraId="368F12EF" w14:textId="77777777" w:rsidTr="009C6940">
        <w:tc>
          <w:tcPr>
            <w:tcW w:w="5000" w:type="pct"/>
            <w:tcBorders>
              <w:top w:val="nil"/>
              <w:left w:val="nil"/>
              <w:bottom w:val="nil"/>
              <w:right w:val="nil"/>
            </w:tcBorders>
            <w:shd w:val="clear" w:color="auto" w:fill="auto"/>
          </w:tcPr>
          <w:p w14:paraId="70382FCF" w14:textId="77777777" w:rsidR="009C6940" w:rsidRPr="00176D3F" w:rsidRDefault="009C6940" w:rsidP="009C6940">
            <w:pPr>
              <w:pStyle w:val="Source"/>
            </w:pPr>
            <w:r>
              <w:rPr>
                <w:i/>
              </w:rPr>
              <w:t>S</w:t>
            </w:r>
            <w:r w:rsidRPr="00784A05">
              <w:rPr>
                <w:i/>
              </w:rPr>
              <w:t>ource</w:t>
            </w:r>
            <w:r w:rsidRPr="00176D3F">
              <w:t>:</w:t>
            </w:r>
            <w:r>
              <w:t xml:space="preserve"> </w:t>
            </w:r>
            <w:r w:rsidRPr="008C5BFE">
              <w:t xml:space="preserve">Productivity Commission estimates </w:t>
            </w:r>
            <w:r>
              <w:t>using</w:t>
            </w:r>
            <w:r w:rsidRPr="008C5BFE">
              <w:t xml:space="preserve"> ABS</w:t>
            </w:r>
            <w:r>
              <w:t xml:space="preserve"> </w:t>
            </w:r>
            <w:r w:rsidRPr="008C5BFE">
              <w:t>(Au</w:t>
            </w:r>
            <w:r w:rsidRPr="008C5BFE">
              <w:rPr>
                <w:i/>
              </w:rPr>
              <w:t>stralian Demography Statistics, June 2019</w:t>
            </w:r>
            <w:r w:rsidRPr="008C5BFE">
              <w:t>, Cat. no.</w:t>
            </w:r>
            <w:r>
              <w:t> </w:t>
            </w:r>
            <w:r w:rsidRPr="008C5BFE">
              <w:t>3101.1)</w:t>
            </w:r>
            <w:r>
              <w:t xml:space="preserve"> and DSS </w:t>
            </w:r>
            <w:r w:rsidRPr="008C5BFE">
              <w:t>(2013</w:t>
            </w:r>
            <w:r>
              <w:t>, 2016, various years</w:t>
            </w:r>
            <w:r w:rsidRPr="008C5BFE">
              <w:t>)</w:t>
            </w:r>
            <w:r w:rsidRPr="008C5BFE">
              <w:rPr>
                <w:i/>
              </w:rPr>
              <w:t>.</w:t>
            </w:r>
          </w:p>
        </w:tc>
      </w:tr>
      <w:tr w:rsidR="009C6940" w14:paraId="16FD4E78" w14:textId="77777777" w:rsidTr="009C6940">
        <w:tc>
          <w:tcPr>
            <w:tcW w:w="5000" w:type="pct"/>
            <w:tcBorders>
              <w:top w:val="nil"/>
              <w:left w:val="nil"/>
              <w:bottom w:val="single" w:sz="6" w:space="0" w:color="78A22F"/>
              <w:right w:val="nil"/>
            </w:tcBorders>
            <w:shd w:val="clear" w:color="auto" w:fill="auto"/>
          </w:tcPr>
          <w:p w14:paraId="29D622AF" w14:textId="77777777" w:rsidR="009C6940" w:rsidRDefault="009C6940" w:rsidP="009C6940">
            <w:pPr>
              <w:pStyle w:val="Figurespace"/>
            </w:pPr>
          </w:p>
        </w:tc>
      </w:tr>
      <w:tr w:rsidR="009C6940" w:rsidRPr="000863A5" w14:paraId="4913E242" w14:textId="77777777" w:rsidTr="009C6940">
        <w:tc>
          <w:tcPr>
            <w:tcW w:w="5000" w:type="pct"/>
            <w:tcBorders>
              <w:top w:val="single" w:sz="6" w:space="0" w:color="78A22F"/>
              <w:left w:val="nil"/>
              <w:bottom w:val="nil"/>
              <w:right w:val="nil"/>
            </w:tcBorders>
          </w:tcPr>
          <w:p w14:paraId="0EB82298" w14:textId="77777777" w:rsidR="009C6940" w:rsidRPr="00626D32" w:rsidRDefault="009C6940" w:rsidP="009C6940">
            <w:pPr>
              <w:pStyle w:val="BoxSpaceBelow"/>
            </w:pPr>
          </w:p>
        </w:tc>
      </w:tr>
    </w:tbl>
    <w:p w14:paraId="1ADBCAEE" w14:textId="77777777" w:rsidR="009C6940" w:rsidRDefault="009C6940" w:rsidP="009C6940">
      <w:pPr>
        <w:pStyle w:val="BodyText"/>
      </w:pPr>
      <w:r>
        <w:t>The increase in DSP recipients with primary psychological or psychiatric impairments mirrors international trends, as mental illness represents a growing share of new disability benefit claims in many OECD nations. The OECD suggests these trends are caused by:</w:t>
      </w:r>
    </w:p>
    <w:p w14:paraId="7D04D4D7" w14:textId="77777777" w:rsidR="009C6940" w:rsidRDefault="009C6940" w:rsidP="009C6940">
      <w:pPr>
        <w:pStyle w:val="ListBullet"/>
      </w:pPr>
      <w:r>
        <w:t>a greater awareness of mental health, which has led to shifts in diagnosed causes of the incapacity to work (with mental illness now more likely to be the root cause of work issues for people with comorbidities in particular)</w:t>
      </w:r>
    </w:p>
    <w:p w14:paraId="3D6627C7" w14:textId="77777777" w:rsidR="009C6940" w:rsidRDefault="009C6940" w:rsidP="009C6940">
      <w:pPr>
        <w:pStyle w:val="ListBullet"/>
      </w:pPr>
      <w:r>
        <w:t>work becoming more psychologically demanding, which reduces the ability of people with mental illness to remain in work.</w:t>
      </w:r>
    </w:p>
    <w:p w14:paraId="1310D7E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795214A" w14:textId="77777777" w:rsidTr="009C6940">
        <w:trPr>
          <w:tblHeader/>
        </w:trPr>
        <w:tc>
          <w:tcPr>
            <w:tcW w:w="5000" w:type="pct"/>
            <w:tcBorders>
              <w:top w:val="single" w:sz="6" w:space="0" w:color="78A22F"/>
              <w:left w:val="nil"/>
              <w:bottom w:val="nil"/>
              <w:right w:val="nil"/>
            </w:tcBorders>
            <w:shd w:val="clear" w:color="auto" w:fill="auto"/>
          </w:tcPr>
          <w:p w14:paraId="0836C3BC" w14:textId="77777777" w:rsidR="009C6940" w:rsidRDefault="009C6940" w:rsidP="009C6940">
            <w:pPr>
              <w:pStyle w:val="FigureTitle"/>
            </w:pPr>
            <w:r w:rsidRPr="00784A05">
              <w:rPr>
                <w:b w:val="0"/>
              </w:rPr>
              <w:t xml:space="preserve">Figure </w:t>
            </w:r>
            <w:r>
              <w:rPr>
                <w:b w:val="0"/>
              </w:rPr>
              <w:t>C.</w:t>
            </w:r>
            <w:r>
              <w:rPr>
                <w:b w:val="0"/>
                <w:noProof/>
              </w:rPr>
              <w:t>2</w:t>
            </w:r>
            <w:r>
              <w:tab/>
              <w:t>Disability Support Pension recipients by major condition</w:t>
            </w:r>
            <w:r w:rsidRPr="00EF1A52">
              <w:t xml:space="preserve"> </w:t>
            </w:r>
          </w:p>
          <w:p w14:paraId="37FFB37A" w14:textId="77777777" w:rsidR="009C6940" w:rsidRPr="00176D3F" w:rsidRDefault="009C6940" w:rsidP="009C6940">
            <w:pPr>
              <w:pStyle w:val="Subtitle"/>
            </w:pPr>
            <w:r w:rsidRPr="003F7D04">
              <w:t xml:space="preserve">Number and share of </w:t>
            </w:r>
            <w:r>
              <w:t>recipients</w:t>
            </w:r>
            <w:r w:rsidRPr="003F7D04">
              <w:t xml:space="preserve"> by common impairment types</w:t>
            </w:r>
            <w:r>
              <w:t>, 2001</w:t>
            </w:r>
            <w:r>
              <w:noBreakHyphen/>
              <w:t>2019</w:t>
            </w:r>
          </w:p>
        </w:tc>
      </w:tr>
      <w:tr w:rsidR="009C6940" w14:paraId="110AB48C" w14:textId="77777777" w:rsidTr="009C6940">
        <w:tc>
          <w:tcPr>
            <w:tcW w:w="5000" w:type="pct"/>
            <w:tcBorders>
              <w:top w:val="nil"/>
              <w:left w:val="nil"/>
              <w:bottom w:val="nil"/>
              <w:right w:val="nil"/>
            </w:tcBorders>
            <w:shd w:val="clear" w:color="auto" w:fill="auto"/>
            <w:tcMar>
              <w:top w:w="28" w:type="dxa"/>
              <w:bottom w:w="28" w:type="dxa"/>
            </w:tcMar>
          </w:tcPr>
          <w:p w14:paraId="5F2B0925" w14:textId="77777777" w:rsidR="009C6940" w:rsidRDefault="009C6940" w:rsidP="009C6940">
            <w:pPr>
              <w:pStyle w:val="Figure"/>
            </w:pPr>
            <w:r w:rsidRPr="0005137D">
              <w:rPr>
                <w:noProof/>
              </w:rPr>
              <w:drawing>
                <wp:inline distT="0" distB="0" distL="0" distR="0" wp14:anchorId="5C68C819" wp14:editId="3AD15048">
                  <wp:extent cx="5400040" cy="2872740"/>
                  <wp:effectExtent l="0" t="0" r="0" b="3810"/>
                  <wp:docPr id="2" name="Picture 2" descr="This figure depicts the number of all Disability Support Pension recipients receiving the payment by common impairment types between 2001 and 2019. From 2001, the total number of Disability Support Pension recipients increased, peaking in 2014 before falling gradually until 2019. Within this, the number of recipients with a primary psychological or psychiatric impairment has consistently increased. The number of recipients with a musculoskeletal or connective tissue impairment has fallen since 2014. All other impairments have remained relatively stable as a share of the total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40" cy="2872740"/>
                          </a:xfrm>
                          <a:prstGeom prst="rect">
                            <a:avLst/>
                          </a:prstGeom>
                          <a:noFill/>
                          <a:ln>
                            <a:noFill/>
                          </a:ln>
                        </pic:spPr>
                      </pic:pic>
                    </a:graphicData>
                  </a:graphic>
                </wp:inline>
              </w:drawing>
            </w:r>
          </w:p>
        </w:tc>
      </w:tr>
      <w:tr w:rsidR="009C6940" w:rsidRPr="00176D3F" w14:paraId="0E52126E" w14:textId="77777777" w:rsidTr="009C6940">
        <w:tc>
          <w:tcPr>
            <w:tcW w:w="5000" w:type="pct"/>
            <w:tcBorders>
              <w:top w:val="nil"/>
              <w:left w:val="nil"/>
              <w:bottom w:val="nil"/>
              <w:right w:val="nil"/>
            </w:tcBorders>
            <w:shd w:val="clear" w:color="auto" w:fill="auto"/>
          </w:tcPr>
          <w:p w14:paraId="62BD2C1C" w14:textId="77777777" w:rsidR="009C6940" w:rsidRPr="00176D3F" w:rsidRDefault="009C6940" w:rsidP="009C6940">
            <w:pPr>
              <w:pStyle w:val="Source"/>
            </w:pPr>
            <w:r>
              <w:rPr>
                <w:i/>
              </w:rPr>
              <w:t>S</w:t>
            </w:r>
            <w:r w:rsidRPr="00784A05">
              <w:rPr>
                <w:i/>
              </w:rPr>
              <w:t>ource</w:t>
            </w:r>
            <w:r w:rsidRPr="00176D3F">
              <w:t xml:space="preserve">: </w:t>
            </w:r>
            <w:r>
              <w:t xml:space="preserve">DSS </w:t>
            </w:r>
            <w:r w:rsidRPr="001A6208">
              <w:rPr>
                <w:rFonts w:cs="Arial"/>
              </w:rPr>
              <w:t>(2013, 2016</w:t>
            </w:r>
            <w:r>
              <w:rPr>
                <w:rFonts w:cs="Arial"/>
              </w:rPr>
              <w:t>, various years</w:t>
            </w:r>
            <w:r w:rsidRPr="001A6208">
              <w:rPr>
                <w:rFonts w:cs="Arial"/>
              </w:rPr>
              <w:t>)</w:t>
            </w:r>
            <w:r>
              <w:t>.</w:t>
            </w:r>
          </w:p>
        </w:tc>
      </w:tr>
      <w:tr w:rsidR="009C6940" w14:paraId="0D9F8D09" w14:textId="77777777" w:rsidTr="009C6940">
        <w:tc>
          <w:tcPr>
            <w:tcW w:w="5000" w:type="pct"/>
            <w:tcBorders>
              <w:top w:val="nil"/>
              <w:left w:val="nil"/>
              <w:bottom w:val="single" w:sz="6" w:space="0" w:color="78A22F"/>
              <w:right w:val="nil"/>
            </w:tcBorders>
            <w:shd w:val="clear" w:color="auto" w:fill="auto"/>
          </w:tcPr>
          <w:p w14:paraId="7D99BAC8" w14:textId="77777777" w:rsidR="009C6940" w:rsidRDefault="009C6940" w:rsidP="009C6940">
            <w:pPr>
              <w:pStyle w:val="Figurespace"/>
            </w:pPr>
          </w:p>
        </w:tc>
      </w:tr>
      <w:tr w:rsidR="009C6940" w:rsidRPr="000863A5" w14:paraId="35BAFE70" w14:textId="77777777" w:rsidTr="009C6940">
        <w:tc>
          <w:tcPr>
            <w:tcW w:w="5000" w:type="pct"/>
            <w:tcBorders>
              <w:top w:val="single" w:sz="6" w:space="0" w:color="78A22F"/>
              <w:left w:val="nil"/>
              <w:bottom w:val="nil"/>
              <w:right w:val="nil"/>
            </w:tcBorders>
          </w:tcPr>
          <w:p w14:paraId="3CF247D8" w14:textId="77777777" w:rsidR="009C6940" w:rsidRPr="00626D32" w:rsidRDefault="009C6940" w:rsidP="009C6940">
            <w:pPr>
              <w:pStyle w:val="BoxSpaceBelow"/>
            </w:pPr>
          </w:p>
        </w:tc>
      </w:tr>
    </w:tbl>
    <w:p w14:paraId="61BFE7C7" w14:textId="77777777" w:rsidR="009C6940" w:rsidRDefault="009C6940" w:rsidP="009C6940">
      <w:pPr>
        <w:pStyle w:val="Heading5"/>
      </w:pPr>
      <w:r>
        <w:t>Payment rates</w:t>
      </w:r>
    </w:p>
    <w:p w14:paraId="1A2B9603" w14:textId="77777777" w:rsidR="009C6940" w:rsidRPr="00CB3FB6" w:rsidRDefault="009C6940" w:rsidP="009C6940">
      <w:pPr>
        <w:pStyle w:val="BodyText"/>
      </w:pPr>
      <w:r w:rsidRPr="00CB3FB6">
        <w:t>The rate at which the DSP is paid depends on par</w:t>
      </w:r>
      <w:r>
        <w:t>ticipant characteristics (table C.3</w:t>
      </w:r>
      <w:r w:rsidRPr="00CB3FB6">
        <w:t>).</w:t>
      </w:r>
    </w:p>
    <w:p w14:paraId="1526A6F7"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498CC0EC" w14:textId="77777777" w:rsidTr="009C6940">
        <w:trPr>
          <w:tblHeader/>
        </w:trPr>
        <w:tc>
          <w:tcPr>
            <w:tcW w:w="5000" w:type="pct"/>
            <w:tcBorders>
              <w:top w:val="single" w:sz="6" w:space="0" w:color="78A22F"/>
              <w:left w:val="nil"/>
              <w:bottom w:val="nil"/>
              <w:right w:val="nil"/>
            </w:tcBorders>
            <w:shd w:val="clear" w:color="auto" w:fill="auto"/>
          </w:tcPr>
          <w:p w14:paraId="06E01C37" w14:textId="77777777" w:rsidR="009C6940" w:rsidRDefault="009C6940" w:rsidP="009C6940">
            <w:pPr>
              <w:pStyle w:val="TableTitle"/>
            </w:pPr>
            <w:r>
              <w:rPr>
                <w:b w:val="0"/>
              </w:rPr>
              <w:t>Table C.</w:t>
            </w:r>
            <w:r>
              <w:rPr>
                <w:b w:val="0"/>
                <w:noProof/>
              </w:rPr>
              <w:t>3</w:t>
            </w:r>
            <w:r>
              <w:tab/>
              <w:t>Disability Support Pension fortnightly payment rates</w:t>
            </w:r>
          </w:p>
          <w:p w14:paraId="5EA70C39" w14:textId="77777777" w:rsidR="009C6940" w:rsidRPr="0065087A" w:rsidRDefault="009C6940" w:rsidP="009C6940">
            <w:pPr>
              <w:pStyle w:val="Subtitle"/>
            </w:pPr>
            <w:r w:rsidRPr="0065087A">
              <w:t xml:space="preserve">As at </w:t>
            </w:r>
            <w:r>
              <w:t>March</w:t>
            </w:r>
            <w:r w:rsidRPr="0065087A">
              <w:t xml:space="preserve"> 2020</w:t>
            </w:r>
          </w:p>
        </w:tc>
      </w:tr>
      <w:tr w:rsidR="009C6940" w14:paraId="491A1CDB" w14:textId="77777777" w:rsidTr="009C6940">
        <w:trPr>
          <w:trHeight w:val="3351"/>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977"/>
              <w:gridCol w:w="2528"/>
            </w:tblGrid>
            <w:tr w:rsidR="009C6940" w14:paraId="103BEF5A" w14:textId="77777777" w:rsidTr="009C6940">
              <w:trPr>
                <w:trHeight w:val="193"/>
                <w:tblHeader/>
              </w:trPr>
              <w:tc>
                <w:tcPr>
                  <w:tcW w:w="3514" w:type="pct"/>
                  <w:tcBorders>
                    <w:top w:val="single" w:sz="6" w:space="0" w:color="BFBFBF"/>
                    <w:bottom w:val="single" w:sz="6" w:space="0" w:color="BFBFBF"/>
                  </w:tcBorders>
                </w:tcPr>
                <w:p w14:paraId="37D1EBE3" w14:textId="77777777" w:rsidR="009C6940" w:rsidRDefault="009C6940" w:rsidP="009C6940">
                  <w:pPr>
                    <w:pStyle w:val="TableColumnHeading"/>
                    <w:jc w:val="left"/>
                  </w:pPr>
                  <w:r w:rsidRPr="00365ACF">
                    <w:t>Individual characteristics</w:t>
                  </w:r>
                </w:p>
              </w:tc>
              <w:tc>
                <w:tcPr>
                  <w:tcW w:w="1486" w:type="pct"/>
                  <w:tcBorders>
                    <w:top w:val="single" w:sz="6" w:space="0" w:color="BFBFBF"/>
                    <w:bottom w:val="single" w:sz="6" w:space="0" w:color="BFBFBF"/>
                  </w:tcBorders>
                </w:tcPr>
                <w:p w14:paraId="0B532841" w14:textId="77777777" w:rsidR="009C6940" w:rsidRDefault="009C6940" w:rsidP="009C6940">
                  <w:pPr>
                    <w:pStyle w:val="TableColumnHeading"/>
                    <w:ind w:right="28"/>
                  </w:pPr>
                  <w:r>
                    <w:t xml:space="preserve">Maximum payment rate </w:t>
                  </w:r>
                </w:p>
              </w:tc>
            </w:tr>
            <w:tr w:rsidR="009C6940" w14:paraId="372756B1" w14:textId="77777777" w:rsidTr="009C6940">
              <w:trPr>
                <w:trHeight w:val="193"/>
              </w:trPr>
              <w:tc>
                <w:tcPr>
                  <w:tcW w:w="3514" w:type="pct"/>
                  <w:tcBorders>
                    <w:top w:val="single" w:sz="6" w:space="0" w:color="BFBFBF"/>
                  </w:tcBorders>
                  <w:shd w:val="clear" w:color="auto" w:fill="F2F2F2" w:themeFill="background1" w:themeFillShade="F2"/>
                </w:tcPr>
                <w:p w14:paraId="665A09D6" w14:textId="77777777" w:rsidR="009C6940" w:rsidRPr="00561235" w:rsidRDefault="009C6940" w:rsidP="009C6940">
                  <w:pPr>
                    <w:pStyle w:val="TableBodyText"/>
                    <w:spacing w:before="40"/>
                    <w:jc w:val="left"/>
                    <w:rPr>
                      <w:i/>
                    </w:rPr>
                  </w:pPr>
                  <w:r w:rsidRPr="00561235">
                    <w:rPr>
                      <w:i/>
                    </w:rPr>
                    <w:t>Under 21</w:t>
                  </w:r>
                  <w:r>
                    <w:rPr>
                      <w:i/>
                    </w:rPr>
                    <w:t xml:space="preserve"> years </w:t>
                  </w:r>
                  <w:r w:rsidRPr="00561235">
                    <w:rPr>
                      <w:i/>
                    </w:rPr>
                    <w:t>with no children</w:t>
                  </w:r>
                </w:p>
              </w:tc>
              <w:tc>
                <w:tcPr>
                  <w:tcW w:w="1486" w:type="pct"/>
                  <w:tcBorders>
                    <w:top w:val="single" w:sz="6" w:space="0" w:color="BFBFBF"/>
                  </w:tcBorders>
                  <w:shd w:val="clear" w:color="auto" w:fill="F2F2F2" w:themeFill="background1" w:themeFillShade="F2"/>
                </w:tcPr>
                <w:p w14:paraId="27385526" w14:textId="77777777" w:rsidR="009C6940" w:rsidRDefault="009C6940" w:rsidP="009C6940">
                  <w:pPr>
                    <w:pStyle w:val="TableUnitsRow"/>
                    <w:ind w:right="28"/>
                  </w:pPr>
                </w:p>
              </w:tc>
            </w:tr>
            <w:tr w:rsidR="009C6940" w14:paraId="387A776A" w14:textId="77777777" w:rsidTr="009C6940">
              <w:trPr>
                <w:trHeight w:val="193"/>
              </w:trPr>
              <w:tc>
                <w:tcPr>
                  <w:tcW w:w="3514" w:type="pct"/>
                </w:tcPr>
                <w:p w14:paraId="7B358D81" w14:textId="77777777" w:rsidR="009C6940" w:rsidRPr="00890670" w:rsidRDefault="009C6940" w:rsidP="009C6940">
                  <w:pPr>
                    <w:pStyle w:val="TableBodyText"/>
                    <w:jc w:val="left"/>
                  </w:pPr>
                  <w:r w:rsidRPr="00890670">
                    <w:t>Single, under 18</w:t>
                  </w:r>
                  <w:r>
                    <w:t> </w:t>
                  </w:r>
                  <w:r w:rsidRPr="00D05FEF">
                    <w:t>years</w:t>
                  </w:r>
                  <w:r w:rsidRPr="00890670">
                    <w:t xml:space="preserve">, live at </w:t>
                  </w:r>
                  <w:r w:rsidRPr="00B7440D">
                    <w:t xml:space="preserve">parent/guardian’s </w:t>
                  </w:r>
                  <w:r w:rsidRPr="00890670">
                    <w:t>home</w:t>
                  </w:r>
                </w:p>
              </w:tc>
              <w:tc>
                <w:tcPr>
                  <w:tcW w:w="1486" w:type="pct"/>
                </w:tcPr>
                <w:p w14:paraId="50827976" w14:textId="77777777" w:rsidR="009C6940" w:rsidRDefault="009C6940" w:rsidP="009C6940">
                  <w:pPr>
                    <w:pStyle w:val="TableBodyText"/>
                    <w:ind w:right="28"/>
                  </w:pPr>
                  <w:r w:rsidRPr="00342ACE">
                    <w:t>$</w:t>
                  </w:r>
                  <w:r>
                    <w:t>385.10</w:t>
                  </w:r>
                </w:p>
              </w:tc>
            </w:tr>
            <w:tr w:rsidR="009C6940" w14:paraId="25EBC71B" w14:textId="77777777" w:rsidTr="009C6940">
              <w:trPr>
                <w:trHeight w:val="193"/>
              </w:trPr>
              <w:tc>
                <w:tcPr>
                  <w:tcW w:w="3514" w:type="pct"/>
                </w:tcPr>
                <w:p w14:paraId="4D43E54A" w14:textId="77777777" w:rsidR="009C6940" w:rsidRPr="00890670" w:rsidRDefault="009C6940" w:rsidP="009C6940">
                  <w:pPr>
                    <w:pStyle w:val="TableBodyText"/>
                    <w:jc w:val="left"/>
                  </w:pPr>
                  <w:r w:rsidRPr="00890670">
                    <w:t>Single, under 18</w:t>
                  </w:r>
                  <w:r>
                    <w:t> </w:t>
                  </w:r>
                  <w:r w:rsidRPr="00D05FEF">
                    <w:t>years</w:t>
                  </w:r>
                  <w:r w:rsidRPr="00890670">
                    <w:t>, independent</w:t>
                  </w:r>
                </w:p>
              </w:tc>
              <w:tc>
                <w:tcPr>
                  <w:tcW w:w="1486" w:type="pct"/>
                </w:tcPr>
                <w:p w14:paraId="40C0222C" w14:textId="77777777" w:rsidR="009C6940" w:rsidRDefault="009C6940" w:rsidP="009C6940">
                  <w:pPr>
                    <w:pStyle w:val="TableBodyText"/>
                    <w:ind w:right="28"/>
                  </w:pPr>
                  <w:r>
                    <w:t>$594.40</w:t>
                  </w:r>
                </w:p>
              </w:tc>
            </w:tr>
            <w:tr w:rsidR="009C6940" w14:paraId="5E2651F2" w14:textId="77777777" w:rsidTr="009C6940">
              <w:trPr>
                <w:trHeight w:val="193"/>
              </w:trPr>
              <w:tc>
                <w:tcPr>
                  <w:tcW w:w="3514" w:type="pct"/>
                </w:tcPr>
                <w:p w14:paraId="61421778" w14:textId="77777777" w:rsidR="009C6940" w:rsidRPr="00890670" w:rsidRDefault="009C6940" w:rsidP="009C6940">
                  <w:pPr>
                    <w:pStyle w:val="TableBodyText"/>
                    <w:jc w:val="left"/>
                  </w:pPr>
                  <w:r w:rsidRPr="00890670">
                    <w:t>Single, aged 18</w:t>
                  </w:r>
                  <w:r>
                    <w:t>–</w:t>
                  </w:r>
                  <w:r w:rsidRPr="00890670">
                    <w:t>20</w:t>
                  </w:r>
                  <w:r>
                    <w:t> </w:t>
                  </w:r>
                  <w:r w:rsidRPr="00D05FEF">
                    <w:t>years</w:t>
                  </w:r>
                  <w:r w:rsidRPr="00890670">
                    <w:t xml:space="preserve">, live at </w:t>
                  </w:r>
                  <w:r w:rsidRPr="00B7440D">
                    <w:t xml:space="preserve">parent/guardian’s </w:t>
                  </w:r>
                  <w:r w:rsidRPr="00890670">
                    <w:t>home</w:t>
                  </w:r>
                </w:p>
              </w:tc>
              <w:tc>
                <w:tcPr>
                  <w:tcW w:w="1486" w:type="pct"/>
                </w:tcPr>
                <w:p w14:paraId="3F8B4D6E" w14:textId="77777777" w:rsidR="009C6940" w:rsidRDefault="009C6940" w:rsidP="009C6940">
                  <w:pPr>
                    <w:pStyle w:val="TableBodyText"/>
                    <w:ind w:right="28"/>
                  </w:pPr>
                  <w:r>
                    <w:t>$436.50</w:t>
                  </w:r>
                </w:p>
              </w:tc>
            </w:tr>
            <w:tr w:rsidR="009C6940" w14:paraId="33F91632" w14:textId="77777777" w:rsidTr="009C6940">
              <w:trPr>
                <w:trHeight w:val="193"/>
              </w:trPr>
              <w:tc>
                <w:tcPr>
                  <w:tcW w:w="3514" w:type="pct"/>
                </w:tcPr>
                <w:p w14:paraId="7F229AB6" w14:textId="77777777" w:rsidR="009C6940" w:rsidRPr="00890670" w:rsidRDefault="009C6940" w:rsidP="009C6940">
                  <w:pPr>
                    <w:pStyle w:val="TableBodyText"/>
                    <w:jc w:val="left"/>
                  </w:pPr>
                  <w:r w:rsidRPr="00890670">
                    <w:t>Single, aged 18</w:t>
                  </w:r>
                  <w:r>
                    <w:t>–</w:t>
                  </w:r>
                  <w:r w:rsidRPr="00890670">
                    <w:t>20</w:t>
                  </w:r>
                  <w:r>
                    <w:t> </w:t>
                  </w:r>
                  <w:r w:rsidRPr="00D05FEF">
                    <w:t>years</w:t>
                  </w:r>
                  <w:r w:rsidRPr="00890670">
                    <w:t xml:space="preserve"> and independent</w:t>
                  </w:r>
                </w:p>
              </w:tc>
              <w:tc>
                <w:tcPr>
                  <w:tcW w:w="1486" w:type="pct"/>
                </w:tcPr>
                <w:p w14:paraId="6D96243C" w14:textId="77777777" w:rsidR="009C6940" w:rsidRDefault="009C6940" w:rsidP="009C6940">
                  <w:pPr>
                    <w:pStyle w:val="TableBodyText"/>
                    <w:ind w:right="28"/>
                  </w:pPr>
                  <w:r>
                    <w:t>$594.49</w:t>
                  </w:r>
                </w:p>
              </w:tc>
            </w:tr>
            <w:tr w:rsidR="009C6940" w14:paraId="6D128AFE" w14:textId="77777777" w:rsidTr="009C6940">
              <w:trPr>
                <w:trHeight w:val="193"/>
              </w:trPr>
              <w:tc>
                <w:tcPr>
                  <w:tcW w:w="3514" w:type="pct"/>
                </w:tcPr>
                <w:p w14:paraId="75D55480" w14:textId="77777777" w:rsidR="009C6940" w:rsidRPr="00890670" w:rsidRDefault="009C6940" w:rsidP="009C6940">
                  <w:pPr>
                    <w:pStyle w:val="TableBodyText"/>
                    <w:jc w:val="left"/>
                  </w:pPr>
                  <w:r w:rsidRPr="00890670">
                    <w:t>A member of a couple, aged or under 20</w:t>
                  </w:r>
                  <w:r>
                    <w:t> </w:t>
                  </w:r>
                  <w:r w:rsidRPr="00D05FEF">
                    <w:t>years</w:t>
                  </w:r>
                </w:p>
              </w:tc>
              <w:tc>
                <w:tcPr>
                  <w:tcW w:w="1486" w:type="pct"/>
                </w:tcPr>
                <w:p w14:paraId="1417B8A0" w14:textId="77777777" w:rsidR="009C6940" w:rsidRDefault="009C6940" w:rsidP="009C6940">
                  <w:pPr>
                    <w:pStyle w:val="TableBodyText"/>
                    <w:ind w:right="28"/>
                  </w:pPr>
                  <w:r w:rsidRPr="002F3EE4">
                    <w:t>$</w:t>
                  </w:r>
                  <w:r>
                    <w:t>594.40</w:t>
                  </w:r>
                </w:p>
              </w:tc>
            </w:tr>
            <w:tr w:rsidR="009C6940" w14:paraId="33547606" w14:textId="77777777" w:rsidTr="009C6940">
              <w:trPr>
                <w:trHeight w:val="193"/>
              </w:trPr>
              <w:tc>
                <w:tcPr>
                  <w:tcW w:w="3514" w:type="pct"/>
                  <w:shd w:val="clear" w:color="auto" w:fill="F2F2F2" w:themeFill="background1" w:themeFillShade="F2"/>
                </w:tcPr>
                <w:p w14:paraId="7B6B2D4D" w14:textId="77777777" w:rsidR="009C6940" w:rsidRPr="00561235" w:rsidRDefault="009C6940" w:rsidP="009C6940">
                  <w:pPr>
                    <w:pStyle w:val="TableBodyText"/>
                    <w:jc w:val="left"/>
                    <w:rPr>
                      <w:i/>
                    </w:rPr>
                  </w:pPr>
                  <w:r w:rsidRPr="00561235">
                    <w:rPr>
                      <w:i/>
                    </w:rPr>
                    <w:t>21</w:t>
                  </w:r>
                  <w:r>
                    <w:rPr>
                      <w:i/>
                    </w:rPr>
                    <w:t xml:space="preserve"> years </w:t>
                  </w:r>
                  <w:r w:rsidRPr="00561235">
                    <w:rPr>
                      <w:i/>
                    </w:rPr>
                    <w:t>or over, with/without children, or under 21</w:t>
                  </w:r>
                  <w:r>
                    <w:rPr>
                      <w:i/>
                    </w:rPr>
                    <w:t xml:space="preserve"> years </w:t>
                  </w:r>
                  <w:r w:rsidRPr="00561235">
                    <w:rPr>
                      <w:i/>
                    </w:rPr>
                    <w:t>with children</w:t>
                  </w:r>
                </w:p>
              </w:tc>
              <w:tc>
                <w:tcPr>
                  <w:tcW w:w="1486" w:type="pct"/>
                  <w:shd w:val="clear" w:color="auto" w:fill="F2F2F2" w:themeFill="background1" w:themeFillShade="F2"/>
                </w:tcPr>
                <w:p w14:paraId="59B5ED10" w14:textId="77777777" w:rsidR="009C6940" w:rsidRDefault="009C6940" w:rsidP="009C6940">
                  <w:pPr>
                    <w:pStyle w:val="TableBodyText"/>
                    <w:ind w:right="28"/>
                  </w:pPr>
                </w:p>
              </w:tc>
            </w:tr>
            <w:tr w:rsidR="009C6940" w14:paraId="2E953E59" w14:textId="77777777" w:rsidTr="009C6940">
              <w:trPr>
                <w:trHeight w:val="193"/>
              </w:trPr>
              <w:tc>
                <w:tcPr>
                  <w:tcW w:w="3514" w:type="pct"/>
                </w:tcPr>
                <w:p w14:paraId="4A409DA5" w14:textId="77777777" w:rsidR="009C6940" w:rsidRPr="00890670" w:rsidRDefault="009C6940" w:rsidP="009C6940">
                  <w:pPr>
                    <w:pStyle w:val="TableBodyText"/>
                    <w:jc w:val="left"/>
                  </w:pPr>
                  <w:r w:rsidRPr="00890670">
                    <w:t>Single</w:t>
                  </w:r>
                </w:p>
              </w:tc>
              <w:tc>
                <w:tcPr>
                  <w:tcW w:w="1486" w:type="pct"/>
                </w:tcPr>
                <w:p w14:paraId="2BEC9823" w14:textId="77777777" w:rsidR="009C6940" w:rsidRDefault="009C6940" w:rsidP="009C6940">
                  <w:pPr>
                    <w:pStyle w:val="TableBodyText"/>
                    <w:ind w:right="28"/>
                  </w:pPr>
                  <w:r>
                    <w:t>$860.60</w:t>
                  </w:r>
                </w:p>
              </w:tc>
            </w:tr>
            <w:tr w:rsidR="009C6940" w14:paraId="51A09D1A" w14:textId="77777777" w:rsidTr="009C6940">
              <w:trPr>
                <w:trHeight w:val="193"/>
              </w:trPr>
              <w:tc>
                <w:tcPr>
                  <w:tcW w:w="3514" w:type="pct"/>
                </w:tcPr>
                <w:p w14:paraId="2E85A8AF" w14:textId="77777777" w:rsidR="009C6940" w:rsidRPr="00890670" w:rsidRDefault="009C6940" w:rsidP="009C6940">
                  <w:pPr>
                    <w:pStyle w:val="TableBodyText"/>
                    <w:jc w:val="left"/>
                  </w:pPr>
                  <w:r w:rsidRPr="00890670">
                    <w:t>Couple (each)</w:t>
                  </w:r>
                </w:p>
              </w:tc>
              <w:tc>
                <w:tcPr>
                  <w:tcW w:w="1486" w:type="pct"/>
                </w:tcPr>
                <w:p w14:paraId="58A51EEF" w14:textId="77777777" w:rsidR="009C6940" w:rsidRDefault="009C6940" w:rsidP="009C6940">
                  <w:pPr>
                    <w:pStyle w:val="TableBodyText"/>
                    <w:ind w:right="28"/>
                  </w:pPr>
                  <w:r w:rsidRPr="002F3EE4">
                    <w:t>$</w:t>
                  </w:r>
                  <w:r>
                    <w:t>648.70</w:t>
                  </w:r>
                </w:p>
              </w:tc>
            </w:tr>
            <w:tr w:rsidR="009C6940" w14:paraId="36EEE095" w14:textId="77777777" w:rsidTr="009C6940">
              <w:trPr>
                <w:trHeight w:val="193"/>
              </w:trPr>
              <w:tc>
                <w:tcPr>
                  <w:tcW w:w="3514" w:type="pct"/>
                  <w:tcBorders>
                    <w:bottom w:val="single" w:sz="6" w:space="0" w:color="BFBFBF"/>
                  </w:tcBorders>
                </w:tcPr>
                <w:p w14:paraId="19B7C5F7" w14:textId="77777777" w:rsidR="009C6940" w:rsidRPr="00890670" w:rsidRDefault="009C6940" w:rsidP="009C6940">
                  <w:pPr>
                    <w:pStyle w:val="TableBodyText"/>
                    <w:jc w:val="left"/>
                  </w:pPr>
                  <w:r w:rsidRPr="00890670">
                    <w:t>Couple (each, separated due to ill</w:t>
                  </w:r>
                  <w:r>
                    <w:noBreakHyphen/>
                  </w:r>
                  <w:r w:rsidRPr="00890670">
                    <w:t>health)</w:t>
                  </w:r>
                </w:p>
              </w:tc>
              <w:tc>
                <w:tcPr>
                  <w:tcW w:w="1486" w:type="pct"/>
                  <w:tcBorders>
                    <w:bottom w:val="single" w:sz="6" w:space="0" w:color="BFBFBF"/>
                  </w:tcBorders>
                </w:tcPr>
                <w:p w14:paraId="3A324E33" w14:textId="77777777" w:rsidR="009C6940" w:rsidRDefault="009C6940" w:rsidP="009C6940">
                  <w:pPr>
                    <w:pStyle w:val="TableBodyText"/>
                    <w:ind w:right="28"/>
                  </w:pPr>
                  <w:r w:rsidRPr="002F3EE4">
                    <w:t>$</w:t>
                  </w:r>
                  <w:r>
                    <w:t>860.60</w:t>
                  </w:r>
                </w:p>
              </w:tc>
            </w:tr>
          </w:tbl>
          <w:p w14:paraId="052A76BE" w14:textId="77777777" w:rsidR="009C6940" w:rsidRDefault="009C6940" w:rsidP="009C6940">
            <w:pPr>
              <w:pStyle w:val="Box"/>
            </w:pPr>
          </w:p>
        </w:tc>
      </w:tr>
      <w:tr w:rsidR="009C6940" w14:paraId="53EAA296" w14:textId="77777777" w:rsidTr="009C6940">
        <w:tc>
          <w:tcPr>
            <w:tcW w:w="5000" w:type="pct"/>
            <w:tcBorders>
              <w:top w:val="nil"/>
              <w:left w:val="nil"/>
              <w:bottom w:val="nil"/>
              <w:right w:val="nil"/>
            </w:tcBorders>
            <w:shd w:val="clear" w:color="auto" w:fill="auto"/>
          </w:tcPr>
          <w:p w14:paraId="09D1E27E" w14:textId="77777777" w:rsidR="009C6940" w:rsidRDefault="009C6940" w:rsidP="009C6940">
            <w:pPr>
              <w:pStyle w:val="Source"/>
            </w:pPr>
            <w:r>
              <w:rPr>
                <w:i/>
              </w:rPr>
              <w:t>Source</w:t>
            </w:r>
            <w:r w:rsidRPr="00167F06">
              <w:t xml:space="preserve">: </w:t>
            </w:r>
            <w:r w:rsidRPr="00950588">
              <w:t>Services Australia</w:t>
            </w:r>
            <w:r w:rsidRPr="00950588" w:rsidDel="00950588">
              <w:t xml:space="preserve"> </w:t>
            </w:r>
            <w:r w:rsidRPr="001B49AC">
              <w:rPr>
                <w:rFonts w:cs="Arial"/>
              </w:rPr>
              <w:t>(2020b)</w:t>
            </w:r>
            <w:r>
              <w:t>.</w:t>
            </w:r>
          </w:p>
        </w:tc>
      </w:tr>
      <w:tr w:rsidR="009C6940" w14:paraId="30BE7E9A" w14:textId="77777777" w:rsidTr="009C6940">
        <w:tc>
          <w:tcPr>
            <w:tcW w:w="5000" w:type="pct"/>
            <w:tcBorders>
              <w:top w:val="nil"/>
              <w:left w:val="nil"/>
              <w:bottom w:val="single" w:sz="6" w:space="0" w:color="78A22F"/>
              <w:right w:val="nil"/>
            </w:tcBorders>
            <w:shd w:val="clear" w:color="auto" w:fill="auto"/>
          </w:tcPr>
          <w:p w14:paraId="6B6C31C7" w14:textId="77777777" w:rsidR="009C6940" w:rsidRDefault="009C6940" w:rsidP="009C6940">
            <w:pPr>
              <w:pStyle w:val="Box"/>
              <w:spacing w:before="0" w:line="120" w:lineRule="exact"/>
            </w:pPr>
          </w:p>
        </w:tc>
      </w:tr>
      <w:tr w:rsidR="009C6940" w:rsidRPr="000863A5" w14:paraId="3741F497" w14:textId="77777777" w:rsidTr="009C6940">
        <w:tc>
          <w:tcPr>
            <w:tcW w:w="5000" w:type="pct"/>
            <w:tcBorders>
              <w:top w:val="single" w:sz="6" w:space="0" w:color="78A22F"/>
              <w:left w:val="nil"/>
              <w:bottom w:val="nil"/>
              <w:right w:val="nil"/>
            </w:tcBorders>
          </w:tcPr>
          <w:p w14:paraId="170BB596" w14:textId="77777777" w:rsidR="009C6940" w:rsidRPr="00626D32" w:rsidRDefault="009C6940" w:rsidP="009C6940">
            <w:pPr>
              <w:pStyle w:val="BoxSpaceBelow"/>
            </w:pPr>
          </w:p>
        </w:tc>
      </w:tr>
    </w:tbl>
    <w:p w14:paraId="78510810" w14:textId="77777777" w:rsidR="009C6940" w:rsidRPr="0017305E" w:rsidRDefault="009C6940" w:rsidP="009C6940">
      <w:pPr>
        <w:pStyle w:val="Heading4"/>
        <w:rPr>
          <w:b/>
        </w:rPr>
      </w:pPr>
      <w:r>
        <w:lastRenderedPageBreak/>
        <w:t>JobSeeker Payment</w:t>
      </w:r>
    </w:p>
    <w:p w14:paraId="57AF4B64" w14:textId="77777777" w:rsidR="009C6940" w:rsidRDefault="009C6940" w:rsidP="009C6940">
      <w:pPr>
        <w:pStyle w:val="BodyText"/>
      </w:pPr>
      <w:r>
        <w:t>The JobSeeker Payment is the general payment for working</w:t>
      </w:r>
      <w:r>
        <w:noBreakHyphen/>
        <w:t>age income support recipients. It is available for people between the ages of 22 and 66 years</w:t>
      </w:r>
      <w:r w:rsidRPr="0017305E">
        <w:t xml:space="preserve"> </w:t>
      </w:r>
      <w:r>
        <w:t xml:space="preserve">who are looking for work, cannot work or study due to sickness or injury, or have recently lost their partner </w:t>
      </w:r>
      <w:r w:rsidRPr="00074381">
        <w:rPr>
          <w:szCs w:val="24"/>
        </w:rPr>
        <w:t>(Services Australia 2020e)</w:t>
      </w:r>
      <w:r w:rsidRPr="0017305E">
        <w:t>.</w:t>
      </w:r>
      <w:r>
        <w:t xml:space="preserve"> This payment replaced the Newstart Allowance (which specifically targeted people looking for work), Sickness Allowance, Wife Pension, Widow B Pension and Bereavement Allowance in March 2020. </w:t>
      </w:r>
    </w:p>
    <w:p w14:paraId="7AEC25A6" w14:textId="77777777" w:rsidR="009C6940" w:rsidRPr="0017305E" w:rsidRDefault="009C6940" w:rsidP="009C6940">
      <w:pPr>
        <w:pStyle w:val="BodyText"/>
      </w:pPr>
      <w:r>
        <w:t xml:space="preserve">The rate at which the JobSeeker Payment is paid depends on participant characteristics </w:t>
      </w:r>
      <w:r w:rsidRPr="0017305E">
        <w:t>(table</w:t>
      </w:r>
      <w:r>
        <w:t> C.4</w:t>
      </w:r>
      <w:r w:rsidRPr="0017305E">
        <w:t xml:space="preserve">). </w:t>
      </w:r>
      <w:r>
        <w:t>As part of the Australian Government response to the COVID</w:t>
      </w:r>
      <w:r>
        <w:noBreakHyphen/>
        <w:t xml:space="preserve">19 pandemic, JobSeeker Payment recipients also received the Coronavirus Supplement </w:t>
      </w:r>
      <w:r w:rsidRPr="00FB6202">
        <w:t>(section</w:t>
      </w:r>
      <w:r>
        <w:t> </w:t>
      </w:r>
      <w:r w:rsidRPr="00FB6202">
        <w:t>C.5).</w:t>
      </w:r>
    </w:p>
    <w:p w14:paraId="506D47D7"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493BCCC3" w14:textId="77777777" w:rsidTr="009C6940">
        <w:trPr>
          <w:tblHeader/>
        </w:trPr>
        <w:tc>
          <w:tcPr>
            <w:tcW w:w="5000" w:type="pct"/>
            <w:tcBorders>
              <w:top w:val="single" w:sz="6" w:space="0" w:color="78A22F"/>
              <w:left w:val="nil"/>
              <w:bottom w:val="nil"/>
              <w:right w:val="nil"/>
            </w:tcBorders>
            <w:shd w:val="clear" w:color="auto" w:fill="auto"/>
          </w:tcPr>
          <w:p w14:paraId="0B69EABC" w14:textId="77777777" w:rsidR="009C6940" w:rsidRDefault="009C6940" w:rsidP="009C6940">
            <w:pPr>
              <w:pStyle w:val="TableTitle"/>
            </w:pPr>
            <w:r>
              <w:rPr>
                <w:b w:val="0"/>
              </w:rPr>
              <w:t>Table C.</w:t>
            </w:r>
            <w:r>
              <w:rPr>
                <w:b w:val="0"/>
                <w:noProof/>
              </w:rPr>
              <w:t>4</w:t>
            </w:r>
            <w:r>
              <w:tab/>
              <w:t>JobSeeker Payment</w:t>
            </w:r>
            <w:r w:rsidRPr="0017305E">
              <w:t xml:space="preserve"> </w:t>
            </w:r>
            <w:r>
              <w:t xml:space="preserve">fortnightly </w:t>
            </w:r>
            <w:r w:rsidRPr="0017305E">
              <w:t>payment rates</w:t>
            </w:r>
          </w:p>
          <w:p w14:paraId="795EE9C9" w14:textId="77777777" w:rsidR="009C6940" w:rsidRPr="0065087A" w:rsidRDefault="009C6940" w:rsidP="009C6940">
            <w:pPr>
              <w:pStyle w:val="Subtitle"/>
            </w:pPr>
            <w:r>
              <w:t>As at March 2020</w:t>
            </w:r>
          </w:p>
        </w:tc>
      </w:tr>
      <w:tr w:rsidR="009C6940" w14:paraId="3747E1D5"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953"/>
              <w:gridCol w:w="2552"/>
            </w:tblGrid>
            <w:tr w:rsidR="009C6940" w14:paraId="42E1B9B8" w14:textId="77777777" w:rsidTr="009C6940">
              <w:trPr>
                <w:trHeight w:val="120"/>
                <w:tblHeader/>
              </w:trPr>
              <w:tc>
                <w:tcPr>
                  <w:tcW w:w="3500" w:type="pct"/>
                  <w:tcBorders>
                    <w:top w:val="single" w:sz="6" w:space="0" w:color="BFBFBF"/>
                    <w:bottom w:val="single" w:sz="6" w:space="0" w:color="BFBFBF"/>
                  </w:tcBorders>
                </w:tcPr>
                <w:p w14:paraId="162B41B7" w14:textId="77777777" w:rsidR="009C6940" w:rsidRDefault="009C6940" w:rsidP="009C6940">
                  <w:pPr>
                    <w:pStyle w:val="TableColumnHeading"/>
                    <w:jc w:val="left"/>
                  </w:pPr>
                  <w:r>
                    <w:t>Individual characteristics</w:t>
                  </w:r>
                </w:p>
              </w:tc>
              <w:tc>
                <w:tcPr>
                  <w:tcW w:w="1500" w:type="pct"/>
                  <w:tcBorders>
                    <w:top w:val="single" w:sz="6" w:space="0" w:color="BFBFBF"/>
                    <w:bottom w:val="single" w:sz="6" w:space="0" w:color="BFBFBF"/>
                  </w:tcBorders>
                </w:tcPr>
                <w:p w14:paraId="1484BA09" w14:textId="77777777" w:rsidR="009C6940" w:rsidRDefault="009C6940" w:rsidP="009C6940">
                  <w:pPr>
                    <w:pStyle w:val="TableColumnHeading"/>
                    <w:ind w:right="28"/>
                  </w:pPr>
                  <w:r>
                    <w:t>Maximum payment rate</w:t>
                  </w:r>
                </w:p>
              </w:tc>
            </w:tr>
            <w:tr w:rsidR="009C6940" w14:paraId="57585653" w14:textId="77777777" w:rsidTr="009C6940">
              <w:trPr>
                <w:trHeight w:val="96"/>
              </w:trPr>
              <w:tc>
                <w:tcPr>
                  <w:tcW w:w="3500" w:type="pct"/>
                  <w:tcBorders>
                    <w:top w:val="single" w:sz="6" w:space="0" w:color="BFBFBF"/>
                  </w:tcBorders>
                </w:tcPr>
                <w:p w14:paraId="689EA880" w14:textId="77777777" w:rsidR="009C6940" w:rsidRDefault="009C6940" w:rsidP="009C6940">
                  <w:pPr>
                    <w:pStyle w:val="TableUnitsRow"/>
                    <w:jc w:val="left"/>
                  </w:pPr>
                  <w:r>
                    <w:t>Single, no children</w:t>
                  </w:r>
                </w:p>
              </w:tc>
              <w:tc>
                <w:tcPr>
                  <w:tcW w:w="1500" w:type="pct"/>
                  <w:tcBorders>
                    <w:top w:val="single" w:sz="6" w:space="0" w:color="BFBFBF"/>
                  </w:tcBorders>
                </w:tcPr>
                <w:p w14:paraId="29B31C7B" w14:textId="77777777" w:rsidR="009C6940" w:rsidRDefault="009C6940" w:rsidP="009C6940">
                  <w:pPr>
                    <w:pStyle w:val="TableUnitsRow"/>
                    <w:ind w:right="28"/>
                  </w:pPr>
                  <w:r>
                    <w:t>$565.70</w:t>
                  </w:r>
                </w:p>
              </w:tc>
            </w:tr>
            <w:tr w:rsidR="009C6940" w14:paraId="473FF0A7" w14:textId="77777777" w:rsidTr="009C6940">
              <w:trPr>
                <w:trHeight w:val="84"/>
              </w:trPr>
              <w:tc>
                <w:tcPr>
                  <w:tcW w:w="3500" w:type="pct"/>
                </w:tcPr>
                <w:p w14:paraId="72F49E78" w14:textId="77777777" w:rsidR="009C6940" w:rsidRDefault="009C6940" w:rsidP="009C6940">
                  <w:pPr>
                    <w:pStyle w:val="TableBodyText"/>
                    <w:jc w:val="left"/>
                  </w:pPr>
                  <w:r>
                    <w:t>Single, with a dependent child/children</w:t>
                  </w:r>
                </w:p>
              </w:tc>
              <w:tc>
                <w:tcPr>
                  <w:tcW w:w="1500" w:type="pct"/>
                </w:tcPr>
                <w:p w14:paraId="2D704626" w14:textId="77777777" w:rsidR="009C6940" w:rsidRDefault="009C6940" w:rsidP="009C6940">
                  <w:pPr>
                    <w:pStyle w:val="TableBodyText"/>
                    <w:ind w:right="28"/>
                  </w:pPr>
                  <w:r>
                    <w:t>$612.00</w:t>
                  </w:r>
                </w:p>
              </w:tc>
            </w:tr>
            <w:tr w:rsidR="009C6940" w14:paraId="28AF6B91" w14:textId="77777777" w:rsidTr="009C6940">
              <w:trPr>
                <w:trHeight w:val="84"/>
              </w:trPr>
              <w:tc>
                <w:tcPr>
                  <w:tcW w:w="3500" w:type="pct"/>
                </w:tcPr>
                <w:p w14:paraId="7B001021" w14:textId="77777777" w:rsidR="009C6940" w:rsidRDefault="009C6940" w:rsidP="009C6940">
                  <w:pPr>
                    <w:pStyle w:val="TableBodyText"/>
                    <w:jc w:val="left"/>
                  </w:pPr>
                  <w:r>
                    <w:t>Single, aged 60 years or over, after 9 continuous months on payment</w:t>
                  </w:r>
                </w:p>
              </w:tc>
              <w:tc>
                <w:tcPr>
                  <w:tcW w:w="1500" w:type="pct"/>
                </w:tcPr>
                <w:p w14:paraId="4C77BD8B" w14:textId="77777777" w:rsidR="009C6940" w:rsidRDefault="009C6940" w:rsidP="009C6940">
                  <w:pPr>
                    <w:pStyle w:val="TableBodyText"/>
                    <w:ind w:right="28"/>
                  </w:pPr>
                  <w:r>
                    <w:t>$612.00</w:t>
                  </w:r>
                </w:p>
              </w:tc>
            </w:tr>
            <w:tr w:rsidR="009C6940" w14:paraId="1C33B71B" w14:textId="77777777" w:rsidTr="009C6940">
              <w:trPr>
                <w:trHeight w:val="84"/>
              </w:trPr>
              <w:tc>
                <w:tcPr>
                  <w:tcW w:w="3500" w:type="pct"/>
                </w:tcPr>
                <w:p w14:paraId="6CBE6CFE" w14:textId="77777777" w:rsidR="009C6940" w:rsidRDefault="009C6940" w:rsidP="009C6940">
                  <w:pPr>
                    <w:pStyle w:val="TableBodyText"/>
                    <w:jc w:val="left"/>
                  </w:pPr>
                  <w:r>
                    <w:t>Partnered (each)</w:t>
                  </w:r>
                </w:p>
              </w:tc>
              <w:tc>
                <w:tcPr>
                  <w:tcW w:w="1500" w:type="pct"/>
                </w:tcPr>
                <w:p w14:paraId="60684BE0" w14:textId="77777777" w:rsidR="009C6940" w:rsidRDefault="009C6940" w:rsidP="009C6940">
                  <w:pPr>
                    <w:pStyle w:val="TableBodyText"/>
                    <w:ind w:right="28"/>
                  </w:pPr>
                  <w:r>
                    <w:t xml:space="preserve">$510.80 </w:t>
                  </w:r>
                </w:p>
              </w:tc>
            </w:tr>
            <w:tr w:rsidR="009C6940" w14:paraId="56C5698D" w14:textId="77777777" w:rsidTr="009C6940">
              <w:trPr>
                <w:trHeight w:val="84"/>
              </w:trPr>
              <w:tc>
                <w:tcPr>
                  <w:tcW w:w="3500" w:type="pct"/>
                  <w:tcBorders>
                    <w:bottom w:val="single" w:sz="6" w:space="0" w:color="BFBFBF"/>
                  </w:tcBorders>
                </w:tcPr>
                <w:p w14:paraId="07043B69" w14:textId="77777777" w:rsidR="009C6940" w:rsidRDefault="009C6940" w:rsidP="009C6940">
                  <w:pPr>
                    <w:pStyle w:val="TableBodyText"/>
                    <w:jc w:val="left"/>
                  </w:pPr>
                  <w:r>
                    <w:t>Single principal carer granted an exemption due to carer commitments</w:t>
                  </w:r>
                  <w:r>
                    <w:rPr>
                      <w:rStyle w:val="NoteLabel"/>
                    </w:rPr>
                    <w:t>a</w:t>
                  </w:r>
                </w:p>
              </w:tc>
              <w:tc>
                <w:tcPr>
                  <w:tcW w:w="1500" w:type="pct"/>
                  <w:tcBorders>
                    <w:bottom w:val="single" w:sz="6" w:space="0" w:color="BFBFBF"/>
                  </w:tcBorders>
                </w:tcPr>
                <w:p w14:paraId="4867F240" w14:textId="77777777" w:rsidR="009C6940" w:rsidRDefault="009C6940" w:rsidP="009C6940">
                  <w:pPr>
                    <w:pStyle w:val="TableBodyText"/>
                    <w:ind w:right="28"/>
                  </w:pPr>
                  <w:r>
                    <w:t>$790.10</w:t>
                  </w:r>
                </w:p>
              </w:tc>
            </w:tr>
          </w:tbl>
          <w:p w14:paraId="6E6F1A11" w14:textId="77777777" w:rsidR="009C6940" w:rsidRDefault="009C6940" w:rsidP="009C6940">
            <w:pPr>
              <w:pStyle w:val="Box"/>
            </w:pPr>
          </w:p>
        </w:tc>
      </w:tr>
      <w:tr w:rsidR="009C6940" w14:paraId="74C20B6E" w14:textId="77777777" w:rsidTr="009C6940">
        <w:tc>
          <w:tcPr>
            <w:tcW w:w="5000" w:type="pct"/>
            <w:tcBorders>
              <w:top w:val="nil"/>
              <w:left w:val="nil"/>
              <w:bottom w:val="nil"/>
              <w:right w:val="nil"/>
            </w:tcBorders>
            <w:shd w:val="clear" w:color="auto" w:fill="auto"/>
          </w:tcPr>
          <w:p w14:paraId="5BAF7255" w14:textId="77777777" w:rsidR="009C6940" w:rsidRDefault="009C6940" w:rsidP="009C6940">
            <w:pPr>
              <w:pStyle w:val="Note"/>
              <w:rPr>
                <w:i/>
              </w:rPr>
            </w:pPr>
            <w:r w:rsidRPr="008E77FE">
              <w:rPr>
                <w:rStyle w:val="NoteLabel"/>
              </w:rPr>
              <w:t>a</w:t>
            </w:r>
            <w:r>
              <w:t xml:space="preserve"> </w:t>
            </w:r>
            <w:r w:rsidRPr="0017305E">
              <w:t>Including foster caring, non</w:t>
            </w:r>
            <w:r>
              <w:noBreakHyphen/>
            </w:r>
            <w:r w:rsidRPr="0017305E">
              <w:t>parent relative caring under a court order, home schooling, distance education or large family</w:t>
            </w:r>
            <w:r>
              <w:t>.</w:t>
            </w:r>
          </w:p>
        </w:tc>
      </w:tr>
      <w:tr w:rsidR="009C6940" w14:paraId="774C1BC7" w14:textId="77777777" w:rsidTr="009C6940">
        <w:tc>
          <w:tcPr>
            <w:tcW w:w="5000" w:type="pct"/>
            <w:tcBorders>
              <w:top w:val="nil"/>
              <w:left w:val="nil"/>
              <w:bottom w:val="nil"/>
              <w:right w:val="nil"/>
            </w:tcBorders>
            <w:shd w:val="clear" w:color="auto" w:fill="auto"/>
          </w:tcPr>
          <w:p w14:paraId="533D7205" w14:textId="77777777" w:rsidR="009C6940" w:rsidRDefault="009C6940" w:rsidP="009C6940">
            <w:pPr>
              <w:pStyle w:val="Source"/>
            </w:pPr>
            <w:r>
              <w:rPr>
                <w:i/>
              </w:rPr>
              <w:t>Source</w:t>
            </w:r>
            <w:r w:rsidRPr="00F86FE0">
              <w:t>:</w:t>
            </w:r>
            <w:r>
              <w:rPr>
                <w:i/>
              </w:rPr>
              <w:t xml:space="preserve"> </w:t>
            </w:r>
            <w:r w:rsidRPr="00950588">
              <w:t>Services Australia</w:t>
            </w:r>
            <w:r w:rsidRPr="00950588" w:rsidDel="00950588">
              <w:t xml:space="preserve"> </w:t>
            </w:r>
            <w:r w:rsidRPr="00074381">
              <w:rPr>
                <w:rFonts w:cs="Arial"/>
              </w:rPr>
              <w:t>(2020e)</w:t>
            </w:r>
            <w:r>
              <w:t>.</w:t>
            </w:r>
          </w:p>
        </w:tc>
      </w:tr>
      <w:tr w:rsidR="009C6940" w14:paraId="561FA493" w14:textId="77777777" w:rsidTr="009C6940">
        <w:tc>
          <w:tcPr>
            <w:tcW w:w="5000" w:type="pct"/>
            <w:tcBorders>
              <w:top w:val="nil"/>
              <w:left w:val="nil"/>
              <w:bottom w:val="single" w:sz="6" w:space="0" w:color="78A22F"/>
              <w:right w:val="nil"/>
            </w:tcBorders>
            <w:shd w:val="clear" w:color="auto" w:fill="auto"/>
          </w:tcPr>
          <w:p w14:paraId="3DD2AC10" w14:textId="77777777" w:rsidR="009C6940" w:rsidRDefault="009C6940" w:rsidP="009C6940">
            <w:pPr>
              <w:pStyle w:val="Box"/>
              <w:spacing w:before="0" w:line="120" w:lineRule="exact"/>
            </w:pPr>
          </w:p>
        </w:tc>
      </w:tr>
      <w:tr w:rsidR="009C6940" w:rsidRPr="000863A5" w14:paraId="7A2AC7AB" w14:textId="77777777" w:rsidTr="009C6940">
        <w:tc>
          <w:tcPr>
            <w:tcW w:w="5000" w:type="pct"/>
            <w:tcBorders>
              <w:top w:val="single" w:sz="6" w:space="0" w:color="78A22F"/>
              <w:left w:val="nil"/>
              <w:bottom w:val="nil"/>
              <w:right w:val="nil"/>
            </w:tcBorders>
          </w:tcPr>
          <w:p w14:paraId="16F96F2D" w14:textId="77777777" w:rsidR="009C6940" w:rsidRPr="00626D32" w:rsidRDefault="009C6940" w:rsidP="009C6940">
            <w:pPr>
              <w:pStyle w:val="BoxSpaceBelow"/>
            </w:pPr>
          </w:p>
        </w:tc>
      </w:tr>
    </w:tbl>
    <w:p w14:paraId="563ADF69" w14:textId="77777777" w:rsidR="009C6940" w:rsidRPr="0017305E" w:rsidRDefault="009C6940" w:rsidP="009C6940">
      <w:pPr>
        <w:pStyle w:val="Heading4"/>
      </w:pPr>
      <w:r w:rsidRPr="0017305E">
        <w:t>Youth Allowance</w:t>
      </w:r>
    </w:p>
    <w:p w14:paraId="2B999563" w14:textId="77777777" w:rsidR="009C6940" w:rsidRDefault="009C6940" w:rsidP="009C6940">
      <w:pPr>
        <w:pStyle w:val="BodyText"/>
        <w:keepNext/>
      </w:pPr>
      <w:r w:rsidRPr="0017305E">
        <w:t>The Youth Allowance is income support for students and job seekers.</w:t>
      </w:r>
    </w:p>
    <w:p w14:paraId="3E04D36D" w14:textId="77777777" w:rsidR="009C6940" w:rsidRPr="0017305E" w:rsidRDefault="009C6940" w:rsidP="009C6940">
      <w:pPr>
        <w:pStyle w:val="ListBullet"/>
      </w:pPr>
      <w:r w:rsidRPr="0067777D">
        <w:rPr>
          <w:i/>
        </w:rPr>
        <w:t>Student</w:t>
      </w:r>
      <w:r w:rsidRPr="0017305E">
        <w:t xml:space="preserve"> recipients must meet </w:t>
      </w:r>
      <w:r>
        <w:t xml:space="preserve">any one of </w:t>
      </w:r>
      <w:r w:rsidRPr="0017305E">
        <w:t>the following criteria:</w:t>
      </w:r>
    </w:p>
    <w:p w14:paraId="5A2FDBFB" w14:textId="77777777" w:rsidR="009C6940" w:rsidRPr="00DC5634" w:rsidRDefault="009C6940" w:rsidP="009C6940">
      <w:pPr>
        <w:pStyle w:val="ListBullet2"/>
      </w:pPr>
      <w:r w:rsidRPr="00DC5634">
        <w:t>aged</w:t>
      </w:r>
      <w:r>
        <w:t> </w:t>
      </w:r>
      <w:r w:rsidRPr="00DC5634">
        <w:t>18</w:t>
      </w:r>
      <w:r>
        <w:t>–</w:t>
      </w:r>
      <w:r w:rsidRPr="00DC5634">
        <w:t>24</w:t>
      </w:r>
      <w:r>
        <w:t> </w:t>
      </w:r>
      <w:r w:rsidRPr="00B14A3B">
        <w:t xml:space="preserve">years </w:t>
      </w:r>
      <w:r w:rsidRPr="00DC5634">
        <w:t>and studying full</w:t>
      </w:r>
      <w:r>
        <w:noBreakHyphen/>
      </w:r>
      <w:r w:rsidRPr="00DC5634">
        <w:t>time</w:t>
      </w:r>
    </w:p>
    <w:p w14:paraId="79170EC9" w14:textId="77777777" w:rsidR="009C6940" w:rsidRPr="00DC5634" w:rsidRDefault="009C6940" w:rsidP="009C6940">
      <w:pPr>
        <w:pStyle w:val="ListBullet2"/>
      </w:pPr>
      <w:r w:rsidRPr="00DC5634">
        <w:t>aged</w:t>
      </w:r>
      <w:r>
        <w:t> </w:t>
      </w:r>
      <w:r w:rsidRPr="00DC5634">
        <w:t>16</w:t>
      </w:r>
      <w:r>
        <w:t>–</w:t>
      </w:r>
      <w:r w:rsidRPr="00DC5634">
        <w:t>24</w:t>
      </w:r>
      <w:r>
        <w:t> </w:t>
      </w:r>
      <w:r w:rsidRPr="00B14A3B">
        <w:t xml:space="preserve">years </w:t>
      </w:r>
      <w:r w:rsidRPr="00DC5634">
        <w:t xml:space="preserve">and </w:t>
      </w:r>
      <w:r>
        <w:t>undertaking</w:t>
      </w:r>
      <w:r w:rsidRPr="00DC5634">
        <w:t xml:space="preserve"> </w:t>
      </w:r>
      <w:r>
        <w:t>a full</w:t>
      </w:r>
      <w:r>
        <w:noBreakHyphen/>
      </w:r>
      <w:r w:rsidRPr="00DC5634">
        <w:t>time Australian Apprenticeship</w:t>
      </w:r>
    </w:p>
    <w:p w14:paraId="049F36B9" w14:textId="77777777" w:rsidR="009C6940" w:rsidRPr="00DC5634" w:rsidRDefault="009C6940" w:rsidP="009C6940">
      <w:pPr>
        <w:pStyle w:val="ListBullet2"/>
      </w:pPr>
      <w:r w:rsidRPr="00DC5634">
        <w:t>aged</w:t>
      </w:r>
      <w:r>
        <w:t> </w:t>
      </w:r>
      <w:r w:rsidRPr="00DC5634">
        <w:t>16</w:t>
      </w:r>
      <w:r>
        <w:t>–</w:t>
      </w:r>
      <w:r w:rsidRPr="00DC5634">
        <w:t>17</w:t>
      </w:r>
      <w:r>
        <w:t> </w:t>
      </w:r>
      <w:r w:rsidRPr="00B14A3B">
        <w:t xml:space="preserve">years </w:t>
      </w:r>
      <w:r w:rsidRPr="00DC5634">
        <w:t xml:space="preserve">and independent or </w:t>
      </w:r>
      <w:r>
        <w:t>required</w:t>
      </w:r>
      <w:r w:rsidRPr="00DC5634">
        <w:t xml:space="preserve"> </w:t>
      </w:r>
      <w:r>
        <w:t xml:space="preserve">to live away from home to study </w:t>
      </w:r>
      <w:r w:rsidRPr="00074381">
        <w:rPr>
          <w:szCs w:val="24"/>
        </w:rPr>
        <w:t>(Services Australia 2020j)</w:t>
      </w:r>
      <w:r w:rsidRPr="00DC5634">
        <w:t>.</w:t>
      </w:r>
    </w:p>
    <w:p w14:paraId="6B031ADD" w14:textId="77777777" w:rsidR="009C6940" w:rsidRPr="0017305E" w:rsidRDefault="009C6940" w:rsidP="009C6940">
      <w:pPr>
        <w:pStyle w:val="ListBullet"/>
      </w:pPr>
      <w:r w:rsidRPr="0067777D">
        <w:rPr>
          <w:i/>
        </w:rPr>
        <w:t xml:space="preserve">Job seeker </w:t>
      </w:r>
      <w:r>
        <w:t>recipients must be aged </w:t>
      </w:r>
      <w:r w:rsidRPr="0017305E">
        <w:t>16</w:t>
      </w:r>
      <w:r>
        <w:t>–</w:t>
      </w:r>
      <w:r w:rsidRPr="0017305E">
        <w:t>21</w:t>
      </w:r>
      <w:r>
        <w:t> </w:t>
      </w:r>
      <w:r w:rsidRPr="00B14A3B">
        <w:t xml:space="preserve">years </w:t>
      </w:r>
      <w:r w:rsidRPr="0017305E">
        <w:t>and looking for full</w:t>
      </w:r>
      <w:r>
        <w:noBreakHyphen/>
      </w:r>
      <w:r w:rsidRPr="0017305E">
        <w:t xml:space="preserve">time work </w:t>
      </w:r>
      <w:r w:rsidRPr="00074381">
        <w:rPr>
          <w:szCs w:val="24"/>
        </w:rPr>
        <w:t>(Services Australia 2020i)</w:t>
      </w:r>
      <w:r w:rsidRPr="0017305E">
        <w:t>.</w:t>
      </w:r>
    </w:p>
    <w:p w14:paraId="712A914F" w14:textId="77777777" w:rsidR="009C6940" w:rsidRDefault="009C6940" w:rsidP="009C6940">
      <w:pPr>
        <w:pStyle w:val="BodyText"/>
      </w:pPr>
      <w:r>
        <w:t xml:space="preserve">The rate at which the Youth Allowance is paid depends on participant characteristics </w:t>
      </w:r>
      <w:r w:rsidRPr="0017305E">
        <w:t>(table</w:t>
      </w:r>
      <w:r>
        <w:t> C.5</w:t>
      </w:r>
      <w:r w:rsidRPr="0017305E">
        <w:t xml:space="preserve">). </w:t>
      </w:r>
      <w:r w:rsidRPr="00883384">
        <w:t>As part of the Australian Government response to the COVID</w:t>
      </w:r>
      <w:r>
        <w:noBreakHyphen/>
      </w:r>
      <w:r w:rsidRPr="00883384">
        <w:t xml:space="preserve">19 pandemic, </w:t>
      </w:r>
      <w:r>
        <w:t>Youth Allowance</w:t>
      </w:r>
      <w:r w:rsidRPr="00883384">
        <w:t xml:space="preserve"> recipients also received the Coronavirus Supplement </w:t>
      </w:r>
      <w:r w:rsidRPr="00FB6202">
        <w:t>(section</w:t>
      </w:r>
      <w:r>
        <w:t> </w:t>
      </w:r>
      <w:r w:rsidRPr="00FB6202">
        <w:t>C.5).</w:t>
      </w:r>
    </w:p>
    <w:p w14:paraId="09157BD0"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9C6940" w14:paraId="681EDB1A" w14:textId="77777777" w:rsidTr="009C6940">
        <w:trPr>
          <w:tblHeader/>
        </w:trPr>
        <w:tc>
          <w:tcPr>
            <w:tcW w:w="5000" w:type="pct"/>
            <w:tcBorders>
              <w:top w:val="single" w:sz="6" w:space="0" w:color="78A22F"/>
              <w:left w:val="nil"/>
              <w:bottom w:val="nil"/>
              <w:right w:val="nil"/>
            </w:tcBorders>
            <w:shd w:val="clear" w:color="auto" w:fill="auto"/>
          </w:tcPr>
          <w:p w14:paraId="183B94A2" w14:textId="77777777" w:rsidR="009C6940" w:rsidRDefault="009C6940" w:rsidP="009C6940">
            <w:pPr>
              <w:pStyle w:val="TableTitle"/>
            </w:pPr>
            <w:r>
              <w:rPr>
                <w:b w:val="0"/>
              </w:rPr>
              <w:t>Table C.</w:t>
            </w:r>
            <w:r>
              <w:rPr>
                <w:b w:val="0"/>
                <w:noProof/>
              </w:rPr>
              <w:t>5</w:t>
            </w:r>
            <w:r>
              <w:tab/>
            </w:r>
            <w:r w:rsidRPr="002806AE">
              <w:t>Youth Allowance fortnightly payment rates</w:t>
            </w:r>
          </w:p>
          <w:p w14:paraId="40C1DBED" w14:textId="77777777" w:rsidR="009C6940" w:rsidRPr="00784A05" w:rsidRDefault="009C6940" w:rsidP="009C6940">
            <w:pPr>
              <w:pStyle w:val="Subtitle"/>
            </w:pPr>
            <w:r w:rsidRPr="002806AE">
              <w:t>As at March 2020</w:t>
            </w:r>
          </w:p>
        </w:tc>
      </w:tr>
      <w:tr w:rsidR="009C6940" w14:paraId="0A6C677F" w14:textId="77777777" w:rsidTr="009C6940">
        <w:tc>
          <w:tcPr>
            <w:tcW w:w="5000" w:type="pct"/>
            <w:tcBorders>
              <w:top w:val="nil"/>
              <w:left w:val="nil"/>
              <w:bottom w:val="nil"/>
              <w:right w:val="nil"/>
            </w:tcBorders>
            <w:shd w:val="clear" w:color="auto" w:fill="auto"/>
          </w:tcPr>
          <w:tbl>
            <w:tblPr>
              <w:tblW w:w="4984" w:type="pct"/>
              <w:tblCellMar>
                <w:top w:w="28" w:type="dxa"/>
                <w:left w:w="0" w:type="dxa"/>
                <w:right w:w="0" w:type="dxa"/>
              </w:tblCellMar>
              <w:tblLook w:val="0000" w:firstRow="0" w:lastRow="0" w:firstColumn="0" w:lastColumn="0" w:noHBand="0" w:noVBand="0"/>
            </w:tblPr>
            <w:tblGrid>
              <w:gridCol w:w="7228"/>
              <w:gridCol w:w="1250"/>
            </w:tblGrid>
            <w:tr w:rsidR="009C6940" w14:paraId="00C0CC09" w14:textId="77777777" w:rsidTr="009C6940">
              <w:trPr>
                <w:trHeight w:val="309"/>
                <w:tblHeader/>
              </w:trPr>
              <w:tc>
                <w:tcPr>
                  <w:tcW w:w="4263" w:type="pct"/>
                  <w:tcBorders>
                    <w:top w:val="single" w:sz="6" w:space="0" w:color="BFBFBF"/>
                    <w:bottom w:val="single" w:sz="6" w:space="0" w:color="BFBFBF"/>
                  </w:tcBorders>
                  <w:shd w:val="clear" w:color="auto" w:fill="auto"/>
                  <w:tcMar>
                    <w:top w:w="28" w:type="dxa"/>
                  </w:tcMar>
                  <w:vAlign w:val="bottom"/>
                </w:tcPr>
                <w:p w14:paraId="02C863A5" w14:textId="77777777" w:rsidR="009C6940" w:rsidRDefault="009C6940" w:rsidP="009C6940">
                  <w:pPr>
                    <w:pStyle w:val="TableColumnHeading"/>
                    <w:jc w:val="left"/>
                  </w:pPr>
                  <w:r w:rsidRPr="00153AA6">
                    <w:t>Recipient characteristics</w:t>
                  </w:r>
                </w:p>
              </w:tc>
              <w:tc>
                <w:tcPr>
                  <w:tcW w:w="737" w:type="pct"/>
                  <w:tcBorders>
                    <w:top w:val="single" w:sz="6" w:space="0" w:color="BFBFBF"/>
                    <w:bottom w:val="single" w:sz="6" w:space="0" w:color="BFBFBF"/>
                  </w:tcBorders>
                  <w:shd w:val="clear" w:color="auto" w:fill="auto"/>
                  <w:tcMar>
                    <w:top w:w="28" w:type="dxa"/>
                  </w:tcMar>
                </w:tcPr>
                <w:p w14:paraId="5CA35355" w14:textId="77777777" w:rsidR="009C6940" w:rsidRDefault="009C6940" w:rsidP="009C6940">
                  <w:pPr>
                    <w:pStyle w:val="TableColumnHeading"/>
                    <w:ind w:right="28"/>
                  </w:pPr>
                  <w:r w:rsidRPr="00153AA6">
                    <w:t>Maximum payment rate</w:t>
                  </w:r>
                </w:p>
              </w:tc>
            </w:tr>
            <w:tr w:rsidR="009C6940" w14:paraId="21318EF9" w14:textId="77777777" w:rsidTr="009C6940">
              <w:trPr>
                <w:trHeight w:val="244"/>
              </w:trPr>
              <w:tc>
                <w:tcPr>
                  <w:tcW w:w="4263" w:type="pct"/>
                  <w:tcBorders>
                    <w:top w:val="single" w:sz="6" w:space="0" w:color="BFBFBF"/>
                  </w:tcBorders>
                </w:tcPr>
                <w:p w14:paraId="7F602BD0" w14:textId="77777777" w:rsidR="009C6940" w:rsidRDefault="009C6940" w:rsidP="009C6940">
                  <w:pPr>
                    <w:pStyle w:val="TableUnitsRow"/>
                    <w:jc w:val="left"/>
                  </w:pPr>
                  <w:r w:rsidRPr="00153AA6">
                    <w:t>Single, no children, under 18</w:t>
                  </w:r>
                  <w:r>
                    <w:t> years</w:t>
                  </w:r>
                  <w:r w:rsidRPr="00153AA6">
                    <w:t>, live at parent/guardian’s home</w:t>
                  </w:r>
                </w:p>
              </w:tc>
              <w:tc>
                <w:tcPr>
                  <w:tcW w:w="737" w:type="pct"/>
                  <w:tcBorders>
                    <w:top w:val="single" w:sz="6" w:space="0" w:color="BFBFBF"/>
                  </w:tcBorders>
                </w:tcPr>
                <w:p w14:paraId="277DD3C2" w14:textId="77777777" w:rsidR="009C6940" w:rsidRDefault="009C6940" w:rsidP="009C6940">
                  <w:pPr>
                    <w:pStyle w:val="TableUnitsRow"/>
                    <w:ind w:right="28"/>
                  </w:pPr>
                  <w:r w:rsidRPr="00153AA6">
                    <w:t>$253.20</w:t>
                  </w:r>
                </w:p>
              </w:tc>
            </w:tr>
            <w:tr w:rsidR="009C6940" w14:paraId="2FB5386C" w14:textId="77777777" w:rsidTr="009C6940">
              <w:trPr>
                <w:trHeight w:val="219"/>
              </w:trPr>
              <w:tc>
                <w:tcPr>
                  <w:tcW w:w="4263" w:type="pct"/>
                </w:tcPr>
                <w:p w14:paraId="0546A39A" w14:textId="77777777" w:rsidR="009C6940" w:rsidRDefault="009C6940" w:rsidP="009C6940">
                  <w:pPr>
                    <w:pStyle w:val="TableBodyText"/>
                    <w:spacing w:before="40"/>
                    <w:jc w:val="left"/>
                  </w:pPr>
                  <w:r w:rsidRPr="00153AA6">
                    <w:t>Single, no children, under 18</w:t>
                  </w:r>
                  <w:r>
                    <w:t> years</w:t>
                  </w:r>
                  <w:r w:rsidRPr="00153AA6">
                    <w:t>, need to live away from parent/guardian’s home</w:t>
                  </w:r>
                </w:p>
              </w:tc>
              <w:tc>
                <w:tcPr>
                  <w:tcW w:w="737" w:type="pct"/>
                </w:tcPr>
                <w:p w14:paraId="01FF06D1" w14:textId="77777777" w:rsidR="009C6940" w:rsidRDefault="009C6940" w:rsidP="009C6940">
                  <w:pPr>
                    <w:pStyle w:val="TableBodyText"/>
                    <w:spacing w:before="40"/>
                    <w:ind w:right="28"/>
                  </w:pPr>
                  <w:r w:rsidRPr="00153AA6">
                    <w:t>$462.50</w:t>
                  </w:r>
                </w:p>
              </w:tc>
            </w:tr>
            <w:tr w:rsidR="009C6940" w14:paraId="67302A7E" w14:textId="77777777" w:rsidTr="009C6940">
              <w:trPr>
                <w:trHeight w:val="205"/>
              </w:trPr>
              <w:tc>
                <w:tcPr>
                  <w:tcW w:w="4263" w:type="pct"/>
                </w:tcPr>
                <w:p w14:paraId="56425F6D" w14:textId="77777777" w:rsidR="009C6940" w:rsidRDefault="009C6940" w:rsidP="009C6940">
                  <w:pPr>
                    <w:pStyle w:val="TableBodyText"/>
                    <w:spacing w:before="40"/>
                    <w:jc w:val="left"/>
                  </w:pPr>
                  <w:r w:rsidRPr="00153AA6">
                    <w:t>Single, no children, over 18</w:t>
                  </w:r>
                  <w:r>
                    <w:t> years</w:t>
                  </w:r>
                  <w:r w:rsidRPr="00153AA6">
                    <w:t>, live at parent/guardian’s home</w:t>
                  </w:r>
                </w:p>
              </w:tc>
              <w:tc>
                <w:tcPr>
                  <w:tcW w:w="737" w:type="pct"/>
                </w:tcPr>
                <w:p w14:paraId="4B53C16C" w14:textId="77777777" w:rsidR="009C6940" w:rsidRDefault="009C6940" w:rsidP="009C6940">
                  <w:pPr>
                    <w:pStyle w:val="TableBodyText"/>
                    <w:spacing w:before="40"/>
                    <w:ind w:right="28"/>
                  </w:pPr>
                  <w:r w:rsidRPr="00153AA6">
                    <w:t>$304.60</w:t>
                  </w:r>
                </w:p>
              </w:tc>
            </w:tr>
            <w:tr w:rsidR="009C6940" w14:paraId="001C4DF0" w14:textId="77777777" w:rsidTr="009C6940">
              <w:trPr>
                <w:trHeight w:val="205"/>
              </w:trPr>
              <w:tc>
                <w:tcPr>
                  <w:tcW w:w="4263" w:type="pct"/>
                </w:tcPr>
                <w:p w14:paraId="3DDB10F2" w14:textId="77777777" w:rsidR="009C6940" w:rsidRDefault="009C6940" w:rsidP="009C6940">
                  <w:pPr>
                    <w:pStyle w:val="TableBodyText"/>
                    <w:spacing w:before="40"/>
                    <w:jc w:val="left"/>
                  </w:pPr>
                  <w:r w:rsidRPr="00153AA6">
                    <w:t>Single, no children, over 18</w:t>
                  </w:r>
                  <w:r>
                    <w:t> years</w:t>
                  </w:r>
                  <w:r w:rsidRPr="00153AA6">
                    <w:t>, need to live away from</w:t>
                  </w:r>
                  <w:r w:rsidRPr="00153AA6" w:rsidDel="00F91707">
                    <w:t xml:space="preserve"> </w:t>
                  </w:r>
                  <w:r w:rsidRPr="00153AA6">
                    <w:t>parent/guardian’s home</w:t>
                  </w:r>
                </w:p>
              </w:tc>
              <w:tc>
                <w:tcPr>
                  <w:tcW w:w="737" w:type="pct"/>
                </w:tcPr>
                <w:p w14:paraId="1825E058" w14:textId="77777777" w:rsidR="009C6940" w:rsidRDefault="009C6940" w:rsidP="009C6940">
                  <w:pPr>
                    <w:pStyle w:val="TableBodyText"/>
                    <w:spacing w:before="40"/>
                    <w:ind w:right="28"/>
                  </w:pPr>
                  <w:r w:rsidRPr="00153AA6">
                    <w:t>$462.50</w:t>
                  </w:r>
                </w:p>
              </w:tc>
            </w:tr>
            <w:tr w:rsidR="009C6940" w14:paraId="281D879A" w14:textId="77777777" w:rsidTr="009C6940">
              <w:trPr>
                <w:trHeight w:val="219"/>
              </w:trPr>
              <w:tc>
                <w:tcPr>
                  <w:tcW w:w="4263" w:type="pct"/>
                </w:tcPr>
                <w:p w14:paraId="58E6ABFB" w14:textId="77777777" w:rsidR="009C6940" w:rsidRDefault="009C6940" w:rsidP="009C6940">
                  <w:pPr>
                    <w:pStyle w:val="TableBodyText"/>
                    <w:spacing w:before="40"/>
                    <w:jc w:val="left"/>
                  </w:pPr>
                  <w:r w:rsidRPr="00153AA6">
                    <w:t>Single with children</w:t>
                  </w:r>
                  <w:r w:rsidRPr="00153AA6">
                    <w:rPr>
                      <w:b/>
                    </w:rPr>
                    <w:t xml:space="preserve"> </w:t>
                  </w:r>
                </w:p>
              </w:tc>
              <w:tc>
                <w:tcPr>
                  <w:tcW w:w="737" w:type="pct"/>
                </w:tcPr>
                <w:p w14:paraId="24609414" w14:textId="77777777" w:rsidR="009C6940" w:rsidRDefault="009C6940" w:rsidP="009C6940">
                  <w:pPr>
                    <w:pStyle w:val="TableBodyText"/>
                    <w:spacing w:before="40"/>
                    <w:ind w:right="28"/>
                  </w:pPr>
                  <w:r w:rsidRPr="00153AA6">
                    <w:t>$606.00</w:t>
                  </w:r>
                </w:p>
              </w:tc>
            </w:tr>
            <w:tr w:rsidR="009C6940" w14:paraId="50317AEF" w14:textId="77777777" w:rsidTr="009C6940">
              <w:trPr>
                <w:trHeight w:val="205"/>
              </w:trPr>
              <w:tc>
                <w:tcPr>
                  <w:tcW w:w="4263" w:type="pct"/>
                </w:tcPr>
                <w:p w14:paraId="0FE7EB9A" w14:textId="77777777" w:rsidR="009C6940" w:rsidRDefault="009C6940" w:rsidP="009C6940">
                  <w:pPr>
                    <w:pStyle w:val="TableBodyText"/>
                    <w:spacing w:before="40"/>
                    <w:jc w:val="left"/>
                  </w:pPr>
                  <w:r w:rsidRPr="00153AA6">
                    <w:t xml:space="preserve">Partnered, no children </w:t>
                  </w:r>
                </w:p>
              </w:tc>
              <w:tc>
                <w:tcPr>
                  <w:tcW w:w="737" w:type="pct"/>
                </w:tcPr>
                <w:p w14:paraId="4F461F74" w14:textId="77777777" w:rsidR="009C6940" w:rsidRDefault="009C6940" w:rsidP="009C6940">
                  <w:pPr>
                    <w:pStyle w:val="TableBodyText"/>
                    <w:spacing w:before="40"/>
                    <w:ind w:right="28"/>
                  </w:pPr>
                  <w:r w:rsidRPr="00153AA6">
                    <w:t>$462.50</w:t>
                  </w:r>
                </w:p>
              </w:tc>
            </w:tr>
            <w:tr w:rsidR="009C6940" w14:paraId="4D20E38D" w14:textId="77777777" w:rsidTr="009C6940">
              <w:trPr>
                <w:trHeight w:val="205"/>
              </w:trPr>
              <w:tc>
                <w:tcPr>
                  <w:tcW w:w="4263" w:type="pct"/>
                </w:tcPr>
                <w:p w14:paraId="1545FBD8" w14:textId="77777777" w:rsidR="009C6940" w:rsidRDefault="009C6940" w:rsidP="009C6940">
                  <w:pPr>
                    <w:pStyle w:val="TableBodyText"/>
                    <w:spacing w:before="40"/>
                    <w:jc w:val="left"/>
                  </w:pPr>
                  <w:r w:rsidRPr="00153AA6">
                    <w:t>Partnered, with children</w:t>
                  </w:r>
                </w:p>
              </w:tc>
              <w:tc>
                <w:tcPr>
                  <w:tcW w:w="737" w:type="pct"/>
                </w:tcPr>
                <w:p w14:paraId="38DB38DA" w14:textId="77777777" w:rsidR="009C6940" w:rsidRDefault="009C6940" w:rsidP="009C6940">
                  <w:pPr>
                    <w:pStyle w:val="TableBodyText"/>
                    <w:spacing w:before="40"/>
                    <w:ind w:right="28"/>
                  </w:pPr>
                  <w:r w:rsidRPr="00153AA6">
                    <w:t>$507.90</w:t>
                  </w:r>
                </w:p>
              </w:tc>
            </w:tr>
            <w:tr w:rsidR="009C6940" w14:paraId="3DDAD66B" w14:textId="77777777" w:rsidTr="009C6940">
              <w:trPr>
                <w:trHeight w:val="219"/>
              </w:trPr>
              <w:tc>
                <w:tcPr>
                  <w:tcW w:w="4263" w:type="pct"/>
                  <w:tcBorders>
                    <w:bottom w:val="single" w:sz="6" w:space="0" w:color="BFBFBF"/>
                  </w:tcBorders>
                  <w:shd w:val="clear" w:color="auto" w:fill="auto"/>
                </w:tcPr>
                <w:p w14:paraId="01C688B2" w14:textId="77777777" w:rsidR="009C6940" w:rsidRDefault="009C6940" w:rsidP="009C6940">
                  <w:pPr>
                    <w:pStyle w:val="TableBodyText"/>
                    <w:spacing w:before="40"/>
                    <w:jc w:val="left"/>
                  </w:pPr>
                  <w:r w:rsidRPr="00153AA6">
                    <w:t>Single, job seeker, principal carer and exempt from activity requirements</w:t>
                  </w:r>
                  <w:r w:rsidRPr="002806AE">
                    <w:rPr>
                      <w:rStyle w:val="NoteLabel"/>
                    </w:rPr>
                    <w:t>a</w:t>
                  </w:r>
                </w:p>
              </w:tc>
              <w:tc>
                <w:tcPr>
                  <w:tcW w:w="737" w:type="pct"/>
                  <w:tcBorders>
                    <w:bottom w:val="single" w:sz="6" w:space="0" w:color="BFBFBF"/>
                  </w:tcBorders>
                  <w:shd w:val="clear" w:color="auto" w:fill="auto"/>
                  <w:vAlign w:val="bottom"/>
                </w:tcPr>
                <w:p w14:paraId="3876BA6E" w14:textId="77777777" w:rsidR="009C6940" w:rsidRDefault="009C6940" w:rsidP="009C6940">
                  <w:pPr>
                    <w:pStyle w:val="TableBodyText"/>
                    <w:spacing w:before="40"/>
                    <w:ind w:right="28"/>
                  </w:pPr>
                  <w:r w:rsidRPr="00153AA6">
                    <w:t>$790.10</w:t>
                  </w:r>
                </w:p>
              </w:tc>
            </w:tr>
          </w:tbl>
          <w:p w14:paraId="0F60AA28" w14:textId="77777777" w:rsidR="009C6940" w:rsidRDefault="009C6940" w:rsidP="009C6940">
            <w:pPr>
              <w:pStyle w:val="Note"/>
            </w:pPr>
            <w:r w:rsidRPr="008E77FE">
              <w:rPr>
                <w:rStyle w:val="NoteLabel"/>
              </w:rPr>
              <w:t>a</w:t>
            </w:r>
            <w:r>
              <w:t xml:space="preserve"> Including foster caring, home schooling, distance education or large family.</w:t>
            </w:r>
          </w:p>
        </w:tc>
      </w:tr>
      <w:tr w:rsidR="009C6940" w14:paraId="3E3008B4" w14:textId="77777777" w:rsidTr="009C6940">
        <w:tc>
          <w:tcPr>
            <w:tcW w:w="5000" w:type="pct"/>
            <w:tcBorders>
              <w:top w:val="nil"/>
              <w:left w:val="nil"/>
              <w:bottom w:val="nil"/>
              <w:right w:val="nil"/>
            </w:tcBorders>
            <w:shd w:val="clear" w:color="auto" w:fill="auto"/>
          </w:tcPr>
          <w:p w14:paraId="7BCB37FE" w14:textId="77777777" w:rsidR="009C6940" w:rsidRPr="00183FF6" w:rsidRDefault="009C6940" w:rsidP="009C6940">
            <w:pPr>
              <w:pStyle w:val="Source"/>
              <w:rPr>
                <w:i/>
              </w:rPr>
            </w:pPr>
            <w:r w:rsidRPr="00183FF6">
              <w:rPr>
                <w:i/>
              </w:rPr>
              <w:t>Source</w:t>
            </w:r>
            <w:r w:rsidRPr="00183FF6">
              <w:t xml:space="preserve">: Services Australia </w:t>
            </w:r>
            <w:r>
              <w:rPr>
                <w:rFonts w:cs="Arial"/>
              </w:rPr>
              <w:t>(2020h, 2020k</w:t>
            </w:r>
            <w:r w:rsidRPr="00074381">
              <w:rPr>
                <w:rFonts w:cs="Arial"/>
              </w:rPr>
              <w:t>)</w:t>
            </w:r>
            <w:r>
              <w:t>.</w:t>
            </w:r>
          </w:p>
        </w:tc>
      </w:tr>
      <w:tr w:rsidR="009C6940" w14:paraId="23E51374" w14:textId="77777777" w:rsidTr="009C6940">
        <w:tc>
          <w:tcPr>
            <w:tcW w:w="5000" w:type="pct"/>
            <w:tcBorders>
              <w:top w:val="nil"/>
              <w:left w:val="nil"/>
              <w:bottom w:val="single" w:sz="6" w:space="0" w:color="78A22F"/>
              <w:right w:val="nil"/>
            </w:tcBorders>
            <w:shd w:val="clear" w:color="auto" w:fill="auto"/>
          </w:tcPr>
          <w:p w14:paraId="53CABDED" w14:textId="77777777" w:rsidR="009C6940" w:rsidRDefault="009C6940" w:rsidP="009C6940">
            <w:pPr>
              <w:pStyle w:val="Box"/>
              <w:spacing w:before="0" w:line="120" w:lineRule="exact"/>
            </w:pPr>
          </w:p>
        </w:tc>
      </w:tr>
      <w:tr w:rsidR="009C6940" w:rsidRPr="000863A5" w14:paraId="67C5430D" w14:textId="77777777" w:rsidTr="009C6940">
        <w:tc>
          <w:tcPr>
            <w:tcW w:w="5000" w:type="pct"/>
            <w:tcBorders>
              <w:top w:val="single" w:sz="6" w:space="0" w:color="78A22F"/>
              <w:left w:val="nil"/>
              <w:bottom w:val="nil"/>
              <w:right w:val="nil"/>
            </w:tcBorders>
          </w:tcPr>
          <w:p w14:paraId="26280144" w14:textId="77777777" w:rsidR="009C6940" w:rsidRPr="00626D32" w:rsidRDefault="009C6940" w:rsidP="009C6940">
            <w:pPr>
              <w:pStyle w:val="BoxSpaceBelow"/>
            </w:pPr>
          </w:p>
        </w:tc>
      </w:tr>
    </w:tbl>
    <w:p w14:paraId="15AA3027" w14:textId="77777777" w:rsidR="009C6940" w:rsidRPr="00CA6DF8" w:rsidRDefault="009C6940" w:rsidP="009C6940">
      <w:pPr>
        <w:pStyle w:val="Heading3"/>
      </w:pPr>
      <w:r w:rsidRPr="00CA6DF8">
        <w:t>Employment support</w:t>
      </w:r>
    </w:p>
    <w:p w14:paraId="3D060742" w14:textId="77777777" w:rsidR="009C6940" w:rsidRDefault="009C6940" w:rsidP="009C6940">
      <w:pPr>
        <w:pStyle w:val="BodyText"/>
        <w:keepNext/>
      </w:pPr>
      <w:r w:rsidRPr="00651D35">
        <w:t xml:space="preserve">The Australian Government’s </w:t>
      </w:r>
      <w:r>
        <w:t>main</w:t>
      </w:r>
      <w:r w:rsidRPr="00651D35">
        <w:t xml:space="preserve"> employment support programs </w:t>
      </w:r>
      <w:r w:rsidRPr="00651D35" w:rsidDel="00925CB4">
        <w:t>are</w:t>
      </w:r>
      <w:r>
        <w:t>:</w:t>
      </w:r>
    </w:p>
    <w:p w14:paraId="2B514692" w14:textId="77777777" w:rsidR="009C6940" w:rsidRDefault="009C6940" w:rsidP="009C6940">
      <w:pPr>
        <w:pStyle w:val="ListBullet"/>
      </w:pPr>
      <w:r w:rsidRPr="00651D35">
        <w:t>jobactive</w:t>
      </w:r>
      <w:r>
        <w:t xml:space="preserve"> — the general employment support program </w:t>
      </w:r>
    </w:p>
    <w:p w14:paraId="680D0F7A" w14:textId="77777777" w:rsidR="009C6940" w:rsidRDefault="009C6940" w:rsidP="009C6940">
      <w:pPr>
        <w:pStyle w:val="ListBullet"/>
      </w:pPr>
      <w:r w:rsidRPr="00651D35">
        <w:t>DES</w:t>
      </w:r>
      <w:r>
        <w:t xml:space="preserve"> </w:t>
      </w:r>
      <w:r w:rsidRPr="00925CB4">
        <w:t>—</w:t>
      </w:r>
      <w:r>
        <w:t xml:space="preserve"> employment support </w:t>
      </w:r>
      <w:r w:rsidRPr="00651D35">
        <w:t xml:space="preserve">for </w:t>
      </w:r>
      <w:r>
        <w:t>people</w:t>
      </w:r>
      <w:r w:rsidRPr="00651D35">
        <w:t xml:space="preserve"> who</w:t>
      </w:r>
      <w:r>
        <w:t>se</w:t>
      </w:r>
      <w:r w:rsidRPr="00651D35">
        <w:t xml:space="preserve"> main barrier to emp</w:t>
      </w:r>
      <w:r>
        <w:t xml:space="preserve">loyment is a disability </w:t>
      </w:r>
    </w:p>
    <w:p w14:paraId="58179D40" w14:textId="77777777" w:rsidR="009C6940" w:rsidRDefault="009C6940" w:rsidP="009C6940">
      <w:pPr>
        <w:pStyle w:val="ListBullet"/>
      </w:pPr>
      <w:r>
        <w:t xml:space="preserve">CDP </w:t>
      </w:r>
      <w:r w:rsidRPr="00925CB4">
        <w:t>—</w:t>
      </w:r>
      <w:r>
        <w:t xml:space="preserve"> employment support for people in remote areas (table C.6</w:t>
      </w:r>
      <w:r w:rsidRPr="00651D35">
        <w:t>).</w:t>
      </w:r>
    </w:p>
    <w:p w14:paraId="1CF8899A" w14:textId="77777777" w:rsidR="009C6940" w:rsidRPr="00651D35" w:rsidRDefault="009C6940">
      <w:pPr>
        <w:pStyle w:val="BodyText"/>
      </w:pPr>
      <w:r w:rsidRPr="00651D35">
        <w:t xml:space="preserve">Participation in </w:t>
      </w:r>
      <w:r>
        <w:t xml:space="preserve">these programs </w:t>
      </w:r>
      <w:r w:rsidRPr="00651D35">
        <w:t xml:space="preserve">is compulsory for job seekers who receive income support payments and have been </w:t>
      </w:r>
      <w:r>
        <w:t>assessed</w:t>
      </w:r>
      <w:r w:rsidRPr="00651D35">
        <w:t xml:space="preserve"> as able to actively look for work (</w:t>
      </w:r>
      <w:r>
        <w:t xml:space="preserve">that is, </w:t>
      </w:r>
      <w:r w:rsidRPr="00651D35">
        <w:t xml:space="preserve">most </w:t>
      </w:r>
      <w:r>
        <w:t>JobSeeker Payment</w:t>
      </w:r>
      <w:r w:rsidRPr="00651D35">
        <w:t xml:space="preserve"> and Youth Allowance recipients</w:t>
      </w:r>
      <w:r>
        <w:t>, and some DSP recipients aged under 35 years</w:t>
      </w:r>
      <w:r w:rsidRPr="00651D35">
        <w:t xml:space="preserve">) </w:t>
      </w:r>
      <w:r w:rsidRPr="00F80DFA">
        <w:rPr>
          <w:szCs w:val="24"/>
        </w:rPr>
        <w:t>(ANAO 2017b)</w:t>
      </w:r>
      <w:r>
        <w:t xml:space="preserve">. </w:t>
      </w:r>
    </w:p>
    <w:p w14:paraId="05C39B43"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12BD61DC" w14:textId="77777777" w:rsidTr="009C6940">
        <w:trPr>
          <w:tblHeader/>
        </w:trPr>
        <w:tc>
          <w:tcPr>
            <w:tcW w:w="5000" w:type="pct"/>
            <w:tcBorders>
              <w:top w:val="single" w:sz="6" w:space="0" w:color="78A22F"/>
              <w:left w:val="nil"/>
              <w:bottom w:val="nil"/>
              <w:right w:val="nil"/>
            </w:tcBorders>
            <w:shd w:val="clear" w:color="auto" w:fill="auto"/>
          </w:tcPr>
          <w:p w14:paraId="3C28034D" w14:textId="77777777" w:rsidR="009C6940" w:rsidRDefault="009C6940" w:rsidP="009C6940">
            <w:pPr>
              <w:pStyle w:val="TableTitle"/>
            </w:pPr>
            <w:r>
              <w:rPr>
                <w:b w:val="0"/>
              </w:rPr>
              <w:t>Table C.</w:t>
            </w:r>
            <w:r>
              <w:rPr>
                <w:b w:val="0"/>
                <w:noProof/>
              </w:rPr>
              <w:t>6</w:t>
            </w:r>
            <w:r>
              <w:tab/>
            </w:r>
            <w:r w:rsidRPr="00651D35">
              <w:t>Comparison of key employment support programs</w:t>
            </w:r>
          </w:p>
          <w:p w14:paraId="66137005" w14:textId="77777777" w:rsidR="009C6940" w:rsidRPr="007061A9" w:rsidRDefault="009C6940" w:rsidP="009C6940">
            <w:pPr>
              <w:pStyle w:val="Subtitle"/>
            </w:pPr>
            <w:r>
              <w:t xml:space="preserve">June </w:t>
            </w:r>
            <w:r w:rsidRPr="007061A9">
              <w:t>2019</w:t>
            </w:r>
          </w:p>
        </w:tc>
      </w:tr>
      <w:tr w:rsidR="009C6940" w14:paraId="7A19C3E9" w14:textId="77777777" w:rsidTr="009C6940">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2410"/>
              <w:gridCol w:w="1844"/>
              <w:gridCol w:w="2126"/>
              <w:gridCol w:w="2125"/>
            </w:tblGrid>
            <w:tr w:rsidR="009C6940" w14:paraId="49E6F051" w14:textId="77777777" w:rsidTr="009C6940">
              <w:trPr>
                <w:trHeight w:val="354"/>
                <w:tblHeader/>
              </w:trPr>
              <w:tc>
                <w:tcPr>
                  <w:tcW w:w="1417" w:type="pct"/>
                  <w:tcBorders>
                    <w:top w:val="single" w:sz="6" w:space="0" w:color="BFBFBF"/>
                    <w:bottom w:val="single" w:sz="6" w:space="0" w:color="BFBFBF"/>
                  </w:tcBorders>
                </w:tcPr>
                <w:p w14:paraId="065FF9EF" w14:textId="77777777" w:rsidR="009C6940" w:rsidRDefault="009C6940" w:rsidP="009C6940">
                  <w:pPr>
                    <w:pStyle w:val="TableColumnHeading"/>
                    <w:jc w:val="left"/>
                  </w:pPr>
                </w:p>
              </w:tc>
              <w:tc>
                <w:tcPr>
                  <w:tcW w:w="1084" w:type="pct"/>
                  <w:tcBorders>
                    <w:top w:val="single" w:sz="6" w:space="0" w:color="BFBFBF"/>
                    <w:bottom w:val="single" w:sz="6" w:space="0" w:color="BFBFBF"/>
                  </w:tcBorders>
                </w:tcPr>
                <w:p w14:paraId="2B040477" w14:textId="77777777" w:rsidR="009C6940" w:rsidRDefault="009C6940" w:rsidP="009C6940">
                  <w:pPr>
                    <w:pStyle w:val="Noptel"/>
                  </w:pPr>
                  <w:r>
                    <w:t>jobactive</w:t>
                  </w:r>
                </w:p>
              </w:tc>
              <w:tc>
                <w:tcPr>
                  <w:tcW w:w="1250" w:type="pct"/>
                  <w:tcBorders>
                    <w:top w:val="single" w:sz="6" w:space="0" w:color="BFBFBF"/>
                    <w:bottom w:val="single" w:sz="6" w:space="0" w:color="BFBFBF"/>
                  </w:tcBorders>
                </w:tcPr>
                <w:p w14:paraId="542C1D60" w14:textId="77777777" w:rsidR="009C6940" w:rsidRDefault="009C6940" w:rsidP="009C6940">
                  <w:pPr>
                    <w:pStyle w:val="TableColumnHeading"/>
                  </w:pPr>
                  <w:r>
                    <w:t>Disability</w:t>
                  </w:r>
                  <w:r>
                    <w:br/>
                    <w:t>Employment Services</w:t>
                  </w:r>
                </w:p>
              </w:tc>
              <w:tc>
                <w:tcPr>
                  <w:tcW w:w="1249" w:type="pct"/>
                  <w:tcBorders>
                    <w:top w:val="single" w:sz="6" w:space="0" w:color="BFBFBF"/>
                    <w:bottom w:val="single" w:sz="6" w:space="0" w:color="BFBFBF"/>
                  </w:tcBorders>
                  <w:shd w:val="clear" w:color="auto" w:fill="auto"/>
                  <w:tcMar>
                    <w:top w:w="28" w:type="dxa"/>
                  </w:tcMar>
                </w:tcPr>
                <w:p w14:paraId="3B6FC50A" w14:textId="77777777" w:rsidR="009C6940" w:rsidRDefault="009C6940" w:rsidP="009C6940">
                  <w:pPr>
                    <w:pStyle w:val="TableColumnHeading"/>
                  </w:pPr>
                  <w:r>
                    <w:t>Community</w:t>
                  </w:r>
                  <w:r>
                    <w:br/>
                    <w:t>Development Program</w:t>
                  </w:r>
                </w:p>
              </w:tc>
            </w:tr>
            <w:tr w:rsidR="009C6940" w14:paraId="02BA45BB" w14:textId="77777777" w:rsidTr="009C6940">
              <w:trPr>
                <w:trHeight w:val="283"/>
              </w:trPr>
              <w:tc>
                <w:tcPr>
                  <w:tcW w:w="1417" w:type="pct"/>
                  <w:tcBorders>
                    <w:top w:val="single" w:sz="6" w:space="0" w:color="BFBFBF"/>
                  </w:tcBorders>
                </w:tcPr>
                <w:p w14:paraId="3B9E2B8B" w14:textId="77777777" w:rsidR="009C6940" w:rsidRDefault="009C6940" w:rsidP="009C6940">
                  <w:pPr>
                    <w:pStyle w:val="TableUnitsRow"/>
                    <w:jc w:val="left"/>
                  </w:pPr>
                  <w:r>
                    <w:t>Cohort of interest</w:t>
                  </w:r>
                  <w:r>
                    <w:rPr>
                      <w:rStyle w:val="NoteLabel"/>
                    </w:rPr>
                    <w:t>a</w:t>
                  </w:r>
                </w:p>
              </w:tc>
              <w:tc>
                <w:tcPr>
                  <w:tcW w:w="1084" w:type="pct"/>
                  <w:tcBorders>
                    <w:top w:val="single" w:sz="6" w:space="0" w:color="BFBFBF"/>
                  </w:tcBorders>
                </w:tcPr>
                <w:p w14:paraId="3DF93E5A" w14:textId="77777777" w:rsidR="009C6940" w:rsidRPr="00F86FE0" w:rsidRDefault="009C6940" w:rsidP="009C6940">
                  <w:pPr>
                    <w:pStyle w:val="TableBodyText"/>
                  </w:pPr>
                  <w:r>
                    <w:t>85 100</w:t>
                  </w:r>
                </w:p>
              </w:tc>
              <w:tc>
                <w:tcPr>
                  <w:tcW w:w="1250" w:type="pct"/>
                  <w:tcBorders>
                    <w:top w:val="single" w:sz="6" w:space="0" w:color="BFBFBF"/>
                  </w:tcBorders>
                </w:tcPr>
                <w:p w14:paraId="1DD9C7C8" w14:textId="77777777" w:rsidR="009C6940" w:rsidDel="00F14066" w:rsidRDefault="009C6940" w:rsidP="009C6940">
                  <w:pPr>
                    <w:pStyle w:val="TableBodyText"/>
                  </w:pPr>
                  <w:r>
                    <w:t>95 690</w:t>
                  </w:r>
                </w:p>
              </w:tc>
              <w:tc>
                <w:tcPr>
                  <w:tcW w:w="1249" w:type="pct"/>
                  <w:tcBorders>
                    <w:top w:val="single" w:sz="6" w:space="0" w:color="BFBFBF"/>
                  </w:tcBorders>
                </w:tcPr>
                <w:p w14:paraId="46D20944" w14:textId="77777777" w:rsidR="009C6940" w:rsidRDefault="009C6940" w:rsidP="009C6940">
                  <w:pPr>
                    <w:pStyle w:val="TableBodyText"/>
                  </w:pPr>
                  <w:r>
                    <w:t>3 780</w:t>
                  </w:r>
                </w:p>
              </w:tc>
            </w:tr>
            <w:tr w:rsidR="009C6940" w14:paraId="43D86C61" w14:textId="77777777" w:rsidTr="009C6940">
              <w:trPr>
                <w:trHeight w:val="283"/>
              </w:trPr>
              <w:tc>
                <w:tcPr>
                  <w:tcW w:w="1417" w:type="pct"/>
                  <w:shd w:val="clear" w:color="auto" w:fill="F2F2F2" w:themeFill="background1" w:themeFillShade="F2"/>
                </w:tcPr>
                <w:p w14:paraId="3F11CA1C" w14:textId="77777777" w:rsidR="009C6940" w:rsidRPr="00CF6C9F" w:rsidRDefault="009C6940" w:rsidP="009C6940">
                  <w:pPr>
                    <w:pStyle w:val="TableUnitsRow"/>
                    <w:spacing w:before="0"/>
                    <w:jc w:val="left"/>
                    <w:rPr>
                      <w:b/>
                      <w:position w:val="6"/>
                    </w:rPr>
                  </w:pPr>
                  <w:r>
                    <w:t>Estimat</w:t>
                  </w:r>
                  <w:r w:rsidRPr="00D12935">
                    <w:rPr>
                      <w:b/>
                    </w:rPr>
                    <w:t>e</w:t>
                  </w:r>
                  <w:r>
                    <w:t>d cost for cohort of interest</w:t>
                  </w:r>
                  <w:r w:rsidRPr="008E77FE">
                    <w:rPr>
                      <w:rStyle w:val="NoteLabel"/>
                    </w:rPr>
                    <w:t>a</w:t>
                  </w:r>
                </w:p>
              </w:tc>
              <w:tc>
                <w:tcPr>
                  <w:tcW w:w="1084" w:type="pct"/>
                  <w:shd w:val="clear" w:color="auto" w:fill="F2F2F2" w:themeFill="background1" w:themeFillShade="F2"/>
                </w:tcPr>
                <w:p w14:paraId="28837056" w14:textId="77777777" w:rsidR="009C6940" w:rsidRDefault="009C6940" w:rsidP="009C6940">
                  <w:pPr>
                    <w:pStyle w:val="TableBodyText"/>
                    <w:ind w:right="11"/>
                  </w:pPr>
                  <w:r>
                    <w:t>$139 million</w:t>
                  </w:r>
                  <w:r w:rsidRPr="008440DF">
                    <w:rPr>
                      <w:rStyle w:val="NoteLabel"/>
                    </w:rPr>
                    <w:t>b</w:t>
                  </w:r>
                </w:p>
              </w:tc>
              <w:tc>
                <w:tcPr>
                  <w:tcW w:w="1250" w:type="pct"/>
                  <w:shd w:val="clear" w:color="auto" w:fill="F2F2F2" w:themeFill="background1" w:themeFillShade="F2"/>
                </w:tcPr>
                <w:p w14:paraId="55796DC1" w14:textId="77777777" w:rsidR="009C6940" w:rsidRDefault="009C6940" w:rsidP="009C6940">
                  <w:pPr>
                    <w:pStyle w:val="TableBodyText"/>
                    <w:ind w:right="11"/>
                  </w:pPr>
                  <w:r w:rsidRPr="00B31C26">
                    <w:t>$328 million</w:t>
                  </w:r>
                  <w:r>
                    <w:rPr>
                      <w:rStyle w:val="NoteLabel"/>
                    </w:rPr>
                    <w:t>c</w:t>
                  </w:r>
                </w:p>
              </w:tc>
              <w:tc>
                <w:tcPr>
                  <w:tcW w:w="1249" w:type="pct"/>
                  <w:shd w:val="clear" w:color="auto" w:fill="F2F2F2" w:themeFill="background1" w:themeFillShade="F2"/>
                </w:tcPr>
                <w:p w14:paraId="2E746F23" w14:textId="77777777" w:rsidR="009C6940" w:rsidRDefault="009C6940" w:rsidP="009C6940">
                  <w:pPr>
                    <w:pStyle w:val="TableBodyText"/>
                    <w:ind w:right="11"/>
                  </w:pPr>
                  <w:r w:rsidRPr="00B31C26">
                    <w:t>$53</w:t>
                  </w:r>
                  <w:r>
                    <w:t> </w:t>
                  </w:r>
                  <w:r w:rsidRPr="00B31C26">
                    <w:t>million</w:t>
                  </w:r>
                  <w:r>
                    <w:rPr>
                      <w:rStyle w:val="NoteLabel"/>
                    </w:rPr>
                    <w:t>d</w:t>
                  </w:r>
                </w:p>
              </w:tc>
            </w:tr>
            <w:tr w:rsidR="009C6940" w14:paraId="609CAF6F" w14:textId="77777777" w:rsidTr="009C6940">
              <w:trPr>
                <w:trHeight w:val="271"/>
              </w:trPr>
              <w:tc>
                <w:tcPr>
                  <w:tcW w:w="1417" w:type="pct"/>
                </w:tcPr>
                <w:p w14:paraId="60C296D5" w14:textId="77777777" w:rsidR="009C6940" w:rsidRDefault="009C6940" w:rsidP="009C6940">
                  <w:pPr>
                    <w:pStyle w:val="TableUnitsRow"/>
                    <w:spacing w:before="0"/>
                    <w:jc w:val="left"/>
                  </w:pPr>
                  <w:r>
                    <w:t>Total number of participants</w:t>
                  </w:r>
                </w:p>
              </w:tc>
              <w:tc>
                <w:tcPr>
                  <w:tcW w:w="1084" w:type="pct"/>
                </w:tcPr>
                <w:p w14:paraId="2421622A" w14:textId="77777777" w:rsidR="009C6940" w:rsidRDefault="009C6940" w:rsidP="009C6940">
                  <w:pPr>
                    <w:pStyle w:val="TableUnitsRow"/>
                    <w:spacing w:before="0"/>
                  </w:pPr>
                  <w:r>
                    <w:t>614 200</w:t>
                  </w:r>
                </w:p>
              </w:tc>
              <w:tc>
                <w:tcPr>
                  <w:tcW w:w="1250" w:type="pct"/>
                </w:tcPr>
                <w:p w14:paraId="2FBFB79B" w14:textId="77777777" w:rsidR="009C6940" w:rsidDel="00F14066" w:rsidRDefault="009C6940" w:rsidP="009C6940">
                  <w:pPr>
                    <w:pStyle w:val="TableBodyText"/>
                  </w:pPr>
                  <w:r>
                    <w:t>238 300</w:t>
                  </w:r>
                </w:p>
              </w:tc>
              <w:tc>
                <w:tcPr>
                  <w:tcW w:w="1249" w:type="pct"/>
                </w:tcPr>
                <w:p w14:paraId="68F380AF" w14:textId="77777777" w:rsidR="009C6940" w:rsidRDefault="009C6940" w:rsidP="009C6940">
                  <w:pPr>
                    <w:pStyle w:val="TableBodyText"/>
                  </w:pPr>
                  <w:r>
                    <w:t>30 </w:t>
                  </w:r>
                  <w:r w:rsidDel="00F14066">
                    <w:t>0</w:t>
                  </w:r>
                  <w:r w:rsidDel="00925CB4">
                    <w:t>00</w:t>
                  </w:r>
                </w:p>
              </w:tc>
            </w:tr>
            <w:tr w:rsidR="009C6940" w14:paraId="1A4D4EE9" w14:textId="77777777" w:rsidTr="009C6940">
              <w:trPr>
                <w:trHeight w:val="248"/>
              </w:trPr>
              <w:tc>
                <w:tcPr>
                  <w:tcW w:w="1417" w:type="pct"/>
                  <w:tcBorders>
                    <w:bottom w:val="single" w:sz="6" w:space="0" w:color="BFBFBF"/>
                  </w:tcBorders>
                  <w:shd w:val="clear" w:color="auto" w:fill="F2F2F2" w:themeFill="background1" w:themeFillShade="F2"/>
                </w:tcPr>
                <w:p w14:paraId="76032ACF" w14:textId="77777777" w:rsidR="009C6940" w:rsidRDefault="009C6940" w:rsidP="009C6940">
                  <w:pPr>
                    <w:pStyle w:val="TableBodyText"/>
                    <w:jc w:val="left"/>
                  </w:pPr>
                  <w:r>
                    <w:t>Program streams</w:t>
                  </w:r>
                </w:p>
              </w:tc>
              <w:tc>
                <w:tcPr>
                  <w:tcW w:w="1084" w:type="pct"/>
                  <w:tcBorders>
                    <w:bottom w:val="single" w:sz="6" w:space="0" w:color="BFBFBF"/>
                  </w:tcBorders>
                  <w:shd w:val="clear" w:color="auto" w:fill="F2F2F2" w:themeFill="background1" w:themeFillShade="F2"/>
                </w:tcPr>
                <w:p w14:paraId="728E4035" w14:textId="77777777" w:rsidR="009C6940" w:rsidRDefault="009C6940" w:rsidP="009C6940">
                  <w:pPr>
                    <w:pStyle w:val="TableBodyText"/>
                  </w:pPr>
                  <w:r>
                    <w:t>A (12%), B (37%) and C (50%)</w:t>
                  </w:r>
                </w:p>
              </w:tc>
              <w:tc>
                <w:tcPr>
                  <w:tcW w:w="1250" w:type="pct"/>
                  <w:tcBorders>
                    <w:bottom w:val="single" w:sz="6" w:space="0" w:color="BFBFBF"/>
                  </w:tcBorders>
                  <w:shd w:val="clear" w:color="auto" w:fill="F2F2F2" w:themeFill="background1" w:themeFillShade="F2"/>
                </w:tcPr>
                <w:p w14:paraId="56421894" w14:textId="77777777" w:rsidR="009C6940" w:rsidRDefault="009C6940" w:rsidP="009C6940">
                  <w:pPr>
                    <w:pStyle w:val="TableBodyText"/>
                  </w:pPr>
                  <w:r>
                    <w:t>Disability Management Services (43%) and Employment Support Services (57%)</w:t>
                  </w:r>
                </w:p>
              </w:tc>
              <w:tc>
                <w:tcPr>
                  <w:tcW w:w="1249" w:type="pct"/>
                  <w:tcBorders>
                    <w:bottom w:val="single" w:sz="6" w:space="0" w:color="BFBFBF"/>
                  </w:tcBorders>
                  <w:shd w:val="clear" w:color="auto" w:fill="F2F2F2" w:themeFill="background1" w:themeFillShade="F2"/>
                </w:tcPr>
                <w:p w14:paraId="40B5D230" w14:textId="77777777" w:rsidR="009C6940" w:rsidRDefault="009C6940" w:rsidP="009C6940">
                  <w:pPr>
                    <w:pStyle w:val="TableBodyText"/>
                  </w:pPr>
                  <w:r>
                    <w:t>No streams</w:t>
                  </w:r>
                </w:p>
              </w:tc>
            </w:tr>
          </w:tbl>
          <w:p w14:paraId="22D90176" w14:textId="77777777" w:rsidR="009C6940" w:rsidRDefault="009C6940" w:rsidP="009C6940">
            <w:pPr>
              <w:pStyle w:val="Box"/>
            </w:pPr>
          </w:p>
        </w:tc>
      </w:tr>
      <w:tr w:rsidR="009C6940" w14:paraId="77BEFC5F" w14:textId="77777777" w:rsidTr="009C6940">
        <w:tc>
          <w:tcPr>
            <w:tcW w:w="5000" w:type="pct"/>
            <w:tcBorders>
              <w:top w:val="nil"/>
              <w:left w:val="nil"/>
              <w:bottom w:val="nil"/>
              <w:right w:val="nil"/>
            </w:tcBorders>
            <w:shd w:val="clear" w:color="auto" w:fill="auto"/>
          </w:tcPr>
          <w:p w14:paraId="497DBCC0" w14:textId="77777777" w:rsidR="009C6940" w:rsidRDefault="009C6940" w:rsidP="009C6940">
            <w:pPr>
              <w:pStyle w:val="Note"/>
              <w:rPr>
                <w:i/>
              </w:rPr>
            </w:pPr>
            <w:r>
              <w:rPr>
                <w:rStyle w:val="NoteLabel"/>
              </w:rPr>
              <w:t>a</w:t>
            </w:r>
            <w:r w:rsidRPr="00034E7D">
              <w:t xml:space="preserve"> </w:t>
            </w:r>
            <w:r>
              <w:t>jobactive and Community Development Program cohorts are participants deemed to have a mental illness and the Disability Employment Services cohort is participants with a primary psychological or psychiatric disability.</w:t>
            </w:r>
            <w:r w:rsidRPr="00034E7D">
              <w:t xml:space="preserve"> </w:t>
            </w:r>
            <w:r>
              <w:rPr>
                <w:rStyle w:val="NoteLabel"/>
              </w:rPr>
              <w:t>b</w:t>
            </w:r>
            <w:r>
              <w:t xml:space="preserve"> </w:t>
            </w:r>
            <w:r w:rsidRPr="00651D35">
              <w:t>Estimated from the total cost of provision and the proportion of recipients with a mental illness</w:t>
            </w:r>
            <w:r>
              <w:t xml:space="preserve"> for 2018</w:t>
            </w:r>
            <w:r>
              <w:noBreakHyphen/>
              <w:t xml:space="preserve">19. </w:t>
            </w:r>
            <w:r>
              <w:rPr>
                <w:rStyle w:val="NoteLabel"/>
              </w:rPr>
              <w:t>c</w:t>
            </w:r>
            <w:r>
              <w:t xml:space="preserve"> </w:t>
            </w:r>
            <w:r w:rsidRPr="00C5089C">
              <w:t>This estimate was supplied by the Department of Education, Skills and Employment and is equivalent to the value of payments supplied to jobactive providers supporting job seekers deemed to have a mental illness.</w:t>
            </w:r>
            <w:r>
              <w:t xml:space="preserve"> </w:t>
            </w:r>
            <w:r>
              <w:rPr>
                <w:rStyle w:val="NoteLabel"/>
              </w:rPr>
              <w:t>d</w:t>
            </w:r>
            <w:r>
              <w:t xml:space="preserve"> </w:t>
            </w:r>
            <w:r w:rsidRPr="00B7512D">
              <w:t>May include other non</w:t>
            </w:r>
            <w:r>
              <w:noBreakHyphen/>
            </w:r>
            <w:r w:rsidRPr="00B7512D">
              <w:t>DES disability employment services (valued at approximately $35</w:t>
            </w:r>
            <w:r>
              <w:t> </w:t>
            </w:r>
            <w:r w:rsidRPr="00B7512D">
              <w:t>million)</w:t>
            </w:r>
            <w:r w:rsidRPr="00B7512D" w:rsidDel="006F67C1">
              <w:t>.</w:t>
            </w:r>
            <w:r>
              <w:t xml:space="preserve"> </w:t>
            </w:r>
            <w:r>
              <w:rPr>
                <w:rStyle w:val="NoteLabel"/>
              </w:rPr>
              <w:t>e</w:t>
            </w:r>
            <w:r>
              <w:t xml:space="preserve"> </w:t>
            </w:r>
            <w:r w:rsidRPr="00E00C69">
              <w:t>Estimate based on 2017</w:t>
            </w:r>
            <w:r>
              <w:noBreakHyphen/>
            </w:r>
            <w:r w:rsidRPr="00E00C69">
              <w:t>18 cost data.</w:t>
            </w:r>
            <w:r>
              <w:rPr>
                <w:b/>
              </w:rPr>
              <w:t xml:space="preserve"> </w:t>
            </w:r>
          </w:p>
        </w:tc>
      </w:tr>
      <w:tr w:rsidR="009C6940" w14:paraId="04EFA918" w14:textId="77777777" w:rsidTr="009C6940">
        <w:tc>
          <w:tcPr>
            <w:tcW w:w="5000" w:type="pct"/>
            <w:tcBorders>
              <w:top w:val="nil"/>
              <w:left w:val="nil"/>
              <w:bottom w:val="nil"/>
              <w:right w:val="nil"/>
            </w:tcBorders>
            <w:shd w:val="clear" w:color="auto" w:fill="auto"/>
          </w:tcPr>
          <w:p w14:paraId="74E4B48E" w14:textId="77777777" w:rsidR="009C6940" w:rsidRDefault="009C6940" w:rsidP="009C6940">
            <w:pPr>
              <w:pStyle w:val="Source"/>
            </w:pPr>
            <w:r>
              <w:rPr>
                <w:i/>
              </w:rPr>
              <w:t>Source</w:t>
            </w:r>
            <w:r w:rsidRPr="00167F06">
              <w:t>:</w:t>
            </w:r>
            <w:r>
              <w:t xml:space="preserve"> ANAO </w:t>
            </w:r>
            <w:r w:rsidRPr="00F80DFA">
              <w:rPr>
                <w:rFonts w:cs="Arial"/>
              </w:rPr>
              <w:t>(2017a)</w:t>
            </w:r>
            <w:r>
              <w:t xml:space="preserve">; DESE (unpublished); </w:t>
            </w:r>
            <w:r w:rsidRPr="00651D35">
              <w:t>D</w:t>
            </w:r>
            <w:r>
              <w:t xml:space="preserve">JSB </w:t>
            </w:r>
            <w:r w:rsidRPr="00F14066">
              <w:rPr>
                <w:rFonts w:cs="Arial"/>
              </w:rPr>
              <w:t>(2019)</w:t>
            </w:r>
            <w:r>
              <w:t>;</w:t>
            </w:r>
            <w:r w:rsidRPr="00651D35">
              <w:t xml:space="preserve"> D</w:t>
            </w:r>
            <w:r>
              <w:t>SS </w:t>
            </w:r>
            <w:r w:rsidRPr="002233FD">
              <w:rPr>
                <w:rFonts w:cs="Arial"/>
              </w:rPr>
              <w:t>(2019a</w:t>
            </w:r>
            <w:r>
              <w:rPr>
                <w:rFonts w:cs="Arial"/>
              </w:rPr>
              <w:t>, 2019b, unpublished</w:t>
            </w:r>
            <w:r w:rsidRPr="002233FD">
              <w:rPr>
                <w:rFonts w:cs="Arial"/>
              </w:rPr>
              <w:t>)</w:t>
            </w:r>
            <w:r>
              <w:t xml:space="preserve">; </w:t>
            </w:r>
            <w:r w:rsidRPr="0060328B">
              <w:t>National Indigenous Australians Agency</w:t>
            </w:r>
            <w:r>
              <w:t xml:space="preserve"> (unpublished).</w:t>
            </w:r>
          </w:p>
        </w:tc>
      </w:tr>
      <w:tr w:rsidR="009C6940" w14:paraId="43A88C48" w14:textId="77777777" w:rsidTr="009C6940">
        <w:tc>
          <w:tcPr>
            <w:tcW w:w="5000" w:type="pct"/>
            <w:tcBorders>
              <w:top w:val="nil"/>
              <w:left w:val="nil"/>
              <w:bottom w:val="single" w:sz="6" w:space="0" w:color="78A22F"/>
              <w:right w:val="nil"/>
            </w:tcBorders>
            <w:shd w:val="clear" w:color="auto" w:fill="auto"/>
          </w:tcPr>
          <w:p w14:paraId="7936BAC8" w14:textId="77777777" w:rsidR="009C6940" w:rsidRDefault="009C6940" w:rsidP="009C6940">
            <w:pPr>
              <w:pStyle w:val="Box"/>
              <w:spacing w:before="0" w:line="120" w:lineRule="exact"/>
            </w:pPr>
          </w:p>
        </w:tc>
      </w:tr>
      <w:tr w:rsidR="009C6940" w:rsidRPr="000863A5" w14:paraId="79119B45" w14:textId="77777777" w:rsidTr="009C6940">
        <w:tc>
          <w:tcPr>
            <w:tcW w:w="5000" w:type="pct"/>
            <w:tcBorders>
              <w:top w:val="single" w:sz="6" w:space="0" w:color="78A22F"/>
              <w:left w:val="nil"/>
              <w:bottom w:val="nil"/>
              <w:right w:val="nil"/>
            </w:tcBorders>
          </w:tcPr>
          <w:p w14:paraId="341A894A" w14:textId="77777777" w:rsidR="009C6940" w:rsidRPr="00626D32" w:rsidRDefault="009C6940" w:rsidP="009C6940">
            <w:pPr>
              <w:pStyle w:val="BoxSpaceBelow"/>
            </w:pPr>
          </w:p>
        </w:tc>
      </w:tr>
    </w:tbl>
    <w:p w14:paraId="337E9988" w14:textId="77777777" w:rsidR="009C6940" w:rsidRPr="00651D35" w:rsidRDefault="009C6940" w:rsidP="009C6940">
      <w:pPr>
        <w:pStyle w:val="BodyText"/>
        <w:spacing w:before="200"/>
      </w:pPr>
      <w:r w:rsidRPr="00651D35">
        <w:t xml:space="preserve">In addition, there are </w:t>
      </w:r>
      <w:r>
        <w:t>various specialised</w:t>
      </w:r>
      <w:r w:rsidRPr="00651D35">
        <w:t xml:space="preserve"> employment support programs (box </w:t>
      </w:r>
      <w:r>
        <w:t>C.2</w:t>
      </w:r>
      <w:r w:rsidRPr="00651D35">
        <w:t>).</w:t>
      </w:r>
    </w:p>
    <w:p w14:paraId="1AD4CCCD" w14:textId="77777777" w:rsidR="009C6940" w:rsidRDefault="009C6940" w:rsidP="009C6940">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E048A5E" w14:textId="77777777" w:rsidTr="009C6940">
        <w:trPr>
          <w:tblHeader/>
        </w:trPr>
        <w:tc>
          <w:tcPr>
            <w:tcW w:w="5000" w:type="pct"/>
            <w:tcBorders>
              <w:top w:val="single" w:sz="6" w:space="0" w:color="78A22F"/>
              <w:left w:val="nil"/>
              <w:bottom w:val="nil"/>
              <w:right w:val="nil"/>
            </w:tcBorders>
            <w:shd w:val="clear" w:color="auto" w:fill="F2F2F2"/>
          </w:tcPr>
          <w:p w14:paraId="70C19881" w14:textId="77777777" w:rsidR="009C6940" w:rsidRDefault="009C6940" w:rsidP="009C6940">
            <w:pPr>
              <w:pStyle w:val="BoxTitle"/>
            </w:pPr>
            <w:r>
              <w:rPr>
                <w:b w:val="0"/>
              </w:rPr>
              <w:t>Box C.</w:t>
            </w:r>
            <w:r>
              <w:rPr>
                <w:b w:val="0"/>
                <w:noProof/>
              </w:rPr>
              <w:t>2</w:t>
            </w:r>
            <w:r>
              <w:tab/>
            </w:r>
            <w:r w:rsidRPr="00651D35">
              <w:t>Specialised employment support programs</w:t>
            </w:r>
          </w:p>
        </w:tc>
      </w:tr>
      <w:tr w:rsidR="009C6940" w14:paraId="7E1B577E" w14:textId="77777777" w:rsidTr="009C6940">
        <w:tc>
          <w:tcPr>
            <w:tcW w:w="5000" w:type="pct"/>
            <w:tcBorders>
              <w:top w:val="nil"/>
              <w:left w:val="nil"/>
              <w:bottom w:val="nil"/>
              <w:right w:val="nil"/>
            </w:tcBorders>
            <w:shd w:val="clear" w:color="auto" w:fill="F2F2F2"/>
          </w:tcPr>
          <w:p w14:paraId="1F3D1B95" w14:textId="77777777" w:rsidR="009C6940" w:rsidRPr="00651D35" w:rsidRDefault="009C6940" w:rsidP="009C6940">
            <w:pPr>
              <w:pStyle w:val="Box"/>
              <w:spacing w:before="100"/>
            </w:pPr>
            <w:r w:rsidRPr="00651D35">
              <w:rPr>
                <w:b/>
              </w:rPr>
              <w:t>Transition to Work</w:t>
            </w:r>
            <w:r w:rsidRPr="00651D35">
              <w:t xml:space="preserve"> is a work readiness p</w:t>
            </w:r>
            <w:r>
              <w:t>rogram for young people aged 15–</w:t>
            </w:r>
            <w:r w:rsidRPr="00651D35">
              <w:t>21</w:t>
            </w:r>
            <w:r>
              <w:t> years</w:t>
            </w:r>
            <w:r w:rsidRPr="00651D35">
              <w:t xml:space="preserve"> that bridges the transition between education and employment. Participants are supported to find apprenticeships, traineeships or pathways to tertiary education. The program also organises ‘youth bonus wage subsidies’ of up to $10</w:t>
            </w:r>
            <w:r>
              <w:t> </w:t>
            </w:r>
            <w:r w:rsidRPr="00651D35">
              <w:t xml:space="preserve">000 over six months for some participating employers </w:t>
            </w:r>
            <w:r w:rsidRPr="00FB6202">
              <w:rPr>
                <w:rFonts w:cs="Arial"/>
                <w:szCs w:val="24"/>
              </w:rPr>
              <w:t>(DESE 2020</w:t>
            </w:r>
            <w:r>
              <w:rPr>
                <w:rFonts w:cs="Arial"/>
                <w:szCs w:val="24"/>
              </w:rPr>
              <w:t>a</w:t>
            </w:r>
            <w:r w:rsidRPr="00FB6202">
              <w:rPr>
                <w:rFonts w:cs="Arial"/>
                <w:szCs w:val="24"/>
              </w:rPr>
              <w:t>)</w:t>
            </w:r>
            <w:r w:rsidRPr="00651D35">
              <w:t xml:space="preserve">. </w:t>
            </w:r>
          </w:p>
          <w:p w14:paraId="0657D808" w14:textId="77777777" w:rsidR="009C6940" w:rsidRPr="00651D35" w:rsidRDefault="009C6940" w:rsidP="009C6940">
            <w:pPr>
              <w:pStyle w:val="Box"/>
              <w:spacing w:before="100"/>
            </w:pPr>
            <w:r w:rsidRPr="00651D35">
              <w:rPr>
                <w:b/>
              </w:rPr>
              <w:t>Time to Work</w:t>
            </w:r>
            <w:r w:rsidRPr="00651D35">
              <w:t xml:space="preserve"> is a national voluntary in</w:t>
            </w:r>
            <w:r>
              <w:noBreakHyphen/>
            </w:r>
            <w:r w:rsidRPr="00651D35">
              <w:t xml:space="preserve">prison employment </w:t>
            </w:r>
            <w:r>
              <w:t>support program</w:t>
            </w:r>
            <w:r w:rsidRPr="00651D35">
              <w:t xml:space="preserve"> targeted at adult sentenced Aboriginal and Torres Strait Islander prisoners. This program aims to better prepare participants for employment and community re</w:t>
            </w:r>
            <w:r>
              <w:noBreakHyphen/>
            </w:r>
            <w:r w:rsidRPr="00651D35">
              <w:t xml:space="preserve">integration after prison. The service provides employment barrier assessments, transition plans and links participants to an external employment </w:t>
            </w:r>
            <w:r>
              <w:t>support</w:t>
            </w:r>
            <w:r w:rsidRPr="00651D35">
              <w:t xml:space="preserve"> provider when their sentence ends </w:t>
            </w:r>
            <w:r w:rsidRPr="00FB6202">
              <w:rPr>
                <w:rFonts w:cs="Arial"/>
                <w:szCs w:val="24"/>
              </w:rPr>
              <w:t>(DESE 2020</w:t>
            </w:r>
            <w:r>
              <w:rPr>
                <w:rFonts w:cs="Arial"/>
                <w:szCs w:val="24"/>
              </w:rPr>
              <w:t>c</w:t>
            </w:r>
            <w:r w:rsidRPr="00FB6202">
              <w:rPr>
                <w:rFonts w:cs="Arial"/>
                <w:szCs w:val="24"/>
              </w:rPr>
              <w:t>)</w:t>
            </w:r>
            <w:r w:rsidRPr="00C10537">
              <w:t>.</w:t>
            </w:r>
            <w:r w:rsidRPr="00651D35">
              <w:t xml:space="preserve"> </w:t>
            </w:r>
          </w:p>
          <w:p w14:paraId="73076785" w14:textId="77777777" w:rsidR="009C6940" w:rsidRDefault="009C6940" w:rsidP="009C6940">
            <w:pPr>
              <w:pStyle w:val="Box"/>
              <w:spacing w:before="100"/>
            </w:pPr>
            <w:r w:rsidRPr="008C23A3">
              <w:rPr>
                <w:b/>
              </w:rPr>
              <w:t>Pa</w:t>
            </w:r>
            <w:r w:rsidRPr="00E31A24">
              <w:rPr>
                <w:b/>
              </w:rPr>
              <w:t>rents</w:t>
            </w:r>
            <w:r w:rsidRPr="008C23A3">
              <w:rPr>
                <w:b/>
              </w:rPr>
              <w:t>Next</w:t>
            </w:r>
            <w:r>
              <w:rPr>
                <w:b/>
              </w:rPr>
              <w:t xml:space="preserve"> </w:t>
            </w:r>
            <w:r w:rsidRPr="008117E2">
              <w:t>is</w:t>
            </w:r>
            <w:r>
              <w:t xml:space="preserve"> a support program to help parents set study and work goals and access community services. Participants are eligible if they are parents with children aged under six years and have received the Parenting Payment and not earned income in the past six months </w:t>
            </w:r>
            <w:r w:rsidRPr="00074381">
              <w:rPr>
                <w:rFonts w:cs="Arial"/>
                <w:szCs w:val="24"/>
              </w:rPr>
              <w:t>(Services Australia 2020f)</w:t>
            </w:r>
            <w:r>
              <w:t>.</w:t>
            </w:r>
          </w:p>
        </w:tc>
      </w:tr>
      <w:tr w:rsidR="009C6940" w14:paraId="4C32DC54" w14:textId="77777777" w:rsidTr="009C6940">
        <w:tc>
          <w:tcPr>
            <w:tcW w:w="5000" w:type="pct"/>
            <w:tcBorders>
              <w:top w:val="nil"/>
              <w:left w:val="nil"/>
              <w:bottom w:val="single" w:sz="6" w:space="0" w:color="78A22F"/>
              <w:right w:val="nil"/>
            </w:tcBorders>
            <w:shd w:val="clear" w:color="auto" w:fill="F2F2F2"/>
          </w:tcPr>
          <w:p w14:paraId="79F8787A" w14:textId="77777777" w:rsidR="009C6940" w:rsidRDefault="009C6940" w:rsidP="009C6940">
            <w:pPr>
              <w:pStyle w:val="Box"/>
              <w:spacing w:before="0" w:line="120" w:lineRule="exact"/>
            </w:pPr>
          </w:p>
        </w:tc>
      </w:tr>
      <w:tr w:rsidR="009C6940" w:rsidRPr="000863A5" w14:paraId="3C1F7A14" w14:textId="77777777" w:rsidTr="009C6940">
        <w:tc>
          <w:tcPr>
            <w:tcW w:w="5000" w:type="pct"/>
            <w:tcBorders>
              <w:top w:val="single" w:sz="6" w:space="0" w:color="78A22F"/>
              <w:left w:val="nil"/>
              <w:bottom w:val="nil"/>
              <w:right w:val="nil"/>
            </w:tcBorders>
          </w:tcPr>
          <w:p w14:paraId="563B4DAB" w14:textId="77777777" w:rsidR="009C6940" w:rsidRPr="00626D32" w:rsidRDefault="009C6940" w:rsidP="009C6940">
            <w:pPr>
              <w:pStyle w:val="BoxSpaceBelow"/>
            </w:pPr>
          </w:p>
        </w:tc>
      </w:tr>
    </w:tbl>
    <w:p w14:paraId="1E9B2CC1" w14:textId="77777777" w:rsidR="009C6940" w:rsidRDefault="009C6940" w:rsidP="009C6940">
      <w:pPr>
        <w:pStyle w:val="BodyText"/>
        <w:spacing w:before="160"/>
      </w:pPr>
      <w:r>
        <w:t xml:space="preserve">The Department of Education, Skills and Employment is currently piloting a new online employment support program that is intended to replace jobactive from 2022. Current trials are located in South Australia and New South Wales. As described below, Stream A participants received the new program first (July 2019), with Stream B and C starting the trial in November 2019 </w:t>
      </w:r>
      <w:r w:rsidRPr="00705A1D">
        <w:rPr>
          <w:szCs w:val="24"/>
        </w:rPr>
        <w:t>(DESE 2020</w:t>
      </w:r>
      <w:r>
        <w:rPr>
          <w:szCs w:val="24"/>
        </w:rPr>
        <w:t>b</w:t>
      </w:r>
      <w:r w:rsidRPr="00705A1D">
        <w:rPr>
          <w:szCs w:val="24"/>
        </w:rPr>
        <w:t>)</w:t>
      </w:r>
      <w:r>
        <w:t>.</w:t>
      </w:r>
    </w:p>
    <w:p w14:paraId="4210B9A3" w14:textId="77777777" w:rsidR="009C6940" w:rsidRDefault="009C6940" w:rsidP="009C6940">
      <w:pPr>
        <w:pStyle w:val="BodyText"/>
        <w:spacing w:before="160"/>
      </w:pPr>
      <w:r>
        <w:lastRenderedPageBreak/>
        <w:t>The current streams of jobactive will remain intact. Stream A (renamed Digital First) participants will complete all activity requirements and reporting obligations online and will not attend face</w:t>
      </w:r>
      <w:r>
        <w:noBreakHyphen/>
        <w:t>to</w:t>
      </w:r>
      <w:r>
        <w:noBreakHyphen/>
        <w:t xml:space="preserve">face provider appointments. Participants will have access to a contact centre via phone or online </w:t>
      </w:r>
      <w:r w:rsidRPr="00705A1D">
        <w:rPr>
          <w:szCs w:val="24"/>
        </w:rPr>
        <w:t>(DESE 2020</w:t>
      </w:r>
      <w:r>
        <w:rPr>
          <w:szCs w:val="24"/>
        </w:rPr>
        <w:t>b</w:t>
      </w:r>
      <w:r w:rsidRPr="00705A1D">
        <w:rPr>
          <w:szCs w:val="24"/>
        </w:rPr>
        <w:t>)</w:t>
      </w:r>
      <w:r>
        <w:t xml:space="preserve">. </w:t>
      </w:r>
    </w:p>
    <w:p w14:paraId="16AE6DAC" w14:textId="77777777" w:rsidR="009C6940" w:rsidRDefault="009C6940" w:rsidP="009C6940">
      <w:pPr>
        <w:pStyle w:val="BodyText"/>
        <w:spacing w:before="160"/>
      </w:pPr>
      <w:r>
        <w:t>Stream B (Digital Plus) participants will complete activity requirements online and will receive face</w:t>
      </w:r>
      <w:r>
        <w:noBreakHyphen/>
        <w:t>to</w:t>
      </w:r>
      <w:r>
        <w:noBreakHyphen/>
        <w:t>face skills development or training through a contact centre. They may also receive support to pay for transport</w:t>
      </w:r>
      <w:r>
        <w:noBreakHyphen/>
        <w:t xml:space="preserve"> or employment</w:t>
      </w:r>
      <w:r>
        <w:noBreakHyphen/>
        <w:t xml:space="preserve">related costs, be connected with an employment support provider and participate in complementary services (for example, Career Transition Assistance or PaTH Internships) </w:t>
      </w:r>
      <w:r w:rsidRPr="00705A1D">
        <w:rPr>
          <w:szCs w:val="24"/>
        </w:rPr>
        <w:t>(DESE 2020</w:t>
      </w:r>
      <w:r>
        <w:rPr>
          <w:szCs w:val="24"/>
        </w:rPr>
        <w:t>b</w:t>
      </w:r>
      <w:r w:rsidRPr="00705A1D">
        <w:rPr>
          <w:szCs w:val="24"/>
        </w:rPr>
        <w:t>)</w:t>
      </w:r>
      <w:r>
        <w:t xml:space="preserve">. </w:t>
      </w:r>
    </w:p>
    <w:p w14:paraId="3CB20F97" w14:textId="77777777" w:rsidR="009C6940" w:rsidRDefault="009C6940" w:rsidP="009C6940">
      <w:pPr>
        <w:pStyle w:val="BodyText"/>
        <w:spacing w:before="160"/>
      </w:pPr>
      <w:r>
        <w:t xml:space="preserve">Stream C </w:t>
      </w:r>
      <w:r w:rsidRPr="00705A1D">
        <w:t>(Enhanced Services)</w:t>
      </w:r>
      <w:r>
        <w:t xml:space="preserve"> participants are assessed to face multiple barriers to employment. These participants will have access to the online platform but will receive individualised support from an employment support provider. Services include connecting a participant with training and education or work experience, career mentoring, counselling, job placement and post</w:t>
      </w:r>
      <w:r>
        <w:noBreakHyphen/>
        <w:t xml:space="preserve">placement support </w:t>
      </w:r>
      <w:r w:rsidRPr="00705A1D">
        <w:rPr>
          <w:szCs w:val="24"/>
        </w:rPr>
        <w:t>(DESE 2020</w:t>
      </w:r>
      <w:r>
        <w:rPr>
          <w:szCs w:val="24"/>
        </w:rPr>
        <w:t>b</w:t>
      </w:r>
      <w:r w:rsidRPr="00705A1D">
        <w:rPr>
          <w:szCs w:val="24"/>
        </w:rPr>
        <w:t>)</w:t>
      </w:r>
      <w:r>
        <w:t xml:space="preserve">. </w:t>
      </w:r>
    </w:p>
    <w:p w14:paraId="160CDEDD" w14:textId="77777777" w:rsidR="009C6940" w:rsidRDefault="009C6940" w:rsidP="009C6940">
      <w:pPr>
        <w:pStyle w:val="BodyText"/>
        <w:spacing w:before="160"/>
      </w:pPr>
      <w:r>
        <w:t>A key development in the new program is the establishment of a new points</w:t>
      </w:r>
      <w:r>
        <w:noBreakHyphen/>
        <w:t xml:space="preserve">based activity requirement system. This will give participants more choice and flexibility around the activities completed to register obligation requirements. More intensive activities (for example, job interviews and job search) receive more points, but other approved work focused activities will also contribute to meeting fortnightly targets </w:t>
      </w:r>
      <w:r w:rsidRPr="00954B4D">
        <w:rPr>
          <w:szCs w:val="24"/>
        </w:rPr>
        <w:t>(NSSRN 2019)</w:t>
      </w:r>
      <w:r>
        <w:t xml:space="preserve">. Financial penalties will remain in place for participants who fail to meet their mutual obligation requirements and participants will be notified of these via their online dashboard </w:t>
      </w:r>
      <w:r w:rsidRPr="00705A1D">
        <w:rPr>
          <w:szCs w:val="24"/>
        </w:rPr>
        <w:t>(DESE 2020</w:t>
      </w:r>
      <w:r>
        <w:rPr>
          <w:szCs w:val="24"/>
        </w:rPr>
        <w:t>b</w:t>
      </w:r>
      <w:r w:rsidRPr="00705A1D">
        <w:rPr>
          <w:szCs w:val="24"/>
        </w:rPr>
        <w:t>)</w:t>
      </w:r>
      <w:r>
        <w:t>.</w:t>
      </w:r>
    </w:p>
    <w:p w14:paraId="06CE70F2" w14:textId="77777777" w:rsidR="009C6940" w:rsidRDefault="009C6940" w:rsidP="009C6940">
      <w:pPr>
        <w:pStyle w:val="Heading2"/>
        <w:spacing w:before="480"/>
      </w:pPr>
      <w:r>
        <w:t>C.</w:t>
      </w:r>
      <w:r>
        <w:rPr>
          <w:noProof/>
        </w:rPr>
        <w:t>2</w:t>
      </w:r>
      <w:r>
        <w:tab/>
        <w:t>Mechanisms that stream income support recipients into employment support programs</w:t>
      </w:r>
    </w:p>
    <w:p w14:paraId="38CFB148" w14:textId="77777777" w:rsidR="009C6940" w:rsidRDefault="009C6940" w:rsidP="009C6940">
      <w:pPr>
        <w:pStyle w:val="BodyText"/>
        <w:spacing w:before="120"/>
      </w:pPr>
      <w:r>
        <w:t>Services Australia</w:t>
      </w:r>
      <w:r w:rsidRPr="0054657D">
        <w:t xml:space="preserve"> (branded as Centrelink) applies the JSCI and the (ESAt) to stream </w:t>
      </w:r>
      <w:r>
        <w:t>JobSeeker Payment</w:t>
      </w:r>
      <w:r w:rsidRPr="0054657D">
        <w:t xml:space="preserve"> and Youth Allowance recipients </w:t>
      </w:r>
      <w:r>
        <w:t>between jobactive and DES</w:t>
      </w:r>
      <w:r w:rsidRPr="0054657D">
        <w:t xml:space="preserve"> employ</w:t>
      </w:r>
      <w:r>
        <w:t>ment support programs (figure C.3</w:t>
      </w:r>
      <w:r w:rsidRPr="0054657D">
        <w:t>).</w:t>
      </w:r>
    </w:p>
    <w:p w14:paraId="12D0E7EF" w14:textId="77777777" w:rsidR="009C6940" w:rsidRPr="003B4C09" w:rsidRDefault="009C6940" w:rsidP="009C6940">
      <w:pPr>
        <w:pStyle w:val="BodyText"/>
        <w:spacing w:before="120"/>
      </w:pPr>
      <w:r w:rsidRPr="003B4C09">
        <w:t>There are also streams within jobactive and DES (figure</w:t>
      </w:r>
      <w:r>
        <w:t> C.3</w:t>
      </w:r>
      <w:r w:rsidRPr="003B4C09">
        <w:t>). Participants considered to have a low risk of remaining unemployed over the long term are referred to Stream A or B of jobactive, whil</w:t>
      </w:r>
      <w:r>
        <w:t>e</w:t>
      </w:r>
      <w:r w:rsidRPr="003B4C09">
        <w:t xml:space="preserve"> participants who need more assistance are referred to Stream </w:t>
      </w:r>
      <w:r>
        <w:t>C.</w:t>
      </w:r>
      <w:r w:rsidRPr="003B4C09">
        <w:t xml:space="preserve"> If the ESAt determines a disability to be an individual’s main barrier to employment, they are referred to DES. Of these participants, those who need only job search support are placed in Disability Management Services and those who are likely to require ongoing support after finding employment are referred to Employment Support Services levels 1 or 2.</w:t>
      </w:r>
      <w:r>
        <w:t xml:space="preserve"> </w:t>
      </w:r>
    </w:p>
    <w:p w14:paraId="735E67F4" w14:textId="77777777" w:rsidR="009C6940" w:rsidRPr="003B4C09" w:rsidRDefault="009C6940" w:rsidP="009C6940">
      <w:pPr>
        <w:pStyle w:val="BodyText"/>
        <w:spacing w:before="200"/>
      </w:pPr>
      <w:r w:rsidRPr="003B4C09">
        <w:t>Participants can be reassessed to ensure their level of support remains appropriate if they experience a change of circumstances (</w:t>
      </w:r>
      <w:r>
        <w:t xml:space="preserve">for example, </w:t>
      </w:r>
      <w:r w:rsidRPr="003B4C09">
        <w:t>worsening or improving health, moving to a town with dif</w:t>
      </w:r>
      <w:r>
        <w:t>ferent employment opportunities or</w:t>
      </w:r>
      <w:r w:rsidRPr="003B4C09">
        <w:t xml:space="preserve"> becoming homeless).</w:t>
      </w:r>
    </w:p>
    <w:p w14:paraId="07C6FB5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339DC3B" w14:textId="77777777" w:rsidTr="009C6940">
        <w:trPr>
          <w:tblHeader/>
        </w:trPr>
        <w:tc>
          <w:tcPr>
            <w:tcW w:w="5000" w:type="pct"/>
            <w:tcBorders>
              <w:top w:val="single" w:sz="6" w:space="0" w:color="78A22F"/>
              <w:left w:val="nil"/>
              <w:bottom w:val="nil"/>
              <w:right w:val="nil"/>
            </w:tcBorders>
            <w:shd w:val="clear" w:color="auto" w:fill="auto"/>
          </w:tcPr>
          <w:p w14:paraId="77A4400B" w14:textId="77777777" w:rsidR="009C6940" w:rsidRPr="00176D3F" w:rsidRDefault="009C6940" w:rsidP="009C6940">
            <w:pPr>
              <w:pStyle w:val="FigureTitle"/>
            </w:pPr>
            <w:r w:rsidRPr="00784A05">
              <w:rPr>
                <w:b w:val="0"/>
              </w:rPr>
              <w:t xml:space="preserve">Figure </w:t>
            </w:r>
            <w:r>
              <w:rPr>
                <w:b w:val="0"/>
              </w:rPr>
              <w:t>C.</w:t>
            </w:r>
            <w:r>
              <w:rPr>
                <w:b w:val="0"/>
                <w:noProof/>
              </w:rPr>
              <w:t>3</w:t>
            </w:r>
            <w:r>
              <w:tab/>
              <w:t>Employment and income support pathways</w:t>
            </w:r>
            <w:r w:rsidRPr="0054657D">
              <w:rPr>
                <w:rStyle w:val="NoteLabel"/>
                <w:b/>
              </w:rPr>
              <w:t>a,b</w:t>
            </w:r>
          </w:p>
        </w:tc>
      </w:tr>
      <w:tr w:rsidR="009C6940" w14:paraId="2966E98F"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01BBAE47" w14:textId="77777777" w:rsidTr="009C6940">
              <w:trPr>
                <w:tblHeader/>
                <w:jc w:val="center"/>
              </w:trPr>
              <w:tc>
                <w:tcPr>
                  <w:tcW w:w="5000" w:type="pct"/>
                  <w:tcBorders>
                    <w:top w:val="nil"/>
                    <w:bottom w:val="nil"/>
                  </w:tcBorders>
                </w:tcPr>
                <w:p w14:paraId="0DC2B58E" w14:textId="77777777" w:rsidR="009C6940" w:rsidRPr="00B1465D" w:rsidRDefault="009C6940" w:rsidP="009C6940">
                  <w:pPr>
                    <w:pStyle w:val="Figure"/>
                    <w:spacing w:before="60" w:after="60"/>
                    <w:rPr>
                      <w:rFonts w:ascii="Arial" w:hAnsi="Arial" w:cs="Arial"/>
                      <w:sz w:val="18"/>
                      <w:szCs w:val="18"/>
                    </w:rPr>
                  </w:pPr>
                  <w:r w:rsidRPr="008A7465">
                    <w:rPr>
                      <w:rFonts w:ascii="Arial" w:hAnsi="Arial" w:cs="Arial"/>
                      <w:noProof/>
                      <w:sz w:val="18"/>
                      <w:szCs w:val="18"/>
                    </w:rPr>
                    <w:drawing>
                      <wp:inline distT="0" distB="0" distL="0" distR="0" wp14:anchorId="0B01B4E6" wp14:editId="5B858DC1">
                        <wp:extent cx="5005070" cy="6537325"/>
                        <wp:effectExtent l="0" t="0" r="5080" b="0"/>
                        <wp:docPr id="6" name="Picture 6" descr="This figure outlines employment and income support pathw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5070" cy="6537325"/>
                                </a:xfrm>
                                <a:prstGeom prst="rect">
                                  <a:avLst/>
                                </a:prstGeom>
                                <a:noFill/>
                                <a:ln>
                                  <a:noFill/>
                                </a:ln>
                              </pic:spPr>
                            </pic:pic>
                          </a:graphicData>
                        </a:graphic>
                      </wp:inline>
                    </w:drawing>
                  </w:r>
                </w:p>
              </w:tc>
            </w:tr>
          </w:tbl>
          <w:p w14:paraId="18199B48" w14:textId="77777777" w:rsidR="009C6940" w:rsidRDefault="009C6940" w:rsidP="009C6940">
            <w:pPr>
              <w:pStyle w:val="Figure"/>
            </w:pPr>
          </w:p>
        </w:tc>
      </w:tr>
      <w:tr w:rsidR="009C6940" w:rsidRPr="00176D3F" w14:paraId="5D1AF429" w14:textId="77777777" w:rsidTr="009C6940">
        <w:tc>
          <w:tcPr>
            <w:tcW w:w="5000" w:type="pct"/>
            <w:tcBorders>
              <w:top w:val="nil"/>
              <w:left w:val="nil"/>
              <w:bottom w:val="nil"/>
              <w:right w:val="nil"/>
            </w:tcBorders>
            <w:shd w:val="clear" w:color="auto" w:fill="auto"/>
          </w:tcPr>
          <w:p w14:paraId="6C1AD99B" w14:textId="77777777" w:rsidR="009C6940" w:rsidRPr="00176D3F" w:rsidRDefault="009C6940" w:rsidP="009C6940">
            <w:pPr>
              <w:pStyle w:val="Note"/>
            </w:pPr>
            <w:r>
              <w:rPr>
                <w:rStyle w:val="NoteLabel"/>
              </w:rPr>
              <w:t>a</w:t>
            </w:r>
            <w:r>
              <w:t xml:space="preserve"> </w:t>
            </w:r>
            <w:r w:rsidRPr="0054657D">
              <w:t>Participants considered to have a low risk of remaining unemployed over the long term are referred to Stream A or B of jobactive, whi</w:t>
            </w:r>
            <w:r>
              <w:t>le</w:t>
            </w:r>
            <w:r w:rsidRPr="0054657D">
              <w:t xml:space="preserve"> participants who need more assistance are referred to Stream C. </w:t>
            </w:r>
            <w:r>
              <w:rPr>
                <w:rStyle w:val="NoteLabel"/>
              </w:rPr>
              <w:t>b</w:t>
            </w:r>
            <w:r>
              <w:t xml:space="preserve"> </w:t>
            </w:r>
            <w:r w:rsidRPr="0054657D">
              <w:t>DES participants are split between Disability Management Services (DMS) and two levels of Employment Support Services (ESS). DMS provides job search support only, whil</w:t>
            </w:r>
            <w:r>
              <w:t>e</w:t>
            </w:r>
            <w:r w:rsidRPr="0054657D">
              <w:t xml:space="preserve"> ESS provides job search support and ongoing assistance after a participant finds employment (with ESS </w:t>
            </w:r>
            <w:r>
              <w:t xml:space="preserve">level </w:t>
            </w:r>
            <w:r w:rsidRPr="0054657D">
              <w:t xml:space="preserve">2 participants receiving more support than ESS </w:t>
            </w:r>
            <w:r>
              <w:t xml:space="preserve">level </w:t>
            </w:r>
            <w:r w:rsidRPr="0054657D">
              <w:t>1 participants).</w:t>
            </w:r>
          </w:p>
        </w:tc>
      </w:tr>
      <w:tr w:rsidR="009C6940" w:rsidRPr="00176D3F" w14:paraId="51E53761" w14:textId="77777777" w:rsidTr="009C6940">
        <w:tc>
          <w:tcPr>
            <w:tcW w:w="5000" w:type="pct"/>
            <w:tcBorders>
              <w:top w:val="nil"/>
              <w:left w:val="nil"/>
              <w:bottom w:val="nil"/>
              <w:right w:val="nil"/>
            </w:tcBorders>
            <w:shd w:val="clear" w:color="auto" w:fill="auto"/>
          </w:tcPr>
          <w:p w14:paraId="6E15B59D" w14:textId="77777777" w:rsidR="009C6940" w:rsidRPr="008C2920" w:rsidRDefault="009C6940" w:rsidP="009C6940">
            <w:pPr>
              <w:pStyle w:val="Source"/>
              <w:rPr>
                <w:spacing w:val="-4"/>
              </w:rPr>
            </w:pPr>
            <w:r w:rsidRPr="008C2920">
              <w:rPr>
                <w:i/>
                <w:spacing w:val="-4"/>
              </w:rPr>
              <w:t>Source</w:t>
            </w:r>
            <w:r w:rsidRPr="008C2920">
              <w:rPr>
                <w:spacing w:val="-4"/>
              </w:rPr>
              <w:t xml:space="preserve">: ANAO </w:t>
            </w:r>
            <w:r w:rsidRPr="008C2920">
              <w:rPr>
                <w:rFonts w:cs="Arial"/>
                <w:spacing w:val="-4"/>
              </w:rPr>
              <w:t>(2018)</w:t>
            </w:r>
            <w:r w:rsidRPr="008C2920">
              <w:rPr>
                <w:spacing w:val="-4"/>
              </w:rPr>
              <w:t xml:space="preserve">; Australian Government </w:t>
            </w:r>
            <w:r w:rsidRPr="008C2920">
              <w:rPr>
                <w:rFonts w:cs="Arial"/>
                <w:spacing w:val="-4"/>
              </w:rPr>
              <w:t>(2019a)</w:t>
            </w:r>
            <w:r w:rsidRPr="008C2920">
              <w:rPr>
                <w:spacing w:val="-4"/>
              </w:rPr>
              <w:t>; DSS </w:t>
            </w:r>
            <w:r w:rsidRPr="008C2920">
              <w:rPr>
                <w:rFonts w:cs="Arial"/>
                <w:spacing w:val="-4"/>
              </w:rPr>
              <w:t xml:space="preserve">(2018b); </w:t>
            </w:r>
            <w:r w:rsidRPr="008C2920">
              <w:rPr>
                <w:spacing w:val="-4"/>
              </w:rPr>
              <w:t xml:space="preserve">Services Australia </w:t>
            </w:r>
            <w:r w:rsidRPr="008C2920">
              <w:rPr>
                <w:rFonts w:cs="Arial"/>
                <w:spacing w:val="-4"/>
              </w:rPr>
              <w:t>(2020a, 2020c, 2020g)</w:t>
            </w:r>
            <w:r w:rsidRPr="008C2920">
              <w:rPr>
                <w:spacing w:val="-4"/>
              </w:rPr>
              <w:t>.</w:t>
            </w:r>
          </w:p>
        </w:tc>
      </w:tr>
      <w:tr w:rsidR="009C6940" w14:paraId="13D4FC1D" w14:textId="77777777" w:rsidTr="009C6940">
        <w:tc>
          <w:tcPr>
            <w:tcW w:w="5000" w:type="pct"/>
            <w:tcBorders>
              <w:top w:val="nil"/>
              <w:left w:val="nil"/>
              <w:bottom w:val="single" w:sz="6" w:space="0" w:color="78A22F"/>
              <w:right w:val="nil"/>
            </w:tcBorders>
            <w:shd w:val="clear" w:color="auto" w:fill="auto"/>
          </w:tcPr>
          <w:p w14:paraId="618A5B14" w14:textId="77777777" w:rsidR="009C6940" w:rsidRDefault="009C6940" w:rsidP="009C6940">
            <w:pPr>
              <w:pStyle w:val="Figurespace"/>
            </w:pPr>
          </w:p>
        </w:tc>
      </w:tr>
      <w:tr w:rsidR="009C6940" w:rsidRPr="000863A5" w14:paraId="4DF029E1" w14:textId="77777777" w:rsidTr="009C6940">
        <w:tc>
          <w:tcPr>
            <w:tcW w:w="5000" w:type="pct"/>
            <w:tcBorders>
              <w:top w:val="single" w:sz="6" w:space="0" w:color="78A22F"/>
              <w:left w:val="nil"/>
              <w:bottom w:val="nil"/>
              <w:right w:val="nil"/>
            </w:tcBorders>
          </w:tcPr>
          <w:p w14:paraId="6CD8A2F3" w14:textId="77777777" w:rsidR="009C6940" w:rsidRPr="00626D32" w:rsidRDefault="009C6940" w:rsidP="009C6940">
            <w:pPr>
              <w:pStyle w:val="BoxSpaceBelow"/>
            </w:pPr>
          </w:p>
        </w:tc>
      </w:tr>
    </w:tbl>
    <w:p w14:paraId="11838245" w14:textId="77777777" w:rsidR="009C6940" w:rsidRDefault="009C6940" w:rsidP="009C6940">
      <w:pPr>
        <w:pStyle w:val="Heading3"/>
      </w:pPr>
      <w:r>
        <w:lastRenderedPageBreak/>
        <w:t>The Job Seeker Classification Instrument</w:t>
      </w:r>
    </w:p>
    <w:p w14:paraId="7D294942" w14:textId="77777777" w:rsidR="009C6940" w:rsidRDefault="009C6940" w:rsidP="009C6940">
      <w:pPr>
        <w:pStyle w:val="BodyText"/>
        <w:keepNext/>
      </w:pPr>
      <w:r w:rsidRPr="00651D35">
        <w:t xml:space="preserve">The </w:t>
      </w:r>
      <w:r>
        <w:t>J</w:t>
      </w:r>
      <w:r w:rsidRPr="00651D35">
        <w:t>SCI is</w:t>
      </w:r>
      <w:r w:rsidRPr="007E5CBF" w:rsidDel="00291D79">
        <w:t xml:space="preserve"> a </w:t>
      </w:r>
      <w:r w:rsidRPr="00651D35">
        <w:t>brief assessme</w:t>
      </w:r>
      <w:r>
        <w:t>nt that aims to assess an income support recipient’s risk of long</w:t>
      </w:r>
      <w:r>
        <w:noBreakHyphen/>
        <w:t xml:space="preserve">term unemployment by considering their </w:t>
      </w:r>
      <w:r w:rsidRPr="007E5CBF">
        <w:t>age, work and education history, English proficiency, access to transport, Indigenous status and any disability or medical conditions</w:t>
      </w:r>
      <w:r>
        <w:t xml:space="preserve"> </w:t>
      </w:r>
      <w:r w:rsidRPr="00684E38">
        <w:rPr>
          <w:szCs w:val="24"/>
        </w:rPr>
        <w:t>(Australian Government 2019a)</w:t>
      </w:r>
      <w:r w:rsidRPr="007E5CBF">
        <w:t>.</w:t>
      </w:r>
      <w:r>
        <w:t xml:space="preserve"> </w:t>
      </w:r>
      <w:r w:rsidRPr="007E5CBF">
        <w:t xml:space="preserve">The JSCI does not contain </w:t>
      </w:r>
      <w:r>
        <w:t xml:space="preserve">diagnostic </w:t>
      </w:r>
      <w:r w:rsidRPr="007E5CBF">
        <w:t xml:space="preserve">questions </w:t>
      </w:r>
      <w:r>
        <w:t>about</w:t>
      </w:r>
      <w:r w:rsidRPr="007E5CBF">
        <w:t xml:space="preserve"> mental ill</w:t>
      </w:r>
      <w:r>
        <w:t>ness, but does offer participants a chance to disclose a mental illness with the following questions:</w:t>
      </w:r>
    </w:p>
    <w:p w14:paraId="33EC7205" w14:textId="77777777" w:rsidR="009C6940" w:rsidRPr="008C2920" w:rsidRDefault="009C6940" w:rsidP="009C6940">
      <w:pPr>
        <w:pStyle w:val="ListBullet"/>
        <w:rPr>
          <w:i/>
          <w:spacing w:val="-2"/>
        </w:rPr>
      </w:pPr>
      <w:r w:rsidRPr="008C2920">
        <w:rPr>
          <w:i/>
          <w:spacing w:val="-2"/>
        </w:rPr>
        <w:t>Do you have any disabilities or medical conditions that affect the hours you are able to work?</w:t>
      </w:r>
    </w:p>
    <w:p w14:paraId="10DF0C33" w14:textId="77777777" w:rsidR="009C6940" w:rsidRPr="008C2920" w:rsidRDefault="009C6940" w:rsidP="009C6940">
      <w:pPr>
        <w:pStyle w:val="ListBullet"/>
        <w:rPr>
          <w:i/>
          <w:spacing w:val="-2"/>
        </w:rPr>
      </w:pPr>
      <w:r w:rsidRPr="008C2920">
        <w:rPr>
          <w:i/>
          <w:spacing w:val="-2"/>
        </w:rPr>
        <w:t>Do you have any disabilities or medical conditions that affect the type of work you can do?</w:t>
      </w:r>
    </w:p>
    <w:p w14:paraId="57E3C6F5" w14:textId="77777777" w:rsidR="009C6940" w:rsidRPr="007E5CBF" w:rsidRDefault="009C6940" w:rsidP="009C6940">
      <w:pPr>
        <w:pStyle w:val="BodyText"/>
      </w:pPr>
      <w:r>
        <w:t>If a participant discloses any disability/illness, they will be asked a follow</w:t>
      </w:r>
      <w:r>
        <w:noBreakHyphen/>
        <w:t>up question (or questions):</w:t>
      </w:r>
    </w:p>
    <w:p w14:paraId="58549B51" w14:textId="77777777" w:rsidR="009C6940" w:rsidRPr="00034E7D" w:rsidRDefault="009C6940" w:rsidP="009C6940">
      <w:pPr>
        <w:pStyle w:val="ListBullet"/>
        <w:rPr>
          <w:i/>
        </w:rPr>
      </w:pPr>
      <w:r w:rsidRPr="00034E7D">
        <w:rPr>
          <w:i/>
        </w:rPr>
        <w:t>Do you think you need additional support to help you at work as a result of your condition(s)?</w:t>
      </w:r>
    </w:p>
    <w:p w14:paraId="40D744FF" w14:textId="77777777" w:rsidR="009C6940" w:rsidRPr="00034E7D" w:rsidRDefault="009C6940" w:rsidP="009C6940">
      <w:pPr>
        <w:pStyle w:val="ListBullet"/>
        <w:rPr>
          <w:i/>
        </w:rPr>
      </w:pPr>
      <w:r w:rsidRPr="00034E7D">
        <w:rPr>
          <w:i/>
        </w:rPr>
        <w:t>What is the most number of hours a week you think you are able to work?</w:t>
      </w:r>
    </w:p>
    <w:p w14:paraId="1D7ECAEC" w14:textId="77777777" w:rsidR="009C6940" w:rsidRPr="00034E7D" w:rsidRDefault="009C6940" w:rsidP="009C6940">
      <w:pPr>
        <w:pStyle w:val="ListBullet"/>
        <w:rPr>
          <w:i/>
        </w:rPr>
      </w:pPr>
      <w:r w:rsidRPr="00034E7D">
        <w:rPr>
          <w:i/>
        </w:rPr>
        <w:t>How long will your condition(s) affect your ability to work?</w:t>
      </w:r>
    </w:p>
    <w:p w14:paraId="243B82DF" w14:textId="77777777" w:rsidR="009C6940" w:rsidRPr="00034E7D" w:rsidRDefault="009C6940" w:rsidP="009C6940">
      <w:pPr>
        <w:pStyle w:val="ListBullet"/>
        <w:rPr>
          <w:i/>
        </w:rPr>
      </w:pPr>
      <w:r w:rsidRPr="00034E7D">
        <w:rPr>
          <w:i/>
        </w:rPr>
        <w:t>What is/are the condition(s)?</w:t>
      </w:r>
      <w:r w:rsidRPr="00034E7D">
        <w:rPr>
          <w:rStyle w:val="FootnoteReference"/>
        </w:rPr>
        <w:footnoteReference w:id="1"/>
      </w:r>
    </w:p>
    <w:p w14:paraId="1A187543" w14:textId="77777777" w:rsidR="009C6940" w:rsidRPr="005D1534" w:rsidRDefault="009C6940" w:rsidP="009C6940">
      <w:pPr>
        <w:pStyle w:val="BodyText"/>
      </w:pPr>
      <w:r>
        <w:t>This assessment places participants with no or low risk of long</w:t>
      </w:r>
      <w:r>
        <w:noBreakHyphen/>
        <w:t>term unemployment into jobactive Stream A or B services, and refers those deemed to have moderate or high risk of long</w:t>
      </w:r>
      <w:r>
        <w:noBreakHyphen/>
        <w:t xml:space="preserve">term unemployment for further assessment via the ESAt. </w:t>
      </w:r>
    </w:p>
    <w:p w14:paraId="3757536C" w14:textId="77777777" w:rsidR="009C6940" w:rsidRDefault="009C6940" w:rsidP="009C6940">
      <w:pPr>
        <w:pStyle w:val="Heading3"/>
      </w:pPr>
      <w:r>
        <w:t>The Employment Services Assessment</w:t>
      </w:r>
    </w:p>
    <w:p w14:paraId="2C282609" w14:textId="77777777" w:rsidR="009C6940" w:rsidRPr="00161A90" w:rsidRDefault="009C6940" w:rsidP="009C6940">
      <w:pPr>
        <w:pStyle w:val="BodyText"/>
      </w:pPr>
      <w:r w:rsidRPr="00651D35">
        <w:t>The ESAt is a more thorough assessment process</w:t>
      </w:r>
      <w:r>
        <w:t xml:space="preserve"> for participants deemed to have multiple or severe barriers to employment</w:t>
      </w:r>
      <w:r w:rsidRPr="00651D35">
        <w:t xml:space="preserve">. </w:t>
      </w:r>
      <w:r>
        <w:t>A</w:t>
      </w:r>
      <w:r w:rsidRPr="00651D35">
        <w:t>llied health professional</w:t>
      </w:r>
      <w:r>
        <w:t>s undertake ESAts which, in about 80% of cases are</w:t>
      </w:r>
      <w:r w:rsidRPr="00651D35">
        <w:t xml:space="preserve"> face</w:t>
      </w:r>
      <w:r>
        <w:noBreakHyphen/>
      </w:r>
      <w:r w:rsidRPr="00651D35">
        <w:t>to</w:t>
      </w:r>
      <w:r>
        <w:noBreakHyphen/>
      </w:r>
      <w:r w:rsidRPr="00651D35">
        <w:t xml:space="preserve">face </w:t>
      </w:r>
      <w:r w:rsidRPr="00626D51">
        <w:rPr>
          <w:szCs w:val="24"/>
        </w:rPr>
        <w:t>(OECD 2015)</w:t>
      </w:r>
      <w:r>
        <w:t xml:space="preserve">. This assessment determines whether a participant should receive services from Stream C of jobactive or be placed in Disability Employment Services (in either Disability Management Support or Employment Support Services), based on an assessment of their barriers to work (related to disability, injury or illness, among others) and their work capacity in hour bandwidths (0–7, 8–14, 15–29 hours) </w:t>
      </w:r>
      <w:r w:rsidRPr="00684E38">
        <w:rPr>
          <w:szCs w:val="24"/>
        </w:rPr>
        <w:t>(Australian Government 2019a)</w:t>
      </w:r>
      <w:r>
        <w:t>. Those for whom a disability is deemed to be their main barrier to employment are placed in Disability Employment Services and other participants are placed into Stream C of jobactive.</w:t>
      </w:r>
    </w:p>
    <w:p w14:paraId="1B47EBE8" w14:textId="77777777" w:rsidR="009C6940" w:rsidRDefault="009C6940" w:rsidP="009C6940">
      <w:pPr>
        <w:pStyle w:val="Heading2"/>
      </w:pPr>
      <w:r>
        <w:lastRenderedPageBreak/>
        <w:t>C.</w:t>
      </w:r>
      <w:r>
        <w:rPr>
          <w:noProof/>
        </w:rPr>
        <w:t>3</w:t>
      </w:r>
      <w:r>
        <w:tab/>
        <w:t>Individual Placement and Support</w:t>
      </w:r>
    </w:p>
    <w:p w14:paraId="3131E572" w14:textId="77777777" w:rsidR="009C6940" w:rsidRPr="008E47CC" w:rsidRDefault="009C6940" w:rsidP="009C6940">
      <w:pPr>
        <w:pStyle w:val="BodyText"/>
      </w:pPr>
      <w:r w:rsidRPr="008E47CC">
        <w:t>The</w:t>
      </w:r>
      <w:r>
        <w:t xml:space="preserve"> IPS</w:t>
      </w:r>
      <w:r w:rsidRPr="008E47CC">
        <w:t xml:space="preserve"> model </w:t>
      </w:r>
      <w:r>
        <w:t xml:space="preserve">of employment support was developed to assist people with severe mental illness find and maintain employment. It </w:t>
      </w:r>
      <w:r w:rsidRPr="008E47CC">
        <w:t>comes in two broad forms — the theoretical ideal form as conceptualised by the model’s designers and the real world models that have been implemented</w:t>
      </w:r>
      <w:r>
        <w:t>. The</w:t>
      </w:r>
      <w:r w:rsidRPr="008E47CC">
        <w:t xml:space="preserve"> success of the IPS model (and the capacity to evaluate it rigorously) has been </w:t>
      </w:r>
      <w:r>
        <w:t>attributed</w:t>
      </w:r>
      <w:r w:rsidRPr="008E47CC">
        <w:t xml:space="preserve"> to </w:t>
      </w:r>
      <w:r>
        <w:t xml:space="preserve">the extent to which its implementation in the real world reflects relatively </w:t>
      </w:r>
      <w:r w:rsidRPr="008E47CC">
        <w:t xml:space="preserve">high fidelity versions </w:t>
      </w:r>
      <w:r>
        <w:t xml:space="preserve">of the </w:t>
      </w:r>
      <w:r w:rsidRPr="008E47CC">
        <w:t>original</w:t>
      </w:r>
      <w:r>
        <w:t xml:space="preserve"> ideal</w:t>
      </w:r>
      <w:r w:rsidRPr="008E47CC">
        <w:t xml:space="preserve"> model (Kim et al. 2015).</w:t>
      </w:r>
    </w:p>
    <w:p w14:paraId="623C08CC" w14:textId="77777777" w:rsidR="009C6940" w:rsidRDefault="009C6940" w:rsidP="009C6940">
      <w:pPr>
        <w:pStyle w:val="BodyText"/>
      </w:pPr>
      <w:r>
        <w:t xml:space="preserve">IPS provides hands on, </w:t>
      </w:r>
      <w:r w:rsidRPr="008E47CC">
        <w:t>personalised</w:t>
      </w:r>
      <w:r>
        <w:t xml:space="preserve"> and ongoing support to participants. </w:t>
      </w:r>
      <w:r w:rsidRPr="008E47CC">
        <w:t xml:space="preserve">Caseloads are small (prescribed at 20 in the ideal model) and </w:t>
      </w:r>
      <w:r>
        <w:t xml:space="preserve">IPS </w:t>
      </w:r>
      <w:r w:rsidRPr="008E47CC">
        <w:t>specialists spend most of their time (</w:t>
      </w:r>
      <w:r>
        <w:t>65</w:t>
      </w:r>
      <w:r w:rsidRPr="008E47CC">
        <w:t>% in the ideal model) engaging with the community or employers (which can include meeting with participants outside the</w:t>
      </w:r>
      <w:r>
        <w:t>ir</w:t>
      </w:r>
      <w:r w:rsidRPr="008E47CC">
        <w:t xml:space="preserve"> office). Specialists are expected to develop a strong understanding of participant’s work capaci</w:t>
      </w:r>
      <w:r>
        <w:t>ty and workplace requirements, prioritise participants’ w</w:t>
      </w:r>
      <w:r w:rsidRPr="008E47CC">
        <w:t>ork preferences</w:t>
      </w:r>
      <w:r>
        <w:t xml:space="preserve">, take on the </w:t>
      </w:r>
      <w:r w:rsidRPr="008E47CC">
        <w:t>majority of the burden of job search</w:t>
      </w:r>
      <w:r>
        <w:t xml:space="preserve"> and counsel participants about the impacts of work on the income support payments that they receive. </w:t>
      </w:r>
      <w:r w:rsidRPr="008E47CC">
        <w:t xml:space="preserve">Once in a job, </w:t>
      </w:r>
      <w:r>
        <w:t>participants</w:t>
      </w:r>
      <w:r w:rsidRPr="008E47CC">
        <w:t xml:space="preserve"> continue to receive support from their IPS specialist (for example, job coaching, career development or help negotiating pay rises </w:t>
      </w:r>
      <w:r w:rsidRPr="006C5A9E">
        <w:rPr>
          <w:szCs w:val="24"/>
        </w:rPr>
        <w:t>(Becker et al. 2015)</w:t>
      </w:r>
      <w:r>
        <w:t>).</w:t>
      </w:r>
    </w:p>
    <w:p w14:paraId="342A77C4" w14:textId="77777777" w:rsidR="009C6940" w:rsidRDefault="009C6940" w:rsidP="009C6940">
      <w:pPr>
        <w:pStyle w:val="BodyText"/>
      </w:pPr>
      <w:r>
        <w:t xml:space="preserve">IPS prioritises employment over training (known as a ‘place–train’ focus). This means that participants do not complete training programs during their job search, but focus their efforts on finding employment. If needed, they can complete training in the workplace. </w:t>
      </w:r>
    </w:p>
    <w:p w14:paraId="5C416521" w14:textId="77777777" w:rsidR="009C6940" w:rsidRDefault="009C6940" w:rsidP="009C6940">
      <w:pPr>
        <w:pStyle w:val="BodyText"/>
      </w:pPr>
      <w:r>
        <w:t>IPS is also tightly integrated with participants’ clinical care. The roles of the IPS specialist and other providers are outlined in figure C.4.</w:t>
      </w:r>
    </w:p>
    <w:p w14:paraId="53D19567" w14:textId="77777777" w:rsidR="009C6940" w:rsidRPr="008C2920" w:rsidRDefault="009C6940" w:rsidP="009C6940">
      <w:pPr>
        <w:pStyle w:val="BodyText"/>
        <w:rPr>
          <w:spacing w:val="-2"/>
        </w:rPr>
      </w:pPr>
      <w:r w:rsidRPr="008C2920">
        <w:rPr>
          <w:spacing w:val="-2"/>
        </w:rPr>
        <w:t xml:space="preserve">Fidelity scales measure how closely IPS programs follow the ideal IPS model by assessing a program’s staffing, organisation and service provision (table C.7). Each assessment criteria is ranked on a scale of 1 to 5, with a higher score representing more fidelity to the model. A score of 74 or above out of 125 is necessary to ‘pass’ and be labelled an IPS program. Baseline fidelity reviews are conducted six to nine months after a program starts and the frequency of future reviews is determined by the baseline review’s score </w:t>
      </w:r>
      <w:r w:rsidRPr="008C2920">
        <w:rPr>
          <w:spacing w:val="-2"/>
          <w:szCs w:val="24"/>
        </w:rPr>
        <w:t>(Becker et al. 2015)</w:t>
      </w:r>
      <w:r w:rsidRPr="008C2920">
        <w:rPr>
          <w:spacing w:val="-2"/>
        </w:rPr>
        <w:t>.</w:t>
      </w:r>
    </w:p>
    <w:p w14:paraId="2A5D7845"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F4D0E40" w14:textId="77777777" w:rsidTr="009C6940">
        <w:trPr>
          <w:tblHeader/>
        </w:trPr>
        <w:tc>
          <w:tcPr>
            <w:tcW w:w="5000" w:type="pct"/>
            <w:tcBorders>
              <w:top w:val="single" w:sz="6" w:space="0" w:color="78A22F"/>
              <w:left w:val="nil"/>
              <w:bottom w:val="nil"/>
              <w:right w:val="nil"/>
            </w:tcBorders>
            <w:shd w:val="clear" w:color="auto" w:fill="auto"/>
          </w:tcPr>
          <w:p w14:paraId="5EDBBF77" w14:textId="77777777" w:rsidR="009C6940" w:rsidRPr="00176D3F" w:rsidRDefault="009C6940" w:rsidP="009C6940">
            <w:pPr>
              <w:pStyle w:val="FigureTitle"/>
            </w:pPr>
            <w:r w:rsidRPr="00784A05">
              <w:rPr>
                <w:b w:val="0"/>
              </w:rPr>
              <w:t xml:space="preserve">Figure </w:t>
            </w:r>
            <w:r>
              <w:rPr>
                <w:b w:val="0"/>
              </w:rPr>
              <w:t>C.</w:t>
            </w:r>
            <w:r>
              <w:rPr>
                <w:b w:val="0"/>
                <w:noProof/>
              </w:rPr>
              <w:t>4</w:t>
            </w:r>
            <w:r>
              <w:tab/>
              <w:t xml:space="preserve">Roles and responsibilities under the Individual Placement and Support </w:t>
            </w:r>
            <w:r w:rsidRPr="00D94D6F">
              <w:t>model</w:t>
            </w:r>
            <w:r w:rsidRPr="00212388">
              <w:rPr>
                <w:rStyle w:val="NoteLabel"/>
                <w:b/>
              </w:rPr>
              <w:t>a</w:t>
            </w:r>
          </w:p>
        </w:tc>
      </w:tr>
      <w:tr w:rsidR="009C6940" w14:paraId="69BA6592" w14:textId="77777777" w:rsidTr="009C6940">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B1465D" w14:paraId="3D15EE95" w14:textId="77777777" w:rsidTr="009C6940">
              <w:trPr>
                <w:tblHeader/>
                <w:jc w:val="center"/>
              </w:trPr>
              <w:tc>
                <w:tcPr>
                  <w:tcW w:w="5000" w:type="pct"/>
                  <w:tcBorders>
                    <w:top w:val="nil"/>
                    <w:bottom w:val="nil"/>
                  </w:tcBorders>
                </w:tcPr>
                <w:p w14:paraId="3A2874CF" w14:textId="77777777" w:rsidR="009C6940" w:rsidRPr="00B1465D" w:rsidRDefault="009C6940" w:rsidP="009C6940">
                  <w:pPr>
                    <w:pStyle w:val="Figure"/>
                    <w:spacing w:before="0" w:after="0"/>
                    <w:rPr>
                      <w:rFonts w:ascii="Arial" w:hAnsi="Arial" w:cs="Arial"/>
                      <w:sz w:val="18"/>
                      <w:szCs w:val="18"/>
                    </w:rPr>
                  </w:pPr>
                  <w:r w:rsidRPr="000B0F98">
                    <w:rPr>
                      <w:rFonts w:ascii="Arial" w:hAnsi="Arial" w:cs="Arial"/>
                      <w:sz w:val="18"/>
                      <w:szCs w:val="18"/>
                    </w:rPr>
                    <w:t xml:space="preserve"> </w:t>
                  </w:r>
                  <w:r w:rsidRPr="005D6E05">
                    <w:rPr>
                      <w:rFonts w:ascii="Arial" w:hAnsi="Arial" w:cs="Arial"/>
                      <w:noProof/>
                      <w:sz w:val="18"/>
                      <w:szCs w:val="18"/>
                    </w:rPr>
                    <w:drawing>
                      <wp:inline distT="0" distB="0" distL="0" distR="0" wp14:anchorId="2D9C19C7" wp14:editId="5895BA03">
                        <wp:extent cx="5184775" cy="3381375"/>
                        <wp:effectExtent l="0" t="0" r="0" b="9525"/>
                        <wp:docPr id="3" name="Picture 3" descr="This figure outlines different roles in the Individual Placement and Support model: senior employment specialists, clinical team managers, employment specialists and clinicians. The figure shows lines of communication between the employment specialist, a participant and their clinician. Employment specialists communicate with their supervisor (senior employment specialist). Clinicians communicate with their clinical team manager, patients and patient’s employment specia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84775" cy="3381375"/>
                                </a:xfrm>
                                <a:prstGeom prst="rect">
                                  <a:avLst/>
                                </a:prstGeom>
                                <a:noFill/>
                                <a:ln>
                                  <a:noFill/>
                                </a:ln>
                              </pic:spPr>
                            </pic:pic>
                          </a:graphicData>
                        </a:graphic>
                      </wp:inline>
                    </w:drawing>
                  </w:r>
                  <w:r w:rsidRPr="00212388">
                    <w:rPr>
                      <w:rStyle w:val="CommentReference"/>
                      <w:rFonts w:ascii="Arial" w:hAnsi="Arial" w:cs="Arial"/>
                      <w:b w:val="0"/>
                      <w:vanish w:val="0"/>
                      <w:color w:val="auto"/>
                      <w:sz w:val="18"/>
                      <w:szCs w:val="18"/>
                    </w:rPr>
                    <w:t xml:space="preserve"> </w:t>
                  </w:r>
                </w:p>
              </w:tc>
            </w:tr>
          </w:tbl>
          <w:p w14:paraId="0D6EAB9D" w14:textId="77777777" w:rsidR="009C6940" w:rsidRDefault="009C6940" w:rsidP="009C6940">
            <w:pPr>
              <w:pStyle w:val="Figure"/>
              <w:spacing w:before="0" w:after="0"/>
            </w:pPr>
          </w:p>
        </w:tc>
      </w:tr>
      <w:tr w:rsidR="009C6940" w:rsidRPr="00176D3F" w14:paraId="1F402421" w14:textId="77777777" w:rsidTr="009C6940">
        <w:tc>
          <w:tcPr>
            <w:tcW w:w="5000" w:type="pct"/>
            <w:tcBorders>
              <w:top w:val="nil"/>
              <w:left w:val="nil"/>
              <w:bottom w:val="nil"/>
              <w:right w:val="nil"/>
            </w:tcBorders>
            <w:shd w:val="clear" w:color="auto" w:fill="auto"/>
          </w:tcPr>
          <w:p w14:paraId="2ED79371" w14:textId="77777777" w:rsidR="009C6940" w:rsidRPr="00176D3F" w:rsidRDefault="009C6940" w:rsidP="009C6940">
            <w:pPr>
              <w:pStyle w:val="Note"/>
            </w:pPr>
            <w:r>
              <w:rPr>
                <w:rStyle w:val="NoteLabel"/>
              </w:rPr>
              <w:t>a</w:t>
            </w:r>
            <w:r>
              <w:t xml:space="preserve"> G</w:t>
            </w:r>
            <w:r w:rsidRPr="003843EF">
              <w:t>rey arrows represent lines of communication</w:t>
            </w:r>
            <w:r>
              <w:t>.</w:t>
            </w:r>
          </w:p>
        </w:tc>
      </w:tr>
      <w:tr w:rsidR="009C6940" w:rsidRPr="00176D3F" w14:paraId="50828A0E" w14:textId="77777777" w:rsidTr="009C6940">
        <w:tc>
          <w:tcPr>
            <w:tcW w:w="5000" w:type="pct"/>
            <w:tcBorders>
              <w:top w:val="nil"/>
              <w:left w:val="nil"/>
              <w:bottom w:val="nil"/>
              <w:right w:val="nil"/>
            </w:tcBorders>
            <w:shd w:val="clear" w:color="auto" w:fill="auto"/>
          </w:tcPr>
          <w:p w14:paraId="7AB6C3CD" w14:textId="77777777" w:rsidR="009C6940" w:rsidRPr="00176D3F" w:rsidRDefault="009C6940" w:rsidP="009C6940">
            <w:pPr>
              <w:pStyle w:val="Source"/>
            </w:pPr>
            <w:r>
              <w:rPr>
                <w:i/>
              </w:rPr>
              <w:t>S</w:t>
            </w:r>
            <w:r w:rsidRPr="00784A05">
              <w:rPr>
                <w:i/>
              </w:rPr>
              <w:t>ource</w:t>
            </w:r>
            <w:r w:rsidRPr="00176D3F">
              <w:t xml:space="preserve">: </w:t>
            </w:r>
            <w:r>
              <w:t xml:space="preserve">Becker et al. </w:t>
            </w:r>
            <w:r w:rsidRPr="003C360F">
              <w:rPr>
                <w:rFonts w:cs="Arial"/>
              </w:rPr>
              <w:t>(2015)</w:t>
            </w:r>
            <w:r w:rsidRPr="003843EF">
              <w:t xml:space="preserve">; Gilbert </w:t>
            </w:r>
            <w:r>
              <w:t>and</w:t>
            </w:r>
            <w:r w:rsidRPr="003843EF">
              <w:t xml:space="preserve"> Papworth (2017); Rinaldi et al. (2008).</w:t>
            </w:r>
          </w:p>
        </w:tc>
      </w:tr>
      <w:tr w:rsidR="009C6940" w14:paraId="34DC0EE8" w14:textId="77777777" w:rsidTr="009C6940">
        <w:tc>
          <w:tcPr>
            <w:tcW w:w="5000" w:type="pct"/>
            <w:tcBorders>
              <w:top w:val="nil"/>
              <w:left w:val="nil"/>
              <w:bottom w:val="single" w:sz="6" w:space="0" w:color="78A22F"/>
              <w:right w:val="nil"/>
            </w:tcBorders>
            <w:shd w:val="clear" w:color="auto" w:fill="auto"/>
          </w:tcPr>
          <w:p w14:paraId="3AF71B38" w14:textId="77777777" w:rsidR="009C6940" w:rsidRDefault="009C6940" w:rsidP="009C6940">
            <w:pPr>
              <w:pStyle w:val="Figurespace"/>
            </w:pPr>
          </w:p>
        </w:tc>
      </w:tr>
      <w:tr w:rsidR="009C6940" w:rsidRPr="000863A5" w14:paraId="75BB1D42" w14:textId="77777777" w:rsidTr="009C6940">
        <w:tc>
          <w:tcPr>
            <w:tcW w:w="5000" w:type="pct"/>
            <w:tcBorders>
              <w:top w:val="single" w:sz="6" w:space="0" w:color="78A22F"/>
              <w:left w:val="nil"/>
              <w:bottom w:val="nil"/>
              <w:right w:val="nil"/>
            </w:tcBorders>
          </w:tcPr>
          <w:p w14:paraId="7934B2C5" w14:textId="77777777" w:rsidR="009C6940" w:rsidRPr="00626D32" w:rsidRDefault="009C6940" w:rsidP="009C6940">
            <w:pPr>
              <w:pStyle w:val="BoxSpaceBelow"/>
            </w:pPr>
          </w:p>
        </w:tc>
      </w:tr>
    </w:tbl>
    <w:p w14:paraId="265E6A2F" w14:textId="77777777" w:rsidR="009C6940" w:rsidRDefault="009C6940" w:rsidP="009C6940">
      <w:pPr>
        <w:pStyle w:val="BoxSpaceAbove"/>
        <w:spacing w:before="22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4CE7903C" w14:textId="77777777" w:rsidTr="009C6940">
        <w:trPr>
          <w:tblHeader/>
        </w:trPr>
        <w:tc>
          <w:tcPr>
            <w:tcW w:w="5000" w:type="pct"/>
            <w:tcBorders>
              <w:top w:val="single" w:sz="6" w:space="0" w:color="78A22F"/>
              <w:left w:val="nil"/>
              <w:bottom w:val="nil"/>
              <w:right w:val="nil"/>
            </w:tcBorders>
            <w:shd w:val="clear" w:color="auto" w:fill="auto"/>
          </w:tcPr>
          <w:p w14:paraId="0F1C54A2" w14:textId="77777777" w:rsidR="009C6940" w:rsidRPr="00784A05" w:rsidRDefault="009C6940" w:rsidP="009C6940">
            <w:pPr>
              <w:pStyle w:val="TableTitle"/>
            </w:pPr>
            <w:r>
              <w:rPr>
                <w:b w:val="0"/>
              </w:rPr>
              <w:t>Table C.</w:t>
            </w:r>
            <w:r>
              <w:rPr>
                <w:b w:val="0"/>
                <w:noProof/>
              </w:rPr>
              <w:t>7</w:t>
            </w:r>
            <w:r>
              <w:tab/>
            </w:r>
            <w:r w:rsidRPr="007E5CBF">
              <w:t xml:space="preserve">Summary </w:t>
            </w:r>
            <w:r w:rsidRPr="007E5CBF" w:rsidDel="00FA0FC3">
              <w:t xml:space="preserve">of </w:t>
            </w:r>
            <w:r>
              <w:t>IPS</w:t>
            </w:r>
            <w:r w:rsidRPr="007E5CBF">
              <w:t xml:space="preserve"> fidelity assessment criteria</w:t>
            </w:r>
            <w:r w:rsidRPr="008C2920">
              <w:rPr>
                <w:rStyle w:val="NoteLabel"/>
                <w:rFonts w:ascii="Arial Bold" w:hAnsi="Arial Bold"/>
                <w:b/>
                <w:position w:val="10"/>
              </w:rPr>
              <w:t>a</w:t>
            </w:r>
          </w:p>
        </w:tc>
      </w:tr>
      <w:tr w:rsidR="009C6940" w14:paraId="6F846CA2" w14:textId="77777777" w:rsidTr="009C6940">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835"/>
              <w:gridCol w:w="2835"/>
              <w:gridCol w:w="2835"/>
            </w:tblGrid>
            <w:tr w:rsidR="009C6940" w14:paraId="11CF4E8B" w14:textId="77777777" w:rsidTr="009C6940">
              <w:trPr>
                <w:trHeight w:val="294"/>
                <w:tblHeader/>
              </w:trPr>
              <w:tc>
                <w:tcPr>
                  <w:tcW w:w="2835" w:type="dxa"/>
                  <w:tcBorders>
                    <w:top w:val="single" w:sz="6" w:space="0" w:color="BFBFBF"/>
                    <w:bottom w:val="single" w:sz="6" w:space="0" w:color="BFBFBF"/>
                  </w:tcBorders>
                </w:tcPr>
                <w:p w14:paraId="6A952F47" w14:textId="77777777" w:rsidR="009C6940" w:rsidRDefault="009C6940" w:rsidP="009C6940">
                  <w:pPr>
                    <w:pStyle w:val="TableColumnHeading"/>
                    <w:jc w:val="left"/>
                  </w:pPr>
                  <w:r w:rsidRPr="00AD23F7">
                    <w:t>Staffing</w:t>
                  </w:r>
                </w:p>
              </w:tc>
              <w:tc>
                <w:tcPr>
                  <w:tcW w:w="2835" w:type="dxa"/>
                  <w:tcBorders>
                    <w:top w:val="single" w:sz="6" w:space="0" w:color="BFBFBF"/>
                    <w:bottom w:val="single" w:sz="6" w:space="0" w:color="BFBFBF"/>
                  </w:tcBorders>
                </w:tcPr>
                <w:p w14:paraId="78439CB1" w14:textId="77777777" w:rsidR="009C6940" w:rsidRDefault="009C6940" w:rsidP="009C6940">
                  <w:pPr>
                    <w:pStyle w:val="TableColumnHeading"/>
                    <w:ind w:right="28"/>
                    <w:jc w:val="left"/>
                  </w:pPr>
                  <w:r w:rsidRPr="00AD23F7">
                    <w:t>Organisation</w:t>
                  </w:r>
                </w:p>
              </w:tc>
              <w:tc>
                <w:tcPr>
                  <w:tcW w:w="2835" w:type="dxa"/>
                  <w:tcBorders>
                    <w:top w:val="single" w:sz="6" w:space="0" w:color="BFBFBF"/>
                    <w:bottom w:val="single" w:sz="6" w:space="0" w:color="BFBFBF"/>
                  </w:tcBorders>
                </w:tcPr>
                <w:p w14:paraId="54DF33B3" w14:textId="77777777" w:rsidR="009C6940" w:rsidRDefault="009C6940" w:rsidP="009C6940">
                  <w:pPr>
                    <w:pStyle w:val="TableColumnHeading"/>
                    <w:ind w:right="28"/>
                    <w:jc w:val="left"/>
                  </w:pPr>
                  <w:r>
                    <w:t>Services</w:t>
                  </w:r>
                </w:p>
              </w:tc>
            </w:tr>
            <w:tr w:rsidR="009C6940" w14:paraId="1A6FBE5D" w14:textId="77777777" w:rsidTr="009C6940">
              <w:trPr>
                <w:trHeight w:val="156"/>
              </w:trPr>
              <w:tc>
                <w:tcPr>
                  <w:tcW w:w="2835" w:type="dxa"/>
                  <w:tcBorders>
                    <w:bottom w:val="single" w:sz="6" w:space="0" w:color="BFBFBF"/>
                  </w:tcBorders>
                </w:tcPr>
                <w:p w14:paraId="5904EF47" w14:textId="77777777" w:rsidR="009C6940" w:rsidRDefault="009C6940" w:rsidP="009C6940">
                  <w:pPr>
                    <w:pStyle w:val="TableBullet"/>
                    <w:spacing w:before="40"/>
                  </w:pPr>
                  <w:r>
                    <w:t>Caseload size</w:t>
                  </w:r>
                </w:p>
                <w:p w14:paraId="2D5C6D42" w14:textId="77777777" w:rsidR="009C6940" w:rsidRDefault="009C6940" w:rsidP="009C6940">
                  <w:pPr>
                    <w:pStyle w:val="TableBullet"/>
                  </w:pPr>
                  <w:r w:rsidRPr="0034137C">
                    <w:t xml:space="preserve">Employment </w:t>
                  </w:r>
                  <w:r>
                    <w:t>support</w:t>
                  </w:r>
                  <w:r w:rsidRPr="0034137C">
                    <w:t xml:space="preserve"> staff only provide employment services</w:t>
                  </w:r>
                </w:p>
                <w:p w14:paraId="4DD8371F" w14:textId="77777777" w:rsidR="009C6940" w:rsidRDefault="009C6940">
                  <w:pPr>
                    <w:pStyle w:val="TableBullet"/>
                  </w:pPr>
                  <w:r w:rsidRPr="00AD23F7">
                    <w:t xml:space="preserve">Employment </w:t>
                  </w:r>
                  <w:r>
                    <w:t>support</w:t>
                  </w:r>
                  <w:r w:rsidRPr="00AD23F7">
                    <w:t xml:space="preserve"> staff </w:t>
                  </w:r>
                  <w:r>
                    <w:t>are v</w:t>
                  </w:r>
                  <w:r w:rsidRPr="0034137C">
                    <w:t>ocational generalists</w:t>
                  </w:r>
                </w:p>
              </w:tc>
              <w:tc>
                <w:tcPr>
                  <w:tcW w:w="2835" w:type="dxa"/>
                  <w:tcBorders>
                    <w:bottom w:val="single" w:sz="6" w:space="0" w:color="BFBFBF"/>
                  </w:tcBorders>
                </w:tcPr>
                <w:p w14:paraId="7AC7784D" w14:textId="77777777" w:rsidR="009C6940" w:rsidRDefault="009C6940" w:rsidP="009C6940">
                  <w:pPr>
                    <w:pStyle w:val="TableBullet"/>
                    <w:spacing w:before="40"/>
                  </w:pPr>
                  <w:r>
                    <w:t>Integration of rehabilitation with mental health treatment through team assignment</w:t>
                  </w:r>
                </w:p>
                <w:p w14:paraId="515F0C38" w14:textId="77777777" w:rsidR="009C6940" w:rsidRDefault="009C6940" w:rsidP="009C6940">
                  <w:pPr>
                    <w:pStyle w:val="TableBullet"/>
                  </w:pPr>
                  <w:r w:rsidRPr="0034137C">
                    <w:t>Integration of rehabilitation with mental health treatment through frequent team member contact</w:t>
                  </w:r>
                </w:p>
                <w:p w14:paraId="4664B010" w14:textId="77777777" w:rsidR="009C6940" w:rsidRDefault="009C6940" w:rsidP="009C6940">
                  <w:pPr>
                    <w:pStyle w:val="TableBullet"/>
                  </w:pPr>
                  <w:r w:rsidRPr="0034137C">
                    <w:t xml:space="preserve">Collaboration between </w:t>
                  </w:r>
                  <w:r>
                    <w:t xml:space="preserve">IPS and government employment and </w:t>
                  </w:r>
                  <w:r w:rsidRPr="0034137C">
                    <w:t xml:space="preserve">income support </w:t>
                  </w:r>
                  <w:r>
                    <w:t>staff</w:t>
                  </w:r>
                </w:p>
                <w:p w14:paraId="1FC328FC" w14:textId="77777777" w:rsidR="009C6940" w:rsidRDefault="009C6940" w:rsidP="009C6940">
                  <w:pPr>
                    <w:pStyle w:val="TableBullet"/>
                  </w:pPr>
                  <w:r w:rsidRPr="0034137C">
                    <w:t xml:space="preserve">Vocational unit is comprised of </w:t>
                  </w:r>
                  <w:r>
                    <w:t xml:space="preserve">two </w:t>
                  </w:r>
                  <w:r w:rsidRPr="0034137C">
                    <w:t>full</w:t>
                  </w:r>
                  <w:r>
                    <w:noBreakHyphen/>
                  </w:r>
                  <w:r w:rsidRPr="0034137C">
                    <w:t>time employment specialists and a team leader</w:t>
                  </w:r>
                </w:p>
                <w:p w14:paraId="1D0816DA" w14:textId="77777777" w:rsidR="009C6940" w:rsidRPr="0034137C" w:rsidRDefault="009C6940" w:rsidP="009C6940">
                  <w:pPr>
                    <w:pStyle w:val="TableBullet"/>
                  </w:pPr>
                  <w:r>
                    <w:t>IPS</w:t>
                  </w:r>
                  <w:r w:rsidRPr="0034137C">
                    <w:t xml:space="preserve"> unit is led by a </w:t>
                  </w:r>
                  <w:r>
                    <w:t>IPS team leader</w:t>
                  </w:r>
                </w:p>
                <w:p w14:paraId="5A6171BA" w14:textId="77777777" w:rsidR="009C6940" w:rsidRDefault="009C6940" w:rsidP="009C6940">
                  <w:pPr>
                    <w:pStyle w:val="TableBullet"/>
                  </w:pPr>
                  <w:r>
                    <w:t>All eligible people expressing interest become participants (‘z</w:t>
                  </w:r>
                  <w:r w:rsidRPr="00AD23F7">
                    <w:t>ero exclusion criteria</w:t>
                  </w:r>
                  <w:r>
                    <w:t>’)</w:t>
                  </w:r>
                </w:p>
                <w:p w14:paraId="6754BFD0" w14:textId="77777777" w:rsidR="009C6940" w:rsidRDefault="009C6940" w:rsidP="009C6940">
                  <w:pPr>
                    <w:pStyle w:val="TableBullet"/>
                  </w:pPr>
                  <w:r w:rsidRPr="00AD23F7">
                    <w:t xml:space="preserve">Executive team support for </w:t>
                  </w:r>
                  <w:r>
                    <w:t>IPS</w:t>
                  </w:r>
                </w:p>
              </w:tc>
              <w:tc>
                <w:tcPr>
                  <w:tcW w:w="2835" w:type="dxa"/>
                  <w:tcBorders>
                    <w:bottom w:val="single" w:sz="6" w:space="0" w:color="BFBFBF"/>
                  </w:tcBorders>
                </w:tcPr>
                <w:p w14:paraId="394F8733" w14:textId="77777777" w:rsidR="009C6940" w:rsidRDefault="009C6940" w:rsidP="009C6940">
                  <w:pPr>
                    <w:pStyle w:val="TableBullet"/>
                    <w:spacing w:before="40"/>
                  </w:pPr>
                  <w:r>
                    <w:t>Work incentives planning</w:t>
                  </w:r>
                </w:p>
                <w:p w14:paraId="3B0273F0" w14:textId="77777777" w:rsidR="009C6940" w:rsidRDefault="009C6940" w:rsidP="009C6940">
                  <w:pPr>
                    <w:pStyle w:val="TableBullet"/>
                  </w:pPr>
                  <w:r>
                    <w:t xml:space="preserve">Assist participants with illness disclosure </w:t>
                  </w:r>
                </w:p>
                <w:p w14:paraId="682691CE" w14:textId="77777777" w:rsidR="009C6940" w:rsidRDefault="009C6940" w:rsidP="009C6940">
                  <w:pPr>
                    <w:pStyle w:val="TableBullet"/>
                  </w:pPr>
                  <w:r w:rsidRPr="0034137C">
                    <w:t>Ongoing, work</w:t>
                  </w:r>
                  <w:r>
                    <w:noBreakHyphen/>
                  </w:r>
                  <w:r w:rsidRPr="0034137C">
                    <w:t>based vocational assessment</w:t>
                  </w:r>
                </w:p>
                <w:p w14:paraId="2AB480F3" w14:textId="77777777" w:rsidR="009C6940" w:rsidRPr="0034137C" w:rsidRDefault="009C6940" w:rsidP="009C6940">
                  <w:pPr>
                    <w:pStyle w:val="TableBullet"/>
                  </w:pPr>
                  <w:r w:rsidRPr="0034137C">
                    <w:t>Rapid job search for</w:t>
                  </w:r>
                  <w:r w:rsidRPr="0034137C" w:rsidDel="00B24673">
                    <w:t xml:space="preserve"> </w:t>
                  </w:r>
                  <w:r w:rsidRPr="0034137C">
                    <w:t>competitive job</w:t>
                  </w:r>
                  <w:r>
                    <w:t>s</w:t>
                  </w:r>
                </w:p>
                <w:p w14:paraId="69C3C071" w14:textId="77777777" w:rsidR="009C6940" w:rsidRPr="0034137C" w:rsidRDefault="009C6940" w:rsidP="009C6940">
                  <w:pPr>
                    <w:pStyle w:val="TableBullet"/>
                  </w:pPr>
                  <w:r w:rsidRPr="00AD23F7">
                    <w:t>Frequent</w:t>
                  </w:r>
                  <w:r>
                    <w:t>, high quality</w:t>
                  </w:r>
                  <w:r w:rsidRPr="00AD23F7">
                    <w:t xml:space="preserve"> employer contact </w:t>
                  </w:r>
                </w:p>
                <w:p w14:paraId="15BAAAE9" w14:textId="77777777" w:rsidR="009C6940" w:rsidRDefault="009C6940" w:rsidP="009C6940">
                  <w:pPr>
                    <w:pStyle w:val="TableBullet"/>
                  </w:pPr>
                  <w:r w:rsidRPr="00AD23F7">
                    <w:t>Divers</w:t>
                  </w:r>
                  <w:r>
                    <w:t>e</w:t>
                  </w:r>
                  <w:r w:rsidRPr="00AD23F7" w:rsidDel="00B24673">
                    <w:t xml:space="preserve"> </w:t>
                  </w:r>
                  <w:r w:rsidRPr="00AD23F7">
                    <w:t>job types and employers</w:t>
                  </w:r>
                </w:p>
                <w:p w14:paraId="353B69C9" w14:textId="77777777" w:rsidR="009C6940" w:rsidRDefault="009C6940" w:rsidP="009C6940">
                  <w:pPr>
                    <w:pStyle w:val="TableBullet"/>
                  </w:pPr>
                  <w:r w:rsidRPr="00AD23F7">
                    <w:t>Individualised job search</w:t>
                  </w:r>
                </w:p>
                <w:p w14:paraId="43562640" w14:textId="77777777" w:rsidR="009C6940" w:rsidRDefault="009C6940" w:rsidP="009C6940">
                  <w:pPr>
                    <w:pStyle w:val="TableBullet"/>
                  </w:pPr>
                  <w:r w:rsidRPr="00AD23F7">
                    <w:t>Time unlimited, individuali</w:t>
                  </w:r>
                  <w:r>
                    <w:t>s</w:t>
                  </w:r>
                  <w:r w:rsidRPr="00AD23F7">
                    <w:t>ed follow</w:t>
                  </w:r>
                  <w:r>
                    <w:noBreakHyphen/>
                  </w:r>
                  <w:r w:rsidRPr="00AD23F7">
                    <w:t>along suppor</w:t>
                  </w:r>
                  <w:r>
                    <w:t>t</w:t>
                  </w:r>
                </w:p>
                <w:p w14:paraId="5B06441C" w14:textId="77777777" w:rsidR="009C6940" w:rsidRDefault="009C6940" w:rsidP="009C6940">
                  <w:pPr>
                    <w:pStyle w:val="TableBullet"/>
                  </w:pPr>
                  <w:r>
                    <w:t>A</w:t>
                  </w:r>
                  <w:r w:rsidRPr="00AD23F7">
                    <w:t>ssertive</w:t>
                  </w:r>
                  <w:r>
                    <w:t xml:space="preserve"> community</w:t>
                  </w:r>
                  <w:r w:rsidRPr="00AD23F7">
                    <w:t xml:space="preserve"> engagement and outreach </w:t>
                  </w:r>
                </w:p>
              </w:tc>
            </w:tr>
          </w:tbl>
          <w:p w14:paraId="4BE6C79B" w14:textId="77777777" w:rsidR="009C6940" w:rsidRDefault="009C6940" w:rsidP="009C6940">
            <w:pPr>
              <w:pStyle w:val="Box"/>
              <w:jc w:val="left"/>
            </w:pPr>
          </w:p>
        </w:tc>
      </w:tr>
      <w:tr w:rsidR="009C6940" w14:paraId="63DEC42D" w14:textId="77777777" w:rsidTr="009C6940">
        <w:tc>
          <w:tcPr>
            <w:tcW w:w="5000" w:type="pct"/>
            <w:tcBorders>
              <w:top w:val="nil"/>
              <w:left w:val="nil"/>
              <w:bottom w:val="nil"/>
              <w:right w:val="nil"/>
            </w:tcBorders>
            <w:shd w:val="clear" w:color="auto" w:fill="auto"/>
          </w:tcPr>
          <w:p w14:paraId="46486F33" w14:textId="77777777" w:rsidR="009C6940" w:rsidRDefault="009C6940" w:rsidP="009C6940">
            <w:pPr>
              <w:pStyle w:val="Note"/>
              <w:rPr>
                <w:i/>
              </w:rPr>
            </w:pPr>
            <w:r w:rsidRPr="008E77FE">
              <w:rPr>
                <w:rStyle w:val="NoteLabel"/>
              </w:rPr>
              <w:t>a</w:t>
            </w:r>
            <w:r>
              <w:t xml:space="preserve"> </w:t>
            </w:r>
            <w:r w:rsidRPr="007E5CBF">
              <w:t>As per Supported Employment Fidelity Scale (Australia and New Zealand Version 2.0 (2011)).</w:t>
            </w:r>
          </w:p>
        </w:tc>
      </w:tr>
      <w:tr w:rsidR="009C6940" w14:paraId="7B1288EB" w14:textId="77777777" w:rsidTr="009C6940">
        <w:tc>
          <w:tcPr>
            <w:tcW w:w="5000" w:type="pct"/>
            <w:tcBorders>
              <w:top w:val="nil"/>
              <w:left w:val="nil"/>
              <w:bottom w:val="nil"/>
              <w:right w:val="nil"/>
            </w:tcBorders>
            <w:shd w:val="clear" w:color="auto" w:fill="auto"/>
          </w:tcPr>
          <w:p w14:paraId="7418EB94" w14:textId="77777777" w:rsidR="009C6940" w:rsidRDefault="009C6940" w:rsidP="009C6940">
            <w:pPr>
              <w:pStyle w:val="Source"/>
            </w:pPr>
            <w:r>
              <w:rPr>
                <w:i/>
              </w:rPr>
              <w:t>Source</w:t>
            </w:r>
            <w:r w:rsidRPr="00167F06">
              <w:t xml:space="preserve">: </w:t>
            </w:r>
            <w:r>
              <w:t xml:space="preserve">Becker et al. </w:t>
            </w:r>
            <w:r w:rsidRPr="003824CB">
              <w:rPr>
                <w:rFonts w:cs="Arial"/>
              </w:rPr>
              <w:t>(2015)</w:t>
            </w:r>
            <w:r>
              <w:t xml:space="preserve">; </w:t>
            </w:r>
            <w:r w:rsidRPr="007E5CBF">
              <w:t xml:space="preserve">Waghorn </w:t>
            </w:r>
            <w:r>
              <w:t>and</w:t>
            </w:r>
            <w:r w:rsidRPr="007E5CBF">
              <w:t xml:space="preserve"> Lintott</w:t>
            </w:r>
            <w:r w:rsidRPr="007E5CBF">
              <w:rPr>
                <w:i/>
              </w:rPr>
              <w:t xml:space="preserve"> </w:t>
            </w:r>
            <w:r w:rsidRPr="003824CB">
              <w:t>(2011)</w:t>
            </w:r>
            <w:r>
              <w:t>.</w:t>
            </w:r>
          </w:p>
        </w:tc>
      </w:tr>
      <w:tr w:rsidR="009C6940" w14:paraId="6BA8DD71" w14:textId="77777777" w:rsidTr="009C6940">
        <w:tc>
          <w:tcPr>
            <w:tcW w:w="5000" w:type="pct"/>
            <w:tcBorders>
              <w:top w:val="nil"/>
              <w:left w:val="nil"/>
              <w:bottom w:val="single" w:sz="6" w:space="0" w:color="78A22F"/>
              <w:right w:val="nil"/>
            </w:tcBorders>
            <w:shd w:val="clear" w:color="auto" w:fill="auto"/>
          </w:tcPr>
          <w:p w14:paraId="111B9ED4" w14:textId="77777777" w:rsidR="009C6940" w:rsidRDefault="009C6940" w:rsidP="009C6940">
            <w:pPr>
              <w:pStyle w:val="Box"/>
              <w:keepNext w:val="0"/>
              <w:spacing w:before="0" w:line="120" w:lineRule="exact"/>
            </w:pPr>
          </w:p>
        </w:tc>
      </w:tr>
    </w:tbl>
    <w:p w14:paraId="48441B41" w14:textId="77777777" w:rsidR="009C6940" w:rsidRDefault="009C6940" w:rsidP="009C6940">
      <w:pPr>
        <w:pStyle w:val="Heading2"/>
      </w:pPr>
      <w:r>
        <w:lastRenderedPageBreak/>
        <w:t>C.</w:t>
      </w:r>
      <w:r>
        <w:rPr>
          <w:noProof/>
        </w:rPr>
        <w:t>4</w:t>
      </w:r>
      <w:r>
        <w:tab/>
        <w:t>Mutual Obligation Requirements</w:t>
      </w:r>
    </w:p>
    <w:p w14:paraId="77D67955" w14:textId="77777777" w:rsidR="009C6940" w:rsidRDefault="009C6940" w:rsidP="009C6940">
      <w:pPr>
        <w:pStyle w:val="Heading3"/>
        <w:spacing w:before="280"/>
      </w:pPr>
      <w:r>
        <w:t>What are Mutual Obligation Requirements?</w:t>
      </w:r>
    </w:p>
    <w:p w14:paraId="79F9A138" w14:textId="77777777" w:rsidR="009C6940" w:rsidRDefault="009C6940" w:rsidP="009C6940">
      <w:pPr>
        <w:pStyle w:val="BodyText"/>
        <w:keepNext/>
      </w:pPr>
      <w:r>
        <w:t>Jobseeker Payment and Youth Allowance recipients participating in employment support programs are required to complete M</w:t>
      </w:r>
      <w:r w:rsidRPr="00804BA6">
        <w:t xml:space="preserve">utual </w:t>
      </w:r>
      <w:r>
        <w:t>O</w:t>
      </w:r>
      <w:r w:rsidRPr="00804BA6">
        <w:t xml:space="preserve">bligation </w:t>
      </w:r>
      <w:r>
        <w:t>R</w:t>
      </w:r>
      <w:r w:rsidRPr="00804BA6">
        <w:t>equirements (MORs)</w:t>
      </w:r>
      <w:r>
        <w:t xml:space="preserve">. Employment support providers determine participants’ MORs and are required to consider participants’ personal circumstances </w:t>
      </w:r>
      <w:r w:rsidRPr="00804BA6">
        <w:t>(</w:t>
      </w:r>
      <w:r>
        <w:t>including whether they have a</w:t>
      </w:r>
      <w:r w:rsidRPr="00521D94">
        <w:t xml:space="preserve"> </w:t>
      </w:r>
      <w:r>
        <w:t>mental illness)</w:t>
      </w:r>
      <w:r w:rsidRPr="00804BA6">
        <w:t xml:space="preserve"> </w:t>
      </w:r>
      <w:r>
        <w:t>and the local labour market when doing so. MORs come in two forms:</w:t>
      </w:r>
    </w:p>
    <w:p w14:paraId="78AADE8C" w14:textId="77777777" w:rsidR="009C6940" w:rsidRDefault="009C6940" w:rsidP="009C6940">
      <w:pPr>
        <w:pStyle w:val="ListBullet"/>
      </w:pPr>
      <w:r>
        <w:t>Job search activities (capped at 20 jobs per month).</w:t>
      </w:r>
    </w:p>
    <w:p w14:paraId="4E288EC7" w14:textId="77777777" w:rsidR="009C6940" w:rsidRDefault="009C6940" w:rsidP="009C6940">
      <w:pPr>
        <w:pStyle w:val="ListBullet"/>
      </w:pPr>
      <w:r>
        <w:t xml:space="preserve">Annual activity requirements (usually participation in Work for the Dole). jobactive participants take on annual activity requirements after receiving income support for more than 12 months, while CDP participants usually acquire annual activity requirements at the outset. </w:t>
      </w:r>
    </w:p>
    <w:p w14:paraId="04FA541E" w14:textId="77777777" w:rsidR="009C6940" w:rsidRPr="00804BA6" w:rsidRDefault="009C6940" w:rsidP="009C6940">
      <w:pPr>
        <w:pStyle w:val="BodyText"/>
      </w:pPr>
      <w:r w:rsidRPr="00804BA6">
        <w:t xml:space="preserve">Participants must </w:t>
      </w:r>
      <w:r>
        <w:t xml:space="preserve">also </w:t>
      </w:r>
      <w:r w:rsidRPr="00804BA6">
        <w:t xml:space="preserve">attend </w:t>
      </w:r>
      <w:r>
        <w:t>appointments with</w:t>
      </w:r>
      <w:r w:rsidRPr="00804BA6">
        <w:t xml:space="preserve"> S</w:t>
      </w:r>
      <w:r>
        <w:t>ervices</w:t>
      </w:r>
      <w:r w:rsidRPr="00804BA6">
        <w:t xml:space="preserve"> </w:t>
      </w:r>
      <w:r>
        <w:t xml:space="preserve">Australia </w:t>
      </w:r>
      <w:r w:rsidRPr="00804BA6">
        <w:t>and</w:t>
      </w:r>
      <w:r>
        <w:t xml:space="preserve"> their employment support</w:t>
      </w:r>
      <w:r w:rsidRPr="00804BA6">
        <w:t xml:space="preserve"> </w:t>
      </w:r>
      <w:r>
        <w:t xml:space="preserve">provider </w:t>
      </w:r>
      <w:r w:rsidRPr="00804BA6">
        <w:t>and attend or act upon any job interviews or job referrals from providers</w:t>
      </w:r>
      <w:r>
        <w:t xml:space="preserve"> </w:t>
      </w:r>
      <w:r w:rsidRPr="002233FD">
        <w:rPr>
          <w:szCs w:val="24"/>
        </w:rPr>
        <w:t>(Australian Government </w:t>
      </w:r>
      <w:r w:rsidRPr="00285E36">
        <w:rPr>
          <w:szCs w:val="24"/>
        </w:rPr>
        <w:t>2017, 2019b)</w:t>
      </w:r>
      <w:r w:rsidRPr="00804BA6">
        <w:t xml:space="preserve">. </w:t>
      </w:r>
    </w:p>
    <w:p w14:paraId="1279C4FD" w14:textId="77777777" w:rsidR="009C6940" w:rsidRPr="00E123A4" w:rsidRDefault="009C6940">
      <w:pPr>
        <w:pStyle w:val="BodyText"/>
      </w:pPr>
      <w:r>
        <w:t>Under the N</w:t>
      </w:r>
      <w:r w:rsidRPr="00804BA6">
        <w:t xml:space="preserve">ew </w:t>
      </w:r>
      <w:r>
        <w:t>E</w:t>
      </w:r>
      <w:r w:rsidRPr="00804BA6">
        <w:t xml:space="preserve">mployment </w:t>
      </w:r>
      <w:r>
        <w:t>S</w:t>
      </w:r>
      <w:r w:rsidRPr="00804BA6">
        <w:t>ervices</w:t>
      </w:r>
      <w:r>
        <w:t xml:space="preserve">, it is anticipated that </w:t>
      </w:r>
      <w:r w:rsidRPr="00804BA6">
        <w:t xml:space="preserve">MORs </w:t>
      </w:r>
      <w:r>
        <w:t>will transition to a</w:t>
      </w:r>
      <w:r w:rsidRPr="00804BA6">
        <w:t xml:space="preserve"> points</w:t>
      </w:r>
      <w:r>
        <w:noBreakHyphen/>
      </w:r>
      <w:r w:rsidRPr="00804BA6">
        <w:t>based system. More intensive activities (</w:t>
      </w:r>
      <w:r w:rsidRPr="00521D94">
        <w:t xml:space="preserve">for example, </w:t>
      </w:r>
      <w:r w:rsidRPr="00804BA6">
        <w:t xml:space="preserve">job interviews and job search) </w:t>
      </w:r>
      <w:r>
        <w:t xml:space="preserve">will </w:t>
      </w:r>
      <w:r w:rsidRPr="00804BA6">
        <w:t>receive more points</w:t>
      </w:r>
      <w:r>
        <w:t xml:space="preserve"> than less intensive activities </w:t>
      </w:r>
      <w:r w:rsidRPr="00B374A1">
        <w:t>(DESE 2020</w:t>
      </w:r>
      <w:r>
        <w:t>b</w:t>
      </w:r>
      <w:r w:rsidRPr="00B374A1">
        <w:t>)</w:t>
      </w:r>
      <w:r>
        <w:t>.</w:t>
      </w:r>
    </w:p>
    <w:p w14:paraId="6486D954" w14:textId="77777777" w:rsidR="009C6940" w:rsidRDefault="009C6940" w:rsidP="009C6940">
      <w:pPr>
        <w:pStyle w:val="Heading3"/>
      </w:pPr>
      <w:r>
        <w:t>Complaints against Mutual Obligation Requirements and compliance frameworks</w:t>
      </w:r>
    </w:p>
    <w:p w14:paraId="244C46EE" w14:textId="77777777" w:rsidR="009C6940" w:rsidRDefault="009C6940" w:rsidP="009C6940">
      <w:pPr>
        <w:pStyle w:val="BodyText"/>
      </w:pPr>
      <w:r>
        <w:t xml:space="preserve">Some participants to this Inquiry raised concerns about potentially negative impacts of MORs, provider interactions and the Targeted Compliance Framework on participants. </w:t>
      </w:r>
    </w:p>
    <w:p w14:paraId="1D49E304" w14:textId="77777777" w:rsidR="009C6940" w:rsidRPr="00917567" w:rsidRDefault="009C6940" w:rsidP="009C6940">
      <w:pPr>
        <w:pStyle w:val="Quote"/>
      </w:pPr>
      <w:r w:rsidRPr="001074D4">
        <w:t xml:space="preserve">With the crippling anxiety I was experiencing appointments with the </w:t>
      </w:r>
      <w:r>
        <w:t xml:space="preserve">[jobactive] </w:t>
      </w:r>
      <w:r w:rsidRPr="001074D4">
        <w:t>provider sent it into overdrive</w:t>
      </w:r>
      <w:r>
        <w:t xml:space="preserve">. </w:t>
      </w:r>
      <w:r w:rsidRPr="000932BB">
        <w:t>(ACOSS, sub. 270, p. 2)</w:t>
      </w:r>
    </w:p>
    <w:p w14:paraId="3696E007" w14:textId="77777777" w:rsidR="009C6940" w:rsidRDefault="009C6940" w:rsidP="009C6940">
      <w:pPr>
        <w:pStyle w:val="Quote"/>
      </w:pPr>
      <w:r w:rsidRPr="00917567">
        <w:t>Employment agency and Centrelink requirements continue to be the number one reason in forcing me to stop work/study/volunteer work … due to Mutual Obligation requirements and dramatically contribute to deteri</w:t>
      </w:r>
      <w:r>
        <w:t>oration of Mental well</w:t>
      </w:r>
      <w:r>
        <w:noBreakHyphen/>
        <w:t>being. (CH</w:t>
      </w:r>
      <w:r w:rsidRPr="00917567">
        <w:t>F,</w:t>
      </w:r>
      <w:r>
        <w:t xml:space="preserve"> sub. </w:t>
      </w:r>
      <w:r w:rsidRPr="00917567">
        <w:t>496,</w:t>
      </w:r>
      <w:r>
        <w:t xml:space="preserve"> p. </w:t>
      </w:r>
      <w:r w:rsidRPr="00917567">
        <w:t>41)</w:t>
      </w:r>
    </w:p>
    <w:p w14:paraId="551D42A2" w14:textId="77777777" w:rsidR="009C6940" w:rsidRPr="00694705" w:rsidRDefault="009C6940" w:rsidP="009C6940">
      <w:pPr>
        <w:pStyle w:val="Quote"/>
      </w:pPr>
      <w:r w:rsidRPr="00917567">
        <w:t xml:space="preserve">Members [have indicated] that the TCF [Targeted Compliance Framework] can engender a greater level of stress for </w:t>
      </w:r>
      <w:r>
        <w:t xml:space="preserve">these </w:t>
      </w:r>
      <w:r w:rsidRPr="00917567">
        <w:t>jobseekers, detracting from their well</w:t>
      </w:r>
      <w:r>
        <w:noBreakHyphen/>
      </w:r>
      <w:r w:rsidRPr="00917567">
        <w:t>being and stability, generating barriers to employment</w:t>
      </w:r>
      <w:r>
        <w:t>.</w:t>
      </w:r>
      <w:r w:rsidRPr="00917567">
        <w:t xml:space="preserve"> (</w:t>
      </w:r>
      <w:r>
        <w:t>JA, sub. 3</w:t>
      </w:r>
      <w:r w:rsidRPr="00917567">
        <w:t>98,</w:t>
      </w:r>
      <w:r>
        <w:t xml:space="preserve"> p. </w:t>
      </w:r>
      <w:r w:rsidRPr="00917567">
        <w:t>8)</w:t>
      </w:r>
    </w:p>
    <w:p w14:paraId="5E9235BD" w14:textId="77777777" w:rsidR="009C6940" w:rsidRDefault="009C6940" w:rsidP="009C6940">
      <w:pPr>
        <w:pStyle w:val="Quote"/>
      </w:pPr>
      <w:r w:rsidRPr="009227B0">
        <w:t xml:space="preserve">It is frustrating to see governments talk about improving mental health on one hand, and then introduce harsh penalties for vulnerable people on welfare, without seeming to recognise the barriers to employment for many with mental health problems. </w:t>
      </w:r>
      <w:r w:rsidRPr="00B000C1">
        <w:t>Cashless</w:t>
      </w:r>
      <w:r w:rsidRPr="009227B0">
        <w:t xml:space="preserve"> welfare cards, robo</w:t>
      </w:r>
      <w:r>
        <w:noBreakHyphen/>
      </w:r>
      <w:r w:rsidRPr="009227B0">
        <w:t>debt policies and harsh measures against welfare recipients are likely to impact most specifically on those experiencing mental illness.</w:t>
      </w:r>
      <w:r>
        <w:t xml:space="preserve"> (AMA, sub. 387, p. 6)</w:t>
      </w:r>
    </w:p>
    <w:p w14:paraId="2A247B4A" w14:textId="77777777" w:rsidR="009C6940" w:rsidRDefault="009C6940" w:rsidP="009C6940">
      <w:pPr>
        <w:pStyle w:val="Quote"/>
      </w:pPr>
      <w:r w:rsidRPr="009227B0">
        <w:lastRenderedPageBreak/>
        <w:t>The last 15 years have seen increasingly punitive and</w:t>
      </w:r>
      <w:r>
        <w:t xml:space="preserve"> inflexible requirements placed </w:t>
      </w:r>
      <w:r w:rsidRPr="009227B0">
        <w:t>on recipients of income</w:t>
      </w:r>
      <w:r>
        <w:t xml:space="preserve"> support payments …</w:t>
      </w:r>
      <w:r w:rsidRPr="009227B0">
        <w:t xml:space="preserve"> harsh sanctions</w:t>
      </w:r>
      <w:r>
        <w:t xml:space="preserve"> </w:t>
      </w:r>
      <w:r w:rsidRPr="009227B0">
        <w:t xml:space="preserve">regimes, unreasonable job search requirements, and proposals for random </w:t>
      </w:r>
      <w:r w:rsidRPr="001A7B82">
        <w:t>drug</w:t>
      </w:r>
      <w:r>
        <w:t xml:space="preserve"> </w:t>
      </w:r>
      <w:r w:rsidRPr="001A7B82">
        <w:t>testing</w:t>
      </w:r>
      <w:r w:rsidRPr="009227B0">
        <w:t>, all demonise and stigmatise people, and cause significant stress.</w:t>
      </w:r>
      <w:r>
        <w:t xml:space="preserve"> (cohealth, sub. 231, p. 10)</w:t>
      </w:r>
    </w:p>
    <w:p w14:paraId="549A8160" w14:textId="77777777" w:rsidR="009C6940" w:rsidRPr="009450BC" w:rsidRDefault="009C6940" w:rsidP="009C6940">
      <w:pPr>
        <w:pStyle w:val="Quote"/>
      </w:pPr>
      <w:r w:rsidRPr="007D0C61">
        <w:t xml:space="preserve">I have been penalised a few times with suspensions and only on one of these occasions was it my own doing </w:t>
      </w:r>
      <w:r>
        <w:t>…</w:t>
      </w:r>
      <w:r w:rsidRPr="007D0C61">
        <w:t xml:space="preserve"> When the sms comes at 4.55pm that your payments have been suspended, not knowing what for, it makes for high anxiety, especially when you know you've done nothing wrong. </w:t>
      </w:r>
      <w:r>
        <w:t xml:space="preserve">99% of my suspensions have been an error on my agencies behalf. </w:t>
      </w:r>
      <w:r w:rsidRPr="007D0C61">
        <w:t>So, we live our lives daily with the unknown threat of non</w:t>
      </w:r>
      <w:r>
        <w:t xml:space="preserve"> </w:t>
      </w:r>
      <w:r w:rsidRPr="007D0C61">
        <w:t>compliance</w:t>
      </w:r>
      <w:r>
        <w:t>.</w:t>
      </w:r>
      <w:r w:rsidRPr="007D0C61">
        <w:t xml:space="preserve"> (Ewen Kloas, sub. 567, p. </w:t>
      </w:r>
      <w:r>
        <w:t>2</w:t>
      </w:r>
      <w:r w:rsidRPr="007D0C61">
        <w:t>)</w:t>
      </w:r>
    </w:p>
    <w:p w14:paraId="46622241" w14:textId="77777777" w:rsidR="009C6940" w:rsidRDefault="009C6940" w:rsidP="009C6940">
      <w:pPr>
        <w:pStyle w:val="Heading2"/>
      </w:pPr>
      <w:r>
        <w:t>C.</w:t>
      </w:r>
      <w:r>
        <w:rPr>
          <w:noProof/>
        </w:rPr>
        <w:t>5</w:t>
      </w:r>
      <w:r>
        <w:tab/>
        <w:t>Temporary changes to income and employment support in response to the COVID-19 pandemic</w:t>
      </w:r>
    </w:p>
    <w:p w14:paraId="3DC90469" w14:textId="77777777" w:rsidR="009C6940" w:rsidRDefault="009C6940" w:rsidP="009C6940">
      <w:pPr>
        <w:pStyle w:val="BodyText"/>
        <w:keepNext/>
      </w:pPr>
      <w:r>
        <w:t>As part of the Australian Government’s response to the COVID</w:t>
      </w:r>
      <w:r>
        <w:noBreakHyphen/>
        <w:t>19 pandemic, temporary changes have been made to income support payments and associated employment support programs. These include:</w:t>
      </w:r>
    </w:p>
    <w:p w14:paraId="63BB0017" w14:textId="77777777" w:rsidR="009C6940" w:rsidRDefault="009C6940" w:rsidP="009C6940">
      <w:pPr>
        <w:pStyle w:val="ListBullet"/>
      </w:pPr>
      <w:r w:rsidRPr="00097821">
        <w:t xml:space="preserve">introducing </w:t>
      </w:r>
      <w:r>
        <w:t>the Coronavirus Supplement, a fortnightly payment of $550 to non</w:t>
      </w:r>
      <w:r>
        <w:noBreakHyphen/>
        <w:t xml:space="preserve">pension income support recipients (including all JobSeeker Payment and Youth Allowance recipients) </w:t>
      </w:r>
      <w:r w:rsidRPr="00381406">
        <w:rPr>
          <w:szCs w:val="24"/>
        </w:rPr>
        <w:t>(Services Australia 2020b)</w:t>
      </w:r>
    </w:p>
    <w:p w14:paraId="17FF6B4B" w14:textId="77777777" w:rsidR="009C6940" w:rsidRDefault="009C6940" w:rsidP="009C6940">
      <w:pPr>
        <w:pStyle w:val="ListBullet"/>
      </w:pPr>
      <w:r w:rsidRPr="00097821">
        <w:t xml:space="preserve">introducing </w:t>
      </w:r>
      <w:r>
        <w:t>the First Economic Support Payment, a one</w:t>
      </w:r>
      <w:r>
        <w:noBreakHyphen/>
        <w:t>off payment of $750 in March 2020 to pension and non</w:t>
      </w:r>
      <w:r>
        <w:noBreakHyphen/>
        <w:t xml:space="preserve">pension income support recipients </w:t>
      </w:r>
      <w:r w:rsidRPr="001B49AC">
        <w:rPr>
          <w:szCs w:val="24"/>
        </w:rPr>
        <w:t>(Services Australia 2020c)</w:t>
      </w:r>
    </w:p>
    <w:p w14:paraId="3CC3D62B" w14:textId="77777777" w:rsidR="009C6940" w:rsidRDefault="009C6940" w:rsidP="009C6940">
      <w:pPr>
        <w:pStyle w:val="ListBullet"/>
      </w:pPr>
      <w:r w:rsidRPr="00097821">
        <w:t xml:space="preserve">introducing </w:t>
      </w:r>
      <w:r>
        <w:t>the Second Economic Support Payment, a one</w:t>
      </w:r>
      <w:r>
        <w:noBreakHyphen/>
        <w:t>off payment of $750 planned for July 2020 to pension and non</w:t>
      </w:r>
      <w:r>
        <w:noBreakHyphen/>
        <w:t xml:space="preserve">pension income support recipients who are not eligible for the Coronavirus Supplement </w:t>
      </w:r>
      <w:r w:rsidRPr="001B49AC">
        <w:rPr>
          <w:szCs w:val="24"/>
        </w:rPr>
        <w:t>(Services Australia 2020c)</w:t>
      </w:r>
    </w:p>
    <w:p w14:paraId="3FFBF2C2" w14:textId="77777777" w:rsidR="009C6940" w:rsidRDefault="009C6940" w:rsidP="009C6940">
      <w:pPr>
        <w:pStyle w:val="ListBullet"/>
      </w:pPr>
      <w:r>
        <w:t>granting an exemption from MORs for participants isolated at home due to COVID</w:t>
      </w:r>
      <w:r>
        <w:noBreakHyphen/>
        <w:t xml:space="preserve">19 </w:t>
      </w:r>
      <w:r w:rsidRPr="00381406">
        <w:rPr>
          <w:szCs w:val="24"/>
        </w:rPr>
        <w:t>(Services Australia 2020b)</w:t>
      </w:r>
    </w:p>
    <w:p w14:paraId="3F9CCCBA" w14:textId="77777777" w:rsidR="009C6940" w:rsidRDefault="009C6940" w:rsidP="009C6940">
      <w:pPr>
        <w:pStyle w:val="ListBullet"/>
      </w:pPr>
      <w:r>
        <w:t>allowing some employment support participants with caring responsibilities to be exempt from MORs (for example, a parent caring for a child whose school has been closed due to COVID</w:t>
      </w:r>
      <w:r>
        <w:noBreakHyphen/>
        <w:t xml:space="preserve">19) </w:t>
      </w:r>
      <w:r w:rsidRPr="00381406">
        <w:rPr>
          <w:szCs w:val="24"/>
        </w:rPr>
        <w:t>(Services Australia 2020b)</w:t>
      </w:r>
    </w:p>
    <w:p w14:paraId="7D66C3A6" w14:textId="77777777" w:rsidR="009C6940" w:rsidRDefault="009C6940" w:rsidP="009C6940">
      <w:pPr>
        <w:pStyle w:val="ListBullet"/>
      </w:pPr>
      <w:r>
        <w:t>expanding the eligibility criteria for the JobSeeker Payment and Youth Allowance to include sole traders, self</w:t>
      </w:r>
      <w:r>
        <w:noBreakHyphen/>
        <w:t>employed people, permanent employees who have lost their jobs, and people caring for someone with or isolated because of COVID</w:t>
      </w:r>
      <w:r>
        <w:noBreakHyphen/>
        <w:t xml:space="preserve">19 </w:t>
      </w:r>
      <w:r w:rsidRPr="00662050">
        <w:rPr>
          <w:szCs w:val="24"/>
        </w:rPr>
        <w:t>(DSS 2020)</w:t>
      </w:r>
    </w:p>
    <w:p w14:paraId="6A6CAD77" w14:textId="77777777" w:rsidR="009C6940" w:rsidRDefault="009C6940" w:rsidP="009C6940">
      <w:pPr>
        <w:pStyle w:val="ListBullet"/>
      </w:pPr>
      <w:r>
        <w:t xml:space="preserve">waiving assets tests and waiting periods for some payments and removing the requirement for proof of unemployment, rental arrangements and relationship status </w:t>
      </w:r>
      <w:r w:rsidRPr="00381406">
        <w:rPr>
          <w:szCs w:val="24"/>
        </w:rPr>
        <w:t>(Services Australia 2020a)</w:t>
      </w:r>
    </w:p>
    <w:p w14:paraId="6647994D" w14:textId="77777777" w:rsidR="009C6940" w:rsidRDefault="009C6940" w:rsidP="009C6940">
      <w:pPr>
        <w:pStyle w:val="ListBullet"/>
      </w:pPr>
      <w:r>
        <w:t xml:space="preserve">reducing the maximum number of job searches that employment support participants must complete from 20 to 4 per month </w:t>
      </w:r>
      <w:r w:rsidRPr="001B49AC">
        <w:rPr>
          <w:szCs w:val="24"/>
        </w:rPr>
        <w:t>(Services Australia 2020d)</w:t>
      </w:r>
      <w:r>
        <w:t xml:space="preserve">. </w:t>
      </w:r>
    </w:p>
    <w:p w14:paraId="63D10E77" w14:textId="77777777" w:rsidR="009C6940" w:rsidRPr="0085206F" w:rsidRDefault="009C6940" w:rsidP="0085206F">
      <w:pPr>
        <w:pStyle w:val="Heading1NotTOC"/>
      </w:pPr>
      <w:r w:rsidRPr="0085206F">
        <w:lastRenderedPageBreak/>
        <w:t>References</w:t>
      </w:r>
    </w:p>
    <w:p w14:paraId="6624CFDB" w14:textId="77777777" w:rsidR="009C6940" w:rsidRPr="00034E7D" w:rsidRDefault="009C6940" w:rsidP="009C6940">
      <w:pPr>
        <w:pStyle w:val="Reference"/>
        <w:spacing w:before="100" w:line="260" w:lineRule="atLeast"/>
        <w:rPr>
          <w:sz w:val="20"/>
        </w:rPr>
      </w:pPr>
      <w:r w:rsidRPr="00034E7D">
        <w:rPr>
          <w:sz w:val="20"/>
        </w:rPr>
        <w:t xml:space="preserve">ANAO (Australian National Audit Office) 2017a, </w:t>
      </w:r>
      <w:r w:rsidRPr="00034E7D">
        <w:rPr>
          <w:i/>
          <w:iCs/>
          <w:sz w:val="20"/>
        </w:rPr>
        <w:t>Design and Implementation of the Community Development Programme</w:t>
      </w:r>
      <w:r w:rsidRPr="00034E7D">
        <w:rPr>
          <w:sz w:val="20"/>
        </w:rPr>
        <w:t>, Performance Audit, Report no. 14 2017-18, Canberra.</w:t>
      </w:r>
    </w:p>
    <w:p w14:paraId="2D470297" w14:textId="77777777" w:rsidR="009C6940" w:rsidRPr="00034E7D" w:rsidRDefault="009C6940" w:rsidP="009C6940">
      <w:pPr>
        <w:pStyle w:val="Reference"/>
        <w:spacing w:before="100" w:line="260" w:lineRule="atLeast"/>
        <w:rPr>
          <w:sz w:val="20"/>
        </w:rPr>
      </w:pPr>
      <w:r w:rsidRPr="00034E7D">
        <w:rPr>
          <w:sz w:val="20"/>
        </w:rPr>
        <w:t xml:space="preserve">—— 2017b, </w:t>
      </w:r>
      <w:r w:rsidRPr="00034E7D">
        <w:rPr>
          <w:i/>
          <w:iCs/>
          <w:sz w:val="20"/>
        </w:rPr>
        <w:t>jobactive: Design and Monitoring</w:t>
      </w:r>
      <w:r w:rsidRPr="00034E7D">
        <w:rPr>
          <w:sz w:val="20"/>
        </w:rPr>
        <w:t>, Performance Audit, Report no. 4 2017-18, Canberra.</w:t>
      </w:r>
    </w:p>
    <w:p w14:paraId="183B2244" w14:textId="77777777" w:rsidR="009C6940" w:rsidRPr="008C2920" w:rsidRDefault="009C6940" w:rsidP="009C6940">
      <w:pPr>
        <w:pStyle w:val="Reference"/>
        <w:spacing w:before="100" w:line="260" w:lineRule="atLeast"/>
        <w:rPr>
          <w:spacing w:val="-2"/>
          <w:sz w:val="20"/>
        </w:rPr>
      </w:pPr>
      <w:r w:rsidRPr="008C2920">
        <w:rPr>
          <w:spacing w:val="-2"/>
          <w:sz w:val="20"/>
        </w:rPr>
        <w:t xml:space="preserve">—— 2018, </w:t>
      </w:r>
      <w:r w:rsidRPr="008C2920">
        <w:rPr>
          <w:i/>
          <w:iCs/>
          <w:spacing w:val="-2"/>
          <w:sz w:val="20"/>
        </w:rPr>
        <w:t>Disability Support Pension — Follow-on Audit</w:t>
      </w:r>
      <w:r w:rsidRPr="008C2920">
        <w:rPr>
          <w:spacing w:val="-2"/>
          <w:sz w:val="20"/>
        </w:rPr>
        <w:t>, Performance Audit, Report no. 13 2018-19, Canberra.</w:t>
      </w:r>
    </w:p>
    <w:p w14:paraId="2F9E4227" w14:textId="77777777" w:rsidR="009C6940" w:rsidRPr="00034E7D" w:rsidRDefault="009C6940" w:rsidP="009C6940">
      <w:pPr>
        <w:pStyle w:val="Reference"/>
        <w:spacing w:before="100" w:line="260" w:lineRule="atLeast"/>
        <w:rPr>
          <w:sz w:val="20"/>
        </w:rPr>
      </w:pPr>
      <w:r w:rsidRPr="00034E7D">
        <w:rPr>
          <w:sz w:val="20"/>
        </w:rPr>
        <w:t xml:space="preserve">Australian Government 2017, </w:t>
      </w:r>
      <w:r w:rsidRPr="00034E7D">
        <w:rPr>
          <w:i/>
          <w:iCs/>
          <w:sz w:val="20"/>
        </w:rPr>
        <w:t>Job Seeker Compliance Framework Guideline</w:t>
      </w:r>
      <w:r w:rsidRPr="00034E7D">
        <w:rPr>
          <w:sz w:val="20"/>
        </w:rPr>
        <w:t>, Canberra.</w:t>
      </w:r>
    </w:p>
    <w:p w14:paraId="655C9587" w14:textId="77777777" w:rsidR="009C6940" w:rsidRPr="00034E7D" w:rsidRDefault="009C6940" w:rsidP="009C6940">
      <w:pPr>
        <w:pStyle w:val="Reference"/>
        <w:spacing w:before="100" w:line="260" w:lineRule="atLeast"/>
        <w:rPr>
          <w:sz w:val="20"/>
        </w:rPr>
      </w:pPr>
      <w:r w:rsidRPr="00034E7D">
        <w:rPr>
          <w:sz w:val="20"/>
        </w:rPr>
        <w:t xml:space="preserve">—— 2019a, </w:t>
      </w:r>
      <w:r w:rsidRPr="00034E7D">
        <w:rPr>
          <w:i/>
          <w:iCs/>
          <w:sz w:val="20"/>
        </w:rPr>
        <w:t>Assessments Guideline — Job Seeker Classification Instrument (JSCI) and Employment Services Assessment (ESAt)</w:t>
      </w:r>
      <w:r w:rsidRPr="00034E7D">
        <w:rPr>
          <w:sz w:val="20"/>
        </w:rPr>
        <w:t>, Canberra.</w:t>
      </w:r>
    </w:p>
    <w:p w14:paraId="2BE14133" w14:textId="77777777" w:rsidR="009C6940" w:rsidRPr="00034E7D" w:rsidRDefault="009C6940" w:rsidP="009C6940">
      <w:pPr>
        <w:pStyle w:val="Reference"/>
        <w:spacing w:before="100" w:line="260" w:lineRule="atLeast"/>
        <w:rPr>
          <w:sz w:val="20"/>
        </w:rPr>
      </w:pPr>
      <w:r w:rsidRPr="00034E7D">
        <w:rPr>
          <w:sz w:val="20"/>
        </w:rPr>
        <w:t xml:space="preserve">—— 2019b, </w:t>
      </w:r>
      <w:r w:rsidRPr="00034E7D">
        <w:rPr>
          <w:i/>
          <w:iCs/>
          <w:sz w:val="20"/>
        </w:rPr>
        <w:t>Targeted Compliance Framework: Mutual Obligation Failures</w:t>
      </w:r>
      <w:r w:rsidRPr="00034E7D">
        <w:rPr>
          <w:sz w:val="20"/>
        </w:rPr>
        <w:t>, Canberra.</w:t>
      </w:r>
    </w:p>
    <w:p w14:paraId="7B8EFD3E" w14:textId="77777777" w:rsidR="009C6940" w:rsidRPr="00034E7D" w:rsidRDefault="009C6940" w:rsidP="009C6940">
      <w:pPr>
        <w:pStyle w:val="Reference"/>
        <w:spacing w:before="100" w:line="260" w:lineRule="atLeast"/>
        <w:rPr>
          <w:sz w:val="20"/>
        </w:rPr>
      </w:pPr>
      <w:r w:rsidRPr="00034E7D">
        <w:rPr>
          <w:sz w:val="20"/>
        </w:rPr>
        <w:t xml:space="preserve">Becker, D.R., Swanson, S.J., Reese, S., L., Bond, G.R. and McLeman, B.M. 2015, </w:t>
      </w:r>
      <w:r w:rsidRPr="00034E7D">
        <w:rPr>
          <w:i/>
          <w:iCs/>
          <w:sz w:val="20"/>
        </w:rPr>
        <w:t>Supported Employment Fidelity Review Manual</w:t>
      </w:r>
      <w:r w:rsidRPr="00034E7D">
        <w:rPr>
          <w:sz w:val="20"/>
        </w:rPr>
        <w:t>, Dartmouth Psychiatric Research Center, New Hampshire, USA.</w:t>
      </w:r>
    </w:p>
    <w:p w14:paraId="37962ACF" w14:textId="77777777" w:rsidR="009C6940" w:rsidRPr="008C2920" w:rsidRDefault="009C6940" w:rsidP="009C6940">
      <w:pPr>
        <w:pStyle w:val="Reference"/>
        <w:spacing w:before="100" w:line="260" w:lineRule="atLeast"/>
        <w:rPr>
          <w:spacing w:val="-2"/>
          <w:sz w:val="20"/>
        </w:rPr>
      </w:pPr>
      <w:r w:rsidRPr="008C2920">
        <w:rPr>
          <w:spacing w:val="-2"/>
          <w:sz w:val="20"/>
        </w:rPr>
        <w:t xml:space="preserve">DESE (Department of Education, Skills and Employment) 2020a, </w:t>
      </w:r>
      <w:r w:rsidRPr="008C2920">
        <w:rPr>
          <w:i/>
          <w:iCs/>
          <w:spacing w:val="-2"/>
          <w:sz w:val="20"/>
        </w:rPr>
        <w:t>Introducing Transition to Work</w:t>
      </w:r>
      <w:r w:rsidRPr="008C2920">
        <w:rPr>
          <w:spacing w:val="-2"/>
          <w:sz w:val="20"/>
        </w:rPr>
        <w:t>, Fact sheet, Canberra.</w:t>
      </w:r>
    </w:p>
    <w:p w14:paraId="16F527A2" w14:textId="77777777" w:rsidR="009C6940" w:rsidRPr="00034E7D" w:rsidRDefault="009C6940" w:rsidP="009C6940">
      <w:pPr>
        <w:pStyle w:val="Reference"/>
        <w:spacing w:before="100" w:line="260" w:lineRule="atLeast"/>
        <w:rPr>
          <w:sz w:val="20"/>
        </w:rPr>
      </w:pPr>
      <w:r w:rsidRPr="00034E7D">
        <w:rPr>
          <w:sz w:val="20"/>
        </w:rPr>
        <w:t xml:space="preserve">—— 2020b, </w:t>
      </w:r>
      <w:r w:rsidRPr="00034E7D">
        <w:rPr>
          <w:i/>
          <w:iCs/>
          <w:sz w:val="20"/>
        </w:rPr>
        <w:t>New Employment Service Model</w:t>
      </w:r>
      <w:r w:rsidRPr="00034E7D">
        <w:rPr>
          <w:sz w:val="20"/>
        </w:rPr>
        <w:t>, www.employment.gov.au/new-employment-services-model (accessed 7 May 2020).</w:t>
      </w:r>
    </w:p>
    <w:p w14:paraId="55FE42EC" w14:textId="77777777" w:rsidR="009C6940" w:rsidRPr="00034E7D" w:rsidRDefault="009C6940" w:rsidP="009C6940">
      <w:pPr>
        <w:pStyle w:val="Reference"/>
        <w:spacing w:before="100" w:line="260" w:lineRule="atLeast"/>
        <w:rPr>
          <w:sz w:val="20"/>
        </w:rPr>
      </w:pPr>
      <w:r w:rsidRPr="00034E7D">
        <w:rPr>
          <w:sz w:val="20"/>
        </w:rPr>
        <w:t xml:space="preserve">—— 2020c, </w:t>
      </w:r>
      <w:r w:rsidRPr="00034E7D">
        <w:rPr>
          <w:i/>
          <w:iCs/>
          <w:sz w:val="20"/>
        </w:rPr>
        <w:t>Time to Work Employment Service</w:t>
      </w:r>
      <w:r w:rsidRPr="00034E7D">
        <w:rPr>
          <w:sz w:val="20"/>
        </w:rPr>
        <w:t>, www.jobs.gov.au/time-work-employment-service (accessed 21 May 2020).</w:t>
      </w:r>
    </w:p>
    <w:p w14:paraId="165A461B" w14:textId="77777777" w:rsidR="009C6940" w:rsidRPr="00034E7D" w:rsidRDefault="009C6940" w:rsidP="009C6940">
      <w:pPr>
        <w:pStyle w:val="Reference"/>
        <w:spacing w:before="100" w:line="260" w:lineRule="atLeast"/>
        <w:rPr>
          <w:sz w:val="20"/>
        </w:rPr>
      </w:pPr>
      <w:r w:rsidRPr="00034E7D">
        <w:rPr>
          <w:sz w:val="20"/>
        </w:rPr>
        <w:t xml:space="preserve">DJSB (Department of Jobs and Small Business) 2019, </w:t>
      </w:r>
      <w:r w:rsidRPr="00034E7D">
        <w:rPr>
          <w:i/>
          <w:iCs/>
          <w:sz w:val="20"/>
        </w:rPr>
        <w:t>Budget 2019-20: Jobs and Small Business Portfolio</w:t>
      </w:r>
      <w:r w:rsidRPr="00034E7D">
        <w:rPr>
          <w:sz w:val="20"/>
        </w:rPr>
        <w:t>, Portfolio Budget Statements 2019-20, Budget Related Paper No. 1.13, Canberra.</w:t>
      </w:r>
    </w:p>
    <w:p w14:paraId="204042A4" w14:textId="77777777" w:rsidR="009C6940" w:rsidRPr="00034E7D" w:rsidRDefault="009C6940" w:rsidP="009C6940">
      <w:pPr>
        <w:pStyle w:val="Reference"/>
        <w:spacing w:before="100" w:line="260" w:lineRule="atLeast"/>
        <w:rPr>
          <w:sz w:val="20"/>
        </w:rPr>
      </w:pPr>
      <w:r w:rsidRPr="00034E7D">
        <w:rPr>
          <w:sz w:val="20"/>
        </w:rPr>
        <w:t xml:space="preserve">DSS (Department of Social Services) 2013, </w:t>
      </w:r>
      <w:r w:rsidRPr="00034E7D">
        <w:rPr>
          <w:i/>
          <w:iCs/>
          <w:sz w:val="20"/>
        </w:rPr>
        <w:t>Characteristics of Disability Support Pension Recipients June 2013</w:t>
      </w:r>
      <w:r w:rsidRPr="00034E7D">
        <w:rPr>
          <w:sz w:val="20"/>
        </w:rPr>
        <w:t>, Canberra.</w:t>
      </w:r>
    </w:p>
    <w:p w14:paraId="5C495655" w14:textId="77777777" w:rsidR="009C6940" w:rsidRPr="00034E7D" w:rsidRDefault="009C6940" w:rsidP="009C6940">
      <w:pPr>
        <w:pStyle w:val="Reference"/>
        <w:spacing w:before="100" w:line="260" w:lineRule="atLeast"/>
        <w:rPr>
          <w:sz w:val="20"/>
        </w:rPr>
      </w:pPr>
      <w:r w:rsidRPr="00034E7D">
        <w:rPr>
          <w:sz w:val="20"/>
        </w:rPr>
        <w:t xml:space="preserve">—— 2016, </w:t>
      </w:r>
      <w:r w:rsidRPr="00034E7D">
        <w:rPr>
          <w:i/>
          <w:iCs/>
          <w:sz w:val="20"/>
        </w:rPr>
        <w:t>Disability Support Pension Payment Trends and Profile Report June 2016</w:t>
      </w:r>
      <w:r w:rsidRPr="00034E7D">
        <w:rPr>
          <w:sz w:val="20"/>
        </w:rPr>
        <w:t>, Canberra.</w:t>
      </w:r>
    </w:p>
    <w:p w14:paraId="0481E308" w14:textId="77777777" w:rsidR="009C6940" w:rsidRPr="00034E7D" w:rsidRDefault="009C6940" w:rsidP="009C6940">
      <w:pPr>
        <w:pStyle w:val="Reference"/>
        <w:spacing w:before="100" w:line="260" w:lineRule="atLeast"/>
        <w:rPr>
          <w:sz w:val="20"/>
        </w:rPr>
      </w:pPr>
      <w:r w:rsidRPr="00034E7D">
        <w:rPr>
          <w:sz w:val="20"/>
        </w:rPr>
        <w:t xml:space="preserve">—— 2018a, </w:t>
      </w:r>
      <w:r w:rsidRPr="00034E7D">
        <w:rPr>
          <w:i/>
          <w:iCs/>
          <w:sz w:val="20"/>
        </w:rPr>
        <w:t>Annual Report 2017-18</w:t>
      </w:r>
      <w:r w:rsidRPr="00034E7D">
        <w:rPr>
          <w:sz w:val="20"/>
        </w:rPr>
        <w:t>, Canberra.</w:t>
      </w:r>
    </w:p>
    <w:p w14:paraId="05EF6FD1" w14:textId="77777777" w:rsidR="009C6940" w:rsidRPr="00034E7D" w:rsidRDefault="009C6940" w:rsidP="009C6940">
      <w:pPr>
        <w:pStyle w:val="Reference"/>
        <w:spacing w:before="100" w:line="260" w:lineRule="atLeast"/>
        <w:rPr>
          <w:sz w:val="20"/>
        </w:rPr>
      </w:pPr>
      <w:r w:rsidRPr="00034E7D">
        <w:rPr>
          <w:sz w:val="20"/>
        </w:rPr>
        <w:t xml:space="preserve">—— 2018b, </w:t>
      </w:r>
      <w:r w:rsidRPr="00034E7D">
        <w:rPr>
          <w:i/>
          <w:iCs/>
          <w:sz w:val="20"/>
        </w:rPr>
        <w:t>Disability Support Pension Recipients Under 35 Years Guidelines</w:t>
      </w:r>
      <w:r w:rsidRPr="00034E7D">
        <w:rPr>
          <w:sz w:val="20"/>
        </w:rPr>
        <w:t>, v 1.0, Canberra.</w:t>
      </w:r>
    </w:p>
    <w:p w14:paraId="4DA16A75" w14:textId="77777777" w:rsidR="009C6940" w:rsidRPr="00034E7D" w:rsidRDefault="009C6940" w:rsidP="009C6940">
      <w:pPr>
        <w:pStyle w:val="Reference"/>
        <w:spacing w:before="100" w:line="260" w:lineRule="atLeast"/>
        <w:rPr>
          <w:sz w:val="20"/>
        </w:rPr>
      </w:pPr>
      <w:r w:rsidRPr="00034E7D">
        <w:rPr>
          <w:sz w:val="20"/>
        </w:rPr>
        <w:t xml:space="preserve">—— 2019a, </w:t>
      </w:r>
      <w:r w:rsidRPr="00034E7D">
        <w:rPr>
          <w:i/>
          <w:iCs/>
          <w:sz w:val="20"/>
        </w:rPr>
        <w:t>Budget 2019-20: Social Services Portfolio</w:t>
      </w:r>
      <w:r w:rsidRPr="00034E7D">
        <w:rPr>
          <w:sz w:val="20"/>
        </w:rPr>
        <w:t>, Portfolio Budget Statements 2019-20, Budget Related Paper No. 1.15A, Canberra.</w:t>
      </w:r>
    </w:p>
    <w:p w14:paraId="447DF9EC" w14:textId="77777777" w:rsidR="009C6940" w:rsidRPr="00034E7D" w:rsidRDefault="009C6940" w:rsidP="009C6940">
      <w:pPr>
        <w:pStyle w:val="Reference"/>
        <w:spacing w:before="100" w:line="260" w:lineRule="atLeast"/>
        <w:rPr>
          <w:sz w:val="20"/>
        </w:rPr>
      </w:pPr>
      <w:r w:rsidRPr="00034E7D">
        <w:rPr>
          <w:sz w:val="20"/>
        </w:rPr>
        <w:t xml:space="preserve">—— 2019b, </w:t>
      </w:r>
      <w:r w:rsidRPr="00034E7D">
        <w:rPr>
          <w:i/>
          <w:iCs/>
          <w:sz w:val="20"/>
        </w:rPr>
        <w:t>DSS Demographics June 2019</w:t>
      </w:r>
      <w:r w:rsidRPr="00034E7D">
        <w:rPr>
          <w:sz w:val="20"/>
        </w:rPr>
        <w:t>, https://data.gov.au/data/dataset/dss-payment-demographic-data/resource/3d7891bc-6861-47c8-b967-f8807059fa83 (accessed 14 April 2020).</w:t>
      </w:r>
    </w:p>
    <w:p w14:paraId="2FE9B065" w14:textId="77777777" w:rsidR="009C6940" w:rsidRPr="00034E7D" w:rsidRDefault="009C6940" w:rsidP="009C6940">
      <w:pPr>
        <w:pStyle w:val="Reference"/>
        <w:spacing w:before="100" w:line="260" w:lineRule="atLeast"/>
        <w:rPr>
          <w:sz w:val="20"/>
        </w:rPr>
      </w:pPr>
      <w:r w:rsidRPr="00034E7D">
        <w:rPr>
          <w:sz w:val="20"/>
        </w:rPr>
        <w:t xml:space="preserve">—— 2020, </w:t>
      </w:r>
      <w:r w:rsidRPr="00034E7D">
        <w:rPr>
          <w:i/>
          <w:iCs/>
          <w:sz w:val="20"/>
        </w:rPr>
        <w:t>Coronavirus (COVID-19) information and support</w:t>
      </w:r>
      <w:r w:rsidRPr="00034E7D">
        <w:rPr>
          <w:sz w:val="20"/>
        </w:rPr>
        <w:t>, www.dss.gov.au/about-the-department/</w:t>
      </w:r>
      <w:r>
        <w:rPr>
          <w:sz w:val="20"/>
        </w:rPr>
        <w:br/>
      </w:r>
      <w:r w:rsidRPr="00034E7D">
        <w:rPr>
          <w:sz w:val="20"/>
        </w:rPr>
        <w:t>coronavirus-covid-19-information-and-support (accessed 5 May 2020).</w:t>
      </w:r>
    </w:p>
    <w:p w14:paraId="3320EE7B" w14:textId="77777777" w:rsidR="009C6940" w:rsidRPr="00034E7D" w:rsidRDefault="009C6940" w:rsidP="009C6940">
      <w:pPr>
        <w:pStyle w:val="Reference"/>
        <w:spacing w:before="100" w:line="260" w:lineRule="atLeast"/>
        <w:rPr>
          <w:sz w:val="20"/>
        </w:rPr>
      </w:pPr>
      <w:r w:rsidRPr="00034E7D">
        <w:rPr>
          <w:sz w:val="20"/>
        </w:rPr>
        <w:t xml:space="preserve">—— various years, </w:t>
      </w:r>
      <w:r w:rsidRPr="00034E7D">
        <w:rPr>
          <w:i/>
          <w:sz w:val="20"/>
        </w:rPr>
        <w:t>DSS Payment Demographic Data</w:t>
      </w:r>
      <w:r w:rsidRPr="00034E7D">
        <w:rPr>
          <w:sz w:val="20"/>
        </w:rPr>
        <w:t>, https://data.gov.au/data/dataset/dss-payment-demographic-data (14 April 2020).</w:t>
      </w:r>
    </w:p>
    <w:p w14:paraId="1169ABB8" w14:textId="77777777" w:rsidR="009C6940" w:rsidRPr="00034E7D" w:rsidRDefault="009C6940" w:rsidP="009C6940">
      <w:pPr>
        <w:pStyle w:val="Reference"/>
        <w:spacing w:before="100" w:line="260" w:lineRule="atLeast"/>
        <w:rPr>
          <w:sz w:val="20"/>
        </w:rPr>
      </w:pPr>
      <w:r w:rsidRPr="00034E7D">
        <w:rPr>
          <w:sz w:val="20"/>
        </w:rPr>
        <w:t xml:space="preserve">Gilbert, D. and Papworth, R. 2017, </w:t>
      </w:r>
      <w:r w:rsidRPr="00034E7D">
        <w:rPr>
          <w:i/>
          <w:iCs/>
          <w:sz w:val="20"/>
        </w:rPr>
        <w:t>Making Individual Placement and Support Work: An Evaluation of Implementation and Sustainability</w:t>
      </w:r>
      <w:r w:rsidRPr="00034E7D">
        <w:rPr>
          <w:sz w:val="20"/>
        </w:rPr>
        <w:t>, Centre for Mental Health, London.</w:t>
      </w:r>
    </w:p>
    <w:p w14:paraId="1DED6CD1" w14:textId="77777777" w:rsidR="009C6940" w:rsidRPr="00034E7D" w:rsidRDefault="009C6940" w:rsidP="009C6940">
      <w:pPr>
        <w:pStyle w:val="Reference"/>
        <w:spacing w:before="100" w:line="260" w:lineRule="atLeast"/>
        <w:rPr>
          <w:sz w:val="20"/>
        </w:rPr>
      </w:pPr>
      <w:r w:rsidRPr="00034E7D">
        <w:rPr>
          <w:sz w:val="20"/>
        </w:rPr>
        <w:t xml:space="preserve">Kim, S.J., Bond, G.R., Becker, D., R., Swanson, S.J. and Langfitt-Reese, S. 2015, ‘Predictive validity of the Individual Placement and Support fidelity scale (IPS-25): a replication study’, </w:t>
      </w:r>
      <w:r w:rsidRPr="00034E7D">
        <w:rPr>
          <w:i/>
          <w:iCs/>
          <w:sz w:val="20"/>
        </w:rPr>
        <w:t>Journal of Vocational Rehabilitation</w:t>
      </w:r>
      <w:r w:rsidRPr="00034E7D">
        <w:rPr>
          <w:sz w:val="20"/>
        </w:rPr>
        <w:t>, vol. 43, no. 3, pp. 209–216.</w:t>
      </w:r>
    </w:p>
    <w:p w14:paraId="38743F87" w14:textId="77777777" w:rsidR="009C6940" w:rsidRPr="008C2920" w:rsidRDefault="009C6940" w:rsidP="009C6940">
      <w:pPr>
        <w:pStyle w:val="Reference"/>
        <w:spacing w:before="100" w:line="260" w:lineRule="atLeast"/>
        <w:rPr>
          <w:spacing w:val="-4"/>
          <w:sz w:val="20"/>
        </w:rPr>
      </w:pPr>
      <w:r w:rsidRPr="008C2920">
        <w:rPr>
          <w:spacing w:val="-4"/>
          <w:sz w:val="20"/>
        </w:rPr>
        <w:lastRenderedPageBreak/>
        <w:t xml:space="preserve">NSSRN (National Social Security Rights Network) 2019, </w:t>
      </w:r>
      <w:r w:rsidRPr="008C2920">
        <w:rPr>
          <w:i/>
          <w:iCs/>
          <w:spacing w:val="-4"/>
          <w:sz w:val="20"/>
        </w:rPr>
        <w:t>Budget 2019: New Employment Services Model</w:t>
      </w:r>
      <w:r w:rsidRPr="008C2920">
        <w:rPr>
          <w:spacing w:val="-4"/>
          <w:sz w:val="20"/>
        </w:rPr>
        <w:t>, http://www.nssrn.org.au/briefing-paper/budget-2019-new-employment-services-model/ (accessed 31 July 2019).</w:t>
      </w:r>
    </w:p>
    <w:p w14:paraId="5EB60152" w14:textId="77777777" w:rsidR="009C6940" w:rsidRPr="008C2920" w:rsidRDefault="009C6940" w:rsidP="009C6940">
      <w:pPr>
        <w:pStyle w:val="Reference"/>
        <w:spacing w:before="100" w:line="260" w:lineRule="atLeast"/>
        <w:rPr>
          <w:spacing w:val="-4"/>
          <w:sz w:val="20"/>
        </w:rPr>
      </w:pPr>
      <w:r w:rsidRPr="008C2920">
        <w:rPr>
          <w:spacing w:val="-4"/>
          <w:sz w:val="20"/>
        </w:rPr>
        <w:t xml:space="preserve">OECD (Organisation for Economic Cooperation and Development) 2015, </w:t>
      </w:r>
      <w:r w:rsidRPr="008C2920">
        <w:rPr>
          <w:i/>
          <w:iCs/>
          <w:spacing w:val="-4"/>
          <w:sz w:val="20"/>
        </w:rPr>
        <w:t>Mental Health and Work: Australia</w:t>
      </w:r>
      <w:r w:rsidRPr="008C2920">
        <w:rPr>
          <w:spacing w:val="-4"/>
          <w:sz w:val="20"/>
        </w:rPr>
        <w:t>, Paris.</w:t>
      </w:r>
    </w:p>
    <w:p w14:paraId="075D9A7B" w14:textId="77777777" w:rsidR="009C6940" w:rsidRPr="00034E7D" w:rsidRDefault="009C6940" w:rsidP="009C6940">
      <w:pPr>
        <w:pStyle w:val="Reference"/>
        <w:spacing w:before="100" w:line="260" w:lineRule="atLeast"/>
        <w:rPr>
          <w:sz w:val="20"/>
        </w:rPr>
      </w:pPr>
      <w:r w:rsidRPr="00034E7D">
        <w:rPr>
          <w:sz w:val="20"/>
        </w:rPr>
        <w:t xml:space="preserve">Parliamentary Library 2017, </w:t>
      </w:r>
      <w:r w:rsidRPr="00034E7D">
        <w:rPr>
          <w:i/>
          <w:iCs/>
          <w:sz w:val="20"/>
        </w:rPr>
        <w:t>Budget Review 2017-18</w:t>
      </w:r>
      <w:r w:rsidRPr="00034E7D">
        <w:rPr>
          <w:sz w:val="20"/>
        </w:rPr>
        <w:t>, Research Paper Series 2016-17, Canberra.</w:t>
      </w:r>
    </w:p>
    <w:p w14:paraId="2CFC258B" w14:textId="77777777" w:rsidR="009C6940" w:rsidRPr="008C2920" w:rsidRDefault="009C6940" w:rsidP="009C6940">
      <w:pPr>
        <w:pStyle w:val="Reference"/>
        <w:spacing w:before="100" w:line="260" w:lineRule="atLeast"/>
        <w:rPr>
          <w:spacing w:val="-4"/>
          <w:sz w:val="20"/>
        </w:rPr>
      </w:pPr>
      <w:r w:rsidRPr="008C2920">
        <w:rPr>
          <w:spacing w:val="-4"/>
          <w:sz w:val="20"/>
        </w:rPr>
        <w:t xml:space="preserve">Rinaldi, M., Perkins, R., Glynn, E., Montibeller, T., Clenaghan, M. and Rutherford, J. 2008, ‘Individual placement and support: from research to practise’, </w:t>
      </w:r>
      <w:r w:rsidRPr="008C2920">
        <w:rPr>
          <w:i/>
          <w:iCs/>
          <w:spacing w:val="-4"/>
          <w:sz w:val="20"/>
        </w:rPr>
        <w:t>Advances in Psychiatric Treatment</w:t>
      </w:r>
      <w:r w:rsidRPr="008C2920">
        <w:rPr>
          <w:spacing w:val="-4"/>
          <w:sz w:val="20"/>
        </w:rPr>
        <w:t>, vol. 14, no. 1, pp. 50–60.</w:t>
      </w:r>
    </w:p>
    <w:p w14:paraId="60391C90" w14:textId="77777777" w:rsidR="009C6940" w:rsidRPr="00034E7D" w:rsidRDefault="009C6940" w:rsidP="009C6940">
      <w:pPr>
        <w:pStyle w:val="Reference"/>
        <w:spacing w:before="100" w:line="260" w:lineRule="atLeast"/>
        <w:rPr>
          <w:sz w:val="20"/>
        </w:rPr>
      </w:pPr>
      <w:r w:rsidRPr="00034E7D">
        <w:rPr>
          <w:sz w:val="20"/>
        </w:rPr>
        <w:t xml:space="preserve">Services Australia 2019, </w:t>
      </w:r>
      <w:r w:rsidRPr="00034E7D">
        <w:rPr>
          <w:i/>
          <w:iCs/>
          <w:sz w:val="20"/>
        </w:rPr>
        <w:t>General Medical Rules</w:t>
      </w:r>
      <w:r w:rsidRPr="00034E7D">
        <w:rPr>
          <w:sz w:val="20"/>
        </w:rPr>
        <w:t>, www.humanservices.gov.au/individuals/services/centrelink/</w:t>
      </w:r>
      <w:r w:rsidRPr="00034E7D">
        <w:rPr>
          <w:sz w:val="20"/>
        </w:rPr>
        <w:br/>
        <w:t>disability-support-pension/who-can-get-it/medical-rules/general-medical-rules (accessed 8 May 2020).</w:t>
      </w:r>
    </w:p>
    <w:p w14:paraId="0A099CB4" w14:textId="77777777" w:rsidR="009C6940" w:rsidRPr="008C2920" w:rsidRDefault="009C6940" w:rsidP="009C6940">
      <w:pPr>
        <w:pStyle w:val="Reference"/>
        <w:spacing w:before="100" w:line="260" w:lineRule="atLeast"/>
        <w:rPr>
          <w:spacing w:val="-4"/>
          <w:sz w:val="20"/>
        </w:rPr>
      </w:pPr>
      <w:r w:rsidRPr="008C2920">
        <w:rPr>
          <w:spacing w:val="-4"/>
          <w:sz w:val="20"/>
        </w:rPr>
        <w:t xml:space="preserve">—— 2020a, </w:t>
      </w:r>
      <w:r w:rsidRPr="008C2920">
        <w:rPr>
          <w:i/>
          <w:iCs/>
          <w:spacing w:val="-4"/>
          <w:sz w:val="20"/>
        </w:rPr>
        <w:t>Changes to your claims and obligations</w:t>
      </w:r>
      <w:r w:rsidRPr="008C2920">
        <w:rPr>
          <w:spacing w:val="-4"/>
          <w:sz w:val="20"/>
        </w:rPr>
        <w:t>, www.servicesaustralia.gov.au/individuals/subjects/</w:t>
      </w:r>
      <w:r w:rsidRPr="008C2920">
        <w:rPr>
          <w:spacing w:val="-4"/>
          <w:sz w:val="20"/>
        </w:rPr>
        <w:br/>
        <w:t>coronavirus-covid-19-and-how-we-may-help/changes-claims-and-your-obligations (accessed 21 May 2020).</w:t>
      </w:r>
    </w:p>
    <w:p w14:paraId="2DCD5772" w14:textId="77777777" w:rsidR="009C6940" w:rsidRPr="00034E7D" w:rsidRDefault="009C6940" w:rsidP="009C6940">
      <w:pPr>
        <w:pStyle w:val="Reference"/>
        <w:spacing w:before="100" w:line="260" w:lineRule="atLeast"/>
        <w:rPr>
          <w:sz w:val="20"/>
        </w:rPr>
      </w:pPr>
      <w:r w:rsidRPr="00034E7D">
        <w:rPr>
          <w:sz w:val="20"/>
        </w:rPr>
        <w:t xml:space="preserve">—— 2020b, </w:t>
      </w:r>
      <w:r w:rsidRPr="00034E7D">
        <w:rPr>
          <w:i/>
          <w:iCs/>
          <w:sz w:val="20"/>
        </w:rPr>
        <w:t>Coronavirus Supplement</w:t>
      </w:r>
      <w:r w:rsidRPr="00034E7D">
        <w:rPr>
          <w:sz w:val="20"/>
        </w:rPr>
        <w:t>, www.servicesaustralia.gov.au/individuals/services/centrelink/</w:t>
      </w:r>
      <w:r w:rsidRPr="00034E7D">
        <w:rPr>
          <w:sz w:val="20"/>
        </w:rPr>
        <w:br/>
        <w:t>coronavirus-supplement (accessed 21 May 2020).</w:t>
      </w:r>
    </w:p>
    <w:p w14:paraId="39A070C7" w14:textId="77777777" w:rsidR="009C6940" w:rsidRPr="00034E7D" w:rsidRDefault="009C6940" w:rsidP="009C6940">
      <w:pPr>
        <w:pStyle w:val="Reference"/>
        <w:spacing w:before="100" w:line="260" w:lineRule="atLeast"/>
        <w:rPr>
          <w:sz w:val="20"/>
        </w:rPr>
      </w:pPr>
      <w:r w:rsidRPr="00034E7D">
        <w:rPr>
          <w:sz w:val="20"/>
        </w:rPr>
        <w:t xml:space="preserve">—— 2020a, </w:t>
      </w:r>
      <w:r w:rsidRPr="00034E7D">
        <w:rPr>
          <w:i/>
          <w:iCs/>
          <w:sz w:val="20"/>
        </w:rPr>
        <w:t>Disability Support Pension</w:t>
      </w:r>
      <w:r w:rsidRPr="00034E7D">
        <w:rPr>
          <w:sz w:val="20"/>
        </w:rPr>
        <w:t>, www.humanservices.gov.au/individuals/services/centrelink/</w:t>
      </w:r>
      <w:r w:rsidRPr="00034E7D">
        <w:rPr>
          <w:sz w:val="20"/>
        </w:rPr>
        <w:br/>
        <w:t>disability-support-pension (accessed 8 May 2020).</w:t>
      </w:r>
    </w:p>
    <w:p w14:paraId="5B135D41" w14:textId="77777777" w:rsidR="009C6940" w:rsidRPr="00034E7D" w:rsidRDefault="009C6940" w:rsidP="009C6940">
      <w:pPr>
        <w:pStyle w:val="Reference"/>
        <w:spacing w:before="100" w:line="260" w:lineRule="atLeast"/>
        <w:rPr>
          <w:sz w:val="20"/>
        </w:rPr>
      </w:pPr>
      <w:r w:rsidRPr="00034E7D">
        <w:rPr>
          <w:sz w:val="20"/>
        </w:rPr>
        <w:t xml:space="preserve">—— 2020b, </w:t>
      </w:r>
      <w:r w:rsidRPr="00034E7D">
        <w:rPr>
          <w:i/>
          <w:iCs/>
          <w:sz w:val="20"/>
        </w:rPr>
        <w:t>Disability Support Pension – Payment rates</w:t>
      </w:r>
      <w:r w:rsidRPr="00034E7D">
        <w:rPr>
          <w:sz w:val="20"/>
        </w:rPr>
        <w:t>, www.humanservices.gov.au/individuals/services/</w:t>
      </w:r>
      <w:r w:rsidRPr="00034E7D">
        <w:rPr>
          <w:sz w:val="20"/>
        </w:rPr>
        <w:br/>
        <w:t>centrelink/disability-support-pension/how-much-you-can-get/payment-rates (accessed 25 March 2020).</w:t>
      </w:r>
    </w:p>
    <w:p w14:paraId="10ED7416" w14:textId="77777777" w:rsidR="009C6940" w:rsidRPr="00034E7D" w:rsidRDefault="009C6940" w:rsidP="009C6940">
      <w:pPr>
        <w:pStyle w:val="Reference"/>
        <w:spacing w:before="100" w:line="260" w:lineRule="atLeast"/>
        <w:rPr>
          <w:sz w:val="20"/>
        </w:rPr>
      </w:pPr>
      <w:r w:rsidRPr="00034E7D">
        <w:rPr>
          <w:sz w:val="20"/>
        </w:rPr>
        <w:t xml:space="preserve">—— 2020c, </w:t>
      </w:r>
      <w:r w:rsidRPr="00034E7D">
        <w:rPr>
          <w:i/>
          <w:iCs/>
          <w:sz w:val="20"/>
        </w:rPr>
        <w:t>Economic Support Payment - Who Can Get It</w:t>
      </w:r>
      <w:r w:rsidRPr="00034E7D">
        <w:rPr>
          <w:sz w:val="20"/>
        </w:rPr>
        <w:t>, www.servicesaustralia.gov.au/individuals/</w:t>
      </w:r>
      <w:r w:rsidRPr="00034E7D">
        <w:rPr>
          <w:sz w:val="20"/>
        </w:rPr>
        <w:br/>
        <w:t>services/centrelink/economic-support-payment/who-can-get-it (accessed 21 May 2020).</w:t>
      </w:r>
    </w:p>
    <w:p w14:paraId="008B31EF" w14:textId="77777777" w:rsidR="009C6940" w:rsidRPr="00034E7D" w:rsidRDefault="009C6940" w:rsidP="009C6940">
      <w:pPr>
        <w:pStyle w:val="Reference"/>
        <w:spacing w:before="100" w:line="260" w:lineRule="atLeast"/>
        <w:rPr>
          <w:sz w:val="20"/>
        </w:rPr>
      </w:pPr>
      <w:r w:rsidRPr="00034E7D">
        <w:rPr>
          <w:sz w:val="20"/>
        </w:rPr>
        <w:t xml:space="preserve">—— 2020d, </w:t>
      </w:r>
      <w:r w:rsidRPr="00034E7D">
        <w:rPr>
          <w:i/>
          <w:iCs/>
          <w:sz w:val="20"/>
        </w:rPr>
        <w:t>Job Seekers</w:t>
      </w:r>
      <w:r w:rsidRPr="00034E7D">
        <w:rPr>
          <w:sz w:val="20"/>
        </w:rPr>
        <w:t>,</w:t>
      </w:r>
      <w:r w:rsidRPr="00034E7D" w:rsidDel="00FF4FEB">
        <w:rPr>
          <w:sz w:val="20"/>
        </w:rPr>
        <w:t xml:space="preserve"> </w:t>
      </w:r>
      <w:r w:rsidRPr="00034E7D">
        <w:rPr>
          <w:sz w:val="20"/>
        </w:rPr>
        <w:t>www.servicesaustralia.gov.au/individuals/subjects/coronavirus-covid-19-and-how-we-may-help/if-you-already-get-payment-from-us/job-seekers#a2 (accessed 21 May 2020).</w:t>
      </w:r>
    </w:p>
    <w:p w14:paraId="77074B4D" w14:textId="77777777" w:rsidR="009C6940" w:rsidRPr="00034E7D" w:rsidRDefault="009C6940" w:rsidP="009C6940">
      <w:pPr>
        <w:pStyle w:val="Reference"/>
        <w:spacing w:before="100" w:line="260" w:lineRule="atLeast"/>
        <w:rPr>
          <w:sz w:val="20"/>
        </w:rPr>
      </w:pPr>
      <w:r w:rsidRPr="00034E7D">
        <w:rPr>
          <w:sz w:val="20"/>
        </w:rPr>
        <w:t xml:space="preserve">—— 2020e, </w:t>
      </w:r>
      <w:r w:rsidRPr="00034E7D">
        <w:rPr>
          <w:i/>
          <w:iCs/>
          <w:sz w:val="20"/>
        </w:rPr>
        <w:t>JobSeeker Allowance - How much you can get</w:t>
      </w:r>
      <w:r w:rsidRPr="00034E7D">
        <w:rPr>
          <w:sz w:val="20"/>
        </w:rPr>
        <w:t>, www.servicesaustralia.gov.au/individuals/</w:t>
      </w:r>
      <w:r w:rsidRPr="00034E7D">
        <w:rPr>
          <w:sz w:val="20"/>
        </w:rPr>
        <w:br/>
        <w:t>services/centrelink/jobseeker-payment/how-much-you-can-get (accessed 25 March 2020).</w:t>
      </w:r>
    </w:p>
    <w:p w14:paraId="6DE0D2FD" w14:textId="77777777" w:rsidR="009C6940" w:rsidRPr="00034E7D" w:rsidRDefault="009C6940" w:rsidP="009C6940">
      <w:pPr>
        <w:pStyle w:val="Reference"/>
        <w:spacing w:before="100" w:line="260" w:lineRule="atLeast"/>
        <w:rPr>
          <w:sz w:val="20"/>
        </w:rPr>
      </w:pPr>
      <w:r w:rsidRPr="00034E7D">
        <w:rPr>
          <w:sz w:val="20"/>
        </w:rPr>
        <w:t xml:space="preserve">—— 2020c, </w:t>
      </w:r>
      <w:r w:rsidRPr="00034E7D">
        <w:rPr>
          <w:i/>
          <w:iCs/>
          <w:sz w:val="20"/>
        </w:rPr>
        <w:t>Newstart Allowance</w:t>
      </w:r>
      <w:r w:rsidRPr="00034E7D">
        <w:rPr>
          <w:sz w:val="20"/>
        </w:rPr>
        <w:t>, www.humanservices.gov.au/individuals/services/centrelink/newstart-allowance (accessed 7 May 2020).</w:t>
      </w:r>
    </w:p>
    <w:p w14:paraId="650B2F9D" w14:textId="77777777" w:rsidR="009C6940" w:rsidRPr="00034E7D" w:rsidRDefault="009C6940" w:rsidP="009C6940">
      <w:pPr>
        <w:pStyle w:val="Reference"/>
        <w:spacing w:before="100" w:line="260" w:lineRule="atLeast"/>
        <w:rPr>
          <w:sz w:val="20"/>
        </w:rPr>
      </w:pPr>
      <w:r w:rsidRPr="00034E7D">
        <w:rPr>
          <w:sz w:val="20"/>
        </w:rPr>
        <w:t xml:space="preserve">—— 2020f, </w:t>
      </w:r>
      <w:r w:rsidRPr="00034E7D">
        <w:rPr>
          <w:i/>
          <w:iCs/>
          <w:sz w:val="20"/>
        </w:rPr>
        <w:t>ParentsNext</w:t>
      </w:r>
      <w:r w:rsidRPr="00034E7D">
        <w:rPr>
          <w:sz w:val="20"/>
        </w:rPr>
        <w:t>, www.servicesaustralia.gov.au/individuals/services/centrelink/parentsnext (accessed 7 May 2020).</w:t>
      </w:r>
    </w:p>
    <w:p w14:paraId="792E960A" w14:textId="77777777" w:rsidR="009C6940" w:rsidRPr="00034E7D" w:rsidRDefault="009C6940" w:rsidP="009C6940">
      <w:pPr>
        <w:pStyle w:val="Reference"/>
        <w:spacing w:before="100" w:line="260" w:lineRule="atLeast"/>
        <w:rPr>
          <w:sz w:val="20"/>
        </w:rPr>
      </w:pPr>
      <w:r w:rsidRPr="00034E7D">
        <w:rPr>
          <w:sz w:val="20"/>
        </w:rPr>
        <w:t xml:space="preserve">—— 2020g, </w:t>
      </w:r>
      <w:r w:rsidRPr="00034E7D">
        <w:rPr>
          <w:i/>
          <w:iCs/>
          <w:sz w:val="20"/>
        </w:rPr>
        <w:t>Youth Allowance</w:t>
      </w:r>
      <w:r w:rsidRPr="00034E7D">
        <w:rPr>
          <w:sz w:val="20"/>
        </w:rPr>
        <w:t>, www.humanservices.gov.au/individuals/services/centrelink/youth-allowance (accessed 21 May 2020).</w:t>
      </w:r>
    </w:p>
    <w:p w14:paraId="0B3EEF14" w14:textId="77777777" w:rsidR="009C6940" w:rsidRPr="00E01893" w:rsidRDefault="009C6940" w:rsidP="009C6940">
      <w:pPr>
        <w:pStyle w:val="Reference"/>
        <w:spacing w:before="100" w:line="260" w:lineRule="atLeast"/>
        <w:rPr>
          <w:spacing w:val="-4"/>
          <w:sz w:val="20"/>
        </w:rPr>
      </w:pPr>
      <w:r w:rsidRPr="00E01893">
        <w:rPr>
          <w:spacing w:val="-4"/>
          <w:sz w:val="20"/>
        </w:rPr>
        <w:t xml:space="preserve">—— 2020h, </w:t>
      </w:r>
      <w:r w:rsidRPr="00E01893">
        <w:rPr>
          <w:i/>
          <w:iCs/>
          <w:spacing w:val="-4"/>
          <w:sz w:val="20"/>
        </w:rPr>
        <w:t>Youth Allowance for Job Seekers - How much can you get</w:t>
      </w:r>
      <w:r w:rsidRPr="00E01893">
        <w:rPr>
          <w:spacing w:val="-4"/>
          <w:sz w:val="20"/>
        </w:rPr>
        <w:t>, www.servicesaustralia.gov.au/</w:t>
      </w:r>
      <w:r w:rsidRPr="00E01893">
        <w:rPr>
          <w:spacing w:val="-4"/>
          <w:sz w:val="20"/>
        </w:rPr>
        <w:br/>
        <w:t>individuals/services/centrelink/youth-allowance-job-seekers/how-much-you-can-get (accessed 21 May 2020).</w:t>
      </w:r>
    </w:p>
    <w:p w14:paraId="0866860B" w14:textId="77777777" w:rsidR="009C6940" w:rsidRPr="00034E7D" w:rsidRDefault="009C6940" w:rsidP="009C6940">
      <w:pPr>
        <w:pStyle w:val="Reference"/>
        <w:spacing w:before="100" w:line="260" w:lineRule="atLeast"/>
        <w:rPr>
          <w:sz w:val="20"/>
        </w:rPr>
      </w:pPr>
      <w:r w:rsidRPr="00034E7D">
        <w:rPr>
          <w:sz w:val="20"/>
        </w:rPr>
        <w:t xml:space="preserve">—— 2020i, </w:t>
      </w:r>
      <w:r w:rsidRPr="00034E7D">
        <w:rPr>
          <w:i/>
          <w:iCs/>
          <w:sz w:val="20"/>
        </w:rPr>
        <w:t>Youth Allowance for Job Seekers - Who can get it</w:t>
      </w:r>
      <w:r w:rsidRPr="00034E7D">
        <w:rPr>
          <w:sz w:val="20"/>
        </w:rPr>
        <w:t>, www.humanservices.gov.au/individuals/</w:t>
      </w:r>
      <w:r w:rsidRPr="00034E7D">
        <w:rPr>
          <w:sz w:val="20"/>
        </w:rPr>
        <w:br/>
        <w:t>services/centrelink/youth-allowance-job-seekers/who-can-get-it (accessed 8 May 2020).</w:t>
      </w:r>
    </w:p>
    <w:p w14:paraId="60311B2D" w14:textId="77777777" w:rsidR="009C6940" w:rsidRPr="00E01893" w:rsidRDefault="009C6940" w:rsidP="009C6940">
      <w:pPr>
        <w:pStyle w:val="Reference"/>
        <w:spacing w:before="100" w:line="260" w:lineRule="atLeast"/>
        <w:rPr>
          <w:spacing w:val="-4"/>
          <w:sz w:val="20"/>
        </w:rPr>
      </w:pPr>
      <w:r w:rsidRPr="00E01893">
        <w:rPr>
          <w:spacing w:val="-4"/>
          <w:sz w:val="20"/>
        </w:rPr>
        <w:t xml:space="preserve">—— 2020j, </w:t>
      </w:r>
      <w:r w:rsidRPr="00E01893">
        <w:rPr>
          <w:i/>
          <w:iCs/>
          <w:spacing w:val="-4"/>
          <w:sz w:val="20"/>
        </w:rPr>
        <w:t>Youth Allowance for Students and Australian Apprentices</w:t>
      </w:r>
      <w:r w:rsidRPr="00E01893">
        <w:rPr>
          <w:spacing w:val="-4"/>
          <w:sz w:val="20"/>
        </w:rPr>
        <w:t>, www.servicesaustralia.gov.au/</w:t>
      </w:r>
      <w:r w:rsidRPr="00E01893">
        <w:rPr>
          <w:spacing w:val="-4"/>
          <w:sz w:val="20"/>
        </w:rPr>
        <w:br/>
        <w:t>individuals/services/centrelink/youth-allowance-students-and-australian-apprentices (accessed 21 May 2020).</w:t>
      </w:r>
    </w:p>
    <w:p w14:paraId="56EC7C9D" w14:textId="77777777" w:rsidR="009C6940" w:rsidRPr="00034E7D" w:rsidRDefault="009C6940" w:rsidP="009C6940">
      <w:pPr>
        <w:pStyle w:val="Reference"/>
        <w:spacing w:before="100" w:line="260" w:lineRule="atLeast"/>
        <w:rPr>
          <w:sz w:val="20"/>
        </w:rPr>
      </w:pPr>
      <w:r w:rsidRPr="00034E7D">
        <w:rPr>
          <w:sz w:val="20"/>
        </w:rPr>
        <w:t xml:space="preserve">—— 2020k, </w:t>
      </w:r>
      <w:r w:rsidRPr="00034E7D">
        <w:rPr>
          <w:i/>
          <w:iCs/>
          <w:sz w:val="20"/>
        </w:rPr>
        <w:t>Youth Allowance for Students and Australian Apprentices - How much can you get</w:t>
      </w:r>
      <w:r w:rsidRPr="00034E7D">
        <w:rPr>
          <w:sz w:val="20"/>
        </w:rPr>
        <w:t>, www.servicesaustralia.gov.au/individuals/services/centrelink/youth-allowance-students-and-australian-apprentices/how-much-you-can-get (accessed 7 May 2020).</w:t>
      </w:r>
    </w:p>
    <w:p w14:paraId="4975891F" w14:textId="77777777" w:rsidR="009C6940" w:rsidRDefault="009C6940" w:rsidP="009C6940">
      <w:pPr>
        <w:pStyle w:val="Reference"/>
        <w:spacing w:before="100" w:line="260" w:lineRule="atLeast"/>
      </w:pPr>
      <w:r w:rsidRPr="00034E7D">
        <w:rPr>
          <w:sz w:val="20"/>
        </w:rPr>
        <w:t xml:space="preserve">Waghorn, G. and Lintott, M. 2011, </w:t>
      </w:r>
      <w:r w:rsidRPr="00034E7D">
        <w:rPr>
          <w:i/>
          <w:iCs/>
          <w:sz w:val="20"/>
        </w:rPr>
        <w:t>Supported Employment Fidelity Scale: Australia and New Zealand Version 2.0</w:t>
      </w:r>
      <w:r w:rsidRPr="00034E7D">
        <w:rPr>
          <w:sz w:val="20"/>
        </w:rPr>
        <w:t>, Western Australian Association for Mental Health, Brisbane.</w:t>
      </w:r>
    </w:p>
    <w:p w14:paraId="3D1A4E4B" w14:textId="77777777" w:rsidR="009C6940" w:rsidRDefault="009C6940" w:rsidP="009C6940">
      <w:pPr>
        <w:sectPr w:rsidR="009C6940" w:rsidSect="009C6940">
          <w:headerReference w:type="even" r:id="rId22"/>
          <w:headerReference w:type="default" r:id="rId23"/>
          <w:footerReference w:type="even" r:id="rId24"/>
          <w:footerReference w:type="default" r:id="rId25"/>
          <w:type w:val="oddPage"/>
          <w:pgSz w:w="11907" w:h="16840" w:code="9"/>
          <w:pgMar w:top="1985" w:right="1304" w:bottom="1247" w:left="1814" w:header="1701" w:footer="397" w:gutter="0"/>
          <w:pgNumType w:chapSep="period"/>
          <w:cols w:space="720"/>
          <w:docGrid w:linePitch="326"/>
        </w:sectPr>
      </w:pPr>
    </w:p>
    <w:p w14:paraId="353A5988" w14:textId="77777777" w:rsidR="009C6940" w:rsidRDefault="009C6940" w:rsidP="0085206F">
      <w:pPr>
        <w:pStyle w:val="Heading1"/>
      </w:pPr>
      <w:r>
        <w:lastRenderedPageBreak/>
        <w:t>D</w:t>
      </w:r>
      <w:r>
        <w:tab/>
        <w:t xml:space="preserve">Employment and mental health </w:t>
      </w:r>
    </w:p>
    <w:p w14:paraId="1A89786C" w14:textId="77777777" w:rsidR="009C6940" w:rsidRDefault="009C6940" w:rsidP="009C6940">
      <w:pPr>
        <w:pStyle w:val="BodyText"/>
      </w:pPr>
      <w:r>
        <w:t>Mental ill</w:t>
      </w:r>
      <w:r>
        <w:noBreakHyphen/>
        <w:t xml:space="preserve">health affects participation in employment in two major ways. For individuals in employment, mental ill-health can affect their productivity, whereas for individuals outside the workforce, it often acts as a barrier to gaining and maintaining employment. </w:t>
      </w:r>
    </w:p>
    <w:p w14:paraId="26DD7BB0" w14:textId="77777777" w:rsidR="009C6940" w:rsidRDefault="009C6940" w:rsidP="009C6940">
      <w:pPr>
        <w:pStyle w:val="Heading2"/>
      </w:pPr>
      <w:r>
        <w:t>D.</w:t>
      </w:r>
      <w:r>
        <w:rPr>
          <w:noProof/>
        </w:rPr>
        <w:t>1</w:t>
      </w:r>
      <w:r>
        <w:tab/>
        <w:t>The role of employment in mental health</w:t>
      </w:r>
    </w:p>
    <w:p w14:paraId="19DEC81C" w14:textId="77777777" w:rsidR="009C6940" w:rsidRDefault="009C6940" w:rsidP="009C6940">
      <w:pPr>
        <w:pStyle w:val="BodyText"/>
      </w:pPr>
      <w:r>
        <w:t xml:space="preserve">It is widely recognised that employment has a positive impact on an individual’s mental health and there has been considerable research in this area </w:t>
      </w:r>
      <w:r w:rsidRPr="006314F2">
        <w:rPr>
          <w:szCs w:val="24"/>
        </w:rPr>
        <w:t>(Modini et al. 2016; Waddell and Burton 2006; Waghorn and Lloyd 2005; Woodside, Schell and Allison-Hedges 2006)</w:t>
      </w:r>
      <w:r w:rsidRPr="002258A3">
        <w:t>.</w:t>
      </w:r>
    </w:p>
    <w:p w14:paraId="12AFA45B" w14:textId="77777777" w:rsidR="009C6940" w:rsidRDefault="009C6940" w:rsidP="009C6940">
      <w:pPr>
        <w:pStyle w:val="BodyText"/>
      </w:pPr>
      <w:r>
        <w:t xml:space="preserve">In addition to income, employment provides a sense of identity and purpose, and a sense of structure and social connectedness. Being in employment is associated with better mental wellbeing, with lower rates of depression and anxiety </w:t>
      </w:r>
      <w:r w:rsidRPr="006314F2">
        <w:rPr>
          <w:szCs w:val="24"/>
        </w:rPr>
        <w:t>(Harvey et al. 2012)</w:t>
      </w:r>
      <w:r>
        <w:t xml:space="preserve">. Employment is also considered to play a key role in recovery from mental illness, and providing a pathway to employment can be critical to an individual’s recovery </w:t>
      </w:r>
      <w:r w:rsidRPr="006314F2">
        <w:rPr>
          <w:szCs w:val="24"/>
        </w:rPr>
        <w:t>(FCDC 2012)</w:t>
      </w:r>
      <w:r>
        <w:t>.</w:t>
      </w:r>
    </w:p>
    <w:p w14:paraId="7740E3CA" w14:textId="77777777" w:rsidR="009C6940" w:rsidRDefault="009C6940" w:rsidP="009C6940">
      <w:pPr>
        <w:pStyle w:val="BodyText"/>
      </w:pPr>
      <w:r>
        <w:t>A report prepared for the World Health Organisation and the International Labour Organisation pointed to five key positive aspects of employment in relation to health:</w:t>
      </w:r>
      <w:r w:rsidRPr="00550A7E">
        <w:t xml:space="preserve"> </w:t>
      </w:r>
    </w:p>
    <w:p w14:paraId="0F6FA716" w14:textId="77777777" w:rsidR="009C6940" w:rsidRDefault="009C6940" w:rsidP="009C6940">
      <w:pPr>
        <w:pStyle w:val="ListBullet"/>
      </w:pPr>
      <w:r>
        <w:t>time structure (an absence of time structure can have a negative psychological impact)</w:t>
      </w:r>
    </w:p>
    <w:p w14:paraId="49699D48" w14:textId="77777777" w:rsidR="009C6940" w:rsidRDefault="009C6940" w:rsidP="009C6940">
      <w:pPr>
        <w:pStyle w:val="ListBullet"/>
      </w:pPr>
      <w:r>
        <w:t>social contact</w:t>
      </w:r>
    </w:p>
    <w:p w14:paraId="73C3A606" w14:textId="77777777" w:rsidR="009C6940" w:rsidRPr="00CD4BBD" w:rsidRDefault="009C6940" w:rsidP="009C6940">
      <w:pPr>
        <w:pStyle w:val="ListBullet"/>
        <w:rPr>
          <w:spacing w:val="-2"/>
        </w:rPr>
      </w:pPr>
      <w:r w:rsidRPr="00CD4BBD">
        <w:rPr>
          <w:spacing w:val="-2"/>
        </w:rPr>
        <w:t>collective effort and purpose (employment offers a social context outside the home and family)</w:t>
      </w:r>
    </w:p>
    <w:p w14:paraId="33C53056" w14:textId="77777777" w:rsidR="009C6940" w:rsidRDefault="009C6940" w:rsidP="009C6940">
      <w:pPr>
        <w:pStyle w:val="ListBullet"/>
      </w:pPr>
      <w:r>
        <w:t>social identity (employment being important for defining oneself)</w:t>
      </w:r>
    </w:p>
    <w:p w14:paraId="2EDC2C55" w14:textId="77777777" w:rsidR="009C6940" w:rsidRDefault="009C6940" w:rsidP="009C6940">
      <w:pPr>
        <w:pStyle w:val="ListBullet"/>
      </w:pPr>
      <w:r>
        <w:t xml:space="preserve">regular activity (organising daily life) </w:t>
      </w:r>
      <w:r w:rsidRPr="00B410FF">
        <w:rPr>
          <w:szCs w:val="24"/>
        </w:rPr>
        <w:t>(Harnois and Gabriel 2000)</w:t>
      </w:r>
      <w:r>
        <w:t>.</w:t>
      </w:r>
    </w:p>
    <w:p w14:paraId="4F9D9198" w14:textId="77777777" w:rsidR="009C6940" w:rsidRDefault="009C6940" w:rsidP="009C6940">
      <w:pPr>
        <w:pStyle w:val="BodyText"/>
      </w:pPr>
      <w:r>
        <w:t>In contrast, unemployment typically has a negative effect on an individual’s mental health. The negative effects associated with unemployment include lower self</w:t>
      </w:r>
      <w:r>
        <w:noBreakHyphen/>
        <w:t>esteem, reduced social contact and poverty. There are strong links between unemployment and mental ill</w:t>
      </w:r>
      <w:r>
        <w:noBreakHyphen/>
        <w:t xml:space="preserve">health that are often exacerbated due to the related problems of social exclusion and poverty resulting from unemployment </w:t>
      </w:r>
      <w:r w:rsidRPr="006314F2">
        <w:rPr>
          <w:szCs w:val="24"/>
        </w:rPr>
        <w:t>(Walsh and Tickle 2013)</w:t>
      </w:r>
      <w:r>
        <w:t xml:space="preserve">. </w:t>
      </w:r>
    </w:p>
    <w:p w14:paraId="6AE75074" w14:textId="77777777" w:rsidR="009C6940" w:rsidRDefault="009C6940" w:rsidP="009C6940">
      <w:pPr>
        <w:pStyle w:val="Heading3"/>
      </w:pPr>
      <w:r>
        <w:lastRenderedPageBreak/>
        <w:t>The relationship between employment and mental health</w:t>
      </w:r>
    </w:p>
    <w:p w14:paraId="470662FC" w14:textId="77777777" w:rsidR="009C6940" w:rsidRDefault="009C6940" w:rsidP="009C6940">
      <w:pPr>
        <w:pStyle w:val="BodyText"/>
      </w:pPr>
      <w:r>
        <w:t>There appears to be a bi</w:t>
      </w:r>
      <w:r>
        <w:noBreakHyphen/>
        <w:t>lateral relationship between employment and mental health. Bubonya, Cobb</w:t>
      </w:r>
      <w:r>
        <w:noBreakHyphen/>
        <w:t xml:space="preserve">Clark and Ribar </w:t>
      </w:r>
      <w:r w:rsidRPr="004806C3">
        <w:t>(2017)</w:t>
      </w:r>
      <w:r>
        <w:t xml:space="preserve"> in an analysis of the relationship between depressive symptoms and employment found that mental health problems are both a cause and, to a lesser extent, a consequence of unemployment. The more severe the depressive symptoms, the less likely an individual was to be in the labour force. The prevalence of depressive symptoms was higher the longer a person was out of the workforce.</w:t>
      </w:r>
    </w:p>
    <w:p w14:paraId="5B10264D" w14:textId="77777777" w:rsidR="009C6940" w:rsidRDefault="009C6940" w:rsidP="009C6940">
      <w:pPr>
        <w:pStyle w:val="BodyText"/>
      </w:pPr>
      <w:r>
        <w:t xml:space="preserve">This suggests that the loss of a job is likely to have a negative effect on mental health. While research has found the effects on mental health from the loss of employment were considered to be small to medium, these effects were often moderated by age, gender, occupation and the immediate economic environment (local unemployment rates, welfare system and demand for particular occupations). Men’s mental health tended to deteriorate as they exited employment whereas for women the deterioration typically occurred after they had been out of the workforce for a period of time </w:t>
      </w:r>
      <w:r w:rsidRPr="006314F2">
        <w:rPr>
          <w:szCs w:val="24"/>
        </w:rPr>
        <w:t>(Bubonya, Cobb-Clark and Ribar 2017)</w:t>
      </w:r>
      <w:r>
        <w:t xml:space="preserve">. For men, their role in the household may be a factor in the immediate deterioration in mental health following the loss of employment, particularly where they are the primary income earner in the household </w:t>
      </w:r>
      <w:r w:rsidRPr="006314F2">
        <w:rPr>
          <w:szCs w:val="24"/>
        </w:rPr>
        <w:t>(Artazcoz et al. 2004; Kuhn, Lalive and Zweimüller 2009)</w:t>
      </w:r>
      <w:r>
        <w:t xml:space="preserve">. </w:t>
      </w:r>
    </w:p>
    <w:p w14:paraId="159A4020" w14:textId="77777777" w:rsidR="009C6940" w:rsidRDefault="009C6940" w:rsidP="009C6940">
      <w:pPr>
        <w:pStyle w:val="BodyText"/>
      </w:pPr>
      <w:r>
        <w:t>T</w:t>
      </w:r>
      <w:r w:rsidRPr="0068068D">
        <w:t xml:space="preserve">here is some evidence </w:t>
      </w:r>
      <w:r>
        <w:t xml:space="preserve">that </w:t>
      </w:r>
      <w:r w:rsidRPr="0068068D">
        <w:t>unemployment is associated with w</w:t>
      </w:r>
      <w:r>
        <w:t>orsening mental health for young people</w:t>
      </w:r>
      <w:r w:rsidRPr="0068068D">
        <w:t xml:space="preserve"> who are wanting to</w:t>
      </w:r>
      <w:r>
        <w:t>,</w:t>
      </w:r>
      <w:r w:rsidRPr="0068068D">
        <w:t xml:space="preserve"> but cannot enter the workforce </w:t>
      </w:r>
      <w:r w:rsidRPr="006314F2">
        <w:rPr>
          <w:szCs w:val="24"/>
        </w:rPr>
        <w:t>(Buffel, van de Straat and Bracke 2015)</w:t>
      </w:r>
      <w:r>
        <w:t xml:space="preserve">. People </w:t>
      </w:r>
      <w:r w:rsidRPr="0068068D">
        <w:t>who are middle</w:t>
      </w:r>
      <w:r>
        <w:noBreakHyphen/>
      </w:r>
      <w:r w:rsidRPr="0068068D">
        <w:t xml:space="preserve">aged </w:t>
      </w:r>
      <w:r>
        <w:t>may</w:t>
      </w:r>
      <w:r w:rsidRPr="0068068D">
        <w:t xml:space="preserve"> have higher expenses, increasing the financial stress caused by unemployment, exacerbating the negative </w:t>
      </w:r>
      <w:r>
        <w:t>effect</w:t>
      </w:r>
      <w:r w:rsidRPr="0068068D">
        <w:t xml:space="preserve"> on mental health. </w:t>
      </w:r>
      <w:r>
        <w:t xml:space="preserve">Older people may be less affected by job loss the closer they are to retirement. </w:t>
      </w:r>
    </w:p>
    <w:p w14:paraId="599AD188" w14:textId="77777777" w:rsidR="009C6940" w:rsidRPr="00CD4BBD" w:rsidRDefault="009C6940" w:rsidP="009C6940">
      <w:pPr>
        <w:pStyle w:val="BodyText"/>
        <w:rPr>
          <w:spacing w:val="-4"/>
        </w:rPr>
      </w:pPr>
      <w:r w:rsidRPr="00CD4BBD">
        <w:rPr>
          <w:spacing w:val="-4"/>
        </w:rPr>
        <w:t>The threat of impending job loss and the social and economic context in which the job loss occurs can also have a significant effect on mental health. Those facing job losses through closures of large manufacturing enterprises (such as car manufacturing or steel industries) in areas with pre</w:t>
      </w:r>
      <w:r w:rsidRPr="00CD4BBD">
        <w:rPr>
          <w:spacing w:val="-4"/>
        </w:rPr>
        <w:noBreakHyphen/>
        <w:t>existing socio</w:t>
      </w:r>
      <w:r w:rsidRPr="00CD4BBD">
        <w:rPr>
          <w:spacing w:val="-4"/>
        </w:rPr>
        <w:noBreakHyphen/>
        <w:t>economic disadvantage, where re</w:t>
      </w:r>
      <w:r w:rsidRPr="00CD4BBD">
        <w:rPr>
          <w:spacing w:val="-4"/>
        </w:rPr>
        <w:noBreakHyphen/>
        <w:t xml:space="preserve">employment prospects were limited, were more likely to experience adverse psychological outcomes </w:t>
      </w:r>
      <w:r w:rsidRPr="00CD4BBD">
        <w:rPr>
          <w:spacing w:val="-4"/>
          <w:szCs w:val="24"/>
        </w:rPr>
        <w:t>(Myles et al. 2017)</w:t>
      </w:r>
      <w:r w:rsidRPr="00CD4BBD">
        <w:rPr>
          <w:spacing w:val="-4"/>
        </w:rPr>
        <w:t>.</w:t>
      </w:r>
    </w:p>
    <w:p w14:paraId="23653A4E" w14:textId="77777777" w:rsidR="009C6940" w:rsidRDefault="009C6940" w:rsidP="009C6940">
      <w:pPr>
        <w:pStyle w:val="BodyText"/>
      </w:pPr>
      <w:r>
        <w:t>In further work on the relationship between depressive symptoms and employment, Bubonya, Cobb</w:t>
      </w:r>
      <w:r>
        <w:noBreakHyphen/>
        <w:t xml:space="preserve">Clark and Ribar </w:t>
      </w:r>
      <w:r w:rsidRPr="006A5A33">
        <w:t>(2019)</w:t>
      </w:r>
      <w:r>
        <w:t xml:space="preserve"> found strong evidence that depressive symptoms were a cause of employment problems. However, the study found no evidence for men and only limited evidence for women that unemployment and non</w:t>
      </w:r>
      <w:r>
        <w:noBreakHyphen/>
        <w:t>participation in the labour force raised the risk of severe depressive symptoms.</w:t>
      </w:r>
    </w:p>
    <w:p w14:paraId="7D7A8B63" w14:textId="77777777" w:rsidR="009C6940" w:rsidRPr="00CD4BBD" w:rsidRDefault="009C6940" w:rsidP="009C6940">
      <w:pPr>
        <w:pStyle w:val="BodyText"/>
        <w:rPr>
          <w:spacing w:val="-4"/>
        </w:rPr>
      </w:pPr>
      <w:r w:rsidRPr="00CD4BBD">
        <w:rPr>
          <w:spacing w:val="-4"/>
        </w:rPr>
        <w:t>Given the complex relationship between employment and mental health, Bubonya, Cobb</w:t>
      </w:r>
      <w:r w:rsidRPr="00CD4BBD">
        <w:rPr>
          <w:spacing w:val="-4"/>
        </w:rPr>
        <w:noBreakHyphen/>
        <w:t>Clark and Ribar (2019) considered that reducing the economic costs of mental illness is a challenge that needs to be addressed from both sides — improving mental health by improving employment outcomes and reducing barriers to employment for those with mental illness.</w:t>
      </w:r>
    </w:p>
    <w:p w14:paraId="614258FD" w14:textId="77777777" w:rsidR="009C6940" w:rsidRDefault="009C6940" w:rsidP="009C6940">
      <w:pPr>
        <w:pStyle w:val="BodyText"/>
      </w:pPr>
      <w:r>
        <w:t xml:space="preserve">Importantly, having a common mental disorder (such as anxiety or depression) does not stop people being employed, and, as noted by the OECD, the vast majority of those with mild or moderate mental illness work </w:t>
      </w:r>
      <w:r w:rsidRPr="006314F2">
        <w:rPr>
          <w:szCs w:val="24"/>
        </w:rPr>
        <w:t>(Bubonya, Cobb-Clark and Ribar 2017</w:t>
      </w:r>
      <w:r>
        <w:t xml:space="preserve">). However, the more </w:t>
      </w:r>
      <w:r>
        <w:lastRenderedPageBreak/>
        <w:t xml:space="preserve">severe the mental illness, the less likely an individual is to work. Fritjers, Johnston and Shields </w:t>
      </w:r>
      <w:r w:rsidRPr="00B43021">
        <w:t>(2014)</w:t>
      </w:r>
      <w:r>
        <w:t xml:space="preserve"> in a study of Australians with mental ill</w:t>
      </w:r>
      <w:r>
        <w:noBreakHyphen/>
        <w:t>health found that declines in mental health were associated with further declines in employment and those with more severe conditions were less likely to seek work.</w:t>
      </w:r>
    </w:p>
    <w:p w14:paraId="495CBDD9" w14:textId="77777777" w:rsidR="009C6940" w:rsidRDefault="009C6940" w:rsidP="009C6940">
      <w:pPr>
        <w:pStyle w:val="BodyText"/>
      </w:pPr>
      <w:r>
        <w:t>Although employment is associated with better mental health than unemployment and shifting from unemployment to employment improves mental health, there is some evidence that jobs with poorly designed work and a poor work environment can exacerbate mental ill</w:t>
      </w:r>
      <w:r>
        <w:noBreakHyphen/>
        <w:t xml:space="preserve">health </w:t>
      </w:r>
      <w:r w:rsidRPr="006314F2">
        <w:rPr>
          <w:szCs w:val="24"/>
        </w:rPr>
        <w:t>(Harvey et al. 2014)</w:t>
      </w:r>
      <w:r>
        <w:t xml:space="preserve">. A study by Butterworth et al. </w:t>
      </w:r>
      <w:r w:rsidRPr="007E56EC">
        <w:t>(2011)</w:t>
      </w:r>
      <w:r>
        <w:t xml:space="preserve"> found that moving from unemployment to a job characterised by low job control, high job demands, poor security and the perception of unfair pay could result in a decline in mental health compared to unemployment. The issues around mental health in the workplace are discussed in chapter 7.</w:t>
      </w:r>
    </w:p>
    <w:p w14:paraId="05EC02CE" w14:textId="77777777" w:rsidR="009C6940" w:rsidRPr="00CD4BBD" w:rsidRDefault="009C6940" w:rsidP="009C6940">
      <w:pPr>
        <w:pStyle w:val="Heading2"/>
        <w:rPr>
          <w:rFonts w:ascii="Arial Bold" w:hAnsi="Arial Bold"/>
          <w:spacing w:val="-6"/>
        </w:rPr>
      </w:pPr>
      <w:r>
        <w:t>D.</w:t>
      </w:r>
      <w:r>
        <w:rPr>
          <w:noProof/>
        </w:rPr>
        <w:t>2</w:t>
      </w:r>
      <w:r>
        <w:tab/>
      </w:r>
      <w:r w:rsidRPr="00CD4BBD">
        <w:rPr>
          <w:rFonts w:ascii="Arial Bold" w:hAnsi="Arial Bold"/>
          <w:spacing w:val="-6"/>
        </w:rPr>
        <w:t>Employment outcomes for those with mental illness</w:t>
      </w:r>
    </w:p>
    <w:p w14:paraId="4A344B90" w14:textId="77777777" w:rsidR="009C6940" w:rsidRDefault="009C6940" w:rsidP="009C6940">
      <w:pPr>
        <w:pStyle w:val="BodyText"/>
      </w:pPr>
      <w:r>
        <w:rPr>
          <w:rStyle w:val="BodyTextChar"/>
        </w:rPr>
        <w:t xml:space="preserve">Employment outcomes for people with mental illness are worse than for the wider population. </w:t>
      </w:r>
      <w:r>
        <w:t>In 2017</w:t>
      </w:r>
      <w:r>
        <w:noBreakHyphen/>
        <w:t xml:space="preserve">18, 55% of working age Australians with mental illness were employed, compared with 64% of all working age Australians </w:t>
      </w:r>
      <w:r w:rsidRPr="006314F2">
        <w:rPr>
          <w:szCs w:val="24"/>
        </w:rPr>
        <w:t>(ABS 2019)</w:t>
      </w:r>
      <w:r>
        <w:t>. This is reflected in the share of people with mental illness not in the labour force or unemployed being higher than that of the wider working age population. In regard to part</w:t>
      </w:r>
      <w:r>
        <w:noBreakHyphen/>
        <w:t>time employment, the share of people with mental illness employed on this basis was slightly above that of the wider working age population (figure D.1).</w:t>
      </w:r>
    </w:p>
    <w:p w14:paraId="5343AC07" w14:textId="77777777" w:rsidR="009C6940" w:rsidRPr="00CD4BBD" w:rsidRDefault="009C6940" w:rsidP="009C6940">
      <w:pPr>
        <w:pStyle w:val="BodyText"/>
        <w:rPr>
          <w:spacing w:val="-4"/>
        </w:rPr>
      </w:pPr>
      <w:r w:rsidRPr="00CD4BBD">
        <w:rPr>
          <w:spacing w:val="-4"/>
        </w:rPr>
        <w:t>The unemployment rate for people with moderate mental illness in Australia is about two and half times that for those without mental illness (figure D.2). For people with severe mental illness, it is more than five times the rate of those without mental illness. Switzerland and the Netherlands have the smallest differences in the rate of unemployment between people with severe or moderate mental illness and those without mental illness. In all countries, unemployment rates were higher for people with severe mental illness (figure D.2).</w:t>
      </w:r>
    </w:p>
    <w:p w14:paraId="662B64C7" w14:textId="77777777" w:rsidR="009C6940" w:rsidRPr="00CD4BBD" w:rsidRDefault="009C6940" w:rsidP="009C6940">
      <w:pPr>
        <w:pStyle w:val="BodyText"/>
        <w:rPr>
          <w:spacing w:val="-4"/>
        </w:rPr>
      </w:pPr>
      <w:r w:rsidRPr="00CD4BBD">
        <w:rPr>
          <w:spacing w:val="-4"/>
        </w:rPr>
        <w:t>In comparing employment outcomes based on type of disability, unemployment rates for those with a psychological disability are higher than for those with an intellectual disability or physical disability, but slightly below those with a sensory and speech disability (figure D.3).</w:t>
      </w:r>
    </w:p>
    <w:p w14:paraId="29C6172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FAFFA83" w14:textId="77777777" w:rsidTr="009C6940">
        <w:trPr>
          <w:tblHeader/>
        </w:trPr>
        <w:tc>
          <w:tcPr>
            <w:tcW w:w="5000" w:type="pct"/>
            <w:tcBorders>
              <w:top w:val="single" w:sz="6" w:space="0" w:color="78A22F"/>
              <w:left w:val="nil"/>
              <w:bottom w:val="nil"/>
              <w:right w:val="nil"/>
            </w:tcBorders>
            <w:shd w:val="clear" w:color="auto" w:fill="auto"/>
          </w:tcPr>
          <w:p w14:paraId="2F726252" w14:textId="77777777" w:rsidR="009C6940" w:rsidRDefault="009C6940" w:rsidP="009C6940">
            <w:pPr>
              <w:pStyle w:val="FigureTitle"/>
            </w:pPr>
            <w:r w:rsidRPr="00784A05">
              <w:rPr>
                <w:b w:val="0"/>
              </w:rPr>
              <w:t xml:space="preserve">Figure </w:t>
            </w:r>
            <w:r>
              <w:rPr>
                <w:b w:val="0"/>
              </w:rPr>
              <w:t>D.</w:t>
            </w:r>
            <w:r>
              <w:rPr>
                <w:b w:val="0"/>
                <w:noProof/>
              </w:rPr>
              <w:t>1</w:t>
            </w:r>
            <w:r>
              <w:tab/>
              <w:t>Labour force status for people with mental illness and the Australian population</w:t>
            </w:r>
          </w:p>
          <w:p w14:paraId="5232BE00" w14:textId="77777777" w:rsidR="009C6940" w:rsidRPr="00176D3F" w:rsidRDefault="009C6940" w:rsidP="009C6940">
            <w:pPr>
              <w:pStyle w:val="Subtitle"/>
            </w:pPr>
            <w:r>
              <w:t>Persons aged 16 to 64 years, 2017</w:t>
            </w:r>
            <w:r>
              <w:noBreakHyphen/>
              <w:t>18</w:t>
            </w:r>
          </w:p>
        </w:tc>
      </w:tr>
      <w:tr w:rsidR="009C6940" w14:paraId="7D8148E8" w14:textId="77777777" w:rsidTr="009C6940">
        <w:tc>
          <w:tcPr>
            <w:tcW w:w="5000" w:type="pct"/>
            <w:tcBorders>
              <w:top w:val="nil"/>
              <w:left w:val="nil"/>
              <w:bottom w:val="nil"/>
              <w:right w:val="nil"/>
            </w:tcBorders>
            <w:shd w:val="clear" w:color="auto" w:fill="auto"/>
            <w:tcMar>
              <w:top w:w="28" w:type="dxa"/>
              <w:bottom w:w="28" w:type="dxa"/>
            </w:tcMar>
          </w:tcPr>
          <w:p w14:paraId="1D2A5EBD" w14:textId="77777777" w:rsidR="009C6940" w:rsidRDefault="009C6940" w:rsidP="009C6940">
            <w:pPr>
              <w:pStyle w:val="Figure"/>
            </w:pPr>
            <w:r w:rsidRPr="00B866A3">
              <w:rPr>
                <w:noProof/>
              </w:rPr>
              <w:drawing>
                <wp:inline distT="0" distB="0" distL="0" distR="0" wp14:anchorId="030DF350" wp14:editId="493BFEF5">
                  <wp:extent cx="5398770" cy="2877820"/>
                  <wp:effectExtent l="0" t="0" r="0" b="0"/>
                  <wp:docPr id="1" name="Picture 1" descr="Bar graph showing that those with a mental illness have lower rates of full-time employment and higher rates of unemployment compared with the wider workforce. However, a larger share of people with a mental illness are in part-time employment than the wider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98770" cy="2877820"/>
                          </a:xfrm>
                          <a:prstGeom prst="rect">
                            <a:avLst/>
                          </a:prstGeom>
                          <a:noFill/>
                          <a:ln>
                            <a:noFill/>
                          </a:ln>
                        </pic:spPr>
                      </pic:pic>
                    </a:graphicData>
                  </a:graphic>
                </wp:inline>
              </w:drawing>
            </w:r>
          </w:p>
        </w:tc>
      </w:tr>
      <w:tr w:rsidR="009C6940" w:rsidRPr="00176D3F" w14:paraId="4491E185" w14:textId="77777777" w:rsidTr="009C6940">
        <w:tc>
          <w:tcPr>
            <w:tcW w:w="5000" w:type="pct"/>
            <w:tcBorders>
              <w:top w:val="nil"/>
              <w:left w:val="nil"/>
              <w:bottom w:val="nil"/>
              <w:right w:val="nil"/>
            </w:tcBorders>
            <w:shd w:val="clear" w:color="auto" w:fill="auto"/>
          </w:tcPr>
          <w:p w14:paraId="63D6DAB9" w14:textId="77777777" w:rsidR="009C6940" w:rsidRPr="00176D3F" w:rsidRDefault="009C6940" w:rsidP="009C6940">
            <w:pPr>
              <w:pStyle w:val="Source"/>
            </w:pPr>
            <w:r>
              <w:rPr>
                <w:i/>
              </w:rPr>
              <w:t>S</w:t>
            </w:r>
            <w:r w:rsidRPr="00784A05">
              <w:rPr>
                <w:i/>
              </w:rPr>
              <w:t>ource</w:t>
            </w:r>
            <w:r w:rsidRPr="00176D3F">
              <w:t>:</w:t>
            </w:r>
            <w:r>
              <w:t xml:space="preserve"> ABS</w:t>
            </w:r>
            <w:r w:rsidRPr="00176D3F">
              <w:t xml:space="preserve"> </w:t>
            </w:r>
            <w:r w:rsidRPr="006F1D4F">
              <w:rPr>
                <w:rFonts w:cs="Arial"/>
              </w:rPr>
              <w:t>(</w:t>
            </w:r>
            <w:r w:rsidRPr="0003148F">
              <w:rPr>
                <w:rFonts w:cs="Arial"/>
                <w:i/>
              </w:rPr>
              <w:t xml:space="preserve">Microdata: National Health Survey, 2017-18, </w:t>
            </w:r>
            <w:r w:rsidRPr="00720D5E">
              <w:rPr>
                <w:rFonts w:cs="Arial"/>
              </w:rPr>
              <w:t>Cat. no. 4324.0.55.001</w:t>
            </w:r>
            <w:r w:rsidRPr="006F1D4F">
              <w:rPr>
                <w:rFonts w:cs="Arial"/>
              </w:rPr>
              <w:t>)</w:t>
            </w:r>
            <w:r>
              <w:t>.</w:t>
            </w:r>
          </w:p>
        </w:tc>
      </w:tr>
      <w:tr w:rsidR="009C6940" w14:paraId="3B3B4DC0" w14:textId="77777777" w:rsidTr="009C6940">
        <w:tc>
          <w:tcPr>
            <w:tcW w:w="5000" w:type="pct"/>
            <w:tcBorders>
              <w:top w:val="nil"/>
              <w:left w:val="nil"/>
              <w:bottom w:val="single" w:sz="6" w:space="0" w:color="78A22F"/>
              <w:right w:val="nil"/>
            </w:tcBorders>
            <w:shd w:val="clear" w:color="auto" w:fill="auto"/>
          </w:tcPr>
          <w:p w14:paraId="2B857DE4" w14:textId="77777777" w:rsidR="009C6940" w:rsidRDefault="009C6940" w:rsidP="009C6940">
            <w:pPr>
              <w:pStyle w:val="Figurespace"/>
            </w:pPr>
          </w:p>
        </w:tc>
      </w:tr>
      <w:tr w:rsidR="009C6940" w:rsidRPr="000863A5" w14:paraId="5FDDB1B6" w14:textId="77777777" w:rsidTr="009C6940">
        <w:tc>
          <w:tcPr>
            <w:tcW w:w="5000" w:type="pct"/>
            <w:tcBorders>
              <w:top w:val="single" w:sz="6" w:space="0" w:color="78A22F"/>
              <w:left w:val="nil"/>
              <w:bottom w:val="nil"/>
              <w:right w:val="nil"/>
            </w:tcBorders>
          </w:tcPr>
          <w:p w14:paraId="6D2281E2" w14:textId="77777777" w:rsidR="009C6940" w:rsidRPr="00626D32" w:rsidRDefault="009C6940" w:rsidP="009C6940">
            <w:pPr>
              <w:pStyle w:val="BoxSpaceBelow"/>
            </w:pPr>
          </w:p>
        </w:tc>
      </w:tr>
    </w:tbl>
    <w:p w14:paraId="56F781A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13F240F" w14:textId="77777777" w:rsidTr="009C6940">
        <w:trPr>
          <w:tblHeader/>
        </w:trPr>
        <w:tc>
          <w:tcPr>
            <w:tcW w:w="5000" w:type="pct"/>
            <w:tcBorders>
              <w:top w:val="single" w:sz="6" w:space="0" w:color="78A22F"/>
              <w:left w:val="nil"/>
              <w:bottom w:val="nil"/>
              <w:right w:val="nil"/>
            </w:tcBorders>
            <w:shd w:val="clear" w:color="auto" w:fill="auto"/>
          </w:tcPr>
          <w:p w14:paraId="703520FB" w14:textId="77777777" w:rsidR="009C6940" w:rsidRPr="006E73A6" w:rsidRDefault="009C6940" w:rsidP="009C6940">
            <w:pPr>
              <w:pStyle w:val="FigureTitle"/>
            </w:pPr>
            <w:r w:rsidRPr="00784A05">
              <w:rPr>
                <w:b w:val="0"/>
              </w:rPr>
              <w:t>Figure</w:t>
            </w:r>
            <w:r>
              <w:rPr>
                <w:b w:val="0"/>
              </w:rPr>
              <w:t xml:space="preserve"> D.</w:t>
            </w:r>
            <w:r>
              <w:rPr>
                <w:b w:val="0"/>
                <w:noProof/>
              </w:rPr>
              <w:t>2</w:t>
            </w:r>
            <w:r>
              <w:tab/>
              <w:t>Unemployment rates by severity of mental disorder, selected OECD countries, 2015</w:t>
            </w:r>
          </w:p>
        </w:tc>
      </w:tr>
      <w:tr w:rsidR="009C6940" w14:paraId="63B5E76E" w14:textId="77777777" w:rsidTr="009C6940">
        <w:tc>
          <w:tcPr>
            <w:tcW w:w="5000" w:type="pct"/>
            <w:tcBorders>
              <w:top w:val="nil"/>
              <w:left w:val="nil"/>
              <w:bottom w:val="nil"/>
              <w:right w:val="nil"/>
            </w:tcBorders>
            <w:shd w:val="clear" w:color="auto" w:fill="auto"/>
            <w:tcMar>
              <w:top w:w="28" w:type="dxa"/>
              <w:bottom w:w="28" w:type="dxa"/>
            </w:tcMar>
          </w:tcPr>
          <w:p w14:paraId="2E573C6D" w14:textId="77777777" w:rsidR="009C6940" w:rsidRDefault="009C6940" w:rsidP="009C6940">
            <w:pPr>
              <w:pStyle w:val="Figure"/>
            </w:pPr>
            <w:r w:rsidRPr="003A7FA2">
              <w:rPr>
                <w:noProof/>
              </w:rPr>
              <w:drawing>
                <wp:inline distT="0" distB="0" distL="0" distR="0" wp14:anchorId="1DB0CE02" wp14:editId="22DBD468">
                  <wp:extent cx="5400675" cy="2876550"/>
                  <wp:effectExtent l="0" t="0" r="9525" b="0"/>
                  <wp:docPr id="9" name="Picture 9" descr="In comparison to other countries, the unemployment rates for those people with a moderate mental disorder in Australia is about two and half times that for those with no disorder. For those people with a severe disorder it is more than five times the rate of those without a disorder. Switzerland and the Netherlands, have the smallest differences in the rate of unemployment between those people with a severe or moderate disorder and those without a disorder. In all countries, unemployment rates are higher for those people with more severe mental dis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9C6940" w:rsidRPr="00176D3F" w14:paraId="3F783701" w14:textId="77777777" w:rsidTr="009C6940">
        <w:tc>
          <w:tcPr>
            <w:tcW w:w="5000" w:type="pct"/>
            <w:tcBorders>
              <w:top w:val="nil"/>
              <w:left w:val="nil"/>
              <w:bottom w:val="nil"/>
              <w:right w:val="nil"/>
            </w:tcBorders>
            <w:shd w:val="clear" w:color="auto" w:fill="auto"/>
          </w:tcPr>
          <w:p w14:paraId="547C4BE3" w14:textId="77777777" w:rsidR="009C6940" w:rsidRPr="00176D3F" w:rsidRDefault="009C6940" w:rsidP="009C6940">
            <w:pPr>
              <w:pStyle w:val="Source"/>
            </w:pPr>
            <w:r>
              <w:rPr>
                <w:i/>
              </w:rPr>
              <w:t>S</w:t>
            </w:r>
            <w:r w:rsidRPr="00784A05">
              <w:rPr>
                <w:i/>
              </w:rPr>
              <w:t>ource</w:t>
            </w:r>
            <w:r w:rsidRPr="00176D3F">
              <w:t>:</w:t>
            </w:r>
            <w:r>
              <w:t xml:space="preserve"> OECD</w:t>
            </w:r>
            <w:r w:rsidRPr="00176D3F">
              <w:t xml:space="preserve"> </w:t>
            </w:r>
            <w:r w:rsidRPr="00800B41">
              <w:rPr>
                <w:rFonts w:cs="Arial"/>
              </w:rPr>
              <w:t>(2015)</w:t>
            </w:r>
            <w:r>
              <w:t>.</w:t>
            </w:r>
          </w:p>
        </w:tc>
      </w:tr>
      <w:tr w:rsidR="009C6940" w14:paraId="7C50059C" w14:textId="77777777" w:rsidTr="009C6940">
        <w:tc>
          <w:tcPr>
            <w:tcW w:w="5000" w:type="pct"/>
            <w:tcBorders>
              <w:top w:val="nil"/>
              <w:left w:val="nil"/>
              <w:bottom w:val="single" w:sz="6" w:space="0" w:color="78A22F"/>
              <w:right w:val="nil"/>
            </w:tcBorders>
            <w:shd w:val="clear" w:color="auto" w:fill="auto"/>
          </w:tcPr>
          <w:p w14:paraId="01E2FEA7" w14:textId="77777777" w:rsidR="009C6940" w:rsidRDefault="009C6940" w:rsidP="009C6940">
            <w:pPr>
              <w:pStyle w:val="Figurespace"/>
            </w:pPr>
          </w:p>
        </w:tc>
      </w:tr>
      <w:tr w:rsidR="009C6940" w:rsidRPr="000863A5" w14:paraId="476F43F2" w14:textId="77777777" w:rsidTr="009C6940">
        <w:tc>
          <w:tcPr>
            <w:tcW w:w="5000" w:type="pct"/>
            <w:tcBorders>
              <w:top w:val="single" w:sz="6" w:space="0" w:color="78A22F"/>
              <w:left w:val="nil"/>
              <w:bottom w:val="nil"/>
              <w:right w:val="nil"/>
            </w:tcBorders>
          </w:tcPr>
          <w:p w14:paraId="24F433AD" w14:textId="77777777" w:rsidR="009C6940" w:rsidRPr="00626D32" w:rsidRDefault="009C6940" w:rsidP="009C6940">
            <w:pPr>
              <w:pStyle w:val="BoxSpaceBelow"/>
            </w:pPr>
          </w:p>
        </w:tc>
      </w:tr>
    </w:tbl>
    <w:p w14:paraId="128E7B6D"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AC72D90" w14:textId="77777777" w:rsidTr="009C6940">
        <w:trPr>
          <w:tblHeader/>
        </w:trPr>
        <w:tc>
          <w:tcPr>
            <w:tcW w:w="5000" w:type="pct"/>
            <w:tcBorders>
              <w:top w:val="single" w:sz="6" w:space="0" w:color="78A22F"/>
              <w:left w:val="nil"/>
              <w:bottom w:val="nil"/>
              <w:right w:val="nil"/>
            </w:tcBorders>
            <w:shd w:val="clear" w:color="auto" w:fill="auto"/>
          </w:tcPr>
          <w:p w14:paraId="7F21B646" w14:textId="77777777" w:rsidR="009C6940" w:rsidRDefault="009C6940" w:rsidP="009C6940">
            <w:pPr>
              <w:pStyle w:val="FigureTitle"/>
            </w:pPr>
            <w:r w:rsidRPr="00784A05">
              <w:rPr>
                <w:b w:val="0"/>
              </w:rPr>
              <w:t>Figure</w:t>
            </w:r>
            <w:r>
              <w:rPr>
                <w:b w:val="0"/>
              </w:rPr>
              <w:t xml:space="preserve"> D.</w:t>
            </w:r>
            <w:r>
              <w:rPr>
                <w:b w:val="0"/>
                <w:noProof/>
              </w:rPr>
              <w:t>3</w:t>
            </w:r>
            <w:r>
              <w:tab/>
              <w:t>Unemployment rate by disability type</w:t>
            </w:r>
          </w:p>
          <w:p w14:paraId="4B5A85AD" w14:textId="77777777" w:rsidR="009C6940" w:rsidRPr="00176D3F" w:rsidRDefault="009C6940" w:rsidP="009C6940">
            <w:pPr>
              <w:pStyle w:val="Subtitle"/>
            </w:pPr>
            <w:r>
              <w:t>2012</w:t>
            </w:r>
          </w:p>
        </w:tc>
      </w:tr>
      <w:tr w:rsidR="009C6940" w14:paraId="0D43DE4A" w14:textId="77777777" w:rsidTr="009C6940">
        <w:tc>
          <w:tcPr>
            <w:tcW w:w="5000" w:type="pct"/>
            <w:tcBorders>
              <w:top w:val="nil"/>
              <w:left w:val="nil"/>
              <w:bottom w:val="nil"/>
              <w:right w:val="nil"/>
            </w:tcBorders>
            <w:shd w:val="clear" w:color="auto" w:fill="auto"/>
            <w:tcMar>
              <w:top w:w="28" w:type="dxa"/>
              <w:bottom w:w="28" w:type="dxa"/>
            </w:tcMar>
          </w:tcPr>
          <w:p w14:paraId="762BE6D8" w14:textId="77777777" w:rsidR="009C6940" w:rsidRDefault="009C6940" w:rsidP="009C6940">
            <w:pPr>
              <w:pStyle w:val="Figure"/>
            </w:pPr>
            <w:r w:rsidRPr="00843D3E">
              <w:rPr>
                <w:noProof/>
              </w:rPr>
              <w:drawing>
                <wp:inline distT="0" distB="0" distL="0" distR="0" wp14:anchorId="66705DAA" wp14:editId="7FC63253">
                  <wp:extent cx="5401310" cy="2998470"/>
                  <wp:effectExtent l="0" t="0" r="8890" b="0"/>
                  <wp:docPr id="8" name="Picture 8" descr="A bar graph showing that by disability type those with a psychological disability are higher than for those with an intellectual disability or physical disability, but slightly below those with a sensory and speech disability" title="Figure D.3 Unemployment rate by disability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1310" cy="2998470"/>
                          </a:xfrm>
                          <a:prstGeom prst="rect">
                            <a:avLst/>
                          </a:prstGeom>
                          <a:noFill/>
                          <a:ln>
                            <a:noFill/>
                          </a:ln>
                        </pic:spPr>
                      </pic:pic>
                    </a:graphicData>
                  </a:graphic>
                </wp:inline>
              </w:drawing>
            </w:r>
          </w:p>
        </w:tc>
      </w:tr>
      <w:tr w:rsidR="009C6940" w:rsidRPr="00176D3F" w14:paraId="216BD0C9" w14:textId="77777777" w:rsidTr="009C6940">
        <w:tc>
          <w:tcPr>
            <w:tcW w:w="5000" w:type="pct"/>
            <w:tcBorders>
              <w:top w:val="nil"/>
              <w:left w:val="nil"/>
              <w:bottom w:val="nil"/>
              <w:right w:val="nil"/>
            </w:tcBorders>
            <w:shd w:val="clear" w:color="auto" w:fill="auto"/>
          </w:tcPr>
          <w:p w14:paraId="7FB36D0F" w14:textId="77777777" w:rsidR="009C6940" w:rsidRPr="00176D3F" w:rsidRDefault="009C6940" w:rsidP="009C6940">
            <w:pPr>
              <w:pStyle w:val="Source"/>
            </w:pPr>
            <w:r>
              <w:rPr>
                <w:i/>
              </w:rPr>
              <w:t>S</w:t>
            </w:r>
            <w:r w:rsidRPr="00784A05">
              <w:rPr>
                <w:i/>
              </w:rPr>
              <w:t>ource</w:t>
            </w:r>
            <w:r w:rsidRPr="00176D3F">
              <w:t xml:space="preserve">: </w:t>
            </w:r>
            <w:r>
              <w:t>ABS (</w:t>
            </w:r>
            <w:r w:rsidRPr="0003148F">
              <w:rPr>
                <w:i/>
              </w:rPr>
              <w:t>Disability and Labour Force Participation</w:t>
            </w:r>
            <w:r>
              <w:t>, 2012, Cat. no. 44433.0.55.006).</w:t>
            </w:r>
          </w:p>
        </w:tc>
      </w:tr>
      <w:tr w:rsidR="009C6940" w14:paraId="5F324437" w14:textId="77777777" w:rsidTr="009C6940">
        <w:tc>
          <w:tcPr>
            <w:tcW w:w="5000" w:type="pct"/>
            <w:tcBorders>
              <w:top w:val="nil"/>
              <w:left w:val="nil"/>
              <w:bottom w:val="single" w:sz="6" w:space="0" w:color="78A22F"/>
              <w:right w:val="nil"/>
            </w:tcBorders>
            <w:shd w:val="clear" w:color="auto" w:fill="auto"/>
          </w:tcPr>
          <w:p w14:paraId="40357E12" w14:textId="77777777" w:rsidR="009C6940" w:rsidRDefault="009C6940" w:rsidP="009C6940">
            <w:pPr>
              <w:pStyle w:val="Figurespace"/>
            </w:pPr>
          </w:p>
        </w:tc>
      </w:tr>
      <w:tr w:rsidR="009C6940" w:rsidRPr="000863A5" w14:paraId="2C8BAAB3" w14:textId="77777777" w:rsidTr="009C6940">
        <w:tc>
          <w:tcPr>
            <w:tcW w:w="5000" w:type="pct"/>
            <w:tcBorders>
              <w:top w:val="single" w:sz="6" w:space="0" w:color="78A22F"/>
              <w:left w:val="nil"/>
              <w:bottom w:val="nil"/>
              <w:right w:val="nil"/>
            </w:tcBorders>
          </w:tcPr>
          <w:p w14:paraId="266FDD5B" w14:textId="77777777" w:rsidR="009C6940" w:rsidRPr="00626D32" w:rsidRDefault="009C6940" w:rsidP="009C6940">
            <w:pPr>
              <w:pStyle w:val="BoxSpaceBelow"/>
            </w:pPr>
          </w:p>
        </w:tc>
      </w:tr>
    </w:tbl>
    <w:p w14:paraId="0520692D" w14:textId="77777777" w:rsidR="009C6940" w:rsidRDefault="009C6940" w:rsidP="009C6940">
      <w:pPr>
        <w:pStyle w:val="BodyText"/>
      </w:pPr>
      <w:r>
        <w:t xml:space="preserve">There is also considerable variation in employment outcomes for those of working age with different reported mental health conditions (figure D.4). For example, a higher proportion of people with schizophrenia related conditions (76%) are not in the labour force compared with people with most other mental health conditions (between 40% and 50%). </w:t>
      </w:r>
    </w:p>
    <w:p w14:paraId="476F9626" w14:textId="77777777" w:rsidR="009C6940" w:rsidRDefault="009C6940" w:rsidP="009C6940">
      <w:pPr>
        <w:pStyle w:val="BodyText"/>
      </w:pPr>
      <w:r>
        <w:t>In regard to unemployment rates (unemployment being defined as actively seeking work), those with bipolar disorder experienced unemployment rates significantly higher than those with other mental health conditions. For most reported mental disorders, the rate of unemployment was between 4% and 5%, except for attention deficit hyperactivity disorder (ADHD) where the rate was 8% (figure D.4).</w:t>
      </w:r>
    </w:p>
    <w:p w14:paraId="1EE00F7E" w14:textId="77777777" w:rsidR="009C6940" w:rsidRDefault="009C6940" w:rsidP="009C6940">
      <w:pPr>
        <w:pStyle w:val="BodyText"/>
      </w:pPr>
      <w:r>
        <w:t>The use of mental health services provided through the Medicare Benefit Schedule (MBS) and mental health medication provided through the Pharmaceutical Benefits Scheme (PBS) by labour force status highlights the poorer labour market outcomes for those with mental illness. In examining the use of MBS-rebated mental health services and PBS mental health medication, part</w:t>
      </w:r>
      <w:r>
        <w:noBreakHyphen/>
        <w:t>time workers and unemployed people use mental health services and medications at a higher rate than full</w:t>
      </w:r>
      <w:r>
        <w:noBreakHyphen/>
        <w:t>time workers. For those not in the labour market, the use of PBS mental health medications is more than 2.5 times the rate of the rest of the population (figure D.5).</w:t>
      </w:r>
    </w:p>
    <w:p w14:paraId="14BF068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D3F3055" w14:textId="77777777" w:rsidTr="009C6940">
        <w:trPr>
          <w:tblHeader/>
        </w:trPr>
        <w:tc>
          <w:tcPr>
            <w:tcW w:w="5000" w:type="pct"/>
            <w:tcBorders>
              <w:top w:val="single" w:sz="6" w:space="0" w:color="78A22F"/>
              <w:left w:val="nil"/>
              <w:bottom w:val="nil"/>
              <w:right w:val="nil"/>
            </w:tcBorders>
            <w:shd w:val="clear" w:color="auto" w:fill="auto"/>
          </w:tcPr>
          <w:p w14:paraId="7F6A33E5" w14:textId="77777777" w:rsidR="009C6940" w:rsidRDefault="009C6940" w:rsidP="009C6940">
            <w:pPr>
              <w:pStyle w:val="FigureTitle"/>
            </w:pPr>
            <w:r w:rsidRPr="00784A05">
              <w:rPr>
                <w:b w:val="0"/>
              </w:rPr>
              <w:t xml:space="preserve">Figure </w:t>
            </w:r>
            <w:r>
              <w:rPr>
                <w:b w:val="0"/>
              </w:rPr>
              <w:t>D.</w:t>
            </w:r>
            <w:r>
              <w:rPr>
                <w:b w:val="0"/>
                <w:noProof/>
              </w:rPr>
              <w:t>4</w:t>
            </w:r>
            <w:r>
              <w:tab/>
              <w:t>Unemployment and not in the labour force rates by type of mental illness</w:t>
            </w:r>
          </w:p>
          <w:p w14:paraId="2855C3A4" w14:textId="77777777" w:rsidR="009C6940" w:rsidRPr="00176D3F" w:rsidRDefault="009C6940" w:rsidP="009C6940">
            <w:pPr>
              <w:pStyle w:val="Subtitle"/>
            </w:pPr>
            <w:r>
              <w:t>Persons with selected conditions, aged 16 to 64 years, 2017</w:t>
            </w:r>
            <w:r>
              <w:noBreakHyphen/>
              <w:t>18</w:t>
            </w:r>
          </w:p>
        </w:tc>
      </w:tr>
      <w:tr w:rsidR="009C6940" w14:paraId="13226957" w14:textId="77777777" w:rsidTr="009C6940">
        <w:tc>
          <w:tcPr>
            <w:tcW w:w="5000" w:type="pct"/>
            <w:tcBorders>
              <w:top w:val="nil"/>
              <w:left w:val="nil"/>
              <w:bottom w:val="nil"/>
              <w:right w:val="nil"/>
            </w:tcBorders>
            <w:shd w:val="clear" w:color="auto" w:fill="auto"/>
            <w:tcMar>
              <w:top w:w="28" w:type="dxa"/>
              <w:bottom w:w="28" w:type="dxa"/>
            </w:tcMar>
          </w:tcPr>
          <w:p w14:paraId="7C2E3133" w14:textId="77777777" w:rsidR="009C6940" w:rsidRDefault="009C6940" w:rsidP="009C6940">
            <w:pPr>
              <w:pStyle w:val="Figure"/>
            </w:pPr>
            <w:r w:rsidRPr="00BD6225">
              <w:rPr>
                <w:noProof/>
              </w:rPr>
              <w:drawing>
                <wp:inline distT="0" distB="0" distL="0" distR="0" wp14:anchorId="718585BF" wp14:editId="2A68EA4C">
                  <wp:extent cx="5400675" cy="2724150"/>
                  <wp:effectExtent l="0" t="0" r="9525" b="0"/>
                  <wp:docPr id="11" name="Picture 11" descr="A bar graph showing that those with a bipolar disorder experienced unemployment rates significantly higher than those with other mental illness. For most reported mental illness the rate of unemployment was between 4 and 5%, except for attention deficit hyperactivity disorder (ADHD) were the rate wa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0675" cy="2724150"/>
                          </a:xfrm>
                          <a:prstGeom prst="rect">
                            <a:avLst/>
                          </a:prstGeom>
                          <a:noFill/>
                          <a:ln>
                            <a:noFill/>
                          </a:ln>
                        </pic:spPr>
                      </pic:pic>
                    </a:graphicData>
                  </a:graphic>
                </wp:inline>
              </w:drawing>
            </w:r>
          </w:p>
        </w:tc>
      </w:tr>
      <w:tr w:rsidR="009C6940" w:rsidRPr="00176D3F" w14:paraId="0C9073D1" w14:textId="77777777" w:rsidTr="009C6940">
        <w:tc>
          <w:tcPr>
            <w:tcW w:w="5000" w:type="pct"/>
            <w:tcBorders>
              <w:top w:val="nil"/>
              <w:left w:val="nil"/>
              <w:bottom w:val="nil"/>
              <w:right w:val="nil"/>
            </w:tcBorders>
            <w:shd w:val="clear" w:color="auto" w:fill="auto"/>
          </w:tcPr>
          <w:p w14:paraId="2A2FF32B" w14:textId="77777777" w:rsidR="009C6940" w:rsidRPr="00176D3F" w:rsidRDefault="009C6940" w:rsidP="009C6940">
            <w:pPr>
              <w:pStyle w:val="Source"/>
            </w:pPr>
            <w:r>
              <w:rPr>
                <w:i/>
              </w:rPr>
              <w:t>S</w:t>
            </w:r>
            <w:r w:rsidRPr="00784A05">
              <w:rPr>
                <w:i/>
              </w:rPr>
              <w:t>ource</w:t>
            </w:r>
            <w:r w:rsidRPr="00176D3F">
              <w:t xml:space="preserve">: </w:t>
            </w:r>
            <w:r>
              <w:t>ABS</w:t>
            </w:r>
            <w:r w:rsidRPr="00176D3F">
              <w:t xml:space="preserve"> </w:t>
            </w:r>
            <w:r w:rsidRPr="006F1D4F">
              <w:rPr>
                <w:rFonts w:cs="Arial"/>
              </w:rPr>
              <w:t>(</w:t>
            </w:r>
            <w:r w:rsidRPr="00720D5E">
              <w:rPr>
                <w:rFonts w:cs="Arial"/>
                <w:i/>
              </w:rPr>
              <w:t>Microdata: National Health Survey, 2017-18</w:t>
            </w:r>
            <w:r w:rsidRPr="00D15AF6">
              <w:rPr>
                <w:rFonts w:cs="Arial"/>
              </w:rPr>
              <w:t>, Cat. no. 4324.0.55.001</w:t>
            </w:r>
            <w:r w:rsidRPr="006F1D4F">
              <w:rPr>
                <w:rFonts w:cs="Arial"/>
              </w:rPr>
              <w:t>)</w:t>
            </w:r>
            <w:r>
              <w:t>.</w:t>
            </w:r>
          </w:p>
        </w:tc>
      </w:tr>
      <w:tr w:rsidR="009C6940" w14:paraId="55037C3D" w14:textId="77777777" w:rsidTr="009C6940">
        <w:tc>
          <w:tcPr>
            <w:tcW w:w="5000" w:type="pct"/>
            <w:tcBorders>
              <w:top w:val="nil"/>
              <w:left w:val="nil"/>
              <w:bottom w:val="single" w:sz="6" w:space="0" w:color="78A22F"/>
              <w:right w:val="nil"/>
            </w:tcBorders>
            <w:shd w:val="clear" w:color="auto" w:fill="auto"/>
          </w:tcPr>
          <w:p w14:paraId="1CB7DF70" w14:textId="77777777" w:rsidR="009C6940" w:rsidRDefault="009C6940" w:rsidP="009C6940">
            <w:pPr>
              <w:pStyle w:val="Figurespace"/>
            </w:pPr>
          </w:p>
        </w:tc>
      </w:tr>
      <w:tr w:rsidR="009C6940" w:rsidRPr="000863A5" w14:paraId="1011451E" w14:textId="77777777" w:rsidTr="009C6940">
        <w:tc>
          <w:tcPr>
            <w:tcW w:w="5000" w:type="pct"/>
            <w:tcBorders>
              <w:top w:val="single" w:sz="6" w:space="0" w:color="78A22F"/>
              <w:left w:val="nil"/>
              <w:bottom w:val="nil"/>
              <w:right w:val="nil"/>
            </w:tcBorders>
          </w:tcPr>
          <w:p w14:paraId="01C224FA" w14:textId="77777777" w:rsidR="009C6940" w:rsidRPr="00626D32" w:rsidRDefault="009C6940" w:rsidP="009C6940">
            <w:pPr>
              <w:pStyle w:val="BoxSpaceBelow"/>
            </w:pPr>
          </w:p>
        </w:tc>
      </w:tr>
    </w:tbl>
    <w:p w14:paraId="01954F85"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765CDD6" w14:textId="77777777" w:rsidTr="009C6940">
        <w:trPr>
          <w:tblHeader/>
        </w:trPr>
        <w:tc>
          <w:tcPr>
            <w:tcW w:w="5000" w:type="pct"/>
            <w:tcBorders>
              <w:top w:val="single" w:sz="6" w:space="0" w:color="78A22F"/>
              <w:left w:val="nil"/>
              <w:bottom w:val="nil"/>
              <w:right w:val="nil"/>
            </w:tcBorders>
            <w:shd w:val="clear" w:color="auto" w:fill="auto"/>
          </w:tcPr>
          <w:p w14:paraId="58184D99" w14:textId="77777777" w:rsidR="009C6940" w:rsidRPr="00176D3F" w:rsidRDefault="009C6940" w:rsidP="009C6940">
            <w:pPr>
              <w:pStyle w:val="FigureTitle"/>
            </w:pPr>
            <w:r w:rsidRPr="00784A05">
              <w:rPr>
                <w:b w:val="0"/>
              </w:rPr>
              <w:t xml:space="preserve">Figure </w:t>
            </w:r>
            <w:r>
              <w:rPr>
                <w:b w:val="0"/>
              </w:rPr>
              <w:t>D.</w:t>
            </w:r>
            <w:r>
              <w:rPr>
                <w:b w:val="0"/>
                <w:noProof/>
              </w:rPr>
              <w:t>5</w:t>
            </w:r>
            <w:r>
              <w:tab/>
              <w:t>Labour force status by use of MBS-rebated mental health services and PBS mental health medication</w:t>
            </w:r>
          </w:p>
        </w:tc>
      </w:tr>
      <w:tr w:rsidR="009C6940" w14:paraId="3D503450" w14:textId="77777777" w:rsidTr="009C6940">
        <w:tc>
          <w:tcPr>
            <w:tcW w:w="5000" w:type="pct"/>
            <w:tcBorders>
              <w:top w:val="nil"/>
              <w:left w:val="nil"/>
              <w:bottom w:val="nil"/>
              <w:right w:val="nil"/>
            </w:tcBorders>
            <w:shd w:val="clear" w:color="auto" w:fill="auto"/>
            <w:tcMar>
              <w:top w:w="28" w:type="dxa"/>
              <w:bottom w:w="28" w:type="dxa"/>
            </w:tcMar>
          </w:tcPr>
          <w:p w14:paraId="57965538" w14:textId="77777777" w:rsidR="009C6940" w:rsidRDefault="009C6940" w:rsidP="009C6940">
            <w:pPr>
              <w:pStyle w:val="Figure"/>
            </w:pPr>
            <w:r w:rsidRPr="007D4F20">
              <w:rPr>
                <w:noProof/>
              </w:rPr>
              <w:drawing>
                <wp:inline distT="0" distB="0" distL="0" distR="0" wp14:anchorId="15F12D78" wp14:editId="606A0F7C">
                  <wp:extent cx="5400675" cy="2876550"/>
                  <wp:effectExtent l="0" t="0" r="9525" b="0"/>
                  <wp:docPr id="16" name="Picture 16" descr="A bar graph showing the use of MBS mental health services and PBS mental health medication. Part time workers and unemployed people use mental health MBS services and PBS medications at a higher rate than full time workers. For those not in the labour market, the use of mental health PBS medications is more than 2.5 times the rate of the rest of th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9C6940" w:rsidRPr="00176D3F" w14:paraId="496460F1" w14:textId="77777777" w:rsidTr="009C6940">
        <w:tc>
          <w:tcPr>
            <w:tcW w:w="5000" w:type="pct"/>
            <w:tcBorders>
              <w:top w:val="nil"/>
              <w:left w:val="nil"/>
              <w:bottom w:val="nil"/>
              <w:right w:val="nil"/>
            </w:tcBorders>
            <w:shd w:val="clear" w:color="auto" w:fill="auto"/>
          </w:tcPr>
          <w:p w14:paraId="48F3BB47" w14:textId="77777777" w:rsidR="009C6940" w:rsidRPr="00176D3F" w:rsidRDefault="009C6940" w:rsidP="009C6940">
            <w:pPr>
              <w:pStyle w:val="Source"/>
            </w:pPr>
            <w:r>
              <w:rPr>
                <w:i/>
              </w:rPr>
              <w:t>S</w:t>
            </w:r>
            <w:r w:rsidRPr="00784A05">
              <w:rPr>
                <w:i/>
              </w:rPr>
              <w:t>ource</w:t>
            </w:r>
            <w:r w:rsidRPr="00176D3F">
              <w:t xml:space="preserve">: </w:t>
            </w:r>
            <w:r>
              <w:t xml:space="preserve">Productivity Commission estimates based on </w:t>
            </w:r>
            <w:r w:rsidRPr="00E94489">
              <w:t>ABS (</w:t>
            </w:r>
            <w:r w:rsidRPr="0080533D">
              <w:rPr>
                <w:i/>
              </w:rPr>
              <w:t>Microdata: Multi-Agency Data Integration Project, Australia</w:t>
            </w:r>
            <w:r w:rsidRPr="00E94489">
              <w:t>, Cat. no. 1700.0)</w:t>
            </w:r>
          </w:p>
        </w:tc>
      </w:tr>
      <w:tr w:rsidR="009C6940" w14:paraId="1DD6EB21" w14:textId="77777777" w:rsidTr="009C6940">
        <w:tc>
          <w:tcPr>
            <w:tcW w:w="5000" w:type="pct"/>
            <w:tcBorders>
              <w:top w:val="nil"/>
              <w:left w:val="nil"/>
              <w:bottom w:val="single" w:sz="6" w:space="0" w:color="78A22F"/>
              <w:right w:val="nil"/>
            </w:tcBorders>
            <w:shd w:val="clear" w:color="auto" w:fill="auto"/>
          </w:tcPr>
          <w:p w14:paraId="2AE7E8B3" w14:textId="77777777" w:rsidR="009C6940" w:rsidRDefault="009C6940" w:rsidP="009C6940">
            <w:pPr>
              <w:pStyle w:val="Figurespace"/>
            </w:pPr>
          </w:p>
        </w:tc>
      </w:tr>
      <w:tr w:rsidR="009C6940" w:rsidRPr="000863A5" w14:paraId="7E42EF64" w14:textId="77777777" w:rsidTr="009C6940">
        <w:tc>
          <w:tcPr>
            <w:tcW w:w="5000" w:type="pct"/>
            <w:tcBorders>
              <w:top w:val="single" w:sz="6" w:space="0" w:color="78A22F"/>
              <w:left w:val="nil"/>
              <w:bottom w:val="nil"/>
              <w:right w:val="nil"/>
            </w:tcBorders>
          </w:tcPr>
          <w:p w14:paraId="59070B22" w14:textId="77777777" w:rsidR="009C6940" w:rsidRPr="00626D32" w:rsidRDefault="009C6940" w:rsidP="009C6940">
            <w:pPr>
              <w:pStyle w:val="BoxSpaceBelow"/>
            </w:pPr>
          </w:p>
        </w:tc>
      </w:tr>
    </w:tbl>
    <w:p w14:paraId="68E6B993" w14:textId="77777777" w:rsidR="009C6940" w:rsidRDefault="009C6940" w:rsidP="009C6940">
      <w:pPr>
        <w:pStyle w:val="Heading3"/>
        <w:spacing w:before="480"/>
      </w:pPr>
      <w:r>
        <w:lastRenderedPageBreak/>
        <w:t>The barriers to employment facing people with mental illness</w:t>
      </w:r>
    </w:p>
    <w:p w14:paraId="766A2C1E" w14:textId="77777777" w:rsidR="009C6940" w:rsidRDefault="009C6940" w:rsidP="009C6940">
      <w:pPr>
        <w:pStyle w:val="BodyText"/>
      </w:pPr>
      <w:r>
        <w:t>The poorer employment outcomes for people with mental illness are often considered to be due to the employment barriers facing them. Most people with mild to moderate mental illness manage their health without experiencing negative employment outcomes (chapter 19). Others, particularly those with severe mental illness, face a number of barriers to gaining and retaining a job. These barriers relate either to the individual, to the community or to the mental health system (figure D.6).</w:t>
      </w:r>
    </w:p>
    <w:p w14:paraId="622B746E" w14:textId="77777777" w:rsidR="009C6940" w:rsidRDefault="009C6940" w:rsidP="009C6940">
      <w:pPr>
        <w:pStyle w:val="Heading4"/>
        <w:spacing w:before="360"/>
      </w:pPr>
      <w:r>
        <w:t>Individual barriers</w:t>
      </w:r>
    </w:p>
    <w:p w14:paraId="381E91C7" w14:textId="77777777" w:rsidR="009C6940" w:rsidRDefault="009C6940" w:rsidP="009C6940">
      <w:pPr>
        <w:pStyle w:val="BodyText"/>
        <w:spacing w:before="200"/>
      </w:pPr>
      <w:r>
        <w:t>Many of the symptoms of mental illness and the medication to treat mental illness can impact on an individual’s ability to work. For example, mental illness can affect cognitive, perceptual, affective and interpersonal abilities. Depression can result in a loss of energy, motivation and self</w:t>
      </w:r>
      <w:r>
        <w:noBreakHyphen/>
        <w:t xml:space="preserve">confidence, and schizophrenia can result in fatigue and poor attention and concentration. This means that hours of consecutive work can be limited </w:t>
      </w:r>
      <w:r w:rsidRPr="006314F2">
        <w:rPr>
          <w:szCs w:val="24"/>
        </w:rPr>
        <w:t>(FCDC 2012)</w:t>
      </w:r>
      <w:r>
        <w:t>.</w:t>
      </w:r>
    </w:p>
    <w:p w14:paraId="07CB55C4" w14:textId="77777777" w:rsidR="009C6940" w:rsidRDefault="009C6940" w:rsidP="009C6940">
      <w:pPr>
        <w:pStyle w:val="BodyText"/>
        <w:spacing w:before="200"/>
      </w:pPr>
      <w:r>
        <w:t xml:space="preserve">Medication may also produce side effects that limit an individual’s capacity to work, such as sedative effects. The episodic nature of mental illness can act as a barrier to people both gaining and retaining employment given that there are likely to be periods when treatment and support will require work demands to be reduced </w:t>
      </w:r>
      <w:r w:rsidRPr="006314F2">
        <w:rPr>
          <w:szCs w:val="24"/>
        </w:rPr>
        <w:t>(FCDC 2012)</w:t>
      </w:r>
      <w:r>
        <w:t xml:space="preserve">. </w:t>
      </w:r>
    </w:p>
    <w:p w14:paraId="1EA5E4D8" w14:textId="77777777" w:rsidR="009C6940" w:rsidRDefault="009C6940" w:rsidP="009C6940">
      <w:pPr>
        <w:pStyle w:val="BodyText"/>
        <w:spacing w:before="200"/>
      </w:pPr>
      <w:r>
        <w:t>People with mental illness may also face educational disadvantage, poor physical health and homelessness, providing further barriers to employment.</w:t>
      </w:r>
    </w:p>
    <w:p w14:paraId="5D49057D" w14:textId="77777777" w:rsidR="009C6940" w:rsidRPr="005C0207"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9C6940" w:rsidRPr="00176D3F" w14:paraId="092EE5DB" w14:textId="77777777" w:rsidTr="009C6940">
        <w:trPr>
          <w:tblHeader/>
        </w:trPr>
        <w:tc>
          <w:tcPr>
            <w:tcW w:w="5000" w:type="pct"/>
            <w:tcBorders>
              <w:top w:val="single" w:sz="6" w:space="0" w:color="78A22F"/>
              <w:left w:val="nil"/>
              <w:bottom w:val="nil"/>
              <w:right w:val="nil"/>
            </w:tcBorders>
            <w:shd w:val="clear" w:color="auto" w:fill="auto"/>
          </w:tcPr>
          <w:p w14:paraId="55647024" w14:textId="77777777" w:rsidR="009C6940" w:rsidRPr="00176D3F" w:rsidRDefault="009C6940" w:rsidP="009C6940">
            <w:pPr>
              <w:pStyle w:val="FigureTitle"/>
            </w:pPr>
            <w:r w:rsidRPr="00784A05">
              <w:rPr>
                <w:b w:val="0"/>
              </w:rPr>
              <w:t xml:space="preserve">Figure </w:t>
            </w:r>
            <w:r>
              <w:rPr>
                <w:b w:val="0"/>
              </w:rPr>
              <w:t>D.</w:t>
            </w:r>
            <w:r>
              <w:rPr>
                <w:b w:val="0"/>
                <w:noProof/>
              </w:rPr>
              <w:t>6</w:t>
            </w:r>
            <w:r>
              <w:tab/>
              <w:t xml:space="preserve">Barriers to employment </w:t>
            </w:r>
          </w:p>
        </w:tc>
      </w:tr>
      <w:tr w:rsidR="009C6940" w14:paraId="3AA01DFB"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6B1E959D" w14:textId="77777777" w:rsidTr="009C6940">
              <w:trPr>
                <w:tblHeader/>
                <w:jc w:val="center"/>
              </w:trPr>
              <w:tc>
                <w:tcPr>
                  <w:tcW w:w="5000" w:type="pct"/>
                  <w:tcBorders>
                    <w:top w:val="nil"/>
                    <w:bottom w:val="nil"/>
                  </w:tcBorders>
                </w:tcPr>
                <w:p w14:paraId="6734AEB0" w14:textId="77777777" w:rsidR="009C6940" w:rsidRPr="00B1465D" w:rsidRDefault="009C6940" w:rsidP="009C6940">
                  <w:pPr>
                    <w:pStyle w:val="Figure"/>
                    <w:spacing w:before="180" w:after="60"/>
                    <w:rPr>
                      <w:rFonts w:ascii="Arial" w:hAnsi="Arial" w:cs="Arial"/>
                      <w:sz w:val="18"/>
                      <w:szCs w:val="18"/>
                    </w:rPr>
                  </w:pPr>
                  <w:r w:rsidRPr="00DF5B1E">
                    <w:rPr>
                      <w:rFonts w:ascii="Arial" w:hAnsi="Arial" w:cs="Arial"/>
                      <w:noProof/>
                      <w:sz w:val="18"/>
                      <w:szCs w:val="18"/>
                    </w:rPr>
                    <mc:AlternateContent>
                      <mc:Choice Requires="wps">
                        <w:drawing>
                          <wp:anchor distT="0" distB="0" distL="114300" distR="114300" simplePos="0" relativeHeight="251662336" behindDoc="0" locked="0" layoutInCell="1" allowOverlap="1" wp14:anchorId="5FE0FF68" wp14:editId="55B3202E">
                            <wp:simplePos x="0" y="0"/>
                            <wp:positionH relativeFrom="column">
                              <wp:posOffset>9137650</wp:posOffset>
                            </wp:positionH>
                            <wp:positionV relativeFrom="paragraph">
                              <wp:posOffset>757556</wp:posOffset>
                            </wp:positionV>
                            <wp:extent cx="3260090" cy="1497330"/>
                            <wp:effectExtent l="0" t="0" r="0" b="7620"/>
                            <wp:wrapNone/>
                            <wp:docPr id="70" name="Rectangle 69"/>
                            <wp:cNvGraphicFramePr/>
                            <a:graphic xmlns:a="http://schemas.openxmlformats.org/drawingml/2006/main">
                              <a:graphicData uri="http://schemas.microsoft.com/office/word/2010/wordprocessingShape">
                                <wps:wsp>
                                  <wps:cNvSpPr/>
                                  <wps:spPr>
                                    <a:xfrm flipH="1">
                                      <a:off x="0" y="0"/>
                                      <a:ext cx="3260090" cy="149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56BDEB" w14:textId="77777777" w:rsidR="00AB0E42" w:rsidRDefault="00AB0E42" w:rsidP="005B2660">
                                        <w:pPr>
                                          <w:pStyle w:val="ListParagraph"/>
                                          <w:numPr>
                                            <w:ilvl w:val="0"/>
                                            <w:numId w:val="20"/>
                                          </w:numPr>
                                          <w:kinsoku w:val="0"/>
                                          <w:overflowPunct w:val="0"/>
                                          <w:spacing w:after="0" w:line="240" w:lineRule="auto"/>
                                          <w:textAlignment w:val="baseline"/>
                                          <w:rPr>
                                            <w:rFonts w:eastAsia="Times New Roman"/>
                                            <w:sz w:val="20"/>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FE0FF68" id="Rectangle 69" o:spid="_x0000_s1026" style="position:absolute;left:0;text-align:left;margin-left:719.5pt;margin-top:59.65pt;width:256.7pt;height:117.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" fillcolor="white [3212]" stroked="f" strokeweight="2pt">
                            <v:textbox>
                              <w:txbxContent>
                                <w:p w14:paraId="3E56BDEB" w14:textId="77777777" w:rsidR="00AB0E42" w:rsidRDefault="00AB0E42" w:rsidP="005B2660">
                                  <w:pPr>
                                    <w:pStyle w:val="ListParagraph"/>
                                    <w:numPr>
                                      <w:ilvl w:val="0"/>
                                      <w:numId w:val="20"/>
                                    </w:numPr>
                                    <w:kinsoku w:val="0"/>
                                    <w:overflowPunct w:val="0"/>
                                    <w:spacing w:after="0" w:line="240" w:lineRule="auto"/>
                                    <w:textAlignment w:val="baseline"/>
                                    <w:rPr>
                                      <w:rFonts w:eastAsia="Times New Roman"/>
                                      <w:sz w:val="20"/>
                                    </w:rPr>
                                  </w:pPr>
                                </w:p>
                              </w:txbxContent>
                            </v:textbox>
                          </v:rect>
                        </w:pict>
                      </mc:Fallback>
                    </mc:AlternateContent>
                  </w:r>
                  <w:r w:rsidRPr="000C6EE1">
                    <w:rPr>
                      <w:rFonts w:ascii="Arial" w:hAnsi="Arial" w:cs="Arial"/>
                      <w:noProof/>
                      <w:sz w:val="18"/>
                      <w:szCs w:val="18"/>
                    </w:rPr>
                    <w:drawing>
                      <wp:inline distT="0" distB="0" distL="0" distR="0" wp14:anchorId="53E67806" wp14:editId="4B976CEC">
                        <wp:extent cx="5202555" cy="2105660"/>
                        <wp:effectExtent l="0" t="0" r="0" b="8890"/>
                        <wp:docPr id="20" name="Picture 20" descr="Schematic diagram showing that barriers to employment for those with a mental illness are at an individual level (symptoms, severity), at the community level(discrimination, stigma) as well as system level barriers (level of health and employmen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2555" cy="2105660"/>
                                </a:xfrm>
                                <a:prstGeom prst="rect">
                                  <a:avLst/>
                                </a:prstGeom>
                                <a:noFill/>
                                <a:ln>
                                  <a:noFill/>
                                </a:ln>
                              </pic:spPr>
                            </pic:pic>
                          </a:graphicData>
                        </a:graphic>
                      </wp:inline>
                    </w:drawing>
                  </w:r>
                  <w:r w:rsidRPr="00DF5B1E">
                    <w:rPr>
                      <w:rFonts w:ascii="Arial" w:hAnsi="Arial" w:cs="Arial"/>
                      <w:noProof/>
                      <w:sz w:val="18"/>
                      <w:szCs w:val="18"/>
                    </w:rPr>
                    <mc:AlternateContent>
                      <mc:Choice Requires="wps">
                        <w:drawing>
                          <wp:anchor distT="0" distB="0" distL="114300" distR="114300" simplePos="0" relativeHeight="251659264" behindDoc="0" locked="0" layoutInCell="1" allowOverlap="1" wp14:anchorId="0B3A8569" wp14:editId="5F1CC14B">
                            <wp:simplePos x="0" y="0"/>
                            <wp:positionH relativeFrom="column">
                              <wp:posOffset>635</wp:posOffset>
                            </wp:positionH>
                            <wp:positionV relativeFrom="paragraph">
                              <wp:posOffset>10160</wp:posOffset>
                            </wp:positionV>
                            <wp:extent cx="2746375" cy="2527300"/>
                            <wp:effectExtent l="0" t="0" r="0" b="6350"/>
                            <wp:wrapNone/>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2746375" cy="252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79FC01C" id="AutoShape 3" o:spid="_x0000_s1026" style="position:absolute;margin-left:.05pt;margin-top:.8pt;width:216.25pt;height:1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" filled="f" stroked="f">
                            <o:lock v:ext="edit" aspectratio="t" text="t"/>
                          </v:rect>
                        </w:pict>
                      </mc:Fallback>
                    </mc:AlternateContent>
                  </w:r>
                  <w:r w:rsidRPr="00DF5B1E">
                    <w:rPr>
                      <w:rFonts w:ascii="Arial" w:hAnsi="Arial" w:cs="Arial"/>
                      <w:noProof/>
                      <w:sz w:val="18"/>
                      <w:szCs w:val="18"/>
                    </w:rPr>
                    <mc:AlternateContent>
                      <mc:Choice Requires="wps">
                        <w:drawing>
                          <wp:anchor distT="0" distB="0" distL="114300" distR="114300" simplePos="0" relativeHeight="251660288" behindDoc="0" locked="0" layoutInCell="1" allowOverlap="1" wp14:anchorId="6D304444" wp14:editId="6FB7E5BA">
                            <wp:simplePos x="0" y="0"/>
                            <wp:positionH relativeFrom="column">
                              <wp:posOffset>9268460</wp:posOffset>
                            </wp:positionH>
                            <wp:positionV relativeFrom="paragraph">
                              <wp:posOffset>761365</wp:posOffset>
                            </wp:positionV>
                            <wp:extent cx="1649058" cy="1565116"/>
                            <wp:effectExtent l="0" t="0" r="8890" b="0"/>
                            <wp:wrapNone/>
                            <wp:docPr id="68" name="Rectangle 67"/>
                            <wp:cNvGraphicFramePr/>
                            <a:graphic xmlns:a="http://schemas.openxmlformats.org/drawingml/2006/main">
                              <a:graphicData uri="http://schemas.microsoft.com/office/word/2010/wordprocessingShape">
                                <wps:wsp>
                                  <wps:cNvSpPr/>
                                  <wps:spPr>
                                    <a:xfrm>
                                      <a:off x="0" y="0"/>
                                      <a:ext cx="1649058" cy="1565116"/>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8136200" id="Rectangle 67" o:spid="_x0000_s1026" style="position:absolute;margin-left:729.8pt;margin-top:59.95pt;width:129.85pt;height:1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" fillcolor="#e0f1f7 [671]" stroked="f" strokeweight="2pt"/>
                        </w:pict>
                      </mc:Fallback>
                    </mc:AlternateContent>
                  </w:r>
                  <w:r w:rsidRPr="00DF5B1E">
                    <w:rPr>
                      <w:rFonts w:ascii="Arial" w:hAnsi="Arial" w:cs="Arial"/>
                      <w:noProof/>
                      <w:sz w:val="18"/>
                      <w:szCs w:val="18"/>
                    </w:rPr>
                    <mc:AlternateContent>
                      <mc:Choice Requires="wps">
                        <w:drawing>
                          <wp:anchor distT="0" distB="0" distL="114300" distR="114300" simplePos="0" relativeHeight="251661312" behindDoc="0" locked="0" layoutInCell="1" allowOverlap="1" wp14:anchorId="7CF508AD" wp14:editId="5F5ADBA4">
                            <wp:simplePos x="0" y="0"/>
                            <wp:positionH relativeFrom="column">
                              <wp:posOffset>11052175</wp:posOffset>
                            </wp:positionH>
                            <wp:positionV relativeFrom="paragraph">
                              <wp:posOffset>761365</wp:posOffset>
                            </wp:positionV>
                            <wp:extent cx="1649058" cy="1565117"/>
                            <wp:effectExtent l="0" t="0" r="8890" b="0"/>
                            <wp:wrapNone/>
                            <wp:docPr id="69" name="Rectangle 68"/>
                            <wp:cNvGraphicFramePr/>
                            <a:graphic xmlns:a="http://schemas.openxmlformats.org/drawingml/2006/main">
                              <a:graphicData uri="http://schemas.microsoft.com/office/word/2010/wordprocessingShape">
                                <wps:wsp>
                                  <wps:cNvSpPr/>
                                  <wps:spPr>
                                    <a:xfrm>
                                      <a:off x="0" y="0"/>
                                      <a:ext cx="1649058" cy="1565117"/>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53B7AD2" id="Rectangle 68" o:spid="_x0000_s1026" style="position:absolute;margin-left:870.25pt;margin-top:59.95pt;width:129.85pt;height:1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" fillcolor="#f3cdcd [664]" stroked="f" strokeweight="2pt"/>
                        </w:pict>
                      </mc:Fallback>
                    </mc:AlternateContent>
                  </w:r>
                  <w:r w:rsidRPr="00DF5B1E">
                    <w:rPr>
                      <w:rFonts w:ascii="Arial" w:hAnsi="Arial" w:cs="Arial"/>
                      <w:noProof/>
                      <w:sz w:val="18"/>
                      <w:szCs w:val="18"/>
                    </w:rPr>
                    <mc:AlternateContent>
                      <mc:Choice Requires="wps">
                        <w:drawing>
                          <wp:anchor distT="0" distB="0" distL="114300" distR="114300" simplePos="0" relativeHeight="251663360" behindDoc="0" locked="0" layoutInCell="1" allowOverlap="1" wp14:anchorId="3BA91A17" wp14:editId="615AB354">
                            <wp:simplePos x="0" y="0"/>
                            <wp:positionH relativeFrom="column">
                              <wp:posOffset>9281795</wp:posOffset>
                            </wp:positionH>
                            <wp:positionV relativeFrom="paragraph">
                              <wp:posOffset>854710</wp:posOffset>
                            </wp:positionV>
                            <wp:extent cx="1626025" cy="1403041"/>
                            <wp:effectExtent l="0" t="0" r="0" b="6985"/>
                            <wp:wrapNone/>
                            <wp:docPr id="73" name="Rectangle 72"/>
                            <wp:cNvGraphicFramePr/>
                            <a:graphic xmlns:a="http://schemas.openxmlformats.org/drawingml/2006/main">
                              <a:graphicData uri="http://schemas.microsoft.com/office/word/2010/wordprocessingShape">
                                <wps:wsp>
                                  <wps:cNvSpPr/>
                                  <wps:spPr>
                                    <a:xfrm>
                                      <a:off x="0" y="0"/>
                                      <a:ext cx="1626025" cy="14030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40951" w14:textId="77777777" w:rsidR="00AB0E42" w:rsidRDefault="00AB0E42" w:rsidP="005B2660">
                                        <w:pPr>
                                          <w:pStyle w:val="ListParagraph"/>
                                          <w:numPr>
                                            <w:ilvl w:val="0"/>
                                            <w:numId w:val="21"/>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Stigma associated with mental illness</w:t>
                                        </w:r>
                                      </w:p>
                                      <w:p w14:paraId="33261E13" w14:textId="77777777" w:rsidR="00AB0E42" w:rsidRDefault="00AB0E42" w:rsidP="005B2660">
                                        <w:pPr>
                                          <w:pStyle w:val="ListParagraph"/>
                                          <w:numPr>
                                            <w:ilvl w:val="0"/>
                                            <w:numId w:val="21"/>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Low community expectations</w:t>
                                        </w:r>
                                      </w:p>
                                      <w:p w14:paraId="585C9AD7" w14:textId="77777777" w:rsidR="00AB0E42" w:rsidRDefault="00AB0E42" w:rsidP="005B2660">
                                        <w:pPr>
                                          <w:pStyle w:val="ListParagraph"/>
                                          <w:numPr>
                                            <w:ilvl w:val="0"/>
                                            <w:numId w:val="21"/>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Inflexible jobs</w:t>
                                        </w:r>
                                      </w:p>
                                    </w:txbxContent>
                                  </wps:txbx>
                                  <wps:bodyPr rtlCol="0" anchor="t"/>
                                </wps:wsp>
                              </a:graphicData>
                            </a:graphic>
                          </wp:anchor>
                        </w:drawing>
                      </mc:Choice>
                      <mc:Fallback>
                        <w:pict>
                          <v:rect w14:anchorId="3BA91A17" id="Rectangle 72" o:spid="_x0000_s1027" style="position:absolute;left:0;text-align:left;margin-left:730.85pt;margin-top:67.3pt;width:128.05pt;height:11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" fillcolor="white [3212]" stroked="f" strokeweight="2pt">
                            <v:textbox>
                              <w:txbxContent>
                                <w:p w14:paraId="1E440951" w14:textId="77777777" w:rsidR="00AB0E42" w:rsidRDefault="00AB0E42" w:rsidP="005B2660">
                                  <w:pPr>
                                    <w:pStyle w:val="ListParagraph"/>
                                    <w:numPr>
                                      <w:ilvl w:val="0"/>
                                      <w:numId w:val="21"/>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Stigma associated with mental illness</w:t>
                                  </w:r>
                                </w:p>
                                <w:p w14:paraId="33261E13" w14:textId="77777777" w:rsidR="00AB0E42" w:rsidRDefault="00AB0E42" w:rsidP="005B2660">
                                  <w:pPr>
                                    <w:pStyle w:val="ListParagraph"/>
                                    <w:numPr>
                                      <w:ilvl w:val="0"/>
                                      <w:numId w:val="21"/>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Low community expectations</w:t>
                                  </w:r>
                                </w:p>
                                <w:p w14:paraId="585C9AD7" w14:textId="77777777" w:rsidR="00AB0E42" w:rsidRDefault="00AB0E42" w:rsidP="005B2660">
                                  <w:pPr>
                                    <w:pStyle w:val="ListParagraph"/>
                                    <w:numPr>
                                      <w:ilvl w:val="0"/>
                                      <w:numId w:val="21"/>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Inflexible jobs</w:t>
                                  </w:r>
                                </w:p>
                              </w:txbxContent>
                            </v:textbox>
                          </v:rect>
                        </w:pict>
                      </mc:Fallback>
                    </mc:AlternateContent>
                  </w:r>
                  <w:r w:rsidRPr="00DF5B1E">
                    <w:rPr>
                      <w:rFonts w:ascii="Arial" w:hAnsi="Arial" w:cs="Arial"/>
                      <w:noProof/>
                      <w:sz w:val="18"/>
                      <w:szCs w:val="18"/>
                    </w:rPr>
                    <mc:AlternateContent>
                      <mc:Choice Requires="wps">
                        <w:drawing>
                          <wp:anchor distT="0" distB="0" distL="114300" distR="114300" simplePos="0" relativeHeight="251664384" behindDoc="0" locked="0" layoutInCell="1" allowOverlap="1" wp14:anchorId="6F9E8896" wp14:editId="2FEAD1FD">
                            <wp:simplePos x="0" y="0"/>
                            <wp:positionH relativeFrom="column">
                              <wp:posOffset>11056620</wp:posOffset>
                            </wp:positionH>
                            <wp:positionV relativeFrom="paragraph">
                              <wp:posOffset>220345</wp:posOffset>
                            </wp:positionV>
                            <wp:extent cx="1640895" cy="540835"/>
                            <wp:effectExtent l="0" t="0" r="0" b="0"/>
                            <wp:wrapNone/>
                            <wp:docPr id="74" name="Rectangle 73"/>
                            <wp:cNvGraphicFramePr/>
                            <a:graphic xmlns:a="http://schemas.openxmlformats.org/drawingml/2006/main">
                              <a:graphicData uri="http://schemas.microsoft.com/office/word/2010/wordprocessingShape">
                                <wps:wsp>
                                  <wps:cNvSpPr/>
                                  <wps:spPr>
                                    <a:xfrm>
                                      <a:off x="0" y="0"/>
                                      <a:ext cx="1640895" cy="54083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C254FE" w14:textId="77777777" w:rsidR="00AB0E42" w:rsidRDefault="00AB0E42" w:rsidP="009C6940">
                                        <w:pPr>
                                          <w:pStyle w:val="NormalWeb"/>
                                          <w:kinsoku w:val="0"/>
                                          <w:overflowPunct w:val="0"/>
                                          <w:spacing w:before="0" w:beforeAutospacing="0" w:after="0" w:afterAutospacing="0"/>
                                          <w:textAlignment w:val="baseline"/>
                                        </w:pPr>
                                        <w:r>
                                          <w:rPr>
                                            <w:rFonts w:asciiTheme="minorHAnsi" w:hAnsi="Arial" w:cs="Arial"/>
                                            <w:b/>
                                            <w:bCs/>
                                            <w:color w:val="FFFFFF" w:themeColor="background1"/>
                                            <w:kern w:val="24"/>
                                          </w:rPr>
                                          <w:t xml:space="preserve">System </w:t>
                                        </w:r>
                                        <w:r>
                                          <w:rPr>
                                            <w:rFonts w:asciiTheme="minorHAnsi" w:hAnsi="Arial" w:cs="Arial"/>
                                            <w:b/>
                                            <w:bCs/>
                                            <w:color w:val="FFFFFF" w:themeColor="background1"/>
                                            <w:kern w:val="24"/>
                                          </w:rPr>
                                          <w:br/>
                                          <w:t xml:space="preserve">level barriers </w:t>
                                        </w:r>
                                      </w:p>
                                    </w:txbxContent>
                                  </wps:txbx>
                                  <wps:bodyPr rtlCol="0" anchor="ctr" anchorCtr="0"/>
                                </wps:wsp>
                              </a:graphicData>
                            </a:graphic>
                          </wp:anchor>
                        </w:drawing>
                      </mc:Choice>
                      <mc:Fallback>
                        <w:pict>
                          <v:rect w14:anchorId="6F9E8896" id="Rectangle 73" o:spid="_x0000_s1028" style="position:absolute;left:0;text-align:left;margin-left:870.6pt;margin-top:17.35pt;width:129.2pt;height:42.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" fillcolor="#f15a25 [3207]" stroked="f" strokeweight="2pt">
                            <v:textbox>
                              <w:txbxContent>
                                <w:p w14:paraId="4EC254FE" w14:textId="77777777" w:rsidR="00AB0E42" w:rsidRDefault="00AB0E42" w:rsidP="009C6940">
                                  <w:pPr>
                                    <w:pStyle w:val="NormalWeb"/>
                                    <w:kinsoku w:val="0"/>
                                    <w:overflowPunct w:val="0"/>
                                    <w:spacing w:before="0" w:beforeAutospacing="0" w:after="0" w:afterAutospacing="0"/>
                                    <w:textAlignment w:val="baseline"/>
                                  </w:pPr>
                                  <w:r>
                                    <w:rPr>
                                      <w:rFonts w:asciiTheme="minorHAnsi" w:hAnsi="Arial" w:cs="Arial"/>
                                      <w:b/>
                                      <w:bCs/>
                                      <w:color w:val="FFFFFF" w:themeColor="background1"/>
                                      <w:kern w:val="24"/>
                                    </w:rPr>
                                    <w:t xml:space="preserve">System </w:t>
                                  </w:r>
                                  <w:r>
                                    <w:rPr>
                                      <w:rFonts w:asciiTheme="minorHAnsi" w:hAnsi="Arial" w:cs="Arial"/>
                                      <w:b/>
                                      <w:bCs/>
                                      <w:color w:val="FFFFFF" w:themeColor="background1"/>
                                      <w:kern w:val="24"/>
                                    </w:rPr>
                                    <w:br/>
                                    <w:t xml:space="preserve">level barriers </w:t>
                                  </w:r>
                                </w:p>
                              </w:txbxContent>
                            </v:textbox>
                          </v:rect>
                        </w:pict>
                      </mc:Fallback>
                    </mc:AlternateContent>
                  </w:r>
                  <w:r w:rsidRPr="00DF5B1E">
                    <w:rPr>
                      <w:rFonts w:ascii="Arial" w:hAnsi="Arial" w:cs="Arial"/>
                      <w:noProof/>
                      <w:sz w:val="18"/>
                      <w:szCs w:val="18"/>
                    </w:rPr>
                    <mc:AlternateContent>
                      <mc:Choice Requires="wps">
                        <w:drawing>
                          <wp:anchor distT="0" distB="0" distL="114300" distR="114300" simplePos="0" relativeHeight="251665408" behindDoc="0" locked="0" layoutInCell="1" allowOverlap="1" wp14:anchorId="5E86952D" wp14:editId="6C15B703">
                            <wp:simplePos x="0" y="0"/>
                            <wp:positionH relativeFrom="column">
                              <wp:posOffset>11063605</wp:posOffset>
                            </wp:positionH>
                            <wp:positionV relativeFrom="paragraph">
                              <wp:posOffset>854710</wp:posOffset>
                            </wp:positionV>
                            <wp:extent cx="1626094" cy="1403040"/>
                            <wp:effectExtent l="0" t="0" r="0" b="6985"/>
                            <wp:wrapNone/>
                            <wp:docPr id="75" name="Rectangle 74"/>
                            <wp:cNvGraphicFramePr/>
                            <a:graphic xmlns:a="http://schemas.openxmlformats.org/drawingml/2006/main">
                              <a:graphicData uri="http://schemas.microsoft.com/office/word/2010/wordprocessingShape">
                                <wps:wsp>
                                  <wps:cNvSpPr/>
                                  <wps:spPr>
                                    <a:xfrm>
                                      <a:off x="0" y="0"/>
                                      <a:ext cx="1626094" cy="1403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BE205" w14:textId="77777777" w:rsidR="00AB0E42" w:rsidRDefault="00AB0E42" w:rsidP="005B2660">
                                        <w:pPr>
                                          <w:pStyle w:val="ListParagraph"/>
                                          <w:numPr>
                                            <w:ilvl w:val="0"/>
                                            <w:numId w:val="22"/>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Isolation of employment support and mental health service systems</w:t>
                                        </w:r>
                                      </w:p>
                                      <w:p w14:paraId="13DAA02D" w14:textId="77777777" w:rsidR="00AB0E42" w:rsidRDefault="00AB0E42" w:rsidP="005B2660">
                                        <w:pPr>
                                          <w:pStyle w:val="ListParagraph"/>
                                          <w:numPr>
                                            <w:ilvl w:val="0"/>
                                            <w:numId w:val="22"/>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Inappropriate employment services</w:t>
                                        </w:r>
                                      </w:p>
                                    </w:txbxContent>
                                  </wps:txbx>
                                  <wps:bodyPr rtlCol="0" anchor="t"/>
                                </wps:wsp>
                              </a:graphicData>
                            </a:graphic>
                          </wp:anchor>
                        </w:drawing>
                      </mc:Choice>
                      <mc:Fallback>
                        <w:pict>
                          <v:rect w14:anchorId="5E86952D" id="Rectangle 74" o:spid="_x0000_s1029" style="position:absolute;left:0;text-align:left;margin-left:871.15pt;margin-top:67.3pt;width:128.05pt;height:11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" fillcolor="white [3212]" stroked="f" strokeweight="2pt">
                            <v:textbox>
                              <w:txbxContent>
                                <w:p w14:paraId="05BBE205" w14:textId="77777777" w:rsidR="00AB0E42" w:rsidRDefault="00AB0E42" w:rsidP="005B2660">
                                  <w:pPr>
                                    <w:pStyle w:val="ListParagraph"/>
                                    <w:numPr>
                                      <w:ilvl w:val="0"/>
                                      <w:numId w:val="22"/>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Isolation of employment support and mental health service systems</w:t>
                                  </w:r>
                                </w:p>
                                <w:p w14:paraId="13DAA02D" w14:textId="77777777" w:rsidR="00AB0E42" w:rsidRDefault="00AB0E42" w:rsidP="005B2660">
                                  <w:pPr>
                                    <w:pStyle w:val="ListParagraph"/>
                                    <w:numPr>
                                      <w:ilvl w:val="0"/>
                                      <w:numId w:val="22"/>
                                    </w:numPr>
                                    <w:kinsoku w:val="0"/>
                                    <w:overflowPunct w:val="0"/>
                                    <w:spacing w:after="0" w:line="240" w:lineRule="auto"/>
                                    <w:textAlignment w:val="baseline"/>
                                    <w:rPr>
                                      <w:rFonts w:eastAsia="Times New Roman"/>
                                      <w:sz w:val="20"/>
                                    </w:rPr>
                                  </w:pPr>
                                  <w:r>
                                    <w:rPr>
                                      <w:rFonts w:hAnsi="Arial" w:cs="Arial"/>
                                      <w:color w:val="000000" w:themeColor="text1"/>
                                      <w:kern w:val="24"/>
                                      <w:sz w:val="20"/>
                                      <w:szCs w:val="20"/>
                                      <w:lang w:val="en-US"/>
                                    </w:rPr>
                                    <w:t>Inappropriate employment services</w:t>
                                  </w:r>
                                </w:p>
                              </w:txbxContent>
                            </v:textbox>
                          </v:rect>
                        </w:pict>
                      </mc:Fallback>
                    </mc:AlternateContent>
                  </w:r>
                  <w:r w:rsidRPr="00DF5B1E">
                    <w:rPr>
                      <w:rFonts w:ascii="Arial" w:hAnsi="Arial" w:cs="Arial"/>
                      <w:noProof/>
                      <w:sz w:val="18"/>
                      <w:szCs w:val="18"/>
                    </w:rPr>
                    <mc:AlternateContent>
                      <mc:Choice Requires="wpg">
                        <w:drawing>
                          <wp:anchor distT="0" distB="0" distL="114300" distR="114300" simplePos="0" relativeHeight="251666432" behindDoc="0" locked="0" layoutInCell="1" allowOverlap="1" wp14:anchorId="181ADBDD" wp14:editId="597164CE">
                            <wp:simplePos x="0" y="0"/>
                            <wp:positionH relativeFrom="column">
                              <wp:posOffset>10429240</wp:posOffset>
                            </wp:positionH>
                            <wp:positionV relativeFrom="paragraph">
                              <wp:posOffset>298450</wp:posOffset>
                            </wp:positionV>
                            <wp:extent cx="415097" cy="378760"/>
                            <wp:effectExtent l="0" t="0" r="4445" b="2540"/>
                            <wp:wrapNone/>
                            <wp:docPr id="59" name="Group 58"/>
                            <wp:cNvGraphicFramePr/>
                            <a:graphic xmlns:a="http://schemas.openxmlformats.org/drawingml/2006/main">
                              <a:graphicData uri="http://schemas.microsoft.com/office/word/2010/wordprocessingGroup">
                                <wpg:wgp>
                                  <wpg:cNvGrpSpPr/>
                                  <wpg:grpSpPr>
                                    <a:xfrm>
                                      <a:off x="0" y="0"/>
                                      <a:ext cx="415097" cy="378760"/>
                                      <a:chOff x="10428755" y="288832"/>
                                      <a:chExt cx="942975" cy="860425"/>
                                    </a:xfrm>
                                    <a:solidFill>
                                      <a:schemeClr val="bg1"/>
                                    </a:solidFill>
                                  </wpg:grpSpPr>
                                  <wps:wsp>
                                    <wps:cNvPr id="12" name="Freeform 12"/>
                                    <wps:cNvSpPr>
                                      <a:spLocks/>
                                    </wps:cNvSpPr>
                                    <wps:spPr bwMode="auto">
                                      <a:xfrm>
                                        <a:off x="10863730" y="584107"/>
                                        <a:ext cx="508000" cy="565150"/>
                                      </a:xfrm>
                                      <a:custGeom>
                                        <a:avLst/>
                                        <a:gdLst>
                                          <a:gd name="T0" fmla="*/ 47 w 62"/>
                                          <a:gd name="T1" fmla="*/ 0 h 69"/>
                                          <a:gd name="T2" fmla="*/ 59 w 62"/>
                                          <a:gd name="T3" fmla="*/ 13 h 69"/>
                                          <a:gd name="T4" fmla="*/ 61 w 62"/>
                                          <a:gd name="T5" fmla="*/ 30 h 69"/>
                                          <a:gd name="T6" fmla="*/ 53 w 62"/>
                                          <a:gd name="T7" fmla="*/ 30 h 69"/>
                                          <a:gd name="T8" fmla="*/ 51 w 62"/>
                                          <a:gd name="T9" fmla="*/ 17 h 69"/>
                                          <a:gd name="T10" fmla="*/ 47 w 62"/>
                                          <a:gd name="T11" fmla="*/ 17 h 69"/>
                                          <a:gd name="T12" fmla="*/ 49 w 62"/>
                                          <a:gd name="T13" fmla="*/ 60 h 69"/>
                                          <a:gd name="T14" fmla="*/ 37 w 62"/>
                                          <a:gd name="T15" fmla="*/ 60 h 69"/>
                                          <a:gd name="T16" fmla="*/ 36 w 62"/>
                                          <a:gd name="T17" fmla="*/ 49 h 69"/>
                                          <a:gd name="T18" fmla="*/ 26 w 62"/>
                                          <a:gd name="T19" fmla="*/ 49 h 69"/>
                                          <a:gd name="T20" fmla="*/ 24 w 62"/>
                                          <a:gd name="T21" fmla="*/ 60 h 69"/>
                                          <a:gd name="T22" fmla="*/ 13 w 62"/>
                                          <a:gd name="T23" fmla="*/ 60 h 69"/>
                                          <a:gd name="T24" fmla="*/ 15 w 62"/>
                                          <a:gd name="T25" fmla="*/ 17 h 69"/>
                                          <a:gd name="T26" fmla="*/ 11 w 62"/>
                                          <a:gd name="T27" fmla="*/ 17 h 69"/>
                                          <a:gd name="T28" fmla="*/ 8 w 62"/>
                                          <a:gd name="T29" fmla="*/ 30 h 69"/>
                                          <a:gd name="T30" fmla="*/ 0 w 62"/>
                                          <a:gd name="T31" fmla="*/ 30 h 69"/>
                                          <a:gd name="T32" fmla="*/ 3 w 62"/>
                                          <a:gd name="T33" fmla="*/ 13 h 69"/>
                                          <a:gd name="T34" fmla="*/ 15 w 62"/>
                                          <a:gd name="T35" fmla="*/ 0 h 69"/>
                                          <a:gd name="T36" fmla="*/ 20 w 62"/>
                                          <a:gd name="T37" fmla="*/ 0 h 69"/>
                                          <a:gd name="T38" fmla="*/ 31 w 62"/>
                                          <a:gd name="T39" fmla="*/ 3 h 69"/>
                                          <a:gd name="T40" fmla="*/ 42 w 62"/>
                                          <a:gd name="T41" fmla="*/ 0 h 69"/>
                                          <a:gd name="T42" fmla="*/ 47 w 62"/>
                                          <a:gd name="T43"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69">
                                            <a:moveTo>
                                              <a:pt x="47" y="0"/>
                                            </a:moveTo>
                                            <a:cubicBezTo>
                                              <a:pt x="55" y="0"/>
                                              <a:pt x="58" y="6"/>
                                              <a:pt x="59" y="13"/>
                                            </a:cubicBezTo>
                                            <a:cubicBezTo>
                                              <a:pt x="61" y="30"/>
                                              <a:pt x="61" y="30"/>
                                              <a:pt x="61" y="30"/>
                                            </a:cubicBezTo>
                                            <a:cubicBezTo>
                                              <a:pt x="62" y="36"/>
                                              <a:pt x="54" y="36"/>
                                              <a:pt x="53" y="30"/>
                                            </a:cubicBezTo>
                                            <a:cubicBezTo>
                                              <a:pt x="51" y="17"/>
                                              <a:pt x="51" y="17"/>
                                              <a:pt x="51" y="17"/>
                                            </a:cubicBezTo>
                                            <a:cubicBezTo>
                                              <a:pt x="50" y="14"/>
                                              <a:pt x="47" y="14"/>
                                              <a:pt x="47" y="17"/>
                                            </a:cubicBezTo>
                                            <a:cubicBezTo>
                                              <a:pt x="49" y="60"/>
                                              <a:pt x="49" y="60"/>
                                              <a:pt x="49" y="60"/>
                                            </a:cubicBezTo>
                                            <a:cubicBezTo>
                                              <a:pt x="49" y="68"/>
                                              <a:pt x="38" y="69"/>
                                              <a:pt x="37" y="60"/>
                                            </a:cubicBezTo>
                                            <a:cubicBezTo>
                                              <a:pt x="36" y="49"/>
                                              <a:pt x="36" y="49"/>
                                              <a:pt x="36" y="49"/>
                                            </a:cubicBezTo>
                                            <a:cubicBezTo>
                                              <a:pt x="36" y="45"/>
                                              <a:pt x="26" y="45"/>
                                              <a:pt x="26" y="49"/>
                                            </a:cubicBezTo>
                                            <a:cubicBezTo>
                                              <a:pt x="24" y="60"/>
                                              <a:pt x="24" y="60"/>
                                              <a:pt x="24" y="60"/>
                                            </a:cubicBezTo>
                                            <a:cubicBezTo>
                                              <a:pt x="23" y="69"/>
                                              <a:pt x="12" y="68"/>
                                              <a:pt x="13" y="60"/>
                                            </a:cubicBezTo>
                                            <a:cubicBezTo>
                                              <a:pt x="15" y="17"/>
                                              <a:pt x="15" y="17"/>
                                              <a:pt x="15" y="17"/>
                                            </a:cubicBezTo>
                                            <a:cubicBezTo>
                                              <a:pt x="15" y="14"/>
                                              <a:pt x="11" y="14"/>
                                              <a:pt x="11" y="17"/>
                                            </a:cubicBezTo>
                                            <a:cubicBezTo>
                                              <a:pt x="8" y="30"/>
                                              <a:pt x="8" y="30"/>
                                              <a:pt x="8" y="30"/>
                                            </a:cubicBezTo>
                                            <a:cubicBezTo>
                                              <a:pt x="7" y="36"/>
                                              <a:pt x="0" y="36"/>
                                              <a:pt x="0" y="30"/>
                                            </a:cubicBezTo>
                                            <a:cubicBezTo>
                                              <a:pt x="3" y="13"/>
                                              <a:pt x="3" y="13"/>
                                              <a:pt x="3" y="13"/>
                                            </a:cubicBezTo>
                                            <a:cubicBezTo>
                                              <a:pt x="4" y="6"/>
                                              <a:pt x="7" y="0"/>
                                              <a:pt x="15" y="0"/>
                                            </a:cubicBezTo>
                                            <a:cubicBezTo>
                                              <a:pt x="20" y="0"/>
                                              <a:pt x="20" y="0"/>
                                              <a:pt x="20" y="0"/>
                                            </a:cubicBezTo>
                                            <a:cubicBezTo>
                                              <a:pt x="23" y="2"/>
                                              <a:pt x="27" y="3"/>
                                              <a:pt x="31" y="3"/>
                                            </a:cubicBezTo>
                                            <a:cubicBezTo>
                                              <a:pt x="35" y="3"/>
                                              <a:pt x="39" y="2"/>
                                              <a:pt x="42" y="0"/>
                                            </a:cubicBezTo>
                                            <a:cubicBezTo>
                                              <a:pt x="47" y="0"/>
                                              <a:pt x="47" y="0"/>
                                              <a:pt x="47" y="0"/>
                                            </a:cubicBezTo>
                                            <a:close/>
                                          </a:path>
                                        </a:pathLst>
                                      </a:custGeom>
                                      <a:grpFill/>
                                      <a:ln>
                                        <a:noFill/>
                                      </a:ln>
                                    </wps:spPr>
                                    <wps:bodyPr vert="horz" wrap="square" lIns="91440" tIns="45720" rIns="91440" bIns="45720" numCol="1" anchor="t" anchorCtr="0" compatLnSpc="1">
                                      <a:prstTxWarp prst="textNoShape">
                                        <a:avLst/>
                                      </a:prstTxWarp>
                                    </wps:bodyPr>
                                  </wps:wsp>
                                  <wps:wsp>
                                    <wps:cNvPr id="13" name="Oval 13"/>
                                    <wps:cNvSpPr>
                                      <a:spLocks noChangeArrowheads="1"/>
                                    </wps:cNvSpPr>
                                    <wps:spPr bwMode="auto">
                                      <a:xfrm>
                                        <a:off x="10544642" y="288832"/>
                                        <a:ext cx="277813" cy="287338"/>
                                      </a:xfrm>
                                      <a:prstGeom prst="ellipse">
                                        <a:avLst/>
                                      </a:prstGeom>
                                      <a:solidFill>
                                        <a:schemeClr val="tx2">
                                          <a:lumMod val="20000"/>
                                          <a:lumOff val="80000"/>
                                        </a:schemeClr>
                                      </a:solidFill>
                                      <a:ln>
                                        <a:noFill/>
                                      </a:ln>
                                    </wps:spPr>
                                    <wps:bodyPr vert="horz" wrap="square" lIns="91440" tIns="45720" rIns="91440" bIns="45720" numCol="1" anchor="t" anchorCtr="0" compatLnSpc="1">
                                      <a:prstTxWarp prst="textNoShape">
                                        <a:avLst/>
                                      </a:prstTxWarp>
                                    </wps:bodyPr>
                                  </wps:wsp>
                                  <wps:wsp>
                                    <wps:cNvPr id="14" name="Oval 14"/>
                                    <wps:cNvSpPr>
                                      <a:spLocks noChangeArrowheads="1"/>
                                    </wps:cNvSpPr>
                                    <wps:spPr bwMode="auto">
                                      <a:xfrm>
                                        <a:off x="10978030" y="288832"/>
                                        <a:ext cx="279400" cy="287338"/>
                                      </a:xfrm>
                                      <a:prstGeom prst="ellipse">
                                        <a:avLst/>
                                      </a:prstGeom>
                                      <a:grpFill/>
                                      <a:ln>
                                        <a:noFill/>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0428755" y="584107"/>
                                        <a:ext cx="476250" cy="565150"/>
                                      </a:xfrm>
                                      <a:custGeom>
                                        <a:avLst/>
                                        <a:gdLst>
                                          <a:gd name="T0" fmla="*/ 52 w 58"/>
                                          <a:gd name="T1" fmla="*/ 15 h 69"/>
                                          <a:gd name="T2" fmla="*/ 49 w 58"/>
                                          <a:gd name="T3" fmla="*/ 15 h 69"/>
                                          <a:gd name="T4" fmla="*/ 47 w 58"/>
                                          <a:gd name="T5" fmla="*/ 17 h 69"/>
                                          <a:gd name="T6" fmla="*/ 49 w 58"/>
                                          <a:gd name="T7" fmla="*/ 60 h 69"/>
                                          <a:gd name="T8" fmla="*/ 38 w 58"/>
                                          <a:gd name="T9" fmla="*/ 60 h 69"/>
                                          <a:gd name="T10" fmla="*/ 36 w 58"/>
                                          <a:gd name="T11" fmla="*/ 49 h 69"/>
                                          <a:gd name="T12" fmla="*/ 26 w 58"/>
                                          <a:gd name="T13" fmla="*/ 49 h 69"/>
                                          <a:gd name="T14" fmla="*/ 25 w 58"/>
                                          <a:gd name="T15" fmla="*/ 60 h 69"/>
                                          <a:gd name="T16" fmla="*/ 13 w 58"/>
                                          <a:gd name="T17" fmla="*/ 60 h 69"/>
                                          <a:gd name="T18" fmla="*/ 15 w 58"/>
                                          <a:gd name="T19" fmla="*/ 17 h 69"/>
                                          <a:gd name="T20" fmla="*/ 11 w 58"/>
                                          <a:gd name="T21" fmla="*/ 17 h 69"/>
                                          <a:gd name="T22" fmla="*/ 9 w 58"/>
                                          <a:gd name="T23" fmla="*/ 30 h 69"/>
                                          <a:gd name="T24" fmla="*/ 1 w 58"/>
                                          <a:gd name="T25" fmla="*/ 30 h 69"/>
                                          <a:gd name="T26" fmla="*/ 3 w 58"/>
                                          <a:gd name="T27" fmla="*/ 13 h 69"/>
                                          <a:gd name="T28" fmla="*/ 15 w 58"/>
                                          <a:gd name="T29" fmla="*/ 0 h 69"/>
                                          <a:gd name="T30" fmla="*/ 20 w 58"/>
                                          <a:gd name="T31" fmla="*/ 0 h 69"/>
                                          <a:gd name="T32" fmla="*/ 31 w 58"/>
                                          <a:gd name="T33" fmla="*/ 3 h 69"/>
                                          <a:gd name="T34" fmla="*/ 42 w 58"/>
                                          <a:gd name="T35" fmla="*/ 0 h 69"/>
                                          <a:gd name="T36" fmla="*/ 58 w 58"/>
                                          <a:gd name="T37" fmla="*/ 0 h 69"/>
                                          <a:gd name="T38" fmla="*/ 52 w 58"/>
                                          <a:gd name="T39" fmla="*/ 11 h 69"/>
                                          <a:gd name="T40" fmla="*/ 52 w 58"/>
                                          <a:gd name="T41" fmla="*/ 15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8" h="69">
                                            <a:moveTo>
                                              <a:pt x="52" y="15"/>
                                            </a:moveTo>
                                            <a:cubicBezTo>
                                              <a:pt x="49" y="15"/>
                                              <a:pt x="49" y="15"/>
                                              <a:pt x="49" y="15"/>
                                            </a:cubicBezTo>
                                            <a:cubicBezTo>
                                              <a:pt x="48" y="15"/>
                                              <a:pt x="47" y="16"/>
                                              <a:pt x="47" y="17"/>
                                            </a:cubicBezTo>
                                            <a:cubicBezTo>
                                              <a:pt x="49" y="60"/>
                                              <a:pt x="49" y="60"/>
                                              <a:pt x="49" y="60"/>
                                            </a:cubicBezTo>
                                            <a:cubicBezTo>
                                              <a:pt x="50" y="68"/>
                                              <a:pt x="39" y="69"/>
                                              <a:pt x="38" y="60"/>
                                            </a:cubicBezTo>
                                            <a:cubicBezTo>
                                              <a:pt x="36" y="49"/>
                                              <a:pt x="36" y="49"/>
                                              <a:pt x="36" y="49"/>
                                            </a:cubicBezTo>
                                            <a:cubicBezTo>
                                              <a:pt x="36" y="45"/>
                                              <a:pt x="26" y="45"/>
                                              <a:pt x="26" y="49"/>
                                            </a:cubicBezTo>
                                            <a:cubicBezTo>
                                              <a:pt x="25" y="60"/>
                                              <a:pt x="25" y="60"/>
                                              <a:pt x="25" y="60"/>
                                            </a:cubicBezTo>
                                            <a:cubicBezTo>
                                              <a:pt x="24" y="69"/>
                                              <a:pt x="13" y="68"/>
                                              <a:pt x="13" y="60"/>
                                            </a:cubicBezTo>
                                            <a:cubicBezTo>
                                              <a:pt x="15" y="17"/>
                                              <a:pt x="15" y="17"/>
                                              <a:pt x="15" y="17"/>
                                            </a:cubicBezTo>
                                            <a:cubicBezTo>
                                              <a:pt x="15" y="14"/>
                                              <a:pt x="12" y="14"/>
                                              <a:pt x="11" y="17"/>
                                            </a:cubicBezTo>
                                            <a:cubicBezTo>
                                              <a:pt x="9" y="30"/>
                                              <a:pt x="9" y="30"/>
                                              <a:pt x="9" y="30"/>
                                            </a:cubicBezTo>
                                            <a:cubicBezTo>
                                              <a:pt x="8" y="36"/>
                                              <a:pt x="0" y="36"/>
                                              <a:pt x="1" y="30"/>
                                            </a:cubicBezTo>
                                            <a:cubicBezTo>
                                              <a:pt x="3" y="13"/>
                                              <a:pt x="3" y="13"/>
                                              <a:pt x="3" y="13"/>
                                            </a:cubicBezTo>
                                            <a:cubicBezTo>
                                              <a:pt x="4" y="6"/>
                                              <a:pt x="7" y="0"/>
                                              <a:pt x="15" y="0"/>
                                            </a:cubicBezTo>
                                            <a:cubicBezTo>
                                              <a:pt x="20" y="0"/>
                                              <a:pt x="20" y="0"/>
                                              <a:pt x="20" y="0"/>
                                            </a:cubicBezTo>
                                            <a:cubicBezTo>
                                              <a:pt x="23" y="2"/>
                                              <a:pt x="27" y="3"/>
                                              <a:pt x="31" y="3"/>
                                            </a:cubicBezTo>
                                            <a:cubicBezTo>
                                              <a:pt x="35" y="3"/>
                                              <a:pt x="39" y="2"/>
                                              <a:pt x="42" y="0"/>
                                            </a:cubicBezTo>
                                            <a:cubicBezTo>
                                              <a:pt x="58" y="0"/>
                                              <a:pt x="58" y="0"/>
                                              <a:pt x="58" y="0"/>
                                            </a:cubicBezTo>
                                            <a:cubicBezTo>
                                              <a:pt x="55" y="2"/>
                                              <a:pt x="53" y="6"/>
                                              <a:pt x="52" y="11"/>
                                            </a:cubicBezTo>
                                            <a:cubicBezTo>
                                              <a:pt x="52" y="15"/>
                                              <a:pt x="52" y="15"/>
                                              <a:pt x="52" y="15"/>
                                            </a:cubicBezTo>
                                            <a:close/>
                                          </a:path>
                                        </a:pathLst>
                                      </a:custGeom>
                                      <a:solidFill>
                                        <a:schemeClr val="tx2">
                                          <a:lumMod val="20000"/>
                                          <a:lumOff val="80000"/>
                                        </a:schemeClr>
                                      </a:solidFill>
                                      <a:ln>
                                        <a:noFill/>
                                      </a:ln>
                                    </wps:spPr>
                                    <wps:bodyPr vert="horz" wrap="square" lIns="91440" tIns="45720" rIns="91440" bIns="45720" numCol="1" anchor="t" anchorCtr="0" compatLnSpc="1">
                                      <a:prstTxWarp prst="textNoShape">
                                        <a:avLst/>
                                      </a:prstTxWarp>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32F533FB" id="Group 58" o:spid="_x0000_s1026" style="position:absolute;margin-left:821.2pt;margin-top:23.5pt;width:32.7pt;height:29.8pt;z-index:251666432" coordorigin="104287,2888" coordsize="9429,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">
                            <v:shape id="Freeform 12" o:spid="_x0000_s1027" style="position:absolute;left:108637;top:5841;width:5080;height:5651;visibility:visible;mso-wrap-style:square;v-text-anchor:top" coordsize="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hfsEA&#10;AADbAAAADwAAAGRycy9kb3ducmV2LnhtbERPTWvCQBC9C/6HZYTedKMF0dRV1FLQoxrtdZqdJsHs&#10;bLq7NfHfu4WCt3m8z1msOlOLGzlfWVYwHiUgiHOrKy4UZKeP4QyED8gaa8uk4E4eVst+b4Gpti0f&#10;6HYMhYgh7FNUUIbQpFL6vCSDfmQb4sh9W2cwROgKqR22MdzUcpIkU2mw4thQYkPbkvLr8dcouJzn&#10;Z/dK+83lJ8/Wn7P36uvabpV6GXTrNxCBuvAU/7t3Os6fwN8v8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sYX7BAAAA2wAAAA8AAAAAAAAAAAAAAAAAmAIAAGRycy9kb3du&#10;cmV2LnhtbFBLBQYAAAAABAAEAPUAAACGAwAAAAA=&#10;" path="m47,v8,,11,6,12,13c61,30,61,30,61,30v1,6,-7,6,-8,c51,17,51,17,51,17v-1,-3,-4,-3,-4,c49,60,49,60,49,60v,8,-11,9,-12,c36,49,36,49,36,49v,-4,-10,-4,-10,c24,60,24,60,24,60v-1,9,-12,8,-11,c15,17,15,17,15,17v,-3,-4,-3,-4,c8,30,8,30,8,30,7,36,,36,,30,3,13,3,13,3,13,4,6,7,,15,v5,,5,,5,c23,2,27,3,31,3,35,3,39,2,42,v5,,5,,5,xe" filled="f" stroked="f">
                              <v:path arrowok="t" o:connecttype="custom" o:connectlocs="385097,0;483419,106478;499806,245717;434258,245717;417871,139240;385097,139240;401484,491435;303161,491435;294968,401338;213032,401338;196645,491435;106516,491435;122903,139240;90129,139240;65548,245717;0,245717;24581,106478;122903,0;163871,0;254000,24572;344129,0;385097,0" o:connectangles="0,0,0,0,0,0,0,0,0,0,0,0,0,0,0,0,0,0,0,0,0,0"/>
                            </v:shape>
                            <v:oval id="Oval 13" o:spid="_x0000_s1028" style="position:absolute;left:105446;top:2888;width:2778;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xYcEA&#10;AADbAAAADwAAAGRycy9kb3ducmV2LnhtbERPS2sCMRC+C/6HMIXeNFsLRVaj+KilhyL4PA+bcXc1&#10;maybdN3++0YQvM3H95zxtLVGNFT70rGCt34CgjhzuuRcwX636g1B+ICs0TgmBX/kYTrpdsaYanfj&#10;DTXbkIsYwj5FBUUIVSqlzwqy6PuuIo7cydUWQ4R1LnWNtxhujRwkyYe0WHJsKLCiRUHZZftrFXzx&#10;ziwPq4H7DPPmdD6ucf5jrkq9vrSzEYhAbXiKH+5vHee/w/2XeIC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QcWHBAAAA2wAAAA8AAAAAAAAAAAAAAAAAmAIAAGRycy9kb3du&#10;cmV2LnhtbFBLBQYAAAAABAAEAPUAAACGAwAAAAA=&#10;" fillcolor="#e0f1f7 [671]" stroked="f"/>
                            <v:oval id="Oval 14" o:spid="_x0000_s1029" style="position:absolute;left:109780;top:2888;width:2794;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YfMIA&#10;AADbAAAADwAAAGRycy9kb3ducmV2LnhtbERPTWsCMRC9F/wPYYReimZbquhqdiktQnuo4OrF27AZ&#10;d4ObyZJEXf99Uyj0No/3OetysJ24kg/GsYLnaQaCuHbacKPgsN9MFiBCRNbYOSYFdwpQFqOHNeba&#10;3XhH1yo2IoVwyFFBG2OfSxnqliyGqeuJE3dy3mJM0DdSe7ylcNvJlyybS4uGU0OLPb23VJ+ri1UQ&#10;+UPO5M5Xs2Vljl9me7l/b56UehwPbysQkYb4L/5zf+o0/xV+f0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Jh8wgAAANsAAAAPAAAAAAAAAAAAAAAAAJgCAABkcnMvZG93&#10;bnJldi54bWxQSwUGAAAAAAQABAD1AAAAhwMAAAAA&#10;" filled="f" stroked="f"/>
                            <v:shape id="Freeform 15" o:spid="_x0000_s1030" style="position:absolute;left:104287;top:5841;width:4763;height:5651;visibility:visible;mso-wrap-style:square;v-text-anchor:top" coordsize="5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zpcAA&#10;AADbAAAADwAAAGRycy9kb3ducmV2LnhtbERP32vCMBB+H/g/hBN8m2kFh3bGIoJsr3UTfLw1Z1tM&#10;LjWJtvvvl8Fgb/fx/bxNOVojHuRD51hBPs9AENdOd9wo+Pw4PK9AhIis0TgmBd8UoNxOnjZYaDdw&#10;RY9jbEQK4VCggjbGvpAy1C1ZDHPXEyfu4rzFmKBvpPY4pHBr5CLLXqTFjlNDiz3tW6qvx7tVsPL1&#10;rTmc9rf8y7w5c8/W8lxFpWbTcfcKItIY/8V/7ned5i/h95d0gN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vzpcAAAADbAAAADwAAAAAAAAAAAAAAAACYAgAAZHJzL2Rvd25y&#10;ZXYueG1sUEsFBgAAAAAEAAQA9QAAAIUDAAAAAA==&#10;" path="m52,15v-3,,-3,,-3,c48,15,47,16,47,17v2,43,2,43,2,43c50,68,39,69,38,60,36,49,36,49,36,49v,-4,-10,-4,-10,c25,60,25,60,25,60v-1,9,-12,8,-12,c15,17,15,17,15,17v,-3,-3,-3,-4,c9,30,9,30,9,30,8,36,,36,1,30,3,13,3,13,3,13,4,6,7,,15,v5,,5,,5,c23,2,27,3,31,3,35,3,39,2,42,,58,,58,,58,,55,2,53,6,52,11v,4,,4,,4xe" fillcolor="#e0f1f7 [671]" stroked="f">
                              <v:path arrowok="t" o:connecttype="custom" o:connectlocs="426983,122859;402349,122859;385927,139240;402349,491435;312026,491435;295603,401338;213491,401338;205280,491435;106746,491435;123168,139240;90323,139240;73901,245717;8211,245717;24634,106478;123168,0;164224,0;254547,24572;344871,0;476250,0;426983,90096;426983,122859" o:connectangles="0,0,0,0,0,0,0,0,0,0,0,0,0,0,0,0,0,0,0,0,0"/>
                            </v:shape>
                          </v:group>
                        </w:pict>
                      </mc:Fallback>
                    </mc:AlternateContent>
                  </w:r>
                  <w:r w:rsidRPr="00DF5B1E">
                    <w:rPr>
                      <w:rFonts w:ascii="Arial" w:hAnsi="Arial" w:cs="Arial"/>
                      <w:noProof/>
                      <w:sz w:val="18"/>
                      <w:szCs w:val="18"/>
                    </w:rPr>
                    <mc:AlternateContent>
                      <mc:Choice Requires="wpg">
                        <w:drawing>
                          <wp:anchor distT="0" distB="0" distL="114300" distR="114300" simplePos="0" relativeHeight="251667456" behindDoc="0" locked="0" layoutInCell="1" allowOverlap="1" wp14:anchorId="6E352387" wp14:editId="07A0D314">
                            <wp:simplePos x="0" y="0"/>
                            <wp:positionH relativeFrom="column">
                              <wp:posOffset>12104370</wp:posOffset>
                            </wp:positionH>
                            <wp:positionV relativeFrom="paragraph">
                              <wp:posOffset>252095</wp:posOffset>
                            </wp:positionV>
                            <wp:extent cx="563439" cy="477125"/>
                            <wp:effectExtent l="0" t="0" r="8255" b="0"/>
                            <wp:wrapNone/>
                            <wp:docPr id="17" name="Group 9"/>
                            <wp:cNvGraphicFramePr/>
                            <a:graphic xmlns:a="http://schemas.openxmlformats.org/drawingml/2006/main">
                              <a:graphicData uri="http://schemas.microsoft.com/office/word/2010/wordprocessingGroup">
                                <wpg:wgp>
                                  <wpg:cNvGrpSpPr/>
                                  <wpg:grpSpPr>
                                    <a:xfrm>
                                      <a:off x="0" y="0"/>
                                      <a:ext cx="563439" cy="477125"/>
                                      <a:chOff x="12104033" y="242528"/>
                                      <a:chExt cx="763574" cy="646601"/>
                                    </a:xfrm>
                                  </wpg:grpSpPr>
                                  <wps:wsp>
                                    <wps:cNvPr id="18" name="Freeform 18"/>
                                    <wps:cNvSpPr>
                                      <a:spLocks noEditPoints="1"/>
                                    </wps:cNvSpPr>
                                    <wps:spPr bwMode="auto">
                                      <a:xfrm>
                                        <a:off x="12416718" y="435339"/>
                                        <a:ext cx="450889" cy="453790"/>
                                      </a:xfrm>
                                      <a:custGeom>
                                        <a:avLst/>
                                        <a:gdLst>
                                          <a:gd name="T0" fmla="*/ 414 w 461"/>
                                          <a:gd name="T1" fmla="*/ 232 h 464"/>
                                          <a:gd name="T2" fmla="*/ 461 w 461"/>
                                          <a:gd name="T3" fmla="*/ 208 h 464"/>
                                          <a:gd name="T4" fmla="*/ 451 w 461"/>
                                          <a:gd name="T5" fmla="*/ 161 h 464"/>
                                          <a:gd name="T6" fmla="*/ 398 w 461"/>
                                          <a:gd name="T7" fmla="*/ 157 h 464"/>
                                          <a:gd name="T8" fmla="*/ 379 w 461"/>
                                          <a:gd name="T9" fmla="*/ 124 h 464"/>
                                          <a:gd name="T10" fmla="*/ 403 w 461"/>
                                          <a:gd name="T11" fmla="*/ 77 h 464"/>
                                          <a:gd name="T12" fmla="*/ 367 w 461"/>
                                          <a:gd name="T13" fmla="*/ 45 h 464"/>
                                          <a:gd name="T14" fmla="*/ 322 w 461"/>
                                          <a:gd name="T15" fmla="*/ 73 h 464"/>
                                          <a:gd name="T16" fmla="*/ 287 w 461"/>
                                          <a:gd name="T17" fmla="*/ 57 h 464"/>
                                          <a:gd name="T18" fmla="*/ 279 w 461"/>
                                          <a:gd name="T19" fmla="*/ 5 h 464"/>
                                          <a:gd name="T20" fmla="*/ 230 w 461"/>
                                          <a:gd name="T21" fmla="*/ 0 h 464"/>
                                          <a:gd name="T22" fmla="*/ 211 w 461"/>
                                          <a:gd name="T23" fmla="*/ 49 h 464"/>
                                          <a:gd name="T24" fmla="*/ 173 w 461"/>
                                          <a:gd name="T25" fmla="*/ 57 h 464"/>
                                          <a:gd name="T26" fmla="*/ 136 w 461"/>
                                          <a:gd name="T27" fmla="*/ 20 h 464"/>
                                          <a:gd name="T28" fmla="*/ 94 w 461"/>
                                          <a:gd name="T29" fmla="*/ 44 h 464"/>
                                          <a:gd name="T30" fmla="*/ 107 w 461"/>
                                          <a:gd name="T31" fmla="*/ 95 h 464"/>
                                          <a:gd name="T32" fmla="*/ 81 w 461"/>
                                          <a:gd name="T33" fmla="*/ 123 h 464"/>
                                          <a:gd name="T34" fmla="*/ 30 w 461"/>
                                          <a:gd name="T35" fmla="*/ 116 h 464"/>
                                          <a:gd name="T36" fmla="*/ 10 w 461"/>
                                          <a:gd name="T37" fmla="*/ 160 h 464"/>
                                          <a:gd name="T38" fmla="*/ 50 w 461"/>
                                          <a:gd name="T39" fmla="*/ 193 h 464"/>
                                          <a:gd name="T40" fmla="*/ 46 w 461"/>
                                          <a:gd name="T41" fmla="*/ 232 h 464"/>
                                          <a:gd name="T42" fmla="*/ 0 w 461"/>
                                          <a:gd name="T43" fmla="*/ 256 h 464"/>
                                          <a:gd name="T44" fmla="*/ 10 w 461"/>
                                          <a:gd name="T45" fmla="*/ 303 h 464"/>
                                          <a:gd name="T46" fmla="*/ 62 w 461"/>
                                          <a:gd name="T47" fmla="*/ 306 h 464"/>
                                          <a:gd name="T48" fmla="*/ 81 w 461"/>
                                          <a:gd name="T49" fmla="*/ 340 h 464"/>
                                          <a:gd name="T50" fmla="*/ 58 w 461"/>
                                          <a:gd name="T51" fmla="*/ 387 h 464"/>
                                          <a:gd name="T52" fmla="*/ 94 w 461"/>
                                          <a:gd name="T53" fmla="*/ 419 h 464"/>
                                          <a:gd name="T54" fmla="*/ 138 w 461"/>
                                          <a:gd name="T55" fmla="*/ 391 h 464"/>
                                          <a:gd name="T56" fmla="*/ 173 w 461"/>
                                          <a:gd name="T57" fmla="*/ 407 h 464"/>
                                          <a:gd name="T58" fmla="*/ 181 w 461"/>
                                          <a:gd name="T59" fmla="*/ 459 h 464"/>
                                          <a:gd name="T60" fmla="*/ 230 w 461"/>
                                          <a:gd name="T61" fmla="*/ 464 h 464"/>
                                          <a:gd name="T62" fmla="*/ 249 w 461"/>
                                          <a:gd name="T63" fmla="*/ 415 h 464"/>
                                          <a:gd name="T64" fmla="*/ 287 w 461"/>
                                          <a:gd name="T65" fmla="*/ 407 h 464"/>
                                          <a:gd name="T66" fmla="*/ 324 w 461"/>
                                          <a:gd name="T67" fmla="*/ 444 h 464"/>
                                          <a:gd name="T68" fmla="*/ 366 w 461"/>
                                          <a:gd name="T69" fmla="*/ 420 h 464"/>
                                          <a:gd name="T70" fmla="*/ 353 w 461"/>
                                          <a:gd name="T71" fmla="*/ 369 h 464"/>
                                          <a:gd name="T72" fmla="*/ 379 w 461"/>
                                          <a:gd name="T73" fmla="*/ 340 h 464"/>
                                          <a:gd name="T74" fmla="*/ 431 w 461"/>
                                          <a:gd name="T75" fmla="*/ 348 h 464"/>
                                          <a:gd name="T76" fmla="*/ 450 w 461"/>
                                          <a:gd name="T77" fmla="*/ 304 h 464"/>
                                          <a:gd name="T78" fmla="*/ 410 w 461"/>
                                          <a:gd name="T79" fmla="*/ 270 h 464"/>
                                          <a:gd name="T80" fmla="*/ 414 w 461"/>
                                          <a:gd name="T81" fmla="*/ 232 h 464"/>
                                          <a:gd name="T82" fmla="*/ 230 w 461"/>
                                          <a:gd name="T83" fmla="*/ 378 h 464"/>
                                          <a:gd name="T84" fmla="*/ 84 w 461"/>
                                          <a:gd name="T85" fmla="*/ 232 h 464"/>
                                          <a:gd name="T86" fmla="*/ 230 w 461"/>
                                          <a:gd name="T87" fmla="*/ 86 h 464"/>
                                          <a:gd name="T88" fmla="*/ 376 w 461"/>
                                          <a:gd name="T89" fmla="*/ 232 h 464"/>
                                          <a:gd name="T90" fmla="*/ 230 w 461"/>
                                          <a:gd name="T91" fmla="*/ 378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1" h="464">
                                            <a:moveTo>
                                              <a:pt x="414" y="232"/>
                                            </a:moveTo>
                                            <a:cubicBezTo>
                                              <a:pt x="461" y="208"/>
                                              <a:pt x="461" y="208"/>
                                              <a:pt x="461" y="208"/>
                                            </a:cubicBezTo>
                                            <a:cubicBezTo>
                                              <a:pt x="451" y="161"/>
                                              <a:pt x="451" y="161"/>
                                              <a:pt x="451" y="161"/>
                                            </a:cubicBezTo>
                                            <a:cubicBezTo>
                                              <a:pt x="398" y="157"/>
                                              <a:pt x="398" y="157"/>
                                              <a:pt x="398" y="157"/>
                                            </a:cubicBezTo>
                                            <a:cubicBezTo>
                                              <a:pt x="379" y="124"/>
                                              <a:pt x="379" y="124"/>
                                              <a:pt x="379" y="124"/>
                                            </a:cubicBezTo>
                                            <a:cubicBezTo>
                                              <a:pt x="403" y="77"/>
                                              <a:pt x="403" y="77"/>
                                              <a:pt x="403" y="77"/>
                                            </a:cubicBezTo>
                                            <a:cubicBezTo>
                                              <a:pt x="367" y="45"/>
                                              <a:pt x="367" y="45"/>
                                              <a:pt x="367" y="45"/>
                                            </a:cubicBezTo>
                                            <a:cubicBezTo>
                                              <a:pt x="322" y="73"/>
                                              <a:pt x="322" y="73"/>
                                              <a:pt x="322" y="73"/>
                                            </a:cubicBezTo>
                                            <a:cubicBezTo>
                                              <a:pt x="287" y="57"/>
                                              <a:pt x="287" y="57"/>
                                              <a:pt x="287" y="57"/>
                                            </a:cubicBezTo>
                                            <a:cubicBezTo>
                                              <a:pt x="279" y="5"/>
                                              <a:pt x="279" y="5"/>
                                              <a:pt x="279" y="5"/>
                                            </a:cubicBezTo>
                                            <a:cubicBezTo>
                                              <a:pt x="230" y="0"/>
                                              <a:pt x="230" y="0"/>
                                              <a:pt x="230" y="0"/>
                                            </a:cubicBezTo>
                                            <a:cubicBezTo>
                                              <a:pt x="211" y="49"/>
                                              <a:pt x="211" y="49"/>
                                              <a:pt x="211" y="49"/>
                                            </a:cubicBezTo>
                                            <a:cubicBezTo>
                                              <a:pt x="173" y="57"/>
                                              <a:pt x="173" y="57"/>
                                              <a:pt x="173" y="57"/>
                                            </a:cubicBezTo>
                                            <a:cubicBezTo>
                                              <a:pt x="136" y="20"/>
                                              <a:pt x="136" y="20"/>
                                              <a:pt x="136" y="20"/>
                                            </a:cubicBezTo>
                                            <a:cubicBezTo>
                                              <a:pt x="94" y="44"/>
                                              <a:pt x="94" y="44"/>
                                              <a:pt x="94" y="44"/>
                                            </a:cubicBezTo>
                                            <a:cubicBezTo>
                                              <a:pt x="107" y="95"/>
                                              <a:pt x="107" y="95"/>
                                              <a:pt x="107" y="95"/>
                                            </a:cubicBezTo>
                                            <a:cubicBezTo>
                                              <a:pt x="81" y="123"/>
                                              <a:pt x="81" y="123"/>
                                              <a:pt x="81" y="123"/>
                                            </a:cubicBezTo>
                                            <a:cubicBezTo>
                                              <a:pt x="30" y="116"/>
                                              <a:pt x="30" y="116"/>
                                              <a:pt x="30" y="116"/>
                                            </a:cubicBezTo>
                                            <a:cubicBezTo>
                                              <a:pt x="10" y="160"/>
                                              <a:pt x="10" y="160"/>
                                              <a:pt x="10" y="160"/>
                                            </a:cubicBezTo>
                                            <a:cubicBezTo>
                                              <a:pt x="50" y="193"/>
                                              <a:pt x="50" y="193"/>
                                              <a:pt x="50" y="193"/>
                                            </a:cubicBezTo>
                                            <a:cubicBezTo>
                                              <a:pt x="46" y="232"/>
                                              <a:pt x="46" y="232"/>
                                              <a:pt x="46" y="232"/>
                                            </a:cubicBezTo>
                                            <a:cubicBezTo>
                                              <a:pt x="0" y="256"/>
                                              <a:pt x="0" y="256"/>
                                              <a:pt x="0" y="256"/>
                                            </a:cubicBezTo>
                                            <a:cubicBezTo>
                                              <a:pt x="10" y="303"/>
                                              <a:pt x="10" y="303"/>
                                              <a:pt x="10" y="303"/>
                                            </a:cubicBezTo>
                                            <a:cubicBezTo>
                                              <a:pt x="62" y="306"/>
                                              <a:pt x="62" y="306"/>
                                              <a:pt x="62" y="306"/>
                                            </a:cubicBezTo>
                                            <a:cubicBezTo>
                                              <a:pt x="81" y="340"/>
                                              <a:pt x="81" y="340"/>
                                              <a:pt x="81" y="340"/>
                                            </a:cubicBezTo>
                                            <a:cubicBezTo>
                                              <a:pt x="58" y="387"/>
                                              <a:pt x="58" y="387"/>
                                              <a:pt x="58" y="387"/>
                                            </a:cubicBezTo>
                                            <a:cubicBezTo>
                                              <a:pt x="94" y="419"/>
                                              <a:pt x="94" y="419"/>
                                              <a:pt x="94" y="419"/>
                                            </a:cubicBezTo>
                                            <a:cubicBezTo>
                                              <a:pt x="138" y="391"/>
                                              <a:pt x="138" y="391"/>
                                              <a:pt x="138" y="391"/>
                                            </a:cubicBezTo>
                                            <a:cubicBezTo>
                                              <a:pt x="173" y="407"/>
                                              <a:pt x="173" y="407"/>
                                              <a:pt x="173" y="407"/>
                                            </a:cubicBezTo>
                                            <a:cubicBezTo>
                                              <a:pt x="181" y="459"/>
                                              <a:pt x="181" y="459"/>
                                              <a:pt x="181" y="459"/>
                                            </a:cubicBezTo>
                                            <a:cubicBezTo>
                                              <a:pt x="230" y="464"/>
                                              <a:pt x="230" y="464"/>
                                              <a:pt x="230" y="464"/>
                                            </a:cubicBezTo>
                                            <a:cubicBezTo>
                                              <a:pt x="249" y="415"/>
                                              <a:pt x="249" y="415"/>
                                              <a:pt x="249" y="415"/>
                                            </a:cubicBezTo>
                                            <a:cubicBezTo>
                                              <a:pt x="287" y="407"/>
                                              <a:pt x="287" y="407"/>
                                              <a:pt x="287" y="407"/>
                                            </a:cubicBezTo>
                                            <a:cubicBezTo>
                                              <a:pt x="324" y="444"/>
                                              <a:pt x="324" y="444"/>
                                              <a:pt x="324" y="444"/>
                                            </a:cubicBezTo>
                                            <a:cubicBezTo>
                                              <a:pt x="366" y="420"/>
                                              <a:pt x="366" y="420"/>
                                              <a:pt x="366" y="420"/>
                                            </a:cubicBezTo>
                                            <a:cubicBezTo>
                                              <a:pt x="353" y="369"/>
                                              <a:pt x="353" y="369"/>
                                              <a:pt x="353" y="369"/>
                                            </a:cubicBezTo>
                                            <a:cubicBezTo>
                                              <a:pt x="379" y="340"/>
                                              <a:pt x="379" y="340"/>
                                              <a:pt x="379" y="340"/>
                                            </a:cubicBezTo>
                                            <a:cubicBezTo>
                                              <a:pt x="431" y="348"/>
                                              <a:pt x="431" y="348"/>
                                              <a:pt x="431" y="348"/>
                                            </a:cubicBezTo>
                                            <a:cubicBezTo>
                                              <a:pt x="450" y="304"/>
                                              <a:pt x="450" y="304"/>
                                              <a:pt x="450" y="304"/>
                                            </a:cubicBezTo>
                                            <a:cubicBezTo>
                                              <a:pt x="410" y="270"/>
                                              <a:pt x="410" y="270"/>
                                              <a:pt x="410" y="270"/>
                                            </a:cubicBezTo>
                                            <a:lnTo>
                                              <a:pt x="414" y="232"/>
                                            </a:lnTo>
                                            <a:close/>
                                            <a:moveTo>
                                              <a:pt x="230" y="378"/>
                                            </a:moveTo>
                                            <a:cubicBezTo>
                                              <a:pt x="150" y="378"/>
                                              <a:pt x="84" y="312"/>
                                              <a:pt x="84" y="232"/>
                                            </a:cubicBezTo>
                                            <a:cubicBezTo>
                                              <a:pt x="84" y="151"/>
                                              <a:pt x="150" y="86"/>
                                              <a:pt x="230" y="86"/>
                                            </a:cubicBezTo>
                                            <a:cubicBezTo>
                                              <a:pt x="311" y="86"/>
                                              <a:pt x="376" y="151"/>
                                              <a:pt x="376" y="232"/>
                                            </a:cubicBezTo>
                                            <a:cubicBezTo>
                                              <a:pt x="376" y="312"/>
                                              <a:pt x="311" y="378"/>
                                              <a:pt x="230" y="378"/>
                                            </a:cubicBez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2104033" y="242528"/>
                                        <a:ext cx="383155" cy="385620"/>
                                      </a:xfrm>
                                      <a:custGeom>
                                        <a:avLst/>
                                        <a:gdLst>
                                          <a:gd name="T0" fmla="*/ 414 w 461"/>
                                          <a:gd name="T1" fmla="*/ 232 h 464"/>
                                          <a:gd name="T2" fmla="*/ 461 w 461"/>
                                          <a:gd name="T3" fmla="*/ 208 h 464"/>
                                          <a:gd name="T4" fmla="*/ 451 w 461"/>
                                          <a:gd name="T5" fmla="*/ 161 h 464"/>
                                          <a:gd name="T6" fmla="*/ 398 w 461"/>
                                          <a:gd name="T7" fmla="*/ 157 h 464"/>
                                          <a:gd name="T8" fmla="*/ 379 w 461"/>
                                          <a:gd name="T9" fmla="*/ 124 h 464"/>
                                          <a:gd name="T10" fmla="*/ 403 w 461"/>
                                          <a:gd name="T11" fmla="*/ 77 h 464"/>
                                          <a:gd name="T12" fmla="*/ 367 w 461"/>
                                          <a:gd name="T13" fmla="*/ 45 h 464"/>
                                          <a:gd name="T14" fmla="*/ 322 w 461"/>
                                          <a:gd name="T15" fmla="*/ 73 h 464"/>
                                          <a:gd name="T16" fmla="*/ 287 w 461"/>
                                          <a:gd name="T17" fmla="*/ 57 h 464"/>
                                          <a:gd name="T18" fmla="*/ 279 w 461"/>
                                          <a:gd name="T19" fmla="*/ 5 h 464"/>
                                          <a:gd name="T20" fmla="*/ 230 w 461"/>
                                          <a:gd name="T21" fmla="*/ 0 h 464"/>
                                          <a:gd name="T22" fmla="*/ 211 w 461"/>
                                          <a:gd name="T23" fmla="*/ 49 h 464"/>
                                          <a:gd name="T24" fmla="*/ 173 w 461"/>
                                          <a:gd name="T25" fmla="*/ 57 h 464"/>
                                          <a:gd name="T26" fmla="*/ 136 w 461"/>
                                          <a:gd name="T27" fmla="*/ 20 h 464"/>
                                          <a:gd name="T28" fmla="*/ 94 w 461"/>
                                          <a:gd name="T29" fmla="*/ 44 h 464"/>
                                          <a:gd name="T30" fmla="*/ 107 w 461"/>
                                          <a:gd name="T31" fmla="*/ 95 h 464"/>
                                          <a:gd name="T32" fmla="*/ 81 w 461"/>
                                          <a:gd name="T33" fmla="*/ 123 h 464"/>
                                          <a:gd name="T34" fmla="*/ 30 w 461"/>
                                          <a:gd name="T35" fmla="*/ 116 h 464"/>
                                          <a:gd name="T36" fmla="*/ 10 w 461"/>
                                          <a:gd name="T37" fmla="*/ 160 h 464"/>
                                          <a:gd name="T38" fmla="*/ 50 w 461"/>
                                          <a:gd name="T39" fmla="*/ 193 h 464"/>
                                          <a:gd name="T40" fmla="*/ 46 w 461"/>
                                          <a:gd name="T41" fmla="*/ 232 h 464"/>
                                          <a:gd name="T42" fmla="*/ 0 w 461"/>
                                          <a:gd name="T43" fmla="*/ 256 h 464"/>
                                          <a:gd name="T44" fmla="*/ 10 w 461"/>
                                          <a:gd name="T45" fmla="*/ 303 h 464"/>
                                          <a:gd name="T46" fmla="*/ 62 w 461"/>
                                          <a:gd name="T47" fmla="*/ 306 h 464"/>
                                          <a:gd name="T48" fmla="*/ 81 w 461"/>
                                          <a:gd name="T49" fmla="*/ 340 h 464"/>
                                          <a:gd name="T50" fmla="*/ 58 w 461"/>
                                          <a:gd name="T51" fmla="*/ 387 h 464"/>
                                          <a:gd name="T52" fmla="*/ 94 w 461"/>
                                          <a:gd name="T53" fmla="*/ 419 h 464"/>
                                          <a:gd name="T54" fmla="*/ 138 w 461"/>
                                          <a:gd name="T55" fmla="*/ 391 h 464"/>
                                          <a:gd name="T56" fmla="*/ 173 w 461"/>
                                          <a:gd name="T57" fmla="*/ 407 h 464"/>
                                          <a:gd name="T58" fmla="*/ 181 w 461"/>
                                          <a:gd name="T59" fmla="*/ 459 h 464"/>
                                          <a:gd name="T60" fmla="*/ 230 w 461"/>
                                          <a:gd name="T61" fmla="*/ 464 h 464"/>
                                          <a:gd name="T62" fmla="*/ 249 w 461"/>
                                          <a:gd name="T63" fmla="*/ 415 h 464"/>
                                          <a:gd name="T64" fmla="*/ 287 w 461"/>
                                          <a:gd name="T65" fmla="*/ 407 h 464"/>
                                          <a:gd name="T66" fmla="*/ 324 w 461"/>
                                          <a:gd name="T67" fmla="*/ 444 h 464"/>
                                          <a:gd name="T68" fmla="*/ 366 w 461"/>
                                          <a:gd name="T69" fmla="*/ 420 h 464"/>
                                          <a:gd name="T70" fmla="*/ 353 w 461"/>
                                          <a:gd name="T71" fmla="*/ 369 h 464"/>
                                          <a:gd name="T72" fmla="*/ 379 w 461"/>
                                          <a:gd name="T73" fmla="*/ 340 h 464"/>
                                          <a:gd name="T74" fmla="*/ 431 w 461"/>
                                          <a:gd name="T75" fmla="*/ 348 h 464"/>
                                          <a:gd name="T76" fmla="*/ 450 w 461"/>
                                          <a:gd name="T77" fmla="*/ 304 h 464"/>
                                          <a:gd name="T78" fmla="*/ 410 w 461"/>
                                          <a:gd name="T79" fmla="*/ 270 h 464"/>
                                          <a:gd name="T80" fmla="*/ 414 w 461"/>
                                          <a:gd name="T81" fmla="*/ 232 h 464"/>
                                          <a:gd name="T82" fmla="*/ 230 w 461"/>
                                          <a:gd name="T83" fmla="*/ 378 h 464"/>
                                          <a:gd name="T84" fmla="*/ 84 w 461"/>
                                          <a:gd name="T85" fmla="*/ 232 h 464"/>
                                          <a:gd name="T86" fmla="*/ 230 w 461"/>
                                          <a:gd name="T87" fmla="*/ 86 h 464"/>
                                          <a:gd name="T88" fmla="*/ 376 w 461"/>
                                          <a:gd name="T89" fmla="*/ 232 h 464"/>
                                          <a:gd name="T90" fmla="*/ 230 w 461"/>
                                          <a:gd name="T91" fmla="*/ 378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61" h="464">
                                            <a:moveTo>
                                              <a:pt x="414" y="232"/>
                                            </a:moveTo>
                                            <a:cubicBezTo>
                                              <a:pt x="461" y="208"/>
                                              <a:pt x="461" y="208"/>
                                              <a:pt x="461" y="208"/>
                                            </a:cubicBezTo>
                                            <a:cubicBezTo>
                                              <a:pt x="451" y="161"/>
                                              <a:pt x="451" y="161"/>
                                              <a:pt x="451" y="161"/>
                                            </a:cubicBezTo>
                                            <a:cubicBezTo>
                                              <a:pt x="398" y="157"/>
                                              <a:pt x="398" y="157"/>
                                              <a:pt x="398" y="157"/>
                                            </a:cubicBezTo>
                                            <a:cubicBezTo>
                                              <a:pt x="379" y="124"/>
                                              <a:pt x="379" y="124"/>
                                              <a:pt x="379" y="124"/>
                                            </a:cubicBezTo>
                                            <a:cubicBezTo>
                                              <a:pt x="403" y="77"/>
                                              <a:pt x="403" y="77"/>
                                              <a:pt x="403" y="77"/>
                                            </a:cubicBezTo>
                                            <a:cubicBezTo>
                                              <a:pt x="367" y="45"/>
                                              <a:pt x="367" y="45"/>
                                              <a:pt x="367" y="45"/>
                                            </a:cubicBezTo>
                                            <a:cubicBezTo>
                                              <a:pt x="322" y="73"/>
                                              <a:pt x="322" y="73"/>
                                              <a:pt x="322" y="73"/>
                                            </a:cubicBezTo>
                                            <a:cubicBezTo>
                                              <a:pt x="287" y="57"/>
                                              <a:pt x="287" y="57"/>
                                              <a:pt x="287" y="57"/>
                                            </a:cubicBezTo>
                                            <a:cubicBezTo>
                                              <a:pt x="279" y="5"/>
                                              <a:pt x="279" y="5"/>
                                              <a:pt x="279" y="5"/>
                                            </a:cubicBezTo>
                                            <a:cubicBezTo>
                                              <a:pt x="230" y="0"/>
                                              <a:pt x="230" y="0"/>
                                              <a:pt x="230" y="0"/>
                                            </a:cubicBezTo>
                                            <a:cubicBezTo>
                                              <a:pt x="211" y="49"/>
                                              <a:pt x="211" y="49"/>
                                              <a:pt x="211" y="49"/>
                                            </a:cubicBezTo>
                                            <a:cubicBezTo>
                                              <a:pt x="173" y="57"/>
                                              <a:pt x="173" y="57"/>
                                              <a:pt x="173" y="57"/>
                                            </a:cubicBezTo>
                                            <a:cubicBezTo>
                                              <a:pt x="136" y="20"/>
                                              <a:pt x="136" y="20"/>
                                              <a:pt x="136" y="20"/>
                                            </a:cubicBezTo>
                                            <a:cubicBezTo>
                                              <a:pt x="94" y="44"/>
                                              <a:pt x="94" y="44"/>
                                              <a:pt x="94" y="44"/>
                                            </a:cubicBezTo>
                                            <a:cubicBezTo>
                                              <a:pt x="107" y="95"/>
                                              <a:pt x="107" y="95"/>
                                              <a:pt x="107" y="95"/>
                                            </a:cubicBezTo>
                                            <a:cubicBezTo>
                                              <a:pt x="81" y="123"/>
                                              <a:pt x="81" y="123"/>
                                              <a:pt x="81" y="123"/>
                                            </a:cubicBezTo>
                                            <a:cubicBezTo>
                                              <a:pt x="30" y="116"/>
                                              <a:pt x="30" y="116"/>
                                              <a:pt x="30" y="116"/>
                                            </a:cubicBezTo>
                                            <a:cubicBezTo>
                                              <a:pt x="10" y="160"/>
                                              <a:pt x="10" y="160"/>
                                              <a:pt x="10" y="160"/>
                                            </a:cubicBezTo>
                                            <a:cubicBezTo>
                                              <a:pt x="50" y="193"/>
                                              <a:pt x="50" y="193"/>
                                              <a:pt x="50" y="193"/>
                                            </a:cubicBezTo>
                                            <a:cubicBezTo>
                                              <a:pt x="46" y="232"/>
                                              <a:pt x="46" y="232"/>
                                              <a:pt x="46" y="232"/>
                                            </a:cubicBezTo>
                                            <a:cubicBezTo>
                                              <a:pt x="0" y="256"/>
                                              <a:pt x="0" y="256"/>
                                              <a:pt x="0" y="256"/>
                                            </a:cubicBezTo>
                                            <a:cubicBezTo>
                                              <a:pt x="10" y="303"/>
                                              <a:pt x="10" y="303"/>
                                              <a:pt x="10" y="303"/>
                                            </a:cubicBezTo>
                                            <a:cubicBezTo>
                                              <a:pt x="62" y="306"/>
                                              <a:pt x="62" y="306"/>
                                              <a:pt x="62" y="306"/>
                                            </a:cubicBezTo>
                                            <a:cubicBezTo>
                                              <a:pt x="81" y="340"/>
                                              <a:pt x="81" y="340"/>
                                              <a:pt x="81" y="340"/>
                                            </a:cubicBezTo>
                                            <a:cubicBezTo>
                                              <a:pt x="58" y="387"/>
                                              <a:pt x="58" y="387"/>
                                              <a:pt x="58" y="387"/>
                                            </a:cubicBezTo>
                                            <a:cubicBezTo>
                                              <a:pt x="94" y="419"/>
                                              <a:pt x="94" y="419"/>
                                              <a:pt x="94" y="419"/>
                                            </a:cubicBezTo>
                                            <a:cubicBezTo>
                                              <a:pt x="138" y="391"/>
                                              <a:pt x="138" y="391"/>
                                              <a:pt x="138" y="391"/>
                                            </a:cubicBezTo>
                                            <a:cubicBezTo>
                                              <a:pt x="173" y="407"/>
                                              <a:pt x="173" y="407"/>
                                              <a:pt x="173" y="407"/>
                                            </a:cubicBezTo>
                                            <a:cubicBezTo>
                                              <a:pt x="181" y="459"/>
                                              <a:pt x="181" y="459"/>
                                              <a:pt x="181" y="459"/>
                                            </a:cubicBezTo>
                                            <a:cubicBezTo>
                                              <a:pt x="230" y="464"/>
                                              <a:pt x="230" y="464"/>
                                              <a:pt x="230" y="464"/>
                                            </a:cubicBezTo>
                                            <a:cubicBezTo>
                                              <a:pt x="249" y="415"/>
                                              <a:pt x="249" y="415"/>
                                              <a:pt x="249" y="415"/>
                                            </a:cubicBezTo>
                                            <a:cubicBezTo>
                                              <a:pt x="287" y="407"/>
                                              <a:pt x="287" y="407"/>
                                              <a:pt x="287" y="407"/>
                                            </a:cubicBezTo>
                                            <a:cubicBezTo>
                                              <a:pt x="324" y="444"/>
                                              <a:pt x="324" y="444"/>
                                              <a:pt x="324" y="444"/>
                                            </a:cubicBezTo>
                                            <a:cubicBezTo>
                                              <a:pt x="366" y="420"/>
                                              <a:pt x="366" y="420"/>
                                              <a:pt x="366" y="420"/>
                                            </a:cubicBezTo>
                                            <a:cubicBezTo>
                                              <a:pt x="353" y="369"/>
                                              <a:pt x="353" y="369"/>
                                              <a:pt x="353" y="369"/>
                                            </a:cubicBezTo>
                                            <a:cubicBezTo>
                                              <a:pt x="379" y="340"/>
                                              <a:pt x="379" y="340"/>
                                              <a:pt x="379" y="340"/>
                                            </a:cubicBezTo>
                                            <a:cubicBezTo>
                                              <a:pt x="431" y="348"/>
                                              <a:pt x="431" y="348"/>
                                              <a:pt x="431" y="348"/>
                                            </a:cubicBezTo>
                                            <a:cubicBezTo>
                                              <a:pt x="450" y="304"/>
                                              <a:pt x="450" y="304"/>
                                              <a:pt x="450" y="304"/>
                                            </a:cubicBezTo>
                                            <a:cubicBezTo>
                                              <a:pt x="410" y="270"/>
                                              <a:pt x="410" y="270"/>
                                              <a:pt x="410" y="270"/>
                                            </a:cubicBezTo>
                                            <a:lnTo>
                                              <a:pt x="414" y="232"/>
                                            </a:lnTo>
                                            <a:close/>
                                            <a:moveTo>
                                              <a:pt x="230" y="378"/>
                                            </a:moveTo>
                                            <a:cubicBezTo>
                                              <a:pt x="150" y="378"/>
                                              <a:pt x="84" y="312"/>
                                              <a:pt x="84" y="232"/>
                                            </a:cubicBezTo>
                                            <a:cubicBezTo>
                                              <a:pt x="84" y="151"/>
                                              <a:pt x="150" y="86"/>
                                              <a:pt x="230" y="86"/>
                                            </a:cubicBezTo>
                                            <a:cubicBezTo>
                                              <a:pt x="311" y="86"/>
                                              <a:pt x="376" y="151"/>
                                              <a:pt x="376" y="232"/>
                                            </a:cubicBezTo>
                                            <a:cubicBezTo>
                                              <a:pt x="376" y="312"/>
                                              <a:pt x="311" y="378"/>
                                              <a:pt x="230" y="378"/>
                                            </a:cubicBez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3F58244C" id="Group 9" o:spid="_x0000_s1026" style="position:absolute;margin-left:953.1pt;margin-top:19.85pt;width:44.35pt;height:37.55pt;z-index:251667456" coordorigin="121040,2425" coordsize="7635,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">
                            <v:shape id="Freeform 18" o:spid="_x0000_s1027" style="position:absolute;left:124167;top:4353;width:4509;height:4538;visibility:visible;mso-wrap-style:square;v-text-anchor:top" coordsize="461,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lJ8QA&#10;AADbAAAADwAAAGRycy9kb3ducmV2LnhtbESPQW/CMAyF75P4D5GRuI2UoSHWEdCEhrRDL7CJs5V4&#10;bbXGKU3Wlv36+YDEzdZ7fu/zZjf6RvXUxTqwgcU8A0Vsg6u5NPD1eXhcg4oJ2WETmAxcKcJuO3nY&#10;YO7CwEfqT6lUEsIxRwNVSm2udbQVeYzz0BKL9h06j0nWrtSuw0HCfaOfsmylPdYsDRW2tK/I/px+&#10;vQG7vLy/tLF4/huuJe77ZZHZc2HMbDq+vYJKNKa7+Xb94QRfYOUXGUB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yJSfEAAAA2wAAAA8AAAAAAAAAAAAAAAAAmAIAAGRycy9k&#10;b3ducmV2LnhtbFBLBQYAAAAABAAEAPUAAACJAwAAAAA=&#10;" path="m414,232v47,-24,47,-24,47,-24c451,161,451,161,451,161v-53,-4,-53,-4,-53,-4c379,124,379,124,379,124,403,77,403,77,403,77,367,45,367,45,367,45,322,73,322,73,322,73,287,57,287,57,287,57,279,5,279,5,279,5,230,,230,,230,,211,49,211,49,211,49v-38,8,-38,8,-38,8c136,20,136,20,136,20,94,44,94,44,94,44v13,51,13,51,13,51c81,123,81,123,81,123,30,116,30,116,30,116,10,160,10,160,10,160v40,33,40,33,40,33c46,232,46,232,46,232,,256,,256,,256v10,47,10,47,10,47c62,306,62,306,62,306v19,34,19,34,19,34c58,387,58,387,58,387v36,32,36,32,36,32c138,391,138,391,138,391v35,16,35,16,35,16c181,459,181,459,181,459v49,5,49,5,49,5c249,415,249,415,249,415v38,-8,38,-8,38,-8c324,444,324,444,324,444v42,-24,42,-24,42,-24c353,369,353,369,353,369v26,-29,26,-29,26,-29c431,348,431,348,431,348v19,-44,19,-44,19,-44c410,270,410,270,410,270r4,-38xm230,378c150,378,84,312,84,232,84,151,150,86,230,86v81,,146,65,146,146c376,312,311,378,230,378xe" fillcolor="white [3212]" stroked="f">
                              <v:path arrowok="t" o:connecttype="custom" o:connectlocs="404920,226895;450889,203423;441108,157457;389271,153545;370687,121271;394161,75306;358951,44010;314938,71394;280705,55746;272881,4890;224955,0;206372,47922;169206,55746;133017,19560;91938,43032;104653,92910;79223,120293;29342,113448;9781,156479;48903,188753;44991,226895;0,250367;9781,296333;60640,299267;79223,332519;56728,378484;91938,409780;134973,382396;169206,398044;177030,448900;224955,453790;243539,405868;280705,398044;316894,434230;357973,410758;345258,360880;370687,332519;421547,340343;440130,297311;401008,264059;404920,226895;224955,369682;82158,226895;224955,84108;367753,226895;224955,369682" o:connectangles="0,0,0,0,0,0,0,0,0,0,0,0,0,0,0,0,0,0,0,0,0,0,0,0,0,0,0,0,0,0,0,0,0,0,0,0,0,0,0,0,0,0,0,0,0,0"/>
                              <o:lock v:ext="edit" verticies="t"/>
                            </v:shape>
                            <v:shape id="Freeform 19" o:spid="_x0000_s1028" style="position:absolute;left:121040;top:2425;width:3831;height:3856;visibility:visible;mso-wrap-style:square;v-text-anchor:top" coordsize="461,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UM8EA&#10;AADbAAAADwAAAGRycy9kb3ducmV2LnhtbERPTWvCQBC9F/oflil4q5v2IDW6igRKquChKuJxzI5J&#10;cHc2ZNck/nu3UPA2j/c58+Vgjeio9bVjBR/jBARx4XTNpYLD/vv9C4QPyBqNY1JwJw/LxevLHFPt&#10;ev6lbhdKEUPYp6igCqFJpfRFRRb92DXEkbu41mKIsC2lbrGP4dbIzySZSIs1x4YKG8oqKq67m1Vw&#10;Wl+PbPLmXB8HYzK9z1fbDSs1ehtWMxCBhvAU/7t/dJw/hb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y1DPBAAAA2wAAAA8AAAAAAAAAAAAAAAAAmAIAAGRycy9kb3du&#10;cmV2LnhtbFBLBQYAAAAABAAEAPUAAACGAwAAAAA=&#10;" path="m414,232v47,-24,47,-24,47,-24c451,161,451,161,451,161v-53,-4,-53,-4,-53,-4c379,124,379,124,379,124,403,77,403,77,403,77,367,45,367,45,367,45,322,73,322,73,322,73,287,57,287,57,287,57,279,5,279,5,279,5,230,,230,,230,,211,49,211,49,211,49v-38,8,-38,8,-38,8c136,20,136,20,136,20,94,44,94,44,94,44v13,51,13,51,13,51c81,123,81,123,81,123,30,116,30,116,30,116,10,160,10,160,10,160v40,33,40,33,40,33c46,232,46,232,46,232,,256,,256,,256v10,47,10,47,10,47c62,306,62,306,62,306v19,34,19,34,19,34c58,387,58,387,58,387v36,32,36,32,36,32c138,391,138,391,138,391v35,16,35,16,35,16c181,459,181,459,181,459v49,5,49,5,49,5c249,415,249,415,249,415v38,-8,38,-8,38,-8c324,444,324,444,324,444v42,-24,42,-24,42,-24c353,369,353,369,353,369v26,-29,26,-29,26,-29c431,348,431,348,431,348v19,-44,19,-44,19,-44c410,270,410,270,410,270r4,-38xm230,378c150,378,84,312,84,232,84,151,150,86,230,86v81,,146,65,146,146c376,312,311,378,230,378xe" fillcolor="#fcddd3 [663]" stroked="f">
                              <v:path arrowok="t" o:connecttype="custom" o:connectlocs="344091,192810;383155,172864;374844,133803;330793,130479;315002,103054;334949,63993;305028,37398;267627,60669;238537,47371;231888,4155;191162,0;175370,40723;143787,47371;113035,16622;78127,36567;88932,78952;67322,102223;24934,96405;8311,132972;41557,160398;38232,192810;0,212756;8311,251817;51531,254310;67322,282566;48206,321627;78127,348222;114697,324951;143787,338249;150436,381465;191162,385620;206954,344897;238537,338249;269289,368998;304197,349053;293392,306668;315002,282566;358221,289215;374012,252648;340767,224391;344091,192810;191162,314147;69816,192810;191162,71473;312508,192810;191162,314147" o:connectangles="0,0,0,0,0,0,0,0,0,0,0,0,0,0,0,0,0,0,0,0,0,0,0,0,0,0,0,0,0,0,0,0,0,0,0,0,0,0,0,0,0,0,0,0,0,0"/>
                              <o:lock v:ext="edit" verticies="t"/>
                            </v:shape>
                          </v:group>
                        </w:pict>
                      </mc:Fallback>
                    </mc:AlternateContent>
                  </w:r>
                </w:p>
              </w:tc>
            </w:tr>
          </w:tbl>
          <w:p w14:paraId="0F5E95A9" w14:textId="77777777" w:rsidR="009C6940" w:rsidRDefault="009C6940" w:rsidP="009C6940">
            <w:pPr>
              <w:pStyle w:val="Figure"/>
              <w:spacing w:before="180"/>
            </w:pPr>
          </w:p>
        </w:tc>
      </w:tr>
      <w:tr w:rsidR="009C6940" w:rsidRPr="00176D3F" w14:paraId="5915E465" w14:textId="77777777" w:rsidTr="009C6940">
        <w:tc>
          <w:tcPr>
            <w:tcW w:w="5000" w:type="pct"/>
            <w:tcBorders>
              <w:top w:val="nil"/>
              <w:left w:val="nil"/>
              <w:bottom w:val="nil"/>
              <w:right w:val="nil"/>
            </w:tcBorders>
            <w:shd w:val="clear" w:color="auto" w:fill="auto"/>
          </w:tcPr>
          <w:p w14:paraId="2BAAF8C2" w14:textId="77777777" w:rsidR="009C6940" w:rsidRPr="00176D3F" w:rsidRDefault="009C6940" w:rsidP="009C6940">
            <w:pPr>
              <w:pStyle w:val="Source"/>
            </w:pPr>
            <w:r>
              <w:rPr>
                <w:i/>
              </w:rPr>
              <w:t>S</w:t>
            </w:r>
            <w:r w:rsidRPr="00784A05">
              <w:rPr>
                <w:i/>
              </w:rPr>
              <w:t>ource</w:t>
            </w:r>
            <w:r w:rsidRPr="00176D3F">
              <w:t xml:space="preserve">: </w:t>
            </w:r>
            <w:r>
              <w:t xml:space="preserve">Derived from FCDC </w:t>
            </w:r>
            <w:r w:rsidRPr="000C6EE1">
              <w:rPr>
                <w:rFonts w:cs="Arial"/>
              </w:rPr>
              <w:t>(2012)</w:t>
            </w:r>
            <w:r>
              <w:t>.</w:t>
            </w:r>
          </w:p>
        </w:tc>
      </w:tr>
      <w:tr w:rsidR="009C6940" w14:paraId="5590880C" w14:textId="77777777" w:rsidTr="009C6940">
        <w:tc>
          <w:tcPr>
            <w:tcW w:w="5000" w:type="pct"/>
            <w:tcBorders>
              <w:top w:val="nil"/>
              <w:left w:val="nil"/>
              <w:bottom w:val="single" w:sz="6" w:space="0" w:color="78A22F"/>
              <w:right w:val="nil"/>
            </w:tcBorders>
            <w:shd w:val="clear" w:color="auto" w:fill="auto"/>
          </w:tcPr>
          <w:p w14:paraId="37E7E031" w14:textId="77777777" w:rsidR="009C6940" w:rsidRDefault="009C6940" w:rsidP="009C6940">
            <w:pPr>
              <w:pStyle w:val="Figurespace"/>
            </w:pPr>
          </w:p>
        </w:tc>
      </w:tr>
      <w:tr w:rsidR="009C6940" w:rsidRPr="005C0207" w14:paraId="7A0408A2" w14:textId="77777777" w:rsidTr="009C6940">
        <w:tc>
          <w:tcPr>
            <w:tcW w:w="5000" w:type="pct"/>
            <w:tcBorders>
              <w:top w:val="single" w:sz="6" w:space="0" w:color="78A22F"/>
              <w:left w:val="nil"/>
              <w:bottom w:val="nil"/>
              <w:right w:val="nil"/>
            </w:tcBorders>
          </w:tcPr>
          <w:p w14:paraId="24C022CE" w14:textId="77777777" w:rsidR="009C6940" w:rsidRPr="005C0207" w:rsidRDefault="009C6940" w:rsidP="009C6940">
            <w:pPr>
              <w:pStyle w:val="BoxSpaceBelow"/>
            </w:pPr>
          </w:p>
        </w:tc>
      </w:tr>
    </w:tbl>
    <w:p w14:paraId="07CC19DA" w14:textId="77777777" w:rsidR="009C6940" w:rsidRDefault="009C6940" w:rsidP="009C6940">
      <w:pPr>
        <w:pStyle w:val="Heading4"/>
      </w:pPr>
      <w:r>
        <w:lastRenderedPageBreak/>
        <w:t>Community barriers</w:t>
      </w:r>
    </w:p>
    <w:p w14:paraId="3C08825C" w14:textId="77777777" w:rsidR="009C6940" w:rsidRDefault="009C6940" w:rsidP="009C6940">
      <w:pPr>
        <w:pStyle w:val="BodyText"/>
      </w:pPr>
      <w:r>
        <w:t>There are also those barriers to employment that relate to how the community, such as employers, family, friends and healthcare professionals, view people with mental illness.</w:t>
      </w:r>
    </w:p>
    <w:p w14:paraId="2D7DC5CF" w14:textId="77777777" w:rsidR="009C6940" w:rsidRDefault="009C6940" w:rsidP="009C6940">
      <w:pPr>
        <w:pStyle w:val="BodyText"/>
      </w:pPr>
      <w:r>
        <w:t>The stigma associated with mental illness is considered to be a significant barrier to both obtaining and maintaining employment for people with mental illness. VicHealth and Partners (sub. 131, p. 10) noted:</w:t>
      </w:r>
    </w:p>
    <w:p w14:paraId="4D1A6D7D" w14:textId="77777777" w:rsidR="009C6940" w:rsidRDefault="009C6940" w:rsidP="009C6940">
      <w:pPr>
        <w:pStyle w:val="Quote"/>
      </w:pPr>
      <w:r>
        <w:t>While some of these negative employment outcomes result from the impact of the condition or treatment, much is also driven by stigma, discrimination and a lack of support, which results in a lack of opportunity.</w:t>
      </w:r>
    </w:p>
    <w:p w14:paraId="09E745B5" w14:textId="77777777" w:rsidR="009C6940" w:rsidRDefault="009C6940" w:rsidP="009C6940">
      <w:pPr>
        <w:pStyle w:val="BodyText"/>
      </w:pPr>
      <w:r>
        <w:t xml:space="preserve">As a result, when seeking employment, people with mental illness are reluctant to disclose their mental illness to employers (One Door Mental Health, sub. 108; Jobs Australia, sub. 398). </w:t>
      </w:r>
    </w:p>
    <w:p w14:paraId="0869D672" w14:textId="77777777" w:rsidR="009C6940" w:rsidRDefault="009C6940" w:rsidP="009C6940">
      <w:pPr>
        <w:pStyle w:val="BodyText"/>
      </w:pPr>
      <w:r>
        <w:t xml:space="preserve">Evidence provided to a Victorian Parliamentary inquiry into the workforce participation of people with mental illness noted that many employers in the selection process would overlook a potential candidate if they knew the applicant has mental illness as the perception was that they would be taking on an unreliable employee and possibly a liability </w:t>
      </w:r>
      <w:r w:rsidRPr="006314F2">
        <w:rPr>
          <w:szCs w:val="24"/>
        </w:rPr>
        <w:t>(FCDC 2012)</w:t>
      </w:r>
      <w:r>
        <w:t xml:space="preserve">. </w:t>
      </w:r>
      <w:r w:rsidRPr="002258A3">
        <w:t>Employers expect workers with mental ill</w:t>
      </w:r>
      <w:r>
        <w:noBreakHyphen/>
      </w:r>
      <w:r w:rsidRPr="002258A3">
        <w:t xml:space="preserve">health to </w:t>
      </w:r>
      <w:r>
        <w:t>have</w:t>
      </w:r>
      <w:r w:rsidRPr="002258A3">
        <w:t xml:space="preserve"> lower productivity and high</w:t>
      </w:r>
      <w:r>
        <w:t>er</w:t>
      </w:r>
      <w:r w:rsidRPr="002258A3">
        <w:t xml:space="preserve"> absenteeism than other workers, and will either fail to hire, or fail to promote those with mental ill</w:t>
      </w:r>
      <w:r>
        <w:noBreakHyphen/>
      </w:r>
      <w:r w:rsidRPr="002258A3">
        <w:t xml:space="preserve">health </w:t>
      </w:r>
      <w:r w:rsidRPr="006314F2">
        <w:rPr>
          <w:szCs w:val="24"/>
        </w:rPr>
        <w:t>(Cook 2006)</w:t>
      </w:r>
      <w:r w:rsidRPr="002258A3">
        <w:t>.</w:t>
      </w:r>
    </w:p>
    <w:p w14:paraId="5F5494E6" w14:textId="77777777" w:rsidR="009C6940" w:rsidRDefault="009C6940" w:rsidP="009C6940">
      <w:pPr>
        <w:pStyle w:val="BodyText"/>
      </w:pPr>
      <w:r>
        <w:t xml:space="preserve">Moreover, for people in employment with mental illness, there is also a reluctance to disclose due to fears of discrimination and a lack of employer support. Research undertaken by SANE Australia found that 38% of those surveyed did not disclose their mental illness at work (Mentally Healthy Workplace Alliance, sub. 209). </w:t>
      </w:r>
    </w:p>
    <w:p w14:paraId="4AE13251" w14:textId="77777777" w:rsidR="009C6940" w:rsidRDefault="009C6940" w:rsidP="009C6940">
      <w:pPr>
        <w:pStyle w:val="BodyText"/>
      </w:pPr>
      <w:r>
        <w:t xml:space="preserve">There also may be concerns expressed by family, friends or carers to dissuade those with mental illness from seeking employment due to concerns that the stress of work may exacerbate their mental illness </w:t>
      </w:r>
      <w:r w:rsidRPr="006314F2">
        <w:rPr>
          <w:szCs w:val="24"/>
        </w:rPr>
        <w:t>(FCDC 2012; Rinaldi et al. 2008)</w:t>
      </w:r>
      <w:r>
        <w:t>.</w:t>
      </w:r>
    </w:p>
    <w:p w14:paraId="3C542372" w14:textId="77777777" w:rsidR="009C6940" w:rsidRDefault="009C6940" w:rsidP="009C6940">
      <w:pPr>
        <w:pStyle w:val="BodyText"/>
      </w:pPr>
      <w:r>
        <w:t>When mental health professionals</w:t>
      </w:r>
      <w:r w:rsidRPr="002258A3">
        <w:t>, employer</w:t>
      </w:r>
      <w:r>
        <w:t>s</w:t>
      </w:r>
      <w:r w:rsidRPr="002258A3">
        <w:t xml:space="preserve"> and </w:t>
      </w:r>
      <w:r>
        <w:t xml:space="preserve">people themselves have low </w:t>
      </w:r>
      <w:r w:rsidRPr="002258A3">
        <w:t>expectations</w:t>
      </w:r>
      <w:r>
        <w:t>, this</w:t>
      </w:r>
      <w:r w:rsidRPr="002258A3">
        <w:t xml:space="preserve"> </w:t>
      </w:r>
      <w:r>
        <w:t>can discourage</w:t>
      </w:r>
      <w:r w:rsidRPr="002258A3">
        <w:t xml:space="preserve"> those with mental ill</w:t>
      </w:r>
      <w:r>
        <w:noBreakHyphen/>
      </w:r>
      <w:r w:rsidRPr="002258A3">
        <w:t xml:space="preserve">health </w:t>
      </w:r>
      <w:r>
        <w:t xml:space="preserve">from </w:t>
      </w:r>
      <w:r w:rsidRPr="002258A3">
        <w:t>seek</w:t>
      </w:r>
      <w:r>
        <w:t>ing</w:t>
      </w:r>
      <w:r w:rsidRPr="002258A3">
        <w:t xml:space="preserve"> out employment. A self</w:t>
      </w:r>
      <w:r>
        <w:noBreakHyphen/>
      </w:r>
      <w:r w:rsidRPr="002258A3">
        <w:t xml:space="preserve">fulfilling prophecy </w:t>
      </w:r>
      <w:r>
        <w:t>may exist</w:t>
      </w:r>
      <w:r w:rsidRPr="002258A3">
        <w:t xml:space="preserve">: clinicians </w:t>
      </w:r>
      <w:r>
        <w:t>(who often see people</w:t>
      </w:r>
      <w:r w:rsidRPr="002258A3">
        <w:t xml:space="preserve"> </w:t>
      </w:r>
      <w:r>
        <w:t xml:space="preserve">when they are most unwell) expect the person will struggle with the demands of a </w:t>
      </w:r>
      <w:r w:rsidRPr="002258A3">
        <w:t>work</w:t>
      </w:r>
      <w:r>
        <w:t>place</w:t>
      </w:r>
      <w:r w:rsidRPr="002258A3">
        <w:t xml:space="preserve">, </w:t>
      </w:r>
      <w:r>
        <w:t>people with mental illness</w:t>
      </w:r>
      <w:r w:rsidRPr="002258A3">
        <w:t xml:space="preserve"> are not encouraged to join the workforce</w:t>
      </w:r>
      <w:r>
        <w:t>,</w:t>
      </w:r>
      <w:r w:rsidRPr="002258A3">
        <w:t xml:space="preserve"> and those </w:t>
      </w:r>
      <w:r>
        <w:t xml:space="preserve">who </w:t>
      </w:r>
      <w:r w:rsidRPr="002258A3">
        <w:t>do</w:t>
      </w:r>
      <w:r>
        <w:t>,</w:t>
      </w:r>
      <w:r w:rsidRPr="002258A3">
        <w:t xml:space="preserve"> are more likely to leave the workforce </w:t>
      </w:r>
      <w:r w:rsidRPr="006314F2">
        <w:rPr>
          <w:szCs w:val="24"/>
        </w:rPr>
        <w:t>(Rinaldi et al. 2008)</w:t>
      </w:r>
      <w:r w:rsidRPr="002258A3">
        <w:t>. This perpetuates the idea that those with mental ill</w:t>
      </w:r>
      <w:r>
        <w:noBreakHyphen/>
      </w:r>
      <w:r w:rsidRPr="002258A3">
        <w:t xml:space="preserve">health are unlikely to succeed in the workforce. </w:t>
      </w:r>
    </w:p>
    <w:p w14:paraId="02E093FA" w14:textId="77777777" w:rsidR="009C6940" w:rsidRDefault="009C6940" w:rsidP="009C6940">
      <w:pPr>
        <w:pStyle w:val="Heading4"/>
      </w:pPr>
      <w:r>
        <w:lastRenderedPageBreak/>
        <w:t>System-wide issues</w:t>
      </w:r>
    </w:p>
    <w:p w14:paraId="7C997CD6" w14:textId="77777777" w:rsidR="009C6940" w:rsidRDefault="009C6940" w:rsidP="009C6940">
      <w:pPr>
        <w:pStyle w:val="BodyText"/>
      </w:pPr>
      <w:r>
        <w:t xml:space="preserve">People with mental illness can also face barriers to employment due to a lack of coordination between clinical and employment services. There may also be issues as to the appropriateness and effectiveness of various employment services on offer. </w:t>
      </w:r>
    </w:p>
    <w:p w14:paraId="27572597" w14:textId="77777777" w:rsidR="009C6940" w:rsidRPr="00CD4BBD" w:rsidRDefault="009C6940" w:rsidP="009C6940">
      <w:pPr>
        <w:pStyle w:val="BodyText"/>
        <w:rPr>
          <w:spacing w:val="-4"/>
        </w:rPr>
      </w:pPr>
      <w:r w:rsidRPr="00CD4BBD">
        <w:rPr>
          <w:spacing w:val="-4"/>
        </w:rPr>
        <w:t xml:space="preserve">Chapter 19 examines in detail the barriers facing people with mental illness and makes a number of recommendations to improve the effectiveness of employment support available to them. </w:t>
      </w:r>
    </w:p>
    <w:p w14:paraId="5549E866" w14:textId="77777777" w:rsidR="009C6940" w:rsidRDefault="009C6940" w:rsidP="009C6940">
      <w:pPr>
        <w:pStyle w:val="Heading2"/>
      </w:pPr>
      <w:r>
        <w:t>D.</w:t>
      </w:r>
      <w:r>
        <w:rPr>
          <w:noProof/>
        </w:rPr>
        <w:t>3</w:t>
      </w:r>
      <w:r>
        <w:tab/>
        <w:t>The mental health of those in the workforce</w:t>
      </w:r>
    </w:p>
    <w:p w14:paraId="0F656308" w14:textId="77777777" w:rsidR="009C6940" w:rsidRDefault="009C6940" w:rsidP="009C6940">
      <w:pPr>
        <w:pStyle w:val="BodyText"/>
      </w:pPr>
      <w:r>
        <w:t xml:space="preserve">The mental health of those in employment and the impacts of the workplace on their mental health is discussed in chapter 7. </w:t>
      </w:r>
    </w:p>
    <w:p w14:paraId="3F94D271" w14:textId="77777777" w:rsidR="009C6940" w:rsidRDefault="009C6940" w:rsidP="009C6940">
      <w:pPr>
        <w:pStyle w:val="BodyText"/>
      </w:pPr>
      <w:r>
        <w:t>Mental illness tends to be more prevalent in certain occupations and industries. By occupation, those working in sales and community and personal services are more likely to have had or have a mental health condition (figure D.7). However, these occupational categories do not separate out those high risk occupations such as police, emergency service workers and correctional officers, who are relatively more likely to develop a work-related mental illness or psychological injury (as discussed in chapter 7).</w:t>
      </w:r>
    </w:p>
    <w:p w14:paraId="4B5A1D28" w14:textId="77777777" w:rsidR="009C6940" w:rsidRPr="005C0207"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F4A60EA" w14:textId="77777777" w:rsidTr="009C6940">
        <w:trPr>
          <w:tblHeader/>
        </w:trPr>
        <w:tc>
          <w:tcPr>
            <w:tcW w:w="5000" w:type="pct"/>
            <w:tcBorders>
              <w:top w:val="single" w:sz="6" w:space="0" w:color="78A22F"/>
              <w:left w:val="nil"/>
              <w:bottom w:val="nil"/>
              <w:right w:val="nil"/>
            </w:tcBorders>
            <w:shd w:val="clear" w:color="auto" w:fill="auto"/>
          </w:tcPr>
          <w:p w14:paraId="5B1D54C8" w14:textId="77777777" w:rsidR="009C6940" w:rsidRPr="003608F4" w:rsidRDefault="009C6940" w:rsidP="009C6940">
            <w:pPr>
              <w:pStyle w:val="FigureTitle"/>
            </w:pPr>
            <w:r w:rsidRPr="00784A05">
              <w:rPr>
                <w:b w:val="0"/>
              </w:rPr>
              <w:t xml:space="preserve">Figure </w:t>
            </w:r>
            <w:r>
              <w:rPr>
                <w:b w:val="0"/>
              </w:rPr>
              <w:t>D.</w:t>
            </w:r>
            <w:r>
              <w:rPr>
                <w:b w:val="0"/>
                <w:noProof/>
              </w:rPr>
              <w:t>7</w:t>
            </w:r>
            <w:r>
              <w:tab/>
              <w:t>Prevalence of mental illness by occupation</w:t>
            </w:r>
            <w:r w:rsidRPr="003608F4">
              <w:rPr>
                <w:rStyle w:val="NoteLabel"/>
                <w:b/>
              </w:rPr>
              <w:t>a</w:t>
            </w:r>
          </w:p>
        </w:tc>
      </w:tr>
      <w:tr w:rsidR="009C6940" w14:paraId="1D0AB865" w14:textId="77777777" w:rsidTr="009C6940">
        <w:tc>
          <w:tcPr>
            <w:tcW w:w="5000" w:type="pct"/>
            <w:tcBorders>
              <w:top w:val="nil"/>
              <w:left w:val="nil"/>
              <w:bottom w:val="nil"/>
              <w:right w:val="nil"/>
            </w:tcBorders>
            <w:shd w:val="clear" w:color="auto" w:fill="auto"/>
            <w:tcMar>
              <w:top w:w="28" w:type="dxa"/>
              <w:bottom w:w="28" w:type="dxa"/>
            </w:tcMar>
          </w:tcPr>
          <w:p w14:paraId="3374A5D5" w14:textId="77777777" w:rsidR="009C6940" w:rsidRDefault="009C6940" w:rsidP="009C6940">
            <w:pPr>
              <w:pStyle w:val="Figure"/>
            </w:pPr>
            <w:r w:rsidRPr="00AA494D">
              <w:rPr>
                <w:noProof/>
              </w:rPr>
              <w:drawing>
                <wp:inline distT="0" distB="0" distL="0" distR="0" wp14:anchorId="3FCE626F" wp14:editId="6BA310B1">
                  <wp:extent cx="5572125" cy="2948305"/>
                  <wp:effectExtent l="0" t="0" r="9525" b="4445"/>
                  <wp:docPr id="10" name="Picture 10" descr="Bar graph highlighting that by occupation, those working in sales and community and personal services are more likely to have had or have a mental health con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72125" cy="2948305"/>
                          </a:xfrm>
                          <a:prstGeom prst="rect">
                            <a:avLst/>
                          </a:prstGeom>
                          <a:noFill/>
                          <a:ln>
                            <a:noFill/>
                          </a:ln>
                        </pic:spPr>
                      </pic:pic>
                    </a:graphicData>
                  </a:graphic>
                </wp:inline>
              </w:drawing>
            </w:r>
          </w:p>
        </w:tc>
      </w:tr>
      <w:tr w:rsidR="009C6940" w:rsidRPr="00176D3F" w14:paraId="1586F5AD" w14:textId="77777777" w:rsidTr="009C6940">
        <w:tc>
          <w:tcPr>
            <w:tcW w:w="5000" w:type="pct"/>
            <w:tcBorders>
              <w:top w:val="nil"/>
              <w:left w:val="nil"/>
              <w:bottom w:val="nil"/>
              <w:right w:val="nil"/>
            </w:tcBorders>
            <w:shd w:val="clear" w:color="auto" w:fill="auto"/>
          </w:tcPr>
          <w:p w14:paraId="3F50B044" w14:textId="77777777" w:rsidR="009C6940" w:rsidRPr="00176D3F" w:rsidRDefault="009C6940" w:rsidP="009C6940">
            <w:pPr>
              <w:pStyle w:val="Note"/>
            </w:pPr>
            <w:r>
              <w:rPr>
                <w:rStyle w:val="NoteLabel"/>
              </w:rPr>
              <w:t>a</w:t>
            </w:r>
            <w:r>
              <w:t xml:space="preserve"> Share of people employed in each sector who have had or have various mental conditions. </w:t>
            </w:r>
          </w:p>
        </w:tc>
      </w:tr>
      <w:tr w:rsidR="009C6940" w:rsidRPr="00176D3F" w14:paraId="089C001F" w14:textId="77777777" w:rsidTr="009C6940">
        <w:tc>
          <w:tcPr>
            <w:tcW w:w="5000" w:type="pct"/>
            <w:tcBorders>
              <w:top w:val="nil"/>
              <w:left w:val="nil"/>
              <w:bottom w:val="nil"/>
              <w:right w:val="nil"/>
            </w:tcBorders>
            <w:shd w:val="clear" w:color="auto" w:fill="auto"/>
          </w:tcPr>
          <w:p w14:paraId="758BA092" w14:textId="77777777" w:rsidR="009C6940" w:rsidRPr="00176D3F" w:rsidRDefault="009C6940" w:rsidP="009C6940">
            <w:pPr>
              <w:pStyle w:val="Source"/>
            </w:pPr>
            <w:r>
              <w:rPr>
                <w:i/>
              </w:rPr>
              <w:t>S</w:t>
            </w:r>
            <w:r w:rsidRPr="00784A05">
              <w:rPr>
                <w:i/>
              </w:rPr>
              <w:t>ource</w:t>
            </w:r>
            <w:r w:rsidRPr="00176D3F">
              <w:t xml:space="preserve">: </w:t>
            </w:r>
            <w:r>
              <w:t>ABS</w:t>
            </w:r>
            <w:r w:rsidRPr="00176D3F">
              <w:t xml:space="preserve"> </w:t>
            </w:r>
            <w:r w:rsidRPr="006F1D4F">
              <w:rPr>
                <w:rFonts w:cs="Arial"/>
              </w:rPr>
              <w:t>(</w:t>
            </w:r>
            <w:r w:rsidRPr="00EB1408">
              <w:rPr>
                <w:rFonts w:cs="Arial"/>
                <w:i/>
              </w:rPr>
              <w:t>Microdata: National Health Survey, 2017-18</w:t>
            </w:r>
            <w:r w:rsidRPr="00D15AF6">
              <w:rPr>
                <w:rFonts w:cs="Arial"/>
              </w:rPr>
              <w:t>, Cat. no. 4324.0.55.001</w:t>
            </w:r>
            <w:r w:rsidRPr="006F1D4F">
              <w:rPr>
                <w:rFonts w:cs="Arial"/>
              </w:rPr>
              <w:t>)</w:t>
            </w:r>
            <w:r>
              <w:t>.</w:t>
            </w:r>
          </w:p>
        </w:tc>
      </w:tr>
      <w:tr w:rsidR="009C6940" w14:paraId="725E1831" w14:textId="77777777" w:rsidTr="009C6940">
        <w:tc>
          <w:tcPr>
            <w:tcW w:w="5000" w:type="pct"/>
            <w:tcBorders>
              <w:top w:val="nil"/>
              <w:left w:val="nil"/>
              <w:bottom w:val="single" w:sz="6" w:space="0" w:color="78A22F"/>
              <w:right w:val="nil"/>
            </w:tcBorders>
            <w:shd w:val="clear" w:color="auto" w:fill="auto"/>
          </w:tcPr>
          <w:p w14:paraId="63BD5B22" w14:textId="77777777" w:rsidR="009C6940" w:rsidRDefault="009C6940" w:rsidP="009C6940">
            <w:pPr>
              <w:pStyle w:val="Figurespace"/>
            </w:pPr>
          </w:p>
        </w:tc>
      </w:tr>
      <w:tr w:rsidR="009C6940" w:rsidRPr="005C0207" w14:paraId="1F84A5DB" w14:textId="77777777" w:rsidTr="009C6940">
        <w:tc>
          <w:tcPr>
            <w:tcW w:w="5000" w:type="pct"/>
            <w:tcBorders>
              <w:top w:val="single" w:sz="6" w:space="0" w:color="78A22F"/>
              <w:left w:val="nil"/>
              <w:bottom w:val="nil"/>
              <w:right w:val="nil"/>
            </w:tcBorders>
          </w:tcPr>
          <w:p w14:paraId="1ED2FEC6" w14:textId="77777777" w:rsidR="009C6940" w:rsidRPr="005C0207" w:rsidRDefault="009C6940" w:rsidP="009C6940">
            <w:pPr>
              <w:pStyle w:val="BoxSpaceBelow"/>
            </w:pPr>
          </w:p>
        </w:tc>
      </w:tr>
    </w:tbl>
    <w:p w14:paraId="3EDB97AD" w14:textId="77777777" w:rsidR="009C6940" w:rsidRDefault="009C6940" w:rsidP="009C6940">
      <w:pPr>
        <w:pStyle w:val="BodyText"/>
      </w:pPr>
      <w:r>
        <w:lastRenderedPageBreak/>
        <w:t>For example, a survey conducted by Beyond Blue found that 8% of ambulance employees, 9% of fire and rescue employees and 11% of police employees have probable post</w:t>
      </w:r>
      <w:r>
        <w:noBreakHyphen/>
        <w:t xml:space="preserve">traumatic stress disorder (PTSD) compared to 4% of adult Australians and 8% of the Australian Defence Force. About 40% of emergency service employees and 33% of emergency service volunteers reported having been diagnosed with a mental health condition at some stage of their life compared to 20% of adult Australians </w:t>
      </w:r>
      <w:r w:rsidRPr="006314F2">
        <w:rPr>
          <w:szCs w:val="24"/>
        </w:rPr>
        <w:t>(Beyond Blue 2018)</w:t>
      </w:r>
      <w:r>
        <w:t>.</w:t>
      </w:r>
    </w:p>
    <w:p w14:paraId="0956AEE1" w14:textId="77777777" w:rsidR="009C6940" w:rsidRDefault="009C6940" w:rsidP="009C6940">
      <w:pPr>
        <w:pStyle w:val="BodyText"/>
      </w:pPr>
      <w:r>
        <w:t>By industry sector, those workers who have had or have a mental health condition are lowest in agriculture, fishing and forestry and highest in accommodation and food services (figure D.8).</w:t>
      </w:r>
    </w:p>
    <w:p w14:paraId="5D7F97D9" w14:textId="77777777" w:rsidR="009C6940" w:rsidRPr="005C0207"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BB707B9" w14:textId="77777777" w:rsidTr="009C6940">
        <w:trPr>
          <w:tblHeader/>
        </w:trPr>
        <w:tc>
          <w:tcPr>
            <w:tcW w:w="5000" w:type="pct"/>
            <w:tcBorders>
              <w:top w:val="single" w:sz="6" w:space="0" w:color="78A22F"/>
              <w:left w:val="nil"/>
              <w:bottom w:val="nil"/>
              <w:right w:val="nil"/>
            </w:tcBorders>
            <w:shd w:val="clear" w:color="auto" w:fill="auto"/>
          </w:tcPr>
          <w:p w14:paraId="02F13CD2" w14:textId="77777777" w:rsidR="009C6940" w:rsidRPr="00176D3F" w:rsidRDefault="009C6940" w:rsidP="009C6940">
            <w:pPr>
              <w:pStyle w:val="FigureTitle"/>
            </w:pPr>
            <w:r w:rsidRPr="00784A05">
              <w:rPr>
                <w:b w:val="0"/>
              </w:rPr>
              <w:t xml:space="preserve">Figure </w:t>
            </w:r>
            <w:r>
              <w:rPr>
                <w:b w:val="0"/>
              </w:rPr>
              <w:t>D.</w:t>
            </w:r>
            <w:r>
              <w:rPr>
                <w:b w:val="0"/>
                <w:noProof/>
              </w:rPr>
              <w:t>8</w:t>
            </w:r>
            <w:r>
              <w:tab/>
              <w:t>Prevalence of mental health conditions by industry sector</w:t>
            </w:r>
            <w:r w:rsidRPr="003608F4">
              <w:rPr>
                <w:rStyle w:val="NoteLabel"/>
                <w:b/>
              </w:rPr>
              <w:t>a</w:t>
            </w:r>
          </w:p>
        </w:tc>
      </w:tr>
      <w:tr w:rsidR="009C6940" w14:paraId="7D3AFB7A" w14:textId="77777777" w:rsidTr="009C6940">
        <w:tc>
          <w:tcPr>
            <w:tcW w:w="5000" w:type="pct"/>
            <w:tcBorders>
              <w:top w:val="nil"/>
              <w:left w:val="nil"/>
              <w:bottom w:val="nil"/>
              <w:right w:val="nil"/>
            </w:tcBorders>
            <w:shd w:val="clear" w:color="auto" w:fill="auto"/>
            <w:tcMar>
              <w:top w:w="28" w:type="dxa"/>
              <w:bottom w:w="28" w:type="dxa"/>
            </w:tcMar>
          </w:tcPr>
          <w:p w14:paraId="37B03055" w14:textId="77777777" w:rsidR="009C6940" w:rsidRDefault="009C6940" w:rsidP="009C6940">
            <w:pPr>
              <w:pStyle w:val="Figure"/>
            </w:pPr>
            <w:r w:rsidRPr="00AA494D">
              <w:rPr>
                <w:noProof/>
              </w:rPr>
              <w:drawing>
                <wp:inline distT="0" distB="0" distL="0" distR="0" wp14:anchorId="69C4445E" wp14:editId="297FC3E9">
                  <wp:extent cx="5392420" cy="2879725"/>
                  <wp:effectExtent l="0" t="0" r="0" b="0"/>
                  <wp:docPr id="7" name="Picture 7" descr="Bar graph highlighting that mental illnesses tend to be more prevalent in certain occupations and industries. These tend to be in people facing service occupations. By industry, those workers who have had or have a particular mental health condition are lowest in agriculture and mining and highest in accommodation and foo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92420" cy="2879725"/>
                          </a:xfrm>
                          <a:prstGeom prst="rect">
                            <a:avLst/>
                          </a:prstGeom>
                          <a:noFill/>
                          <a:ln>
                            <a:noFill/>
                          </a:ln>
                        </pic:spPr>
                      </pic:pic>
                    </a:graphicData>
                  </a:graphic>
                </wp:inline>
              </w:drawing>
            </w:r>
          </w:p>
        </w:tc>
      </w:tr>
      <w:tr w:rsidR="009C6940" w:rsidRPr="00176D3F" w14:paraId="3B289FBE" w14:textId="77777777" w:rsidTr="009C6940">
        <w:tc>
          <w:tcPr>
            <w:tcW w:w="5000" w:type="pct"/>
            <w:tcBorders>
              <w:top w:val="nil"/>
              <w:left w:val="nil"/>
              <w:bottom w:val="nil"/>
              <w:right w:val="nil"/>
            </w:tcBorders>
            <w:shd w:val="clear" w:color="auto" w:fill="auto"/>
          </w:tcPr>
          <w:p w14:paraId="5ACE65EA" w14:textId="77777777" w:rsidR="009C6940" w:rsidRPr="00176D3F" w:rsidRDefault="009C6940" w:rsidP="009C6940">
            <w:pPr>
              <w:pStyle w:val="Note"/>
            </w:pPr>
            <w:r>
              <w:rPr>
                <w:rStyle w:val="NoteLabel"/>
              </w:rPr>
              <w:t>a</w:t>
            </w:r>
            <w:r>
              <w:t xml:space="preserve"> Share of people employed in each sector who have had or have various mental conditions.</w:t>
            </w:r>
          </w:p>
        </w:tc>
      </w:tr>
      <w:tr w:rsidR="009C6940" w:rsidRPr="00176D3F" w14:paraId="2DFAA192" w14:textId="77777777" w:rsidTr="009C6940">
        <w:tc>
          <w:tcPr>
            <w:tcW w:w="5000" w:type="pct"/>
            <w:tcBorders>
              <w:top w:val="nil"/>
              <w:left w:val="nil"/>
              <w:bottom w:val="nil"/>
              <w:right w:val="nil"/>
            </w:tcBorders>
            <w:shd w:val="clear" w:color="auto" w:fill="auto"/>
          </w:tcPr>
          <w:p w14:paraId="20851EC8" w14:textId="77777777" w:rsidR="009C6940" w:rsidRPr="00176D3F" w:rsidRDefault="009C6940" w:rsidP="009C6940">
            <w:pPr>
              <w:pStyle w:val="Source"/>
            </w:pPr>
            <w:r>
              <w:rPr>
                <w:i/>
              </w:rPr>
              <w:t>S</w:t>
            </w:r>
            <w:r w:rsidRPr="00784A05">
              <w:rPr>
                <w:i/>
              </w:rPr>
              <w:t>ource</w:t>
            </w:r>
            <w:r w:rsidRPr="00176D3F">
              <w:t xml:space="preserve">: </w:t>
            </w:r>
            <w:r>
              <w:t>ABS</w:t>
            </w:r>
            <w:r w:rsidRPr="00176D3F">
              <w:t xml:space="preserve"> </w:t>
            </w:r>
            <w:r w:rsidRPr="006F1D4F">
              <w:rPr>
                <w:rFonts w:cs="Arial"/>
              </w:rPr>
              <w:t>(</w:t>
            </w:r>
            <w:r w:rsidRPr="00D15AF6">
              <w:rPr>
                <w:rFonts w:cs="Arial"/>
              </w:rPr>
              <w:t xml:space="preserve">Microdata: National Health Survey, 2017-18, </w:t>
            </w:r>
            <w:r w:rsidRPr="00EB1408">
              <w:rPr>
                <w:rFonts w:cs="Arial"/>
                <w:i/>
              </w:rPr>
              <w:t>Cat. no. 4324.0.55.001</w:t>
            </w:r>
            <w:r w:rsidRPr="006F1D4F">
              <w:rPr>
                <w:rFonts w:cs="Arial"/>
              </w:rPr>
              <w:t>)</w:t>
            </w:r>
            <w:r>
              <w:t>.</w:t>
            </w:r>
          </w:p>
        </w:tc>
      </w:tr>
      <w:tr w:rsidR="009C6940" w14:paraId="5B7B990B" w14:textId="77777777" w:rsidTr="009C6940">
        <w:tc>
          <w:tcPr>
            <w:tcW w:w="5000" w:type="pct"/>
            <w:tcBorders>
              <w:top w:val="nil"/>
              <w:left w:val="nil"/>
              <w:bottom w:val="single" w:sz="6" w:space="0" w:color="78A22F"/>
              <w:right w:val="nil"/>
            </w:tcBorders>
            <w:shd w:val="clear" w:color="auto" w:fill="auto"/>
          </w:tcPr>
          <w:p w14:paraId="03151963" w14:textId="77777777" w:rsidR="009C6940" w:rsidRDefault="009C6940" w:rsidP="009C6940">
            <w:pPr>
              <w:pStyle w:val="Figurespace"/>
            </w:pPr>
          </w:p>
        </w:tc>
      </w:tr>
      <w:tr w:rsidR="009C6940" w:rsidRPr="005C0207" w14:paraId="555EAF79" w14:textId="77777777" w:rsidTr="009C6940">
        <w:tc>
          <w:tcPr>
            <w:tcW w:w="5000" w:type="pct"/>
            <w:tcBorders>
              <w:top w:val="single" w:sz="6" w:space="0" w:color="78A22F"/>
              <w:left w:val="nil"/>
              <w:bottom w:val="nil"/>
              <w:right w:val="nil"/>
            </w:tcBorders>
          </w:tcPr>
          <w:p w14:paraId="2FAB300A" w14:textId="77777777" w:rsidR="009C6940" w:rsidRPr="005C0207" w:rsidRDefault="009C6940" w:rsidP="009C6940">
            <w:pPr>
              <w:pStyle w:val="BoxSpaceBelow"/>
            </w:pPr>
          </w:p>
        </w:tc>
      </w:tr>
    </w:tbl>
    <w:p w14:paraId="2C7E8582" w14:textId="77777777" w:rsidR="009C6940" w:rsidRDefault="009C6940" w:rsidP="009C6940">
      <w:pPr>
        <w:pStyle w:val="Heading3"/>
      </w:pPr>
      <w:r>
        <w:t>Are there differences between full</w:t>
      </w:r>
      <w:r>
        <w:noBreakHyphen/>
        <w:t>time and non</w:t>
      </w:r>
      <w:r>
        <w:noBreakHyphen/>
        <w:t>full</w:t>
      </w:r>
      <w:r>
        <w:noBreakHyphen/>
        <w:t>time employment?</w:t>
      </w:r>
    </w:p>
    <w:p w14:paraId="0CD489D2" w14:textId="77777777" w:rsidR="009C6940" w:rsidRDefault="009C6940" w:rsidP="009C6940">
      <w:pPr>
        <w:pStyle w:val="BodyText"/>
      </w:pPr>
      <w:r>
        <w:t>The growth in flexible work such as part</w:t>
      </w:r>
      <w:r>
        <w:noBreakHyphen/>
        <w:t xml:space="preserve">time, casual and fixed term contract employment in Australia has been well documented </w:t>
      </w:r>
      <w:r w:rsidRPr="00B410FF">
        <w:rPr>
          <w:szCs w:val="24"/>
        </w:rPr>
        <w:t>(Gilfillan 2019; Laß and Wooden 2019)</w:t>
      </w:r>
      <w:r>
        <w:t>. However, the impact of different employment arrangements — full</w:t>
      </w:r>
      <w:r>
        <w:noBreakHyphen/>
        <w:t>time, part</w:t>
      </w:r>
      <w:r>
        <w:noBreakHyphen/>
        <w:t>time casual, fixed term contract — on mental health has not received the same attention as the impact of employment more broadly on mental health.</w:t>
      </w:r>
    </w:p>
    <w:p w14:paraId="50B7FC9A" w14:textId="77777777" w:rsidR="009C6940" w:rsidRDefault="009C6940" w:rsidP="009C6940">
      <w:pPr>
        <w:pStyle w:val="BodyText"/>
      </w:pPr>
      <w:r>
        <w:t xml:space="preserve">Some qualitative work on the impacts of casual employment on employees, households and communities undertaken in Australia found that casual work was detrimental to mental health due to uncertainty in employment and income, insecurity, often being an outsider in </w:t>
      </w:r>
      <w:r>
        <w:lastRenderedPageBreak/>
        <w:t xml:space="preserve">the workplace and a lack of training opportunities for skill development and advancement </w:t>
      </w:r>
      <w:r w:rsidRPr="006314F2">
        <w:rPr>
          <w:szCs w:val="24"/>
        </w:rPr>
        <w:t>(Pocock, Prosser and Bridge 2004)</w:t>
      </w:r>
      <w:r>
        <w:t xml:space="preserve">. </w:t>
      </w:r>
    </w:p>
    <w:p w14:paraId="3D628C71" w14:textId="77777777" w:rsidR="009C6940" w:rsidRDefault="009C6940" w:rsidP="009C6940">
      <w:pPr>
        <w:pStyle w:val="BodyText"/>
      </w:pPr>
      <w:r>
        <w:t>International studies have found a higher prevalence of mental illness in non</w:t>
      </w:r>
      <w:r>
        <w:noBreakHyphen/>
        <w:t xml:space="preserve">permanent employment compared to permanent employees, although this varied by occupation </w:t>
      </w:r>
      <w:r w:rsidRPr="006314F2">
        <w:rPr>
          <w:szCs w:val="24"/>
        </w:rPr>
        <w:t>(Virtanen et al. 2005)</w:t>
      </w:r>
      <w:r>
        <w:t xml:space="preserve">. Quantitative research on temporary agency work in Europe indicated that temporary agency work is not consistently related to lower job satisfaction or mental health impairments, although job insecurity and poor working conditions could have adverse effects </w:t>
      </w:r>
      <w:r w:rsidRPr="006314F2">
        <w:rPr>
          <w:szCs w:val="24"/>
        </w:rPr>
        <w:t>(Hunefeld, Gerstenberg and Huffmeier 2019)</w:t>
      </w:r>
      <w:r>
        <w:t xml:space="preserve">. Results from an econometric study as to whether temporary employment was a cause or a consequence of poor mental health in the United Kingdom indicated that while those in temporary employment tended to have poorer mental health than those in permanent employment, those permanent workers with poorer mental health tended to shift into temporary employment </w:t>
      </w:r>
      <w:r w:rsidRPr="006314F2">
        <w:rPr>
          <w:szCs w:val="24"/>
        </w:rPr>
        <w:t>(Dawson et al. 2015)</w:t>
      </w:r>
      <w:r>
        <w:t>.</w:t>
      </w:r>
    </w:p>
    <w:p w14:paraId="08B2A57E" w14:textId="77777777" w:rsidR="009C6940" w:rsidRPr="00187A46" w:rsidRDefault="009C6940" w:rsidP="009C6940">
      <w:pPr>
        <w:pStyle w:val="BodyText"/>
      </w:pPr>
      <w:r>
        <w:t>Comparing t</w:t>
      </w:r>
      <w:r w:rsidRPr="00187A46">
        <w:t xml:space="preserve">he usage of PBS mental health </w:t>
      </w:r>
      <w:r>
        <w:t>medication and MBS-rebated mental health services indicates very little difference between full</w:t>
      </w:r>
      <w:r>
        <w:noBreakHyphen/>
        <w:t>time and part</w:t>
      </w:r>
      <w:r>
        <w:noBreakHyphen/>
        <w:t>time workers. The share of part</w:t>
      </w:r>
      <w:r>
        <w:noBreakHyphen/>
      </w:r>
      <w:r w:rsidRPr="00187A46">
        <w:t xml:space="preserve">time workers using </w:t>
      </w:r>
      <w:r>
        <w:t xml:space="preserve">PBS mental health </w:t>
      </w:r>
      <w:r w:rsidRPr="00187A46">
        <w:t>medication is only 2% higher than for full</w:t>
      </w:r>
      <w:r>
        <w:noBreakHyphen/>
      </w:r>
      <w:r w:rsidRPr="00187A46">
        <w:t xml:space="preserve">time workers and only slightly higher (1%) in relation to the use of MBS </w:t>
      </w:r>
      <w:r>
        <w:t>mental health services (figure D</w:t>
      </w:r>
      <w:r w:rsidRPr="00187A46">
        <w:t>.5)</w:t>
      </w:r>
      <w:r>
        <w:t>.</w:t>
      </w:r>
    </w:p>
    <w:p w14:paraId="48838F77" w14:textId="77777777" w:rsidR="009C6940" w:rsidRDefault="009C6940" w:rsidP="009C6940">
      <w:pPr>
        <w:pStyle w:val="BodyText"/>
      </w:pPr>
      <w:r>
        <w:t xml:space="preserve">An Australian study by Richardson, Lester and Zhang </w:t>
      </w:r>
      <w:r w:rsidRPr="007E56EC">
        <w:t>(2012)</w:t>
      </w:r>
      <w:r>
        <w:t xml:space="preserve"> using quantitative analysis found no evidence that casual or fixed</w:t>
      </w:r>
      <w:r>
        <w:noBreakHyphen/>
        <w:t>term contract employment was harmful to people’s mental health. In concluding, the study noted that their findings did not indicate that no one was harmed by being employed on a casual or fixed</w:t>
      </w:r>
      <w:r>
        <w:noBreakHyphen/>
        <w:t xml:space="preserve">term contract. However, there was no systemic relationship between harm to mental health and these working arrangements and for many people they were a preferred form of employment. It also considered that the protections and pay loadings provided to casual and contract workers acted to ameliorate any harmful effects </w:t>
      </w:r>
      <w:r w:rsidRPr="006314F2">
        <w:rPr>
          <w:szCs w:val="24"/>
        </w:rPr>
        <w:t>(Richardson, Lester and Zhang 2012)</w:t>
      </w:r>
      <w:r>
        <w:t>.</w:t>
      </w:r>
    </w:p>
    <w:p w14:paraId="7A23A703" w14:textId="77777777" w:rsidR="009C6940" w:rsidRDefault="009C6940" w:rsidP="009C6940">
      <w:pPr>
        <w:pStyle w:val="Heading1"/>
        <w:pageBreakBefore/>
        <w:spacing w:after="1320"/>
      </w:pPr>
      <w:r>
        <w:lastRenderedPageBreak/>
        <w:t>References</w:t>
      </w:r>
    </w:p>
    <w:p w14:paraId="44CB15AD" w14:textId="77777777" w:rsidR="009C6940" w:rsidRPr="00CD4BBD" w:rsidRDefault="009C6940" w:rsidP="009C6940">
      <w:pPr>
        <w:pStyle w:val="Reference"/>
        <w:spacing w:before="100" w:line="260" w:lineRule="atLeast"/>
        <w:rPr>
          <w:spacing w:val="-4"/>
          <w:sz w:val="20"/>
        </w:rPr>
      </w:pPr>
      <w:r w:rsidRPr="00CD4BBD">
        <w:rPr>
          <w:spacing w:val="-4"/>
          <w:sz w:val="20"/>
        </w:rPr>
        <w:t xml:space="preserve">ABS (Australian Bureau of Statistics) 2019, </w:t>
      </w:r>
      <w:r w:rsidRPr="00CD4BBD">
        <w:rPr>
          <w:i/>
          <w:iCs/>
          <w:spacing w:val="-4"/>
          <w:sz w:val="20"/>
        </w:rPr>
        <w:t>National Health Survey 2017-18</w:t>
      </w:r>
      <w:r w:rsidRPr="00CD4BBD">
        <w:rPr>
          <w:spacing w:val="-4"/>
          <w:sz w:val="20"/>
        </w:rPr>
        <w:t>, Basic Confidentialised Unit Record File (CURF), Cat. no. 4324.0.55.001, Canberra.</w:t>
      </w:r>
    </w:p>
    <w:p w14:paraId="3E0B63CA" w14:textId="77777777" w:rsidR="009C6940" w:rsidRPr="00CD4BBD" w:rsidRDefault="009C6940" w:rsidP="009C6940">
      <w:pPr>
        <w:pStyle w:val="Reference"/>
        <w:spacing w:before="100" w:line="260" w:lineRule="atLeast"/>
        <w:rPr>
          <w:spacing w:val="-4"/>
          <w:sz w:val="20"/>
        </w:rPr>
      </w:pPr>
      <w:r w:rsidRPr="00CD4BBD">
        <w:rPr>
          <w:spacing w:val="-4"/>
          <w:sz w:val="20"/>
        </w:rPr>
        <w:t xml:space="preserve">Artazcoz, L., Benach, J., Borrell, C. and Cortes, I. 2004, ‘Unemployment and mental health: Understanding the interactions among gender, family roles, and social class’, </w:t>
      </w:r>
      <w:r w:rsidRPr="00CD4BBD">
        <w:rPr>
          <w:i/>
          <w:iCs/>
          <w:spacing w:val="-4"/>
          <w:sz w:val="20"/>
        </w:rPr>
        <w:t>American Journal of Public Health</w:t>
      </w:r>
      <w:r w:rsidRPr="00CD4BBD">
        <w:rPr>
          <w:spacing w:val="-4"/>
          <w:sz w:val="20"/>
        </w:rPr>
        <w:t>, vol. 94, no. 1, pp. 82–88.</w:t>
      </w:r>
    </w:p>
    <w:p w14:paraId="56002355" w14:textId="77777777" w:rsidR="009C6940" w:rsidRPr="00CD4BBD" w:rsidRDefault="009C6940" w:rsidP="009C6940">
      <w:pPr>
        <w:pStyle w:val="Reference"/>
        <w:spacing w:before="100" w:line="260" w:lineRule="atLeast"/>
        <w:rPr>
          <w:spacing w:val="-4"/>
          <w:sz w:val="20"/>
        </w:rPr>
      </w:pPr>
      <w:r w:rsidRPr="00CD4BBD">
        <w:rPr>
          <w:spacing w:val="-4"/>
          <w:sz w:val="20"/>
        </w:rPr>
        <w:t xml:space="preserve">Beyond Blue 2018, </w:t>
      </w:r>
      <w:r w:rsidRPr="00CD4BBD">
        <w:rPr>
          <w:i/>
          <w:iCs/>
          <w:spacing w:val="-4"/>
          <w:sz w:val="20"/>
        </w:rPr>
        <w:t>Answering the Call: National Survey</w:t>
      </w:r>
      <w:r w:rsidRPr="00CD4BBD">
        <w:rPr>
          <w:spacing w:val="-4"/>
          <w:sz w:val="20"/>
        </w:rPr>
        <w:t>, Beyond Blue’s National Mental Health and Wellbeing Study of Police and Emergency Services  ̶ Final Report, Melbourne.</w:t>
      </w:r>
    </w:p>
    <w:p w14:paraId="5E5863BF" w14:textId="77777777" w:rsidR="009C6940" w:rsidRPr="00CD4BBD" w:rsidRDefault="009C6940" w:rsidP="009C6940">
      <w:pPr>
        <w:pStyle w:val="Reference"/>
        <w:spacing w:before="100" w:line="260" w:lineRule="atLeast"/>
        <w:rPr>
          <w:spacing w:val="-4"/>
          <w:sz w:val="20"/>
        </w:rPr>
      </w:pPr>
      <w:r w:rsidRPr="00CD4BBD">
        <w:rPr>
          <w:spacing w:val="-4"/>
          <w:sz w:val="20"/>
        </w:rPr>
        <w:t xml:space="preserve">Bubonya, M., Cobb-Clark, D.A. and Ribar, D.C. 2017, </w:t>
      </w:r>
      <w:r w:rsidRPr="00CD4BBD">
        <w:rPr>
          <w:i/>
          <w:iCs/>
          <w:spacing w:val="-4"/>
          <w:sz w:val="20"/>
        </w:rPr>
        <w:t>The Bilateral Relationship Between Depressive Symptoms and Employment Status</w:t>
      </w:r>
      <w:r w:rsidRPr="00CD4BBD">
        <w:rPr>
          <w:spacing w:val="-4"/>
          <w:sz w:val="20"/>
        </w:rPr>
        <w:t>, Melbourne Institute Working Paper No. 10/17, Melbourne.</w:t>
      </w:r>
    </w:p>
    <w:p w14:paraId="7FF7777D" w14:textId="77777777" w:rsidR="009C6940" w:rsidRPr="00CD4BBD" w:rsidRDefault="009C6940" w:rsidP="009C6940">
      <w:pPr>
        <w:pStyle w:val="Reference"/>
        <w:spacing w:before="100" w:line="260" w:lineRule="atLeast"/>
        <w:rPr>
          <w:spacing w:val="-4"/>
          <w:sz w:val="20"/>
        </w:rPr>
      </w:pPr>
      <w:r w:rsidRPr="00CD4BBD">
        <w:rPr>
          <w:spacing w:val="-4"/>
          <w:sz w:val="20"/>
        </w:rPr>
        <w:t xml:space="preserve">——, —— and —— 2019, ‘The reciprocal relationship between depressive symptoms and employment status’, </w:t>
      </w:r>
      <w:r w:rsidRPr="00CD4BBD">
        <w:rPr>
          <w:i/>
          <w:iCs/>
          <w:spacing w:val="-4"/>
          <w:sz w:val="20"/>
        </w:rPr>
        <w:t>Economics and Human Biology</w:t>
      </w:r>
      <w:r w:rsidRPr="00CD4BBD">
        <w:rPr>
          <w:spacing w:val="-4"/>
          <w:sz w:val="20"/>
        </w:rPr>
        <w:t>, vol. 35, pp. 96–106.</w:t>
      </w:r>
    </w:p>
    <w:p w14:paraId="53B00632" w14:textId="77777777" w:rsidR="009C6940" w:rsidRPr="00CD4BBD" w:rsidRDefault="009C6940" w:rsidP="009C6940">
      <w:pPr>
        <w:pStyle w:val="Reference"/>
        <w:spacing w:before="100" w:line="260" w:lineRule="atLeast"/>
        <w:rPr>
          <w:spacing w:val="-4"/>
          <w:sz w:val="20"/>
        </w:rPr>
      </w:pPr>
      <w:r w:rsidRPr="00CD4BBD">
        <w:rPr>
          <w:spacing w:val="-4"/>
          <w:sz w:val="20"/>
        </w:rPr>
        <w:t xml:space="preserve">Buffel, V., van de Straat, V. and Bracke, P. 2015, ‘Employment status and mental health care use in times of economic contraction: a repeated cross-sectional study in Europe, using a three-level model’, </w:t>
      </w:r>
      <w:r w:rsidRPr="00CD4BBD">
        <w:rPr>
          <w:i/>
          <w:iCs/>
          <w:spacing w:val="-4"/>
          <w:sz w:val="20"/>
        </w:rPr>
        <w:t>International Journal for Equity in Health</w:t>
      </w:r>
      <w:r w:rsidRPr="00CD4BBD">
        <w:rPr>
          <w:spacing w:val="-4"/>
          <w:sz w:val="20"/>
        </w:rPr>
        <w:t>, vol. 14, no. 29, pp. 1–19.</w:t>
      </w:r>
    </w:p>
    <w:p w14:paraId="22EA9BE2" w14:textId="77777777" w:rsidR="009C6940" w:rsidRPr="00CD4BBD" w:rsidRDefault="009C6940" w:rsidP="009C6940">
      <w:pPr>
        <w:pStyle w:val="Reference"/>
        <w:spacing w:before="100" w:line="260" w:lineRule="atLeast"/>
        <w:rPr>
          <w:spacing w:val="-4"/>
          <w:sz w:val="20"/>
        </w:rPr>
      </w:pPr>
      <w:r w:rsidRPr="00CD4BBD">
        <w:rPr>
          <w:spacing w:val="-4"/>
          <w:sz w:val="20"/>
        </w:rPr>
        <w:t xml:space="preserve">Butterworth, P., Leach, L.S., Strazdins, L., Olesen, S.C., Rodgers, B. and Broom, D.H. 2011, ‘The psychosocial quality of work determines whether employment has benefits for mental health: results from a longitudinal national household panel survey’, </w:t>
      </w:r>
      <w:r w:rsidRPr="00CD4BBD">
        <w:rPr>
          <w:i/>
          <w:iCs/>
          <w:spacing w:val="-4"/>
          <w:sz w:val="20"/>
        </w:rPr>
        <w:t>Occupational and Environmental Medicine</w:t>
      </w:r>
      <w:r w:rsidRPr="00CD4BBD">
        <w:rPr>
          <w:spacing w:val="-4"/>
          <w:sz w:val="20"/>
        </w:rPr>
        <w:t>, vol. 68, no. 11, pp. 806–812.</w:t>
      </w:r>
    </w:p>
    <w:p w14:paraId="1D6B0046" w14:textId="77777777" w:rsidR="009C6940" w:rsidRPr="00CD4BBD" w:rsidRDefault="009C6940" w:rsidP="009C6940">
      <w:pPr>
        <w:pStyle w:val="Reference"/>
        <w:spacing w:before="100" w:line="260" w:lineRule="atLeast"/>
        <w:rPr>
          <w:spacing w:val="-4"/>
          <w:sz w:val="20"/>
        </w:rPr>
      </w:pPr>
      <w:r w:rsidRPr="00CD4BBD">
        <w:rPr>
          <w:spacing w:val="-4"/>
          <w:sz w:val="20"/>
        </w:rPr>
        <w:t xml:space="preserve">Cook, J.A. 2006, ‘Employment barriers for persons with psychiatric disabilities: update of a report for the president’s commission’, </w:t>
      </w:r>
      <w:r w:rsidRPr="00CD4BBD">
        <w:rPr>
          <w:i/>
          <w:iCs/>
          <w:spacing w:val="-4"/>
          <w:sz w:val="20"/>
        </w:rPr>
        <w:t>Psychiatric Services</w:t>
      </w:r>
      <w:r w:rsidRPr="00CD4BBD">
        <w:rPr>
          <w:spacing w:val="-4"/>
          <w:sz w:val="20"/>
        </w:rPr>
        <w:t>, vol. 57, no. 10, pp. 1391</w:t>
      </w:r>
      <w:r w:rsidRPr="00CD4BBD">
        <w:rPr>
          <w:spacing w:val="-4"/>
          <w:sz w:val="20"/>
        </w:rPr>
        <w:noBreakHyphen/>
        <w:t>1405.</w:t>
      </w:r>
    </w:p>
    <w:p w14:paraId="2CF648BC" w14:textId="77777777" w:rsidR="009C6940" w:rsidRPr="00CD4BBD" w:rsidRDefault="009C6940" w:rsidP="009C6940">
      <w:pPr>
        <w:pStyle w:val="Reference"/>
        <w:spacing w:before="100" w:line="260" w:lineRule="atLeast"/>
        <w:rPr>
          <w:spacing w:val="-4"/>
          <w:sz w:val="20"/>
        </w:rPr>
      </w:pPr>
      <w:r w:rsidRPr="00CD4BBD">
        <w:rPr>
          <w:spacing w:val="-4"/>
          <w:sz w:val="20"/>
        </w:rPr>
        <w:t xml:space="preserve">Dawson, C., Veliziotis, M., Pacheco, G. and Webber, D. 2015, ‘Is temporary employment a cause or consequence of poor mental health? A panel data analysis’, </w:t>
      </w:r>
      <w:r w:rsidRPr="00CD4BBD">
        <w:rPr>
          <w:i/>
          <w:iCs/>
          <w:spacing w:val="-4"/>
          <w:sz w:val="20"/>
        </w:rPr>
        <w:t>Social Science and Medicine</w:t>
      </w:r>
      <w:r w:rsidRPr="00CD4BBD">
        <w:rPr>
          <w:spacing w:val="-4"/>
          <w:sz w:val="20"/>
        </w:rPr>
        <w:t>, vol. 134, pp. 50–58.</w:t>
      </w:r>
    </w:p>
    <w:p w14:paraId="7F511CD3" w14:textId="77777777" w:rsidR="009C6940" w:rsidRPr="00CD4BBD" w:rsidRDefault="009C6940" w:rsidP="009C6940">
      <w:pPr>
        <w:pStyle w:val="Reference"/>
        <w:spacing w:before="100" w:line="260" w:lineRule="atLeast"/>
        <w:rPr>
          <w:spacing w:val="-4"/>
          <w:sz w:val="20"/>
        </w:rPr>
      </w:pPr>
      <w:r w:rsidRPr="00CD4BBD">
        <w:rPr>
          <w:spacing w:val="-4"/>
          <w:sz w:val="20"/>
        </w:rPr>
        <w:t xml:space="preserve">FCDC (Family and Community Development Committee) 2012, </w:t>
      </w:r>
      <w:r w:rsidRPr="00CD4BBD">
        <w:rPr>
          <w:i/>
          <w:iCs/>
          <w:spacing w:val="-4"/>
          <w:sz w:val="20"/>
        </w:rPr>
        <w:t>Inquiry into Workforce Participation by People with Mental Illness</w:t>
      </w:r>
      <w:r w:rsidRPr="00CD4BBD">
        <w:rPr>
          <w:spacing w:val="-4"/>
          <w:sz w:val="20"/>
        </w:rPr>
        <w:t>, Parliamentary Paper no. 174, Melbourne.</w:t>
      </w:r>
    </w:p>
    <w:p w14:paraId="65CBC442" w14:textId="77777777" w:rsidR="009C6940" w:rsidRPr="00CD4BBD" w:rsidRDefault="009C6940" w:rsidP="009C6940">
      <w:pPr>
        <w:pStyle w:val="Reference"/>
        <w:spacing w:before="100" w:line="260" w:lineRule="atLeast"/>
        <w:rPr>
          <w:spacing w:val="-4"/>
          <w:sz w:val="20"/>
        </w:rPr>
      </w:pPr>
      <w:r w:rsidRPr="00CD4BBD">
        <w:rPr>
          <w:spacing w:val="-4"/>
          <w:sz w:val="20"/>
        </w:rPr>
        <w:t xml:space="preserve">Frijters, P., Johnston, D.W. and Shields, M.A. 2014, ‘The effect of mental health on employment: evidence from Australian panel data’, </w:t>
      </w:r>
      <w:r w:rsidRPr="00CD4BBD">
        <w:rPr>
          <w:i/>
          <w:iCs/>
          <w:spacing w:val="-4"/>
          <w:sz w:val="20"/>
        </w:rPr>
        <w:t>Health Economics</w:t>
      </w:r>
      <w:r w:rsidRPr="00CD4BBD">
        <w:rPr>
          <w:spacing w:val="-4"/>
          <w:sz w:val="20"/>
        </w:rPr>
        <w:t>, vol. 23, no. 9, pp. 1058–1071.</w:t>
      </w:r>
    </w:p>
    <w:p w14:paraId="553510AF" w14:textId="77777777" w:rsidR="009C6940" w:rsidRPr="00CD4BBD" w:rsidRDefault="009C6940" w:rsidP="009C6940">
      <w:pPr>
        <w:pStyle w:val="Reference"/>
        <w:spacing w:before="100" w:line="260" w:lineRule="atLeast"/>
        <w:rPr>
          <w:spacing w:val="-4"/>
          <w:sz w:val="20"/>
        </w:rPr>
      </w:pPr>
      <w:r w:rsidRPr="00CD4BBD">
        <w:rPr>
          <w:spacing w:val="-4"/>
          <w:sz w:val="20"/>
        </w:rPr>
        <w:t xml:space="preserve">Gilfillan, G. 2019, </w:t>
      </w:r>
      <w:r w:rsidRPr="00CD4BBD">
        <w:rPr>
          <w:i/>
          <w:iCs/>
          <w:spacing w:val="-4"/>
          <w:sz w:val="20"/>
        </w:rPr>
        <w:t>Characteristics and Use of Casual Employees in Australia</w:t>
      </w:r>
      <w:r w:rsidRPr="00CD4BBD">
        <w:rPr>
          <w:spacing w:val="-4"/>
          <w:sz w:val="20"/>
        </w:rPr>
        <w:t>, Statistical Snapshot, Research paper series, 2017-18, Parliamentary Library, Canberra.</w:t>
      </w:r>
    </w:p>
    <w:p w14:paraId="6FCDFB50" w14:textId="77777777" w:rsidR="009C6940" w:rsidRPr="00CD4BBD" w:rsidRDefault="009C6940" w:rsidP="009C6940">
      <w:pPr>
        <w:pStyle w:val="Reference"/>
        <w:spacing w:before="100" w:line="260" w:lineRule="atLeast"/>
        <w:rPr>
          <w:spacing w:val="-4"/>
          <w:sz w:val="20"/>
        </w:rPr>
      </w:pPr>
      <w:r w:rsidRPr="00CD4BBD">
        <w:rPr>
          <w:spacing w:val="-4"/>
          <w:sz w:val="20"/>
        </w:rPr>
        <w:t xml:space="preserve">Harnois, G. and Gabriel, P. 2000, </w:t>
      </w:r>
      <w:r w:rsidRPr="00CD4BBD">
        <w:rPr>
          <w:i/>
          <w:iCs/>
          <w:spacing w:val="-4"/>
          <w:sz w:val="20"/>
        </w:rPr>
        <w:t>Mental Health and Work: Impact Issues and Good Practises</w:t>
      </w:r>
      <w:r w:rsidRPr="00CD4BBD">
        <w:rPr>
          <w:spacing w:val="-4"/>
          <w:sz w:val="20"/>
        </w:rPr>
        <w:t>, World Health Organization and International Labour Organisation, Geneva.</w:t>
      </w:r>
    </w:p>
    <w:p w14:paraId="4C2F21ED" w14:textId="77777777" w:rsidR="009C6940" w:rsidRPr="00CD4BBD" w:rsidRDefault="009C6940" w:rsidP="009C6940">
      <w:pPr>
        <w:pStyle w:val="Reference"/>
        <w:spacing w:before="100" w:line="260" w:lineRule="atLeast"/>
        <w:rPr>
          <w:spacing w:val="-4"/>
          <w:sz w:val="20"/>
        </w:rPr>
      </w:pPr>
      <w:r w:rsidRPr="00CD4BBD">
        <w:rPr>
          <w:spacing w:val="-4"/>
          <w:sz w:val="20"/>
        </w:rPr>
        <w:t xml:space="preserve">Harvey, S.B., Joyce, S., Modini, M., Christensen, H., Bryant, R., Mykletun, A. and Mitchell, P.B. 2012, </w:t>
      </w:r>
      <w:r w:rsidRPr="00CD4BBD">
        <w:rPr>
          <w:i/>
          <w:iCs/>
          <w:spacing w:val="-4"/>
          <w:sz w:val="20"/>
        </w:rPr>
        <w:t>Work and Depression/Anxiety Disorders: A Systematic Review of Reviews</w:t>
      </w:r>
      <w:r w:rsidRPr="00CD4BBD">
        <w:rPr>
          <w:spacing w:val="-4"/>
          <w:sz w:val="20"/>
        </w:rPr>
        <w:t>, University of New South Wales, Sydney.</w:t>
      </w:r>
    </w:p>
    <w:p w14:paraId="4735504C" w14:textId="77777777" w:rsidR="009C6940" w:rsidRPr="00CD4BBD" w:rsidRDefault="009C6940" w:rsidP="009C6940">
      <w:pPr>
        <w:pStyle w:val="Reference"/>
        <w:spacing w:before="100" w:line="260" w:lineRule="atLeast"/>
        <w:rPr>
          <w:spacing w:val="-4"/>
          <w:sz w:val="20"/>
        </w:rPr>
      </w:pPr>
      <w:r w:rsidRPr="00CD4BBD">
        <w:rPr>
          <w:spacing w:val="-4"/>
          <w:sz w:val="20"/>
        </w:rPr>
        <w:t xml:space="preserve">——, ——, Tan, L., Johnson, A., Nguyen, H., Modini, M. and Groth, M. 2014, </w:t>
      </w:r>
      <w:r w:rsidRPr="00CD4BBD">
        <w:rPr>
          <w:i/>
          <w:iCs/>
          <w:spacing w:val="-4"/>
          <w:sz w:val="20"/>
        </w:rPr>
        <w:t>Developing a Mentally Healthy Workplace: A Review of the Literature</w:t>
      </w:r>
      <w:r w:rsidRPr="00CD4BBD">
        <w:rPr>
          <w:spacing w:val="-4"/>
          <w:sz w:val="20"/>
        </w:rPr>
        <w:t>, Black Dog Institute, University of New South Wales, Sydney.</w:t>
      </w:r>
    </w:p>
    <w:p w14:paraId="63564D39" w14:textId="77777777" w:rsidR="009C6940" w:rsidRPr="00CD4BBD" w:rsidRDefault="009C6940" w:rsidP="009C6940">
      <w:pPr>
        <w:pStyle w:val="Reference"/>
        <w:spacing w:before="100" w:line="260" w:lineRule="atLeast"/>
        <w:rPr>
          <w:spacing w:val="-4"/>
          <w:sz w:val="20"/>
        </w:rPr>
      </w:pPr>
      <w:r w:rsidRPr="00CD4BBD">
        <w:rPr>
          <w:spacing w:val="-4"/>
          <w:sz w:val="20"/>
        </w:rPr>
        <w:t xml:space="preserve">Hunefeld, L., Gerstenberg, S. and Huffmeier, J. 2019, ‘Job satisfaction and mental health of temporary agency workers in Europe: a systematic review and research agenda’, </w:t>
      </w:r>
      <w:r w:rsidRPr="00CD4BBD">
        <w:rPr>
          <w:i/>
          <w:iCs/>
          <w:spacing w:val="-4"/>
          <w:sz w:val="20"/>
        </w:rPr>
        <w:t>Work and Stress</w:t>
      </w:r>
      <w:r w:rsidRPr="00CD4BBD">
        <w:rPr>
          <w:spacing w:val="-4"/>
          <w:sz w:val="20"/>
        </w:rPr>
        <w:t>, vol. 34, no. 1, pp. 82–110.</w:t>
      </w:r>
    </w:p>
    <w:p w14:paraId="00DD66D7" w14:textId="77777777" w:rsidR="009C6940" w:rsidRPr="00CD4BBD" w:rsidRDefault="009C6940" w:rsidP="009C6940">
      <w:pPr>
        <w:pStyle w:val="Reference"/>
        <w:spacing w:before="100" w:line="260" w:lineRule="atLeast"/>
        <w:rPr>
          <w:spacing w:val="-4"/>
          <w:sz w:val="20"/>
        </w:rPr>
      </w:pPr>
      <w:r w:rsidRPr="00CD4BBD">
        <w:rPr>
          <w:spacing w:val="-4"/>
          <w:sz w:val="20"/>
        </w:rPr>
        <w:t xml:space="preserve">Kuhn, A., Lalive, R. and Zweimüller, J. 2009, ‘The public health costs of job loss’, </w:t>
      </w:r>
      <w:r w:rsidRPr="00CD4BBD">
        <w:rPr>
          <w:i/>
          <w:iCs/>
          <w:spacing w:val="-4"/>
          <w:sz w:val="20"/>
        </w:rPr>
        <w:t>Journal of Health Economics</w:t>
      </w:r>
      <w:r w:rsidRPr="00CD4BBD">
        <w:rPr>
          <w:spacing w:val="-4"/>
          <w:sz w:val="20"/>
        </w:rPr>
        <w:t>, vol. 28, no. 6, pp. 1099–1115.</w:t>
      </w:r>
    </w:p>
    <w:p w14:paraId="48BF057F" w14:textId="77777777" w:rsidR="009C6940" w:rsidRPr="00CD4BBD" w:rsidRDefault="009C6940" w:rsidP="009C6940">
      <w:pPr>
        <w:pStyle w:val="Reference"/>
        <w:spacing w:before="100" w:line="260" w:lineRule="atLeast"/>
        <w:rPr>
          <w:spacing w:val="-4"/>
          <w:sz w:val="20"/>
        </w:rPr>
      </w:pPr>
      <w:r w:rsidRPr="00CD4BBD">
        <w:rPr>
          <w:spacing w:val="-4"/>
          <w:sz w:val="20"/>
        </w:rPr>
        <w:lastRenderedPageBreak/>
        <w:t>Laß, I. and Wooden, M. 2019, ‘Non-standard employment and wages in Australia’, presented at Paper presented at the 2019 RBA Conference, Sydney, 4-5 April.</w:t>
      </w:r>
    </w:p>
    <w:p w14:paraId="6342A63D" w14:textId="77777777" w:rsidR="009C6940" w:rsidRPr="00CD4BBD" w:rsidRDefault="009C6940" w:rsidP="009C6940">
      <w:pPr>
        <w:pStyle w:val="Reference"/>
        <w:spacing w:before="100" w:line="260" w:lineRule="atLeast"/>
        <w:rPr>
          <w:spacing w:val="-4"/>
          <w:sz w:val="20"/>
        </w:rPr>
      </w:pPr>
      <w:r w:rsidRPr="00CD4BBD">
        <w:rPr>
          <w:spacing w:val="-4"/>
          <w:sz w:val="20"/>
        </w:rPr>
        <w:t xml:space="preserve">Modini, M., Joyce, S., Mykletun, A., Christensen, H., Bryant, R.A., Mitchell, P.B. and Harvey, S.B. 2016, ‘The mental health benefits of employment: results of a systematic meta-review’, </w:t>
      </w:r>
      <w:r w:rsidRPr="00CD4BBD">
        <w:rPr>
          <w:i/>
          <w:iCs/>
          <w:spacing w:val="-4"/>
          <w:sz w:val="20"/>
        </w:rPr>
        <w:t>Australasian Psychiatry</w:t>
      </w:r>
      <w:r w:rsidRPr="00CD4BBD">
        <w:rPr>
          <w:spacing w:val="-4"/>
          <w:sz w:val="20"/>
        </w:rPr>
        <w:t>, vol. 24, no. 4, pp. 331–336.</w:t>
      </w:r>
    </w:p>
    <w:p w14:paraId="0EF053F2" w14:textId="77777777" w:rsidR="009C6940" w:rsidRPr="00CD4BBD" w:rsidRDefault="009C6940" w:rsidP="009C6940">
      <w:pPr>
        <w:pStyle w:val="Reference"/>
        <w:spacing w:before="100" w:line="260" w:lineRule="atLeast"/>
        <w:rPr>
          <w:spacing w:val="-4"/>
          <w:sz w:val="20"/>
        </w:rPr>
      </w:pPr>
      <w:r w:rsidRPr="00CD4BBD">
        <w:rPr>
          <w:spacing w:val="-4"/>
          <w:sz w:val="20"/>
        </w:rPr>
        <w:t xml:space="preserve">Myles, N., Large, M., Myles, H., Adams, R., Liu, D. and Galletly, C. 2017, ‘Australia’s economic transition, unemployment, suicide and mental health needs’, </w:t>
      </w:r>
      <w:r w:rsidRPr="00CD4BBD">
        <w:rPr>
          <w:i/>
          <w:iCs/>
          <w:spacing w:val="-4"/>
          <w:sz w:val="20"/>
        </w:rPr>
        <w:t>Australian and New Zealand Journal of Psychiatry</w:t>
      </w:r>
      <w:r w:rsidRPr="00CD4BBD">
        <w:rPr>
          <w:spacing w:val="-4"/>
          <w:sz w:val="20"/>
        </w:rPr>
        <w:t>, vol. 5, no. 2, pp. 119–123.</w:t>
      </w:r>
    </w:p>
    <w:p w14:paraId="34D11FF7" w14:textId="77777777" w:rsidR="009C6940" w:rsidRPr="00CD4BBD" w:rsidRDefault="009C6940" w:rsidP="009C6940">
      <w:pPr>
        <w:pStyle w:val="Reference"/>
        <w:spacing w:before="100" w:line="260" w:lineRule="atLeast"/>
        <w:rPr>
          <w:spacing w:val="-4"/>
          <w:sz w:val="20"/>
        </w:rPr>
      </w:pPr>
      <w:r w:rsidRPr="00CD4BBD">
        <w:rPr>
          <w:spacing w:val="-4"/>
          <w:sz w:val="20"/>
        </w:rPr>
        <w:t xml:space="preserve">OECD (Organisation for Economic Cooperation and Development) 2015, </w:t>
      </w:r>
      <w:r w:rsidRPr="00CD4BBD">
        <w:rPr>
          <w:i/>
          <w:iCs/>
          <w:spacing w:val="-4"/>
          <w:sz w:val="20"/>
        </w:rPr>
        <w:t>Mental Health and Work: Australia</w:t>
      </w:r>
      <w:r w:rsidRPr="00CD4BBD">
        <w:rPr>
          <w:spacing w:val="-4"/>
          <w:sz w:val="20"/>
        </w:rPr>
        <w:t>, Paris.</w:t>
      </w:r>
    </w:p>
    <w:p w14:paraId="55C41148" w14:textId="77777777" w:rsidR="009C6940" w:rsidRPr="00CD4BBD" w:rsidRDefault="009C6940" w:rsidP="009C6940">
      <w:pPr>
        <w:pStyle w:val="Reference"/>
        <w:spacing w:before="100" w:line="260" w:lineRule="atLeast"/>
        <w:rPr>
          <w:spacing w:val="-4"/>
          <w:sz w:val="20"/>
        </w:rPr>
      </w:pPr>
      <w:r w:rsidRPr="00CD4BBD">
        <w:rPr>
          <w:spacing w:val="-4"/>
          <w:sz w:val="20"/>
        </w:rPr>
        <w:t xml:space="preserve">Pocock, B., Prosser, R. and Bridge, K. 2004, </w:t>
      </w:r>
      <w:r w:rsidRPr="00CD4BBD">
        <w:rPr>
          <w:i/>
          <w:iCs/>
          <w:spacing w:val="-4"/>
          <w:sz w:val="20"/>
        </w:rPr>
        <w:t>’Only a casual ... ’. How casual work affects employees households and communities in Australia</w:t>
      </w:r>
      <w:r w:rsidRPr="00CD4BBD">
        <w:rPr>
          <w:spacing w:val="-4"/>
          <w:sz w:val="20"/>
        </w:rPr>
        <w:t>, Labour Studies, School of Social Sciences, University of Adelaide.</w:t>
      </w:r>
    </w:p>
    <w:p w14:paraId="5DD7ED18" w14:textId="77777777" w:rsidR="009C6940" w:rsidRPr="00CD4BBD" w:rsidRDefault="009C6940" w:rsidP="009C6940">
      <w:pPr>
        <w:pStyle w:val="Reference"/>
        <w:spacing w:before="100" w:line="260" w:lineRule="atLeast"/>
        <w:rPr>
          <w:spacing w:val="-4"/>
          <w:sz w:val="20"/>
        </w:rPr>
      </w:pPr>
      <w:r w:rsidRPr="00CD4BBD">
        <w:rPr>
          <w:spacing w:val="-4"/>
          <w:sz w:val="20"/>
        </w:rPr>
        <w:t xml:space="preserve">Richardson, S., Lester, L. and Zhang, G. 2012, ‘Are casual and contract terms of employment hazardous for mental health in Australia?’, </w:t>
      </w:r>
      <w:r w:rsidRPr="00CD4BBD">
        <w:rPr>
          <w:i/>
          <w:iCs/>
          <w:spacing w:val="-4"/>
          <w:sz w:val="20"/>
        </w:rPr>
        <w:t>Journal  of Industrial Relations</w:t>
      </w:r>
      <w:r w:rsidRPr="00CD4BBD">
        <w:rPr>
          <w:spacing w:val="-4"/>
          <w:sz w:val="20"/>
        </w:rPr>
        <w:t>, vol. 54, no. 5, pp. 557–578.</w:t>
      </w:r>
    </w:p>
    <w:p w14:paraId="3FAF87D0" w14:textId="77777777" w:rsidR="009C6940" w:rsidRPr="00CD4BBD" w:rsidRDefault="009C6940" w:rsidP="009C6940">
      <w:pPr>
        <w:pStyle w:val="Reference"/>
        <w:spacing w:before="100" w:line="260" w:lineRule="atLeast"/>
        <w:rPr>
          <w:spacing w:val="-4"/>
          <w:sz w:val="20"/>
        </w:rPr>
      </w:pPr>
      <w:r w:rsidRPr="00CD4BBD">
        <w:rPr>
          <w:spacing w:val="-4"/>
          <w:sz w:val="20"/>
        </w:rPr>
        <w:t xml:space="preserve">Rinaldi, M., Perkins, R., Glynn, E., Montibeller, T., Clenaghan, M. and Rutherford, J. 2008, ‘Individual placement and support: from research to practise’, </w:t>
      </w:r>
      <w:r w:rsidRPr="00CD4BBD">
        <w:rPr>
          <w:i/>
          <w:iCs/>
          <w:spacing w:val="-4"/>
          <w:sz w:val="20"/>
        </w:rPr>
        <w:t>Advances in Psychiatric Treatment</w:t>
      </w:r>
      <w:r w:rsidRPr="00CD4BBD">
        <w:rPr>
          <w:spacing w:val="-4"/>
          <w:sz w:val="20"/>
        </w:rPr>
        <w:t>, vol. 14, no. 1, pp. 50–60.</w:t>
      </w:r>
    </w:p>
    <w:p w14:paraId="4BFA0516" w14:textId="77777777" w:rsidR="009C6940" w:rsidRPr="00CD4BBD" w:rsidRDefault="009C6940" w:rsidP="009C6940">
      <w:pPr>
        <w:pStyle w:val="Reference"/>
        <w:spacing w:before="100" w:line="260" w:lineRule="atLeast"/>
        <w:rPr>
          <w:spacing w:val="-4"/>
          <w:sz w:val="20"/>
        </w:rPr>
      </w:pPr>
      <w:r w:rsidRPr="00CD4BBD">
        <w:rPr>
          <w:spacing w:val="-4"/>
          <w:sz w:val="20"/>
        </w:rPr>
        <w:t xml:space="preserve">Virtanen, M., Kivimaki, M., Joensuu, P., Vietanen, M., Elovainio, M. and Vahtera, J. 2005, ‘Temporary employment and health: A review’, </w:t>
      </w:r>
      <w:r w:rsidRPr="00CD4BBD">
        <w:rPr>
          <w:i/>
          <w:iCs/>
          <w:spacing w:val="-4"/>
          <w:sz w:val="20"/>
        </w:rPr>
        <w:t>International Journal of Epidemiology</w:t>
      </w:r>
      <w:r w:rsidRPr="00CD4BBD">
        <w:rPr>
          <w:spacing w:val="-4"/>
          <w:sz w:val="20"/>
        </w:rPr>
        <w:t>, vol. 34, pp. 610–622.</w:t>
      </w:r>
    </w:p>
    <w:p w14:paraId="51A2049E" w14:textId="77777777" w:rsidR="009C6940" w:rsidRPr="00CD4BBD" w:rsidRDefault="009C6940" w:rsidP="009C6940">
      <w:pPr>
        <w:pStyle w:val="Reference"/>
        <w:spacing w:before="100" w:line="260" w:lineRule="atLeast"/>
        <w:rPr>
          <w:spacing w:val="-4"/>
          <w:sz w:val="20"/>
        </w:rPr>
      </w:pPr>
      <w:r w:rsidRPr="00CD4BBD">
        <w:rPr>
          <w:spacing w:val="-4"/>
          <w:sz w:val="20"/>
        </w:rPr>
        <w:t xml:space="preserve">Waddell, G. and Burton, A.K. 2006, </w:t>
      </w:r>
      <w:r w:rsidRPr="00CD4BBD">
        <w:rPr>
          <w:i/>
          <w:iCs/>
          <w:spacing w:val="-4"/>
          <w:sz w:val="20"/>
        </w:rPr>
        <w:t>Is Work Good for Your Health and Well-Being?</w:t>
      </w:r>
      <w:r w:rsidRPr="00CD4BBD">
        <w:rPr>
          <w:spacing w:val="-4"/>
          <w:sz w:val="20"/>
        </w:rPr>
        <w:t>, The Stationary Office, London.</w:t>
      </w:r>
    </w:p>
    <w:p w14:paraId="4F980341" w14:textId="77777777" w:rsidR="009C6940" w:rsidRPr="00CD4BBD" w:rsidRDefault="009C6940" w:rsidP="009C6940">
      <w:pPr>
        <w:pStyle w:val="Reference"/>
        <w:spacing w:before="100" w:line="260" w:lineRule="atLeast"/>
        <w:rPr>
          <w:spacing w:val="-4"/>
          <w:sz w:val="20"/>
        </w:rPr>
      </w:pPr>
      <w:r w:rsidRPr="00CD4BBD">
        <w:rPr>
          <w:spacing w:val="-4"/>
          <w:sz w:val="20"/>
        </w:rPr>
        <w:t xml:space="preserve">Waghorn, G. and Lloyd, C. 2005, ‘The employment of people with mental illness’, </w:t>
      </w:r>
      <w:r w:rsidRPr="00CD4BBD">
        <w:rPr>
          <w:i/>
          <w:iCs/>
          <w:spacing w:val="-4"/>
          <w:sz w:val="20"/>
        </w:rPr>
        <w:t>Australian e-Journal for the Advancement of Mental Health</w:t>
      </w:r>
      <w:r w:rsidRPr="00CD4BBD">
        <w:rPr>
          <w:spacing w:val="-4"/>
          <w:sz w:val="20"/>
        </w:rPr>
        <w:t>, vol. 4, no. 2, pp. 1–43.</w:t>
      </w:r>
    </w:p>
    <w:p w14:paraId="15C1B6FF" w14:textId="77777777" w:rsidR="009C6940" w:rsidRPr="00CD4BBD" w:rsidRDefault="009C6940" w:rsidP="009C6940">
      <w:pPr>
        <w:pStyle w:val="Reference"/>
        <w:spacing w:before="100" w:line="260" w:lineRule="atLeast"/>
        <w:rPr>
          <w:spacing w:val="-4"/>
          <w:sz w:val="20"/>
        </w:rPr>
      </w:pPr>
      <w:r w:rsidRPr="00CD4BBD">
        <w:rPr>
          <w:spacing w:val="-4"/>
          <w:sz w:val="20"/>
        </w:rPr>
        <w:t xml:space="preserve">Walsh, F.P. and Tickle, A.C. 2013, ‘Working towards recovery: The role of employment in recovery from serious mental health problems: A qualitative meta-synthesis’, </w:t>
      </w:r>
      <w:r w:rsidRPr="00CD4BBD">
        <w:rPr>
          <w:i/>
          <w:iCs/>
          <w:spacing w:val="-4"/>
          <w:sz w:val="20"/>
        </w:rPr>
        <w:t>International Journal of Psychosocial Rehabilitation</w:t>
      </w:r>
      <w:r w:rsidRPr="00CD4BBD">
        <w:rPr>
          <w:spacing w:val="-4"/>
          <w:sz w:val="20"/>
        </w:rPr>
        <w:t>, vol. 17, no. 2, pp. 35–49.</w:t>
      </w:r>
    </w:p>
    <w:p w14:paraId="43961B12" w14:textId="77777777" w:rsidR="009C6940" w:rsidRPr="00CD4BBD" w:rsidRDefault="009C6940" w:rsidP="009C6940">
      <w:pPr>
        <w:pStyle w:val="Reference"/>
        <w:spacing w:before="100" w:line="260" w:lineRule="atLeast"/>
        <w:rPr>
          <w:spacing w:val="-4"/>
          <w:sz w:val="20"/>
        </w:rPr>
      </w:pPr>
      <w:r w:rsidRPr="00CD4BBD">
        <w:rPr>
          <w:spacing w:val="-4"/>
          <w:sz w:val="20"/>
        </w:rPr>
        <w:t xml:space="preserve">Woodside, H., Schell, L. and Allison-Hedges, J. 2006, ‘Listening for recovery: the vocational success of people living with mental illness’, </w:t>
      </w:r>
      <w:r w:rsidRPr="00CD4BBD">
        <w:rPr>
          <w:i/>
          <w:iCs/>
          <w:spacing w:val="-4"/>
          <w:sz w:val="20"/>
        </w:rPr>
        <w:t>Canadian Journal of Occupational Therapy</w:t>
      </w:r>
      <w:r w:rsidRPr="00CD4BBD">
        <w:rPr>
          <w:spacing w:val="-4"/>
          <w:sz w:val="20"/>
        </w:rPr>
        <w:t>, vol. 73, no. 1, pp. 36–43.</w:t>
      </w:r>
    </w:p>
    <w:p w14:paraId="7099517C" w14:textId="77777777" w:rsidR="009C6940" w:rsidRDefault="009C6940" w:rsidP="009C6940">
      <w:pPr>
        <w:sectPr w:rsidR="009C6940" w:rsidSect="009C6940">
          <w:headerReference w:type="even" r:id="rId34"/>
          <w:headerReference w:type="default" r:id="rId35"/>
          <w:footerReference w:type="even" r:id="rId36"/>
          <w:footerReference w:type="default" r:id="rId37"/>
          <w:type w:val="oddPage"/>
          <w:pgSz w:w="11907" w:h="16840" w:code="9"/>
          <w:pgMar w:top="1985" w:right="1304" w:bottom="1247" w:left="1814" w:header="1701" w:footer="397" w:gutter="0"/>
          <w:pgNumType w:chapSep="period"/>
          <w:cols w:space="720"/>
          <w:docGrid w:linePitch="326"/>
        </w:sectPr>
      </w:pPr>
    </w:p>
    <w:p w14:paraId="44D7FAFB" w14:textId="77777777" w:rsidR="009C6940" w:rsidRDefault="009C6940" w:rsidP="009C6940">
      <w:pPr>
        <w:pStyle w:val="Heading1"/>
      </w:pPr>
      <w:r>
        <w:lastRenderedPageBreak/>
        <w:t>E</w:t>
      </w:r>
      <w:r>
        <w:tab/>
        <w:t>Bullying and mental health</w:t>
      </w:r>
    </w:p>
    <w:p w14:paraId="2CC44F9E" w14:textId="77777777" w:rsidR="009C6940" w:rsidRDefault="009C6940" w:rsidP="009C6940">
      <w:pPr>
        <w:pStyle w:val="BodyText"/>
        <w:rPr>
          <w:lang w:val="en"/>
        </w:rPr>
      </w:pPr>
      <w:r>
        <w:rPr>
          <w:lang w:val="en"/>
        </w:rPr>
        <w:t>Bullying can have adverse impacts on physical and mental health, both in the short term and later in life. It can lead to physical injury, social problems, psychological injury and mental illness and in extreme cases, death. Victims of bullying are at an increased risk of developing mental health problems and for people who are bullied when younger, t adverse impacts can continue into adult life.</w:t>
      </w:r>
    </w:p>
    <w:p w14:paraId="022F317A" w14:textId="77777777" w:rsidR="009C6940" w:rsidRPr="00762755" w:rsidRDefault="009C6940" w:rsidP="009C6940">
      <w:pPr>
        <w:pStyle w:val="BodyText"/>
      </w:pPr>
      <w:r>
        <w:rPr>
          <w:lang w:val="en"/>
        </w:rPr>
        <w:t xml:space="preserve">Bullying is generally defined as aggressive behavior intended to harm or disturb that occurs repeatedly over time. It is based on an imbalance of power — where the more powerful person or group attacks the less powerful one </w:t>
      </w:r>
      <w:r w:rsidRPr="002D1C1E">
        <w:rPr>
          <w:szCs w:val="24"/>
        </w:rPr>
        <w:t>(Gruber and Finernan 2008)</w:t>
      </w:r>
      <w:r>
        <w:rPr>
          <w:lang w:val="en"/>
        </w:rPr>
        <w:t>. Bullying comes in many forms. For example, verbal bullying (denigrating and demeaning remarks or threatening physical harm), physical bullying (hitting, kicking and pushing), social bullying (spreading rumors, excluding people and embarrassing people in public) and cyberbullying (using social media platforms to denigrate and demean someone). Bullying can occur in a range of situations, but is typically associated with school and the workplace. This appendix focuses on bullying in those environments.</w:t>
      </w:r>
    </w:p>
    <w:p w14:paraId="6789B6F6" w14:textId="77777777" w:rsidR="009C6940" w:rsidRPr="002736B8" w:rsidRDefault="009C6940" w:rsidP="009C6940">
      <w:pPr>
        <w:pStyle w:val="Heading2"/>
        <w:spacing w:before="480"/>
      </w:pPr>
      <w:r>
        <w:t>E.</w:t>
      </w:r>
      <w:r>
        <w:rPr>
          <w:noProof/>
        </w:rPr>
        <w:t>1</w:t>
      </w:r>
      <w:r>
        <w:tab/>
      </w:r>
      <w:r w:rsidRPr="002736B8">
        <w:t>School bullying as a public health issue</w:t>
      </w:r>
    </w:p>
    <w:p w14:paraId="293CEA91" w14:textId="77777777" w:rsidR="009C6940" w:rsidRPr="001E7207" w:rsidRDefault="009C6940" w:rsidP="009C6940">
      <w:pPr>
        <w:pStyle w:val="BodyText"/>
      </w:pPr>
      <w:r w:rsidRPr="00F80E25">
        <w:t>Bullying is a significant issue for Australian schools: 27% of students in year 4 to year 9 report frequent bullying</w:t>
      </w:r>
      <w:r>
        <w:t xml:space="preserve"> and </w:t>
      </w:r>
      <w:r w:rsidRPr="00F80E25">
        <w:t xml:space="preserve">20% of young people </w:t>
      </w:r>
      <w:r>
        <w:t xml:space="preserve">aged </w:t>
      </w:r>
      <w:r w:rsidRPr="00F80E25">
        <w:t>under 18</w:t>
      </w:r>
      <w:r>
        <w:t> years</w:t>
      </w:r>
      <w:r w:rsidRPr="00F80E25">
        <w:t xml:space="preserve"> experience online bullying (or cyberbullying) in any given year (AUARA, sub.</w:t>
      </w:r>
      <w:r>
        <w:t> </w:t>
      </w:r>
      <w:r w:rsidRPr="00F80E25">
        <w:t>431). While cyberbullying tends to peak in adolescence, it can also affect older students. A survey of university student</w:t>
      </w:r>
      <w:r>
        <w:t>s</w:t>
      </w:r>
      <w:r w:rsidRPr="00F80E25">
        <w:t xml:space="preserve"> has found that 14.5% had been victims of cyberbullying</w:t>
      </w:r>
      <w:r>
        <w:t>.</w:t>
      </w:r>
    </w:p>
    <w:p w14:paraId="20FF7613" w14:textId="77777777" w:rsidR="009C6940" w:rsidRPr="00484334" w:rsidRDefault="009C6940" w:rsidP="009C6940">
      <w:pPr>
        <w:pStyle w:val="BodyText"/>
        <w:rPr>
          <w:spacing w:val="-4"/>
        </w:rPr>
      </w:pPr>
      <w:r w:rsidRPr="00484334">
        <w:rPr>
          <w:spacing w:val="-4"/>
        </w:rPr>
        <w:t>All forms of bullying — face</w:t>
      </w:r>
      <w:r w:rsidRPr="00484334">
        <w:rPr>
          <w:spacing w:val="-4"/>
        </w:rPr>
        <w:noBreakHyphen/>
        <w:t>to</w:t>
      </w:r>
      <w:r w:rsidRPr="00484334">
        <w:rPr>
          <w:spacing w:val="-4"/>
        </w:rPr>
        <w:noBreakHyphen/>
        <w:t>face, physical, verbal or cyberbullying — can be a trigger for mental illness in adolescence and later in life. This applies to victims, bullies and people who witness bullying. People who are affected by cyberbullying may be at greater risk of depression and suicide ideation compared with victims of other types of bullying (AUARA, sub. 431).</w:t>
      </w:r>
    </w:p>
    <w:p w14:paraId="03616FA1" w14:textId="77777777" w:rsidR="009C6940" w:rsidRPr="001E7207" w:rsidRDefault="009C6940" w:rsidP="009C6940">
      <w:pPr>
        <w:pStyle w:val="BodyText"/>
      </w:pPr>
      <w:r w:rsidRPr="001E7207">
        <w:t>The strong link between bullying and mental illness has changed the way it is perceived by students, schools and policy makers:</w:t>
      </w:r>
    </w:p>
    <w:p w14:paraId="4C0413DB" w14:textId="77777777" w:rsidR="009C6940" w:rsidRPr="001E7207" w:rsidRDefault="009C6940" w:rsidP="009C6940">
      <w:pPr>
        <w:pStyle w:val="Quote"/>
      </w:pPr>
      <w:r w:rsidRPr="001E7207">
        <w:t>Historically bullying has not been seen as a problem that needed attention, but rather has been accepted as a fundamental and normal part of childhood … however, this view has changed and schoolyard bullying is seen as a serious problem that warrants attention. Bullying is an age</w:t>
      </w:r>
      <w:r>
        <w:noBreakHyphen/>
      </w:r>
      <w:r w:rsidRPr="001E7207">
        <w:t>old societal problem, beginning in the schoolyard and often progressing to the boardroom</w:t>
      </w:r>
      <w:r>
        <w:t>.</w:t>
      </w:r>
      <w:r w:rsidRPr="001E7207">
        <w:t xml:space="preserve"> </w:t>
      </w:r>
      <w:r w:rsidRPr="00EC3D3E">
        <w:rPr>
          <w:szCs w:val="24"/>
        </w:rPr>
        <w:t>(Campbell 2005, p. 2)</w:t>
      </w:r>
    </w:p>
    <w:p w14:paraId="537AA461" w14:textId="77777777" w:rsidR="009C6940" w:rsidRPr="001E7207" w:rsidRDefault="009C6940" w:rsidP="009C6940">
      <w:pPr>
        <w:pStyle w:val="BodyText"/>
      </w:pPr>
      <w:r w:rsidRPr="001E7207">
        <w:lastRenderedPageBreak/>
        <w:t xml:space="preserve">Bullying </w:t>
      </w:r>
      <w:r>
        <w:t>imposes</w:t>
      </w:r>
      <w:r w:rsidRPr="001E7207">
        <w:t xml:space="preserve"> an economic cost, both during the school years and after students leave school. Estimates of the cost of bullying for one cohort of students during their 13</w:t>
      </w:r>
      <w:r>
        <w:t> </w:t>
      </w:r>
      <w:r w:rsidRPr="001E7207">
        <w:t>years of compulsory education reach $525</w:t>
      </w:r>
      <w:r>
        <w:t> </w:t>
      </w:r>
      <w:r w:rsidRPr="001E7207">
        <w:t>million, mainly in the form of the time spent by school staff to address bullying behaviour. Long</w:t>
      </w:r>
      <w:r>
        <w:noBreakHyphen/>
      </w:r>
      <w:r w:rsidRPr="001E7207">
        <w:t>term costs, however, are far higher, estimated at $1.8</w:t>
      </w:r>
      <w:r>
        <w:t> </w:t>
      </w:r>
      <w:r w:rsidRPr="001E7207">
        <w:t>billion over the 20</w:t>
      </w:r>
      <w:r>
        <w:t> </w:t>
      </w:r>
      <w:r w:rsidRPr="001E7207">
        <w:t>years after completing school. These costs are due to:</w:t>
      </w:r>
    </w:p>
    <w:p w14:paraId="230105B1" w14:textId="77777777" w:rsidR="009C6940" w:rsidRPr="001E7207" w:rsidRDefault="009C6940" w:rsidP="009C6940">
      <w:pPr>
        <w:pStyle w:val="ListBullet"/>
      </w:pPr>
      <w:r w:rsidRPr="001E7207">
        <w:t xml:space="preserve">reduced income potential of bullying victims, </w:t>
      </w:r>
      <w:r>
        <w:t xml:space="preserve">arising from </w:t>
      </w:r>
      <w:r w:rsidRPr="001E7207">
        <w:t>the effects of bullying on their academic outcomes</w:t>
      </w:r>
    </w:p>
    <w:p w14:paraId="794412B7" w14:textId="77777777" w:rsidR="009C6940" w:rsidRPr="001E7207" w:rsidRDefault="009C6940" w:rsidP="009C6940">
      <w:pPr>
        <w:pStyle w:val="ListBullet"/>
      </w:pPr>
      <w:r w:rsidRPr="001E7207">
        <w:t>chronic mental illnesses, which impose substantial costs on individuals and the mental health systems</w:t>
      </w:r>
    </w:p>
    <w:p w14:paraId="438EF842" w14:textId="77777777" w:rsidR="009C6940" w:rsidRPr="001E7207" w:rsidRDefault="009C6940" w:rsidP="009C6940">
      <w:pPr>
        <w:pStyle w:val="ListBullet"/>
      </w:pPr>
      <w:r w:rsidRPr="001E7207">
        <w:t>continued bullying behaviour by perpetrators. For example, research has shown that bullying perpetrators are far more likely to instigate domestic violence, which in itself leads to substantial health (including mental health) costs</w:t>
      </w:r>
      <w:r>
        <w:t xml:space="preserve"> </w:t>
      </w:r>
      <w:r w:rsidRPr="000F7052">
        <w:rPr>
          <w:szCs w:val="24"/>
        </w:rPr>
        <w:t>(P</w:t>
      </w:r>
      <w:r>
        <w:rPr>
          <w:szCs w:val="24"/>
        </w:rPr>
        <w:t>w</w:t>
      </w:r>
      <w:r w:rsidRPr="000F7052">
        <w:rPr>
          <w:szCs w:val="24"/>
        </w:rPr>
        <w:t>C 2018)</w:t>
      </w:r>
      <w:r w:rsidRPr="001E7207">
        <w:t xml:space="preserve">. </w:t>
      </w:r>
    </w:p>
    <w:p w14:paraId="5ED6C687" w14:textId="77777777" w:rsidR="009C6940" w:rsidRPr="002736B8" w:rsidRDefault="009C6940" w:rsidP="009C6940">
      <w:pPr>
        <w:pStyle w:val="Heading3"/>
      </w:pPr>
      <w:r w:rsidRPr="002736B8">
        <w:t>Addressing bullying in schools</w:t>
      </w:r>
    </w:p>
    <w:p w14:paraId="708B1EFA" w14:textId="77777777" w:rsidR="009C6940" w:rsidRDefault="009C6940" w:rsidP="009C6940">
      <w:pPr>
        <w:pStyle w:val="BodyText"/>
      </w:pPr>
      <w:r>
        <w:t>Governments have made substantial efforts to tackle bullying behaviour among young people. These include national policy initiatives as well as school</w:t>
      </w:r>
      <w:r>
        <w:noBreakHyphen/>
        <w:t xml:space="preserve">based policies. </w:t>
      </w:r>
    </w:p>
    <w:p w14:paraId="24305947" w14:textId="77777777" w:rsidR="009C6940" w:rsidRPr="002736B8" w:rsidRDefault="009C6940" w:rsidP="009C6940">
      <w:pPr>
        <w:pStyle w:val="Heading4"/>
        <w:spacing w:before="360"/>
      </w:pPr>
      <w:r w:rsidRPr="002736B8">
        <w:t>National policy initiatives</w:t>
      </w:r>
    </w:p>
    <w:p w14:paraId="6DDDC764" w14:textId="77777777" w:rsidR="009C6940" w:rsidRPr="001E7207" w:rsidRDefault="009C6940" w:rsidP="009C6940">
      <w:pPr>
        <w:pStyle w:val="BodyText"/>
      </w:pPr>
      <w:r w:rsidRPr="001E7207">
        <w:t xml:space="preserve">The Safe and Supportive School Communities (SSSC) Working Group brings together the Australian and State and Territory Governments and representatives of independent and </w:t>
      </w:r>
      <w:r>
        <w:t>C</w:t>
      </w:r>
      <w:r w:rsidRPr="001E7207">
        <w:t>atholic schools. The group manages an online portal to assist schools in developing anti</w:t>
      </w:r>
      <w:r>
        <w:noBreakHyphen/>
      </w:r>
      <w:r w:rsidRPr="001E7207">
        <w:t>bullying policies and provides additional resources for children and their parents</w:t>
      </w:r>
      <w:r>
        <w:t>. The</w:t>
      </w:r>
      <w:r w:rsidRPr="001E7207">
        <w:t xml:space="preserve"> group also coordinates a National Day of Action against Bullying and Violence, which in 2019 involved more than 5700</w:t>
      </w:r>
      <w:r>
        <w:t> </w:t>
      </w:r>
      <w:r w:rsidRPr="001E7207">
        <w:t xml:space="preserve">schools nationally </w:t>
      </w:r>
      <w:r w:rsidRPr="000F7052">
        <w:rPr>
          <w:szCs w:val="24"/>
        </w:rPr>
        <w:t>(SSSC 2019)</w:t>
      </w:r>
      <w:r>
        <w:t>.</w:t>
      </w:r>
    </w:p>
    <w:p w14:paraId="703735EB" w14:textId="77777777" w:rsidR="009C6940" w:rsidRPr="001E7207" w:rsidRDefault="009C6940" w:rsidP="009C6940">
      <w:pPr>
        <w:pStyle w:val="BodyText"/>
      </w:pPr>
      <w:r w:rsidRPr="001E7207">
        <w:t xml:space="preserve">In 2015, the Australian Government established the </w:t>
      </w:r>
      <w:r>
        <w:t>O</w:t>
      </w:r>
      <w:r w:rsidRPr="001E7207">
        <w:t xml:space="preserve">ffice of the </w:t>
      </w:r>
      <w:r>
        <w:t>eS</w:t>
      </w:r>
      <w:r w:rsidRPr="001E7207">
        <w:t xml:space="preserve">afety </w:t>
      </w:r>
      <w:r>
        <w:t>C</w:t>
      </w:r>
      <w:r w:rsidRPr="001E7207">
        <w:t xml:space="preserve">ommissioner, to improve the safety of children online and reduce cyberbullying </w:t>
      </w:r>
      <w:r w:rsidRPr="000F7052">
        <w:rPr>
          <w:szCs w:val="24"/>
        </w:rPr>
        <w:t>(Department of Communications 2014)</w:t>
      </w:r>
      <w:r>
        <w:t xml:space="preserve">. </w:t>
      </w:r>
      <w:r w:rsidRPr="001E7207">
        <w:t>Since then, the role of the commissioner has expanded to assist Australians of all ages that encounter anti</w:t>
      </w:r>
      <w:r>
        <w:noBreakHyphen/>
      </w:r>
      <w:r w:rsidRPr="001E7207">
        <w:t>social behaviour online. In 2017</w:t>
      </w:r>
      <w:r>
        <w:noBreakHyphen/>
      </w:r>
      <w:r w:rsidRPr="001E7207">
        <w:t xml:space="preserve">18, the </w:t>
      </w:r>
      <w:r>
        <w:t>O</w:t>
      </w:r>
      <w:r w:rsidRPr="001E7207">
        <w:t xml:space="preserve">ffice of the </w:t>
      </w:r>
      <w:r>
        <w:t>eS</w:t>
      </w:r>
      <w:r w:rsidRPr="001E7207">
        <w:t>afety commissioner received about 400</w:t>
      </w:r>
      <w:r>
        <w:t> </w:t>
      </w:r>
      <w:r w:rsidRPr="001E7207">
        <w:t>complaints of serious cyberbullying from young people under the age of 18</w:t>
      </w:r>
      <w:r>
        <w:t> years</w:t>
      </w:r>
      <w:r w:rsidRPr="001E7207">
        <w:t>. The office works with social media services to remove cyberbullying material posted online. It also collaborates with schools to resolve complaints and accredits external provides of cyberbullying awareness programs delivered in schools</w:t>
      </w:r>
      <w:r>
        <w:t xml:space="preserve"> </w:t>
      </w:r>
      <w:r w:rsidRPr="000F7052">
        <w:rPr>
          <w:szCs w:val="24"/>
        </w:rPr>
        <w:t>(Office of the eSafety Commissioner 2018)</w:t>
      </w:r>
      <w:r>
        <w:t>.</w:t>
      </w:r>
    </w:p>
    <w:p w14:paraId="111C7C79" w14:textId="77777777" w:rsidR="009C6940" w:rsidRPr="002736B8" w:rsidRDefault="009C6940" w:rsidP="009C6940">
      <w:pPr>
        <w:pStyle w:val="Heading4"/>
        <w:spacing w:before="360"/>
      </w:pPr>
      <w:r w:rsidRPr="002736B8">
        <w:t>School</w:t>
      </w:r>
      <w:r>
        <w:noBreakHyphen/>
      </w:r>
      <w:r w:rsidRPr="002736B8">
        <w:t>based interventions</w:t>
      </w:r>
    </w:p>
    <w:p w14:paraId="0CDFEA6D" w14:textId="77777777" w:rsidR="009C6940" w:rsidRDefault="009C6940" w:rsidP="009C6940">
      <w:pPr>
        <w:pStyle w:val="BodyText"/>
      </w:pPr>
      <w:r>
        <w:t>Research has shown that both proactive and reactive interventions are important and effective in reducing bullying in schools. Proactive interventions include various practices engaging with students to promote positive behaviour and peer</w:t>
      </w:r>
      <w:r>
        <w:noBreakHyphen/>
        <w:t xml:space="preserve">support schemes that improve the overall school climate; and promoting social and emotional learning (SEL) </w:t>
      </w:r>
      <w:r>
        <w:lastRenderedPageBreak/>
        <w:t>programs. Reactive interventions include sanctions imposed on the perpetrators of bullying; supporting victims of bullying; mediation and various approaches to restorative practices. Such practices can be helpful in tackling both face</w:t>
      </w:r>
      <w:r>
        <w:noBreakHyphen/>
        <w:t>to</w:t>
      </w:r>
      <w:r>
        <w:noBreakHyphen/>
        <w:t xml:space="preserve">face bullying and cyberbullying, however, they need to be tailored to the specific incidents and the school community </w:t>
      </w:r>
      <w:r w:rsidRPr="000F7052">
        <w:rPr>
          <w:szCs w:val="24"/>
        </w:rPr>
        <w:t>(Rigby and Griffiths 2018)</w:t>
      </w:r>
      <w:r>
        <w:t xml:space="preserve">. The most successful bullying reduction tends to require significant investments of time and resources, as well as effective teacher training and leadership </w:t>
      </w:r>
      <w:r w:rsidRPr="000F7052">
        <w:rPr>
          <w:szCs w:val="24"/>
        </w:rPr>
        <w:t>(Pearce et al. 2011)</w:t>
      </w:r>
      <w:r>
        <w:t xml:space="preserve">. </w:t>
      </w:r>
    </w:p>
    <w:p w14:paraId="0531217B" w14:textId="77777777" w:rsidR="009C6940" w:rsidRDefault="009C6940" w:rsidP="009C6940">
      <w:pPr>
        <w:pStyle w:val="BodyText"/>
      </w:pPr>
      <w:r>
        <w:t xml:space="preserve">Australian schools have implemented a mix of these approaches, with an increased priority on proactive approaches </w:t>
      </w:r>
      <w:r w:rsidRPr="000F7052">
        <w:rPr>
          <w:szCs w:val="24"/>
        </w:rPr>
        <w:t>(Rigby and Griffiths 2018)</w:t>
      </w:r>
      <w:r>
        <w:t xml:space="preserve">. SEL programs are part of the Australian curriculum and implemented in all schools. Chapter 5 discusses in detail the quality of these programs, the barriers to their success and the ways they can be tackled. </w:t>
      </w:r>
    </w:p>
    <w:p w14:paraId="48DE22E8" w14:textId="77777777" w:rsidR="009C6940" w:rsidRDefault="009C6940" w:rsidP="009C6940">
      <w:pPr>
        <w:pStyle w:val="BodyText"/>
      </w:pPr>
      <w:r>
        <w:t>Despite significant policy efforts, it appears that more can be done to strengthen school</w:t>
      </w:r>
      <w:r>
        <w:noBreakHyphen/>
        <w:t>based bullying prevention. A survey of schools in New South Wales, Victoria, Queensland, South Australia and Western Australia, found that, although all had explicit policies to tackle bullying, only half of students were aware that it existed.</w:t>
      </w:r>
    </w:p>
    <w:p w14:paraId="0CEDF31B" w14:textId="77777777" w:rsidR="009C6940" w:rsidRDefault="009C6940" w:rsidP="009C6940">
      <w:pPr>
        <w:pStyle w:val="Quote"/>
      </w:pPr>
      <w:r>
        <w:t>Some educational leaders showed no surprise that so many students were unaware of the policy. They suggested that schools are currently required to have so many policies that producing anti</w:t>
      </w:r>
      <w:r>
        <w:noBreakHyphen/>
        <w:t>bullying policies tends to be regarded as an act of compliance. The policies themselves, according to one educational leader, are not user</w:t>
      </w:r>
      <w:r>
        <w:noBreakHyphen/>
        <w:t xml:space="preserve">friendly, out of date or contain minimal information. </w:t>
      </w:r>
      <w:r w:rsidRPr="000F7052">
        <w:rPr>
          <w:szCs w:val="24"/>
        </w:rPr>
        <w:t>(Rigby and Johnson 2016, p. 67)</w:t>
      </w:r>
    </w:p>
    <w:p w14:paraId="1F93F79A" w14:textId="77777777" w:rsidR="009C6940" w:rsidRPr="00254BAA" w:rsidRDefault="009C6940" w:rsidP="009C6940">
      <w:pPr>
        <w:pStyle w:val="BodyText"/>
      </w:pPr>
      <w:r w:rsidRPr="00254BAA">
        <w:t>Only about 38% of children surveyed who were bullied reported the behaviour to the school. When bullied children did report the behaviour to teachers, they generally felt the school was helpful in addressing the issue. Some of the teachers surveyed raised concerns about their ability to deal with bullying, and responses reflected the need for additional pre</w:t>
      </w:r>
      <w:r>
        <w:noBreakHyphen/>
      </w:r>
      <w:r w:rsidRPr="00254BAA">
        <w:t>service training. Chapter</w:t>
      </w:r>
      <w:r>
        <w:t> 5</w:t>
      </w:r>
      <w:r w:rsidRPr="00254BAA">
        <w:t xml:space="preserve"> discusses the issues of education policies and teacher training in detail.</w:t>
      </w:r>
    </w:p>
    <w:p w14:paraId="0A8E898B" w14:textId="77777777" w:rsidR="009C6940" w:rsidRDefault="009C6940" w:rsidP="009C6940">
      <w:pPr>
        <w:pStyle w:val="Heading2"/>
      </w:pPr>
      <w:r>
        <w:t>E.</w:t>
      </w:r>
      <w:r>
        <w:rPr>
          <w:noProof/>
        </w:rPr>
        <w:t>2</w:t>
      </w:r>
      <w:r>
        <w:tab/>
        <w:t>Workplace bullying</w:t>
      </w:r>
    </w:p>
    <w:p w14:paraId="193F4E9F" w14:textId="77777777" w:rsidR="009C6940" w:rsidRDefault="009C6940" w:rsidP="009C6940">
      <w:pPr>
        <w:pStyle w:val="BodyText"/>
      </w:pPr>
      <w:r>
        <w:t>Bullying in the workplace — as well as in other situations and through social media platforms — has become has become a widely acknowledged cause of mental ill</w:t>
      </w:r>
      <w:r>
        <w:noBreakHyphen/>
        <w:t>health. It has also been increasing as a cause of work</w:t>
      </w:r>
      <w:r>
        <w:noBreakHyphen/>
        <w:t xml:space="preserve">related mental stress (figure E.1). Workplace bullying can have negative effects on mental health through depression, anxiety, stress and suicide </w:t>
      </w:r>
      <w:r w:rsidRPr="000F7052">
        <w:rPr>
          <w:szCs w:val="24"/>
        </w:rPr>
        <w:t>(headspace 2012)</w:t>
      </w:r>
      <w:r>
        <w:t>. Some studies have indicated that the prevalence of bullying in the workplace has increased, and this is supported by the increase in serious workers compensation claims resulting from workplace bullying (figure E.1).</w:t>
      </w:r>
    </w:p>
    <w:p w14:paraId="2CB7FB49"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A6CD71A" w14:textId="77777777" w:rsidTr="009C6940">
        <w:trPr>
          <w:tblHeader/>
        </w:trPr>
        <w:tc>
          <w:tcPr>
            <w:tcW w:w="5000" w:type="pct"/>
            <w:tcBorders>
              <w:top w:val="single" w:sz="6" w:space="0" w:color="78A22F"/>
              <w:left w:val="nil"/>
              <w:bottom w:val="nil"/>
              <w:right w:val="nil"/>
            </w:tcBorders>
            <w:shd w:val="clear" w:color="auto" w:fill="auto"/>
          </w:tcPr>
          <w:p w14:paraId="292FEAF9" w14:textId="77777777" w:rsidR="009C6940" w:rsidRDefault="009C6940" w:rsidP="009C6940">
            <w:pPr>
              <w:pStyle w:val="FigureTitle"/>
            </w:pPr>
            <w:r w:rsidRPr="00784A05">
              <w:rPr>
                <w:b w:val="0"/>
              </w:rPr>
              <w:t xml:space="preserve">Figure </w:t>
            </w:r>
            <w:r>
              <w:rPr>
                <w:b w:val="0"/>
              </w:rPr>
              <w:t>E.</w:t>
            </w:r>
            <w:r>
              <w:rPr>
                <w:b w:val="0"/>
                <w:noProof/>
              </w:rPr>
              <w:t>1</w:t>
            </w:r>
            <w:r>
              <w:tab/>
              <w:t>Accepted workers compensation claims, by type of mental stress</w:t>
            </w:r>
          </w:p>
          <w:p w14:paraId="2E5628ED" w14:textId="77777777" w:rsidR="009C6940" w:rsidRPr="007E2CDC" w:rsidRDefault="009C6940" w:rsidP="009C6940">
            <w:pPr>
              <w:pStyle w:val="Subtitle"/>
            </w:pPr>
            <w:r w:rsidRPr="00A94764">
              <w:t>Share of total accepted serious claims in</w:t>
            </w:r>
            <w:r>
              <w:rPr>
                <w:sz w:val="24"/>
              </w:rPr>
              <w:t xml:space="preserve"> </w:t>
            </w:r>
            <w:r w:rsidRPr="00A94764">
              <w:t>Australia</w:t>
            </w:r>
            <w:r>
              <w:t>, selected years</w:t>
            </w:r>
            <w:r w:rsidRPr="007E2CDC">
              <w:rPr>
                <w:rStyle w:val="NoteLabel"/>
              </w:rPr>
              <w:t>a</w:t>
            </w:r>
          </w:p>
        </w:tc>
      </w:tr>
      <w:tr w:rsidR="009C6940" w14:paraId="0EB15FF7" w14:textId="77777777" w:rsidTr="009C6940">
        <w:tc>
          <w:tcPr>
            <w:tcW w:w="5000" w:type="pct"/>
            <w:tcBorders>
              <w:top w:val="nil"/>
              <w:left w:val="nil"/>
              <w:bottom w:val="nil"/>
              <w:right w:val="nil"/>
            </w:tcBorders>
            <w:shd w:val="clear" w:color="auto" w:fill="auto"/>
            <w:tcMar>
              <w:top w:w="28" w:type="dxa"/>
              <w:bottom w:w="28" w:type="dxa"/>
            </w:tcMar>
          </w:tcPr>
          <w:p w14:paraId="7C84D376" w14:textId="77777777" w:rsidR="009C6940" w:rsidRDefault="009C6940" w:rsidP="009C6940">
            <w:pPr>
              <w:pStyle w:val="Figure"/>
            </w:pPr>
            <w:r w:rsidRPr="00E85588">
              <w:rPr>
                <w:noProof/>
              </w:rPr>
              <w:drawing>
                <wp:inline distT="0" distB="0" distL="0" distR="0" wp14:anchorId="258B7B7E" wp14:editId="730D4CF0">
                  <wp:extent cx="5402580" cy="2880360"/>
                  <wp:effectExtent l="0" t="0" r="7620" b="0"/>
                  <wp:docPr id="21" name="Picture 21" descr="A bar graph showing the number of accepted workers’ compensation claims for workplace bullying and harassment have increased between 2006 07 and 2016 17— increasing from about 15% of all accepted workers compensation claims for mental stress related injuries in 2006 07 to just under 30% in 2016 17. However, workplace bullying and harassment although increasing continues to rank behind work pressure as a cause of accepted mental stress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2580" cy="2880360"/>
                          </a:xfrm>
                          <a:prstGeom prst="rect">
                            <a:avLst/>
                          </a:prstGeom>
                          <a:noFill/>
                          <a:ln>
                            <a:noFill/>
                          </a:ln>
                        </pic:spPr>
                      </pic:pic>
                    </a:graphicData>
                  </a:graphic>
                </wp:inline>
              </w:drawing>
            </w:r>
          </w:p>
        </w:tc>
      </w:tr>
      <w:tr w:rsidR="009C6940" w:rsidRPr="00176D3F" w14:paraId="395BE472" w14:textId="77777777" w:rsidTr="009C6940">
        <w:tc>
          <w:tcPr>
            <w:tcW w:w="5000" w:type="pct"/>
            <w:tcBorders>
              <w:top w:val="nil"/>
              <w:left w:val="nil"/>
              <w:bottom w:val="nil"/>
              <w:right w:val="nil"/>
            </w:tcBorders>
            <w:shd w:val="clear" w:color="auto" w:fill="auto"/>
          </w:tcPr>
          <w:p w14:paraId="45BB3137" w14:textId="77777777" w:rsidR="009C6940" w:rsidRPr="00176D3F" w:rsidRDefault="009C6940" w:rsidP="009C6940">
            <w:pPr>
              <w:pStyle w:val="Note"/>
            </w:pPr>
            <w:r>
              <w:rPr>
                <w:rStyle w:val="NoteLabel"/>
              </w:rPr>
              <w:t>a</w:t>
            </w:r>
            <w:r>
              <w:t xml:space="preserve"> Serious claims are those accepted claims that resulted in absence from work of a single working week or more. Data does not include Victoria and is provisional for 2017</w:t>
            </w:r>
            <w:r>
              <w:noBreakHyphen/>
              <w:t xml:space="preserve">18. </w:t>
            </w:r>
          </w:p>
        </w:tc>
      </w:tr>
      <w:tr w:rsidR="009C6940" w:rsidRPr="00176D3F" w14:paraId="62382E4D" w14:textId="77777777" w:rsidTr="009C6940">
        <w:tc>
          <w:tcPr>
            <w:tcW w:w="5000" w:type="pct"/>
            <w:tcBorders>
              <w:top w:val="nil"/>
              <w:left w:val="nil"/>
              <w:bottom w:val="nil"/>
              <w:right w:val="nil"/>
            </w:tcBorders>
            <w:shd w:val="clear" w:color="auto" w:fill="auto"/>
          </w:tcPr>
          <w:p w14:paraId="1557BE9C" w14:textId="77777777" w:rsidR="009C6940" w:rsidRPr="00176D3F" w:rsidRDefault="009C6940" w:rsidP="009C6940">
            <w:pPr>
              <w:pStyle w:val="Source"/>
            </w:pPr>
            <w:r>
              <w:rPr>
                <w:i/>
              </w:rPr>
              <w:t>S</w:t>
            </w:r>
            <w:r w:rsidRPr="00784A05">
              <w:rPr>
                <w:i/>
              </w:rPr>
              <w:t>ource</w:t>
            </w:r>
            <w:r w:rsidRPr="00176D3F">
              <w:t>:</w:t>
            </w:r>
            <w:r w:rsidRPr="0061675B">
              <w:rPr>
                <w:i/>
              </w:rPr>
              <w:t xml:space="preserve"> </w:t>
            </w:r>
            <w:r w:rsidRPr="004518A3">
              <w:t>Safe Work Australia</w:t>
            </w:r>
            <w:r>
              <w:t>’</w:t>
            </w:r>
            <w:r w:rsidRPr="004518A3">
              <w:t>s National Data</w:t>
            </w:r>
            <w:r>
              <w:noBreakHyphen/>
            </w:r>
            <w:r w:rsidRPr="004518A3">
              <w:t>Set for Compensation</w:t>
            </w:r>
            <w:r>
              <w:noBreakHyphen/>
            </w:r>
            <w:r w:rsidRPr="004518A3">
              <w:t>based Statistics</w:t>
            </w:r>
            <w:r>
              <w:t>.</w:t>
            </w:r>
          </w:p>
        </w:tc>
      </w:tr>
      <w:tr w:rsidR="009C6940" w14:paraId="7F86674B" w14:textId="77777777" w:rsidTr="009C6940">
        <w:tc>
          <w:tcPr>
            <w:tcW w:w="5000" w:type="pct"/>
            <w:tcBorders>
              <w:top w:val="nil"/>
              <w:left w:val="nil"/>
              <w:bottom w:val="single" w:sz="6" w:space="0" w:color="78A22F"/>
              <w:right w:val="nil"/>
            </w:tcBorders>
            <w:shd w:val="clear" w:color="auto" w:fill="auto"/>
          </w:tcPr>
          <w:p w14:paraId="205532B1" w14:textId="77777777" w:rsidR="009C6940" w:rsidRDefault="009C6940" w:rsidP="009C6940">
            <w:pPr>
              <w:pStyle w:val="Figurespace"/>
            </w:pPr>
          </w:p>
        </w:tc>
      </w:tr>
      <w:tr w:rsidR="009C6940" w:rsidRPr="000863A5" w14:paraId="4169400E" w14:textId="77777777" w:rsidTr="009C6940">
        <w:tc>
          <w:tcPr>
            <w:tcW w:w="5000" w:type="pct"/>
            <w:tcBorders>
              <w:top w:val="single" w:sz="6" w:space="0" w:color="78A22F"/>
              <w:left w:val="nil"/>
              <w:bottom w:val="nil"/>
              <w:right w:val="nil"/>
            </w:tcBorders>
          </w:tcPr>
          <w:p w14:paraId="6235B4E2" w14:textId="77777777" w:rsidR="009C6940" w:rsidRPr="00626D32" w:rsidRDefault="009C6940" w:rsidP="009C6940">
            <w:pPr>
              <w:pStyle w:val="BoxSpaceBelow"/>
            </w:pPr>
          </w:p>
        </w:tc>
      </w:tr>
    </w:tbl>
    <w:p w14:paraId="7DCB3FE2" w14:textId="77777777" w:rsidR="009C6940" w:rsidRDefault="009C6940" w:rsidP="009C6940">
      <w:pPr>
        <w:pStyle w:val="Heading3"/>
      </w:pPr>
      <w:r>
        <w:t>How prevalent is workplace bullying?</w:t>
      </w:r>
    </w:p>
    <w:p w14:paraId="795EC965" w14:textId="77777777" w:rsidR="009C6940" w:rsidRDefault="009C6940" w:rsidP="009C6940">
      <w:pPr>
        <w:pStyle w:val="BodyText"/>
      </w:pPr>
      <w:r>
        <w:t>There has been wide variation in the estimates of the prevalence of bullying in Australian workplaces, due to inconsistencies in the definition of bullying, varying survey questions, different time frames for reporting bullying and different measurement methods such as self</w:t>
      </w:r>
      <w:r>
        <w:noBreakHyphen/>
        <w:t>labelling of bullying experiences or by measurement of behavioural experience. These prevalence rates differ across different industries and occupations.</w:t>
      </w:r>
    </w:p>
    <w:p w14:paraId="4461111E" w14:textId="77777777" w:rsidR="009C6940" w:rsidRDefault="009C6940" w:rsidP="009C6940">
      <w:pPr>
        <w:pStyle w:val="BodyText"/>
      </w:pPr>
      <w:r>
        <w:t>For example, over 95% of 2529 school employees (68% of whom were teachers) had experienced one of the 42 bullying workplace behaviours identified by the researchers</w:t>
      </w:r>
      <w:r w:rsidRPr="006E12BF">
        <w:t xml:space="preserve"> </w:t>
      </w:r>
      <w:r>
        <w:t xml:space="preserve">in surveys conducted in 2005, 2007 and 2009. This research noted that while perceptions of bullying were extremely wide ranging, where an individual believed or perceived they were being bullied, their actions would reflect that belief </w:t>
      </w:r>
      <w:r w:rsidRPr="000F7052">
        <w:rPr>
          <w:szCs w:val="24"/>
        </w:rPr>
        <w:t>(Riley, Duncan and Edwards 2012)</w:t>
      </w:r>
      <w:r>
        <w:t xml:space="preserve">. In a 2018 survey of public school teachers in New South Wales, 20% reported that they had been subject to bullying in their workplace in the past 12 months </w:t>
      </w:r>
      <w:r w:rsidRPr="008539C5">
        <w:rPr>
          <w:szCs w:val="24"/>
        </w:rPr>
        <w:t>(NSW Public Service Commission 2018)</w:t>
      </w:r>
      <w:r>
        <w:t xml:space="preserve">. In response to a similar survey question, 13% of respondents to the 2019 Australian Public Service Census indicated that they had been subject to harassment or bullying in their workplace in the past 12 months </w:t>
      </w:r>
      <w:r w:rsidRPr="006E12BF">
        <w:rPr>
          <w:szCs w:val="24"/>
        </w:rPr>
        <w:t>(Australian Public Service Commission 2019)</w:t>
      </w:r>
      <w:r>
        <w:t xml:space="preserve">. A 2015 online survey of members of the Royal Australian College of </w:t>
      </w:r>
      <w:r>
        <w:lastRenderedPageBreak/>
        <w:t xml:space="preserve">Surgeons, found that 39% of respondents reported having been subject to bullying behaviour in the workplace </w:t>
      </w:r>
      <w:r w:rsidRPr="002B74C8">
        <w:rPr>
          <w:szCs w:val="24"/>
        </w:rPr>
        <w:t>(Crebbin et al. 2015)</w:t>
      </w:r>
      <w:r>
        <w:t>.</w:t>
      </w:r>
    </w:p>
    <w:p w14:paraId="5ADA7540" w14:textId="77777777" w:rsidR="009C6940" w:rsidRDefault="009C6940" w:rsidP="009C6940">
      <w:pPr>
        <w:pStyle w:val="BodyText"/>
      </w:pPr>
      <w:r>
        <w:t>Prevalence can potentially be overestimated if the term ‘bullying’ captures other behaviours that may not actually be considered as bullying or underestimated if employees are reluctant to report bullying behaviour.</w:t>
      </w:r>
    </w:p>
    <w:p w14:paraId="09D111CA" w14:textId="77777777" w:rsidR="009C6940" w:rsidRDefault="009C6940" w:rsidP="009C6940">
      <w:pPr>
        <w:pStyle w:val="BodyText"/>
      </w:pPr>
      <w:r>
        <w:t xml:space="preserve">Safe Work Australia </w:t>
      </w:r>
      <w:r w:rsidRPr="005773C0">
        <w:t>(2012)</w:t>
      </w:r>
      <w:r>
        <w:t xml:space="preserve"> considers the most reliable estimate comes from the Australian Workplace Barometer study. The national prevalence rate for workplace bullying (based on population) drawing on the Australian Workplace Barometer project indicated that nearly one in 10 people (9.4%) surveyed reported being bullied in the workplace in 2014</w:t>
      </w:r>
      <w:r>
        <w:noBreakHyphen/>
        <w:t xml:space="preserve">15 </w:t>
      </w:r>
      <w:r w:rsidRPr="00845BDF">
        <w:rPr>
          <w:szCs w:val="24"/>
        </w:rPr>
        <w:t>(Potter, Dollard and Tuckey 2016)</w:t>
      </w:r>
      <w:r>
        <w:t xml:space="preserve">. This was based on the definition of bullying set out in Workplace Health and Safety (WHS) regulations (repeated and unreasonable behaviour directed towards a worker or group of workers that creates a risk to health and safety). </w:t>
      </w:r>
    </w:p>
    <w:p w14:paraId="34A41753" w14:textId="77777777" w:rsidR="009C6940" w:rsidRDefault="009C6940" w:rsidP="009C6940">
      <w:pPr>
        <w:pStyle w:val="BodyText"/>
      </w:pPr>
      <w:r>
        <w:t xml:space="preserve">The Australian Workplace Barometer Project indicated that these prevalence rates were higher than in the previous period between 2009 and 2011 where only 7% of workers reported that they had been bullied in the workplace. The growing awareness and media campaigns around the effects of workplace bullying may have resulted in increased prevalence rates as people have become more readily able to recognise bullying </w:t>
      </w:r>
      <w:r w:rsidRPr="00845BDF">
        <w:rPr>
          <w:szCs w:val="24"/>
        </w:rPr>
        <w:t>(Potter, Dollard and Tuckey 2016)</w:t>
      </w:r>
      <w:r>
        <w:t xml:space="preserve">. There has also been an increasing focus on bullying in the workplace by WHS agencies. Safe Work Australia and State and Territory WHS agencies have produced guidelines to assist employers to determine what does and does not constitute workplace bullying. This is to separate out reasonable management action taken in a reasonable way to address workplace performance from bullying behaviour that creates a risk to health and safety (box E.1). </w:t>
      </w:r>
    </w:p>
    <w:p w14:paraId="161F93B0" w14:textId="77777777" w:rsidR="009C6940" w:rsidRDefault="009C6940" w:rsidP="009C6940">
      <w:pPr>
        <w:pStyle w:val="Heading4"/>
      </w:pPr>
      <w:r>
        <w:t>Bullying across different industries</w:t>
      </w:r>
    </w:p>
    <w:p w14:paraId="547173D2" w14:textId="77777777" w:rsidR="009C6940" w:rsidRDefault="009C6940" w:rsidP="009C6940">
      <w:pPr>
        <w:pStyle w:val="BodyText"/>
        <w:spacing w:before="120"/>
      </w:pPr>
      <w:r>
        <w:t>By industry, workplace bullying and harassment (as a share of all serious claims caused by mental stress) was most significant in the manufacturing, financial and insurance services and professional, scientific and technical services industries (figure E.2).</w:t>
      </w:r>
    </w:p>
    <w:p w14:paraId="1F751190" w14:textId="77777777" w:rsidR="009C6940" w:rsidRDefault="009C6940" w:rsidP="009C6940">
      <w:pPr>
        <w:pStyle w:val="BodyText"/>
        <w:spacing w:before="120"/>
      </w:pPr>
      <w:r>
        <w:t>Workplace bullying is found in all workplaces. For example, the Law Council of Australia (sub. 492, p. 29) drew on a survey of the Victorian Bar that asked, ‘How could your quality of working life be improved?’ and the most widely recorded response was, ‘better judicial behaviour’, referring to the prevalence of judicial bullying, including denigration and humiliation of counsel.</w:t>
      </w:r>
    </w:p>
    <w:p w14:paraId="692F85B8" w14:textId="77777777" w:rsidR="009C6940" w:rsidRPr="00484334" w:rsidRDefault="009C6940" w:rsidP="009C6940">
      <w:pPr>
        <w:pStyle w:val="BodyText"/>
        <w:rPr>
          <w:spacing w:val="-4"/>
        </w:rPr>
      </w:pPr>
      <w:r w:rsidRPr="00484334">
        <w:rPr>
          <w:spacing w:val="-4"/>
        </w:rPr>
        <w:t xml:space="preserve">The Victorian Auditor General’s report on bullying and harassment in the Victorian health sector found that while its prevalence was not conclusively known, a recent survey suggested it was widespread in the sector. For example, a 2013 Victorian Public Sector Commission survey reported 25% of health agency employees reported experiencing bullying </w:t>
      </w:r>
      <w:r w:rsidRPr="00484334">
        <w:rPr>
          <w:spacing w:val="-4"/>
          <w:szCs w:val="24"/>
        </w:rPr>
        <w:t>(VAGO 2016)</w:t>
      </w:r>
      <w:r w:rsidRPr="00484334">
        <w:rPr>
          <w:spacing w:val="-4"/>
        </w:rPr>
        <w:t>.</w:t>
      </w:r>
    </w:p>
    <w:p w14:paraId="5F29DDD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B352160" w14:textId="77777777" w:rsidTr="009C6940">
        <w:trPr>
          <w:tblHeader/>
        </w:trPr>
        <w:tc>
          <w:tcPr>
            <w:tcW w:w="5000" w:type="pct"/>
            <w:tcBorders>
              <w:top w:val="single" w:sz="6" w:space="0" w:color="78A22F"/>
              <w:left w:val="nil"/>
              <w:bottom w:val="nil"/>
              <w:right w:val="nil"/>
            </w:tcBorders>
            <w:shd w:val="clear" w:color="auto" w:fill="F2F2F2"/>
          </w:tcPr>
          <w:p w14:paraId="642FDCC3" w14:textId="77777777" w:rsidR="009C6940" w:rsidRDefault="009C6940" w:rsidP="009C6940">
            <w:pPr>
              <w:pStyle w:val="BoxTitle"/>
              <w:spacing w:before="80"/>
            </w:pPr>
            <w:r>
              <w:rPr>
                <w:b w:val="0"/>
              </w:rPr>
              <w:t>Box E.</w:t>
            </w:r>
            <w:r>
              <w:rPr>
                <w:b w:val="0"/>
                <w:noProof/>
              </w:rPr>
              <w:t>1</w:t>
            </w:r>
            <w:r>
              <w:tab/>
              <w:t>What is and what is not workplace bullying?</w:t>
            </w:r>
          </w:p>
        </w:tc>
      </w:tr>
      <w:tr w:rsidR="009C6940" w14:paraId="6DC35C52" w14:textId="77777777" w:rsidTr="009C6940">
        <w:tc>
          <w:tcPr>
            <w:tcW w:w="5000" w:type="pct"/>
            <w:tcBorders>
              <w:top w:val="nil"/>
              <w:left w:val="nil"/>
              <w:bottom w:val="nil"/>
              <w:right w:val="nil"/>
            </w:tcBorders>
            <w:shd w:val="clear" w:color="auto" w:fill="F2F2F2"/>
          </w:tcPr>
          <w:p w14:paraId="604E0F01" w14:textId="77777777" w:rsidR="009C6940" w:rsidRDefault="009C6940" w:rsidP="009C6940">
            <w:pPr>
              <w:pStyle w:val="BoxHeading1"/>
            </w:pPr>
            <w:r>
              <w:t>What is workplace bullying?</w:t>
            </w:r>
          </w:p>
          <w:p w14:paraId="2DA27CDF" w14:textId="77777777" w:rsidR="009C6940" w:rsidRPr="005626CF" w:rsidRDefault="009C6940" w:rsidP="009C6940">
            <w:pPr>
              <w:pStyle w:val="Box"/>
              <w:spacing w:before="60"/>
            </w:pPr>
            <w:r w:rsidRPr="005626CF">
              <w:rPr>
                <w:bCs/>
              </w:rPr>
              <w:t xml:space="preserve">Workplace bullying </w:t>
            </w:r>
            <w:r w:rsidRPr="005626CF">
              <w:t xml:space="preserve">is </w:t>
            </w:r>
            <w:r w:rsidRPr="005626CF">
              <w:rPr>
                <w:iCs/>
              </w:rPr>
              <w:t xml:space="preserve">repeated </w:t>
            </w:r>
            <w:r w:rsidRPr="005626CF">
              <w:t xml:space="preserve">and </w:t>
            </w:r>
            <w:r w:rsidRPr="005626CF">
              <w:rPr>
                <w:iCs/>
              </w:rPr>
              <w:t xml:space="preserve">unreasonable behaviour </w:t>
            </w:r>
            <w:r w:rsidRPr="005626CF">
              <w:t xml:space="preserve">directed towards a worker or a group of workers that </w:t>
            </w:r>
            <w:r w:rsidRPr="005626CF">
              <w:rPr>
                <w:iCs/>
              </w:rPr>
              <w:t xml:space="preserve">creates a risk to health and safety. </w:t>
            </w:r>
            <w:r w:rsidRPr="005626CF">
              <w:rPr>
                <w:bCs/>
              </w:rPr>
              <w:t xml:space="preserve">Repeated behaviour </w:t>
            </w:r>
            <w:r w:rsidRPr="005626CF">
              <w:t xml:space="preserve">refers to the persistent nature of the behaviour and can involve a range of behaviours over time. </w:t>
            </w:r>
            <w:r w:rsidRPr="005626CF">
              <w:rPr>
                <w:bCs/>
              </w:rPr>
              <w:t xml:space="preserve">Unreasonable behaviour </w:t>
            </w:r>
            <w:r w:rsidRPr="005626CF">
              <w:t xml:space="preserve">means behaviour that a reasonable person, having considered the circumstances, would see as unreasonable, including behaviour that is victimising, humiliating, intimidating or threatening. </w:t>
            </w:r>
          </w:p>
          <w:p w14:paraId="4D9D32E1" w14:textId="77777777" w:rsidR="009C6940" w:rsidRDefault="009C6940" w:rsidP="009C6940">
            <w:pPr>
              <w:pStyle w:val="Box"/>
              <w:spacing w:before="60"/>
            </w:pPr>
            <w:r w:rsidRPr="005626CF">
              <w:t xml:space="preserve">Examples of behaviour, whether intentional or unintentional, that may be workplace bullying if they are </w:t>
            </w:r>
            <w:r w:rsidRPr="005626CF">
              <w:rPr>
                <w:bCs/>
                <w:iCs/>
              </w:rPr>
              <w:t>repeated</w:t>
            </w:r>
            <w:r w:rsidRPr="005626CF">
              <w:rPr>
                <w:bCs/>
              </w:rPr>
              <w:t xml:space="preserve">, </w:t>
            </w:r>
            <w:r w:rsidRPr="005626CF">
              <w:rPr>
                <w:bCs/>
                <w:iCs/>
              </w:rPr>
              <w:t xml:space="preserve">unreasonable </w:t>
            </w:r>
            <w:r w:rsidRPr="005626CF">
              <w:t xml:space="preserve">and </w:t>
            </w:r>
            <w:r w:rsidRPr="005626CF">
              <w:rPr>
                <w:bCs/>
                <w:iCs/>
              </w:rPr>
              <w:t xml:space="preserve">create a risk to health and safety </w:t>
            </w:r>
            <w:r>
              <w:t xml:space="preserve">include but are not limited to: abusive, insulting or offensive language or comment; aggressive and intimidating conduct; belittling or humiliating comments; victimisation; practical jokes or initiation; unjustified criticism or complaints; setting tasks that are unreasonably below or beyond a person’s skill level; and spreading misinformation or malicious rumours. </w:t>
            </w:r>
          </w:p>
          <w:p w14:paraId="22B5C09A" w14:textId="77777777" w:rsidR="009C6940" w:rsidRDefault="009C6940" w:rsidP="009C6940">
            <w:pPr>
              <w:pStyle w:val="BoxHeading1"/>
              <w:spacing w:before="120"/>
            </w:pPr>
            <w:r>
              <w:t>What is not workplace bullying?</w:t>
            </w:r>
          </w:p>
          <w:p w14:paraId="31AA85C6" w14:textId="77777777" w:rsidR="009C6940" w:rsidRDefault="009C6940" w:rsidP="009C6940">
            <w:pPr>
              <w:pStyle w:val="Box"/>
              <w:spacing w:before="60"/>
            </w:pPr>
            <w:r>
              <w:t xml:space="preserve">Safe Work Australia points out that a single incident of unreasonable behaviour is not workplace bullying nor is reasonable management action taken to effectively direct and control the way work is carried out. It is reasonable for managers and supervisors to allocate work and give feedback on a worker’s performance. These actions are not workplace bullying if they are carried out in a lawful and reasonable way, taking the particular circumstances into account. </w:t>
            </w:r>
          </w:p>
          <w:p w14:paraId="75DACEC0" w14:textId="77777777" w:rsidR="009C6940" w:rsidRDefault="009C6940" w:rsidP="009C6940">
            <w:pPr>
              <w:pStyle w:val="Box"/>
              <w:spacing w:before="60"/>
            </w:pPr>
            <w:r>
              <w:t>A manager exercising their legitimate authority at work may result in some discomfort for a worker. The question of whether management action is reasonable is determined by considering the actual management action rather than a worker’s perception of it, and where management action involves a significant departure from established policies or procedures and whether the departure was reasonable in the circumstances. The exception or defence based on reasonable management action being undertaken in a reasonable manner in regard to workers compensation claims for psychological injuries is discussed further in chapter 7.</w:t>
            </w:r>
          </w:p>
          <w:p w14:paraId="663A8313" w14:textId="77777777" w:rsidR="009C6940" w:rsidRDefault="009C6940" w:rsidP="009C6940">
            <w:pPr>
              <w:pStyle w:val="Box"/>
              <w:spacing w:before="60"/>
            </w:pPr>
            <w:r>
              <w:t>Differences of opinion and disagreements are generally not workplace bullying. People can have differences or disagreements in the workplace without engaging in repeated, unreasonable behaviour that creates a risk to health and safety. Some people may also take offence at action taken by management, but that does not mean that the management action in itself was unreasonable. However, in some cases conflict that is not managed may escalate to the point where it becomes workplace bullying.</w:t>
            </w:r>
          </w:p>
        </w:tc>
      </w:tr>
      <w:tr w:rsidR="009C6940" w14:paraId="40934E17" w14:textId="77777777" w:rsidTr="009C6940">
        <w:tc>
          <w:tcPr>
            <w:tcW w:w="5000" w:type="pct"/>
            <w:tcBorders>
              <w:top w:val="nil"/>
              <w:left w:val="nil"/>
              <w:bottom w:val="single" w:sz="6" w:space="0" w:color="78A22F"/>
              <w:right w:val="nil"/>
            </w:tcBorders>
            <w:shd w:val="clear" w:color="auto" w:fill="F2F2F2"/>
          </w:tcPr>
          <w:p w14:paraId="7AB9AF9F" w14:textId="77777777" w:rsidR="009C6940" w:rsidRDefault="009C6940" w:rsidP="009C6940">
            <w:pPr>
              <w:pStyle w:val="Box"/>
              <w:spacing w:before="0" w:line="120" w:lineRule="exact"/>
            </w:pPr>
          </w:p>
        </w:tc>
      </w:tr>
      <w:tr w:rsidR="009C6940" w:rsidRPr="000863A5" w14:paraId="7E8F4BF9" w14:textId="77777777" w:rsidTr="009C6940">
        <w:tc>
          <w:tcPr>
            <w:tcW w:w="5000" w:type="pct"/>
            <w:tcBorders>
              <w:top w:val="single" w:sz="6" w:space="0" w:color="78A22F"/>
              <w:left w:val="nil"/>
              <w:bottom w:val="nil"/>
              <w:right w:val="nil"/>
            </w:tcBorders>
          </w:tcPr>
          <w:p w14:paraId="6E278E69" w14:textId="77777777" w:rsidR="009C6940" w:rsidRPr="00626D32" w:rsidRDefault="009C6940" w:rsidP="009C6940">
            <w:pPr>
              <w:pStyle w:val="BoxSpaceBelow"/>
            </w:pPr>
          </w:p>
        </w:tc>
      </w:tr>
    </w:tbl>
    <w:p w14:paraId="5A629D25" w14:textId="77777777" w:rsidR="009C6940" w:rsidRDefault="009C6940" w:rsidP="009C6940">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6E371C2" w14:textId="77777777" w:rsidTr="009C6940">
        <w:trPr>
          <w:tblHeader/>
        </w:trPr>
        <w:tc>
          <w:tcPr>
            <w:tcW w:w="5000" w:type="pct"/>
            <w:tcBorders>
              <w:top w:val="single" w:sz="6" w:space="0" w:color="78A22F"/>
              <w:left w:val="nil"/>
              <w:bottom w:val="nil"/>
              <w:right w:val="nil"/>
            </w:tcBorders>
            <w:shd w:val="clear" w:color="auto" w:fill="auto"/>
          </w:tcPr>
          <w:p w14:paraId="143380DE" w14:textId="77777777" w:rsidR="009C6940" w:rsidRPr="00176D3F" w:rsidRDefault="009C6940" w:rsidP="009C6940">
            <w:pPr>
              <w:pStyle w:val="FigureTitle"/>
            </w:pPr>
            <w:r w:rsidRPr="00784A05">
              <w:rPr>
                <w:b w:val="0"/>
              </w:rPr>
              <w:t xml:space="preserve">Figure </w:t>
            </w:r>
            <w:r>
              <w:rPr>
                <w:b w:val="0"/>
              </w:rPr>
              <w:t>E.</w:t>
            </w:r>
            <w:r>
              <w:rPr>
                <w:b w:val="0"/>
                <w:noProof/>
              </w:rPr>
              <w:t>2</w:t>
            </w:r>
            <w:r>
              <w:tab/>
              <w:t>Workplace harassment/bullying as share of all serious claims caused by mental stress, selected industries 2017</w:t>
            </w:r>
            <w:r>
              <w:noBreakHyphen/>
              <w:t>18</w:t>
            </w:r>
            <w:r w:rsidRPr="00EC26E1">
              <w:rPr>
                <w:rStyle w:val="NoteLabel"/>
                <w:b/>
              </w:rPr>
              <w:t>a</w:t>
            </w:r>
            <w:r>
              <w:rPr>
                <w:rStyle w:val="NoteLabel"/>
                <w:b/>
              </w:rPr>
              <w:t>,b</w:t>
            </w:r>
          </w:p>
        </w:tc>
      </w:tr>
      <w:tr w:rsidR="009C6940" w14:paraId="609C554A" w14:textId="77777777" w:rsidTr="009C6940">
        <w:tc>
          <w:tcPr>
            <w:tcW w:w="5000" w:type="pct"/>
            <w:tcBorders>
              <w:top w:val="nil"/>
              <w:left w:val="nil"/>
              <w:bottom w:val="nil"/>
              <w:right w:val="nil"/>
            </w:tcBorders>
            <w:shd w:val="clear" w:color="auto" w:fill="auto"/>
            <w:tcMar>
              <w:top w:w="28" w:type="dxa"/>
              <w:bottom w:w="28" w:type="dxa"/>
            </w:tcMar>
          </w:tcPr>
          <w:p w14:paraId="2E8FE04A" w14:textId="77777777" w:rsidR="009C6940" w:rsidRDefault="009C6940" w:rsidP="009C6940">
            <w:pPr>
              <w:pStyle w:val="Figure"/>
            </w:pPr>
            <w:r w:rsidRPr="00E85588">
              <w:rPr>
                <w:noProof/>
              </w:rPr>
              <w:drawing>
                <wp:inline distT="0" distB="0" distL="0" distR="0" wp14:anchorId="604D8DEB" wp14:editId="1A4A5E98">
                  <wp:extent cx="5402580" cy="2880360"/>
                  <wp:effectExtent l="0" t="0" r="7620" b="0"/>
                  <wp:docPr id="22" name="Picture 22" descr="A bar graph showing that by industry, workplace bullying and harassment (as a share of all serious claims caused by mental stress) was most significant in the professional, scientific and technical services, construction and manufacturing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02580" cy="2880360"/>
                          </a:xfrm>
                          <a:prstGeom prst="rect">
                            <a:avLst/>
                          </a:prstGeom>
                          <a:noFill/>
                          <a:ln>
                            <a:noFill/>
                          </a:ln>
                        </pic:spPr>
                      </pic:pic>
                    </a:graphicData>
                  </a:graphic>
                </wp:inline>
              </w:drawing>
            </w:r>
          </w:p>
        </w:tc>
      </w:tr>
      <w:tr w:rsidR="009C6940" w:rsidRPr="00176D3F" w14:paraId="35F6BE76" w14:textId="77777777" w:rsidTr="009C6940">
        <w:tc>
          <w:tcPr>
            <w:tcW w:w="5000" w:type="pct"/>
            <w:tcBorders>
              <w:top w:val="nil"/>
              <w:left w:val="nil"/>
              <w:bottom w:val="nil"/>
              <w:right w:val="nil"/>
            </w:tcBorders>
            <w:shd w:val="clear" w:color="auto" w:fill="auto"/>
          </w:tcPr>
          <w:p w14:paraId="6880F2FD" w14:textId="77777777" w:rsidR="009C6940" w:rsidRPr="00176D3F" w:rsidRDefault="009C6940" w:rsidP="009C6940">
            <w:pPr>
              <w:pStyle w:val="Note"/>
            </w:pPr>
            <w:r w:rsidRPr="00EC26E1">
              <w:rPr>
                <w:rStyle w:val="NoteLabel"/>
              </w:rPr>
              <w:t>a</w:t>
            </w:r>
            <w:r>
              <w:t xml:space="preserve"> Data for 2017</w:t>
            </w:r>
            <w:r>
              <w:noBreakHyphen/>
              <w:t>18</w:t>
            </w:r>
            <w:r w:rsidRPr="00EC26E1">
              <w:t xml:space="preserve"> is provisional and does not include claims data from Victoria</w:t>
            </w:r>
            <w:r>
              <w:t xml:space="preserve">. </w:t>
            </w:r>
            <w:r w:rsidRPr="00EC26E1">
              <w:rPr>
                <w:rStyle w:val="NoteLabel"/>
              </w:rPr>
              <w:t>b</w:t>
            </w:r>
            <w:r>
              <w:t xml:space="preserve"> Serious claims are those that resulted in a least a week’s absence from work.</w:t>
            </w:r>
          </w:p>
        </w:tc>
      </w:tr>
      <w:tr w:rsidR="009C6940" w:rsidRPr="00176D3F" w14:paraId="445FF63E" w14:textId="77777777" w:rsidTr="009C6940">
        <w:tc>
          <w:tcPr>
            <w:tcW w:w="5000" w:type="pct"/>
            <w:tcBorders>
              <w:top w:val="nil"/>
              <w:left w:val="nil"/>
              <w:bottom w:val="nil"/>
              <w:right w:val="nil"/>
            </w:tcBorders>
            <w:shd w:val="clear" w:color="auto" w:fill="auto"/>
          </w:tcPr>
          <w:p w14:paraId="55F57395" w14:textId="77777777" w:rsidR="009C6940" w:rsidRPr="00176D3F" w:rsidRDefault="009C6940" w:rsidP="009C6940">
            <w:pPr>
              <w:pStyle w:val="Source"/>
            </w:pPr>
            <w:r>
              <w:rPr>
                <w:i/>
              </w:rPr>
              <w:t>S</w:t>
            </w:r>
            <w:r w:rsidRPr="00784A05">
              <w:rPr>
                <w:i/>
              </w:rPr>
              <w:t>ource</w:t>
            </w:r>
            <w:r w:rsidRPr="00176D3F">
              <w:t xml:space="preserve">: </w:t>
            </w:r>
            <w:r w:rsidRPr="004518A3">
              <w:t>Safe Work Australia</w:t>
            </w:r>
            <w:r>
              <w:t>’</w:t>
            </w:r>
            <w:r w:rsidRPr="004518A3">
              <w:t>s National Data</w:t>
            </w:r>
            <w:r>
              <w:noBreakHyphen/>
            </w:r>
            <w:r w:rsidRPr="004518A3">
              <w:t>Set for Compensation</w:t>
            </w:r>
            <w:r>
              <w:noBreakHyphen/>
            </w:r>
            <w:r w:rsidRPr="004518A3">
              <w:t>based Statistics</w:t>
            </w:r>
            <w:r>
              <w:t>.</w:t>
            </w:r>
          </w:p>
        </w:tc>
      </w:tr>
      <w:tr w:rsidR="009C6940" w14:paraId="4CBC03BC" w14:textId="77777777" w:rsidTr="009C6940">
        <w:tc>
          <w:tcPr>
            <w:tcW w:w="5000" w:type="pct"/>
            <w:tcBorders>
              <w:top w:val="nil"/>
              <w:left w:val="nil"/>
              <w:bottom w:val="single" w:sz="6" w:space="0" w:color="78A22F"/>
              <w:right w:val="nil"/>
            </w:tcBorders>
            <w:shd w:val="clear" w:color="auto" w:fill="auto"/>
          </w:tcPr>
          <w:p w14:paraId="30767D91" w14:textId="77777777" w:rsidR="009C6940" w:rsidRDefault="009C6940" w:rsidP="009C6940">
            <w:pPr>
              <w:pStyle w:val="Figurespace"/>
            </w:pPr>
          </w:p>
        </w:tc>
      </w:tr>
      <w:tr w:rsidR="009C6940" w:rsidRPr="000863A5" w14:paraId="59E96270" w14:textId="77777777" w:rsidTr="009C6940">
        <w:tc>
          <w:tcPr>
            <w:tcW w:w="5000" w:type="pct"/>
            <w:tcBorders>
              <w:top w:val="single" w:sz="6" w:space="0" w:color="78A22F"/>
              <w:left w:val="nil"/>
              <w:bottom w:val="nil"/>
              <w:right w:val="nil"/>
            </w:tcBorders>
          </w:tcPr>
          <w:p w14:paraId="63E817E4" w14:textId="77777777" w:rsidR="009C6940" w:rsidRPr="00626D32" w:rsidRDefault="009C6940" w:rsidP="009C6940">
            <w:pPr>
              <w:pStyle w:val="BoxSpaceBelow"/>
            </w:pPr>
          </w:p>
        </w:tc>
      </w:tr>
    </w:tbl>
    <w:p w14:paraId="69725001" w14:textId="77777777" w:rsidR="009C6940" w:rsidRDefault="009C6940" w:rsidP="009C6940">
      <w:pPr>
        <w:pStyle w:val="Heading4"/>
      </w:pPr>
      <w:r>
        <w:t>Bullying across jurisdictions</w:t>
      </w:r>
    </w:p>
    <w:p w14:paraId="61743717" w14:textId="77777777" w:rsidR="009C6940" w:rsidRDefault="009C6940" w:rsidP="009C6940">
      <w:pPr>
        <w:pStyle w:val="BodyText"/>
      </w:pPr>
      <w:r>
        <w:t>By jurisdiction, accepted workers compensations claims for bullying and harassment as share of all mental health</w:t>
      </w:r>
      <w:r>
        <w:noBreakHyphen/>
        <w:t>related claims vary. Of the jurisdictions that provided data to the Productivity Commission, these claims as a share of all accepted mental health claims ranged from just over 18% to 40%.</w:t>
      </w:r>
    </w:p>
    <w:p w14:paraId="42724971" w14:textId="77777777" w:rsidR="009C6940" w:rsidRDefault="009C6940" w:rsidP="009C6940">
      <w:pPr>
        <w:pStyle w:val="Heading4"/>
      </w:pPr>
      <w:r>
        <w:t>Workers compensation claims for bullying are likely to be rejected</w:t>
      </w:r>
    </w:p>
    <w:p w14:paraId="357856F5" w14:textId="77777777" w:rsidR="009C6940" w:rsidRDefault="009C6940" w:rsidP="009C6940">
      <w:pPr>
        <w:pStyle w:val="BodyText"/>
      </w:pPr>
      <w:r>
        <w:t>As noted in chapter 7, mental health</w:t>
      </w:r>
      <w:r>
        <w:noBreakHyphen/>
        <w:t>related workers compensation claims are more likely to be rejected than non</w:t>
      </w:r>
      <w:r>
        <w:noBreakHyphen/>
        <w:t>mental health</w:t>
      </w:r>
      <w:r>
        <w:noBreakHyphen/>
        <w:t>related claims, with about 25% to 60% of claims rejected depending on the jurisdiction (figure 7.4). For workers compensation claims relating to bullying and harassment, rejection rates ranged from 30% to nearly 80%, for those jurisdictions where data was provided. Women accounted for a higher proportion of accepted work</w:t>
      </w:r>
      <w:r>
        <w:noBreakHyphen/>
        <w:t>related mental health claims between 2012</w:t>
      </w:r>
      <w:r>
        <w:noBreakHyphen/>
        <w:t>13 and 2016</w:t>
      </w:r>
      <w:r>
        <w:noBreakHyphen/>
        <w:t xml:space="preserve">17 compared with men (chapter 7; figure E.3). </w:t>
      </w:r>
    </w:p>
    <w:p w14:paraId="64ACC5DA"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F686D7C" w14:textId="77777777" w:rsidTr="009C6940">
        <w:trPr>
          <w:tblHeader/>
        </w:trPr>
        <w:tc>
          <w:tcPr>
            <w:tcW w:w="5000" w:type="pct"/>
            <w:tcBorders>
              <w:top w:val="single" w:sz="6" w:space="0" w:color="78A22F"/>
              <w:left w:val="nil"/>
              <w:bottom w:val="nil"/>
              <w:right w:val="nil"/>
            </w:tcBorders>
            <w:shd w:val="clear" w:color="auto" w:fill="auto"/>
          </w:tcPr>
          <w:p w14:paraId="532F15A9" w14:textId="77777777" w:rsidR="009C6940" w:rsidRDefault="009C6940" w:rsidP="009C6940">
            <w:pPr>
              <w:pStyle w:val="FigureTitle"/>
            </w:pPr>
            <w:r w:rsidRPr="00784A05">
              <w:rPr>
                <w:b w:val="0"/>
              </w:rPr>
              <w:t xml:space="preserve">Figure </w:t>
            </w:r>
            <w:r>
              <w:rPr>
                <w:b w:val="0"/>
              </w:rPr>
              <w:t>E.</w:t>
            </w:r>
            <w:r>
              <w:rPr>
                <w:b w:val="0"/>
                <w:noProof/>
              </w:rPr>
              <w:t>3</w:t>
            </w:r>
            <w:r>
              <w:tab/>
              <w:t>Serious workers compensation claims for bullying, by gender, selected jurisdictions</w:t>
            </w:r>
            <w:r w:rsidRPr="005666CC">
              <w:rPr>
                <w:rStyle w:val="NoteLabel"/>
                <w:b/>
              </w:rPr>
              <w:t>a</w:t>
            </w:r>
          </w:p>
          <w:p w14:paraId="505EC996" w14:textId="77777777" w:rsidR="009C6940" w:rsidRPr="00176D3F" w:rsidRDefault="009C6940" w:rsidP="009C6940">
            <w:pPr>
              <w:pStyle w:val="Subtitle"/>
            </w:pPr>
            <w:r>
              <w:t>(Five year average from 2014</w:t>
            </w:r>
            <w:r>
              <w:noBreakHyphen/>
              <w:t>15 to 2018</w:t>
            </w:r>
            <w:r>
              <w:noBreakHyphen/>
              <w:t>19)</w:t>
            </w:r>
          </w:p>
        </w:tc>
      </w:tr>
      <w:tr w:rsidR="009C6940" w14:paraId="781EB633" w14:textId="77777777" w:rsidTr="009C6940">
        <w:tc>
          <w:tcPr>
            <w:tcW w:w="5000" w:type="pct"/>
            <w:tcBorders>
              <w:top w:val="nil"/>
              <w:left w:val="nil"/>
              <w:bottom w:val="nil"/>
              <w:right w:val="nil"/>
            </w:tcBorders>
            <w:shd w:val="clear" w:color="auto" w:fill="auto"/>
            <w:tcMar>
              <w:top w:w="28" w:type="dxa"/>
              <w:bottom w:w="28" w:type="dxa"/>
            </w:tcMar>
          </w:tcPr>
          <w:p w14:paraId="443D20C3" w14:textId="77777777" w:rsidR="009C6940" w:rsidRDefault="009C6940" w:rsidP="009C6940">
            <w:pPr>
              <w:pStyle w:val="Figure"/>
            </w:pPr>
            <w:r w:rsidRPr="00397AD7">
              <w:rPr>
                <w:noProof/>
              </w:rPr>
              <w:drawing>
                <wp:inline distT="0" distB="0" distL="0" distR="0" wp14:anchorId="321BA81D" wp14:editId="6A0D3188">
                  <wp:extent cx="5396230" cy="2881630"/>
                  <wp:effectExtent l="0" t="0" r="0" b="0"/>
                  <wp:docPr id="23" name="Picture 23" descr="A bar graph shows that females accounted for around 66% of accepted claims for bullying compared to 34% for males. This was based on a five year average from 2014-15 to 2018-19 drawing on data provided by State and Territory workers compensation agencies and Com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96230" cy="2881630"/>
                          </a:xfrm>
                          <a:prstGeom prst="rect">
                            <a:avLst/>
                          </a:prstGeom>
                          <a:noFill/>
                          <a:ln>
                            <a:noFill/>
                          </a:ln>
                        </pic:spPr>
                      </pic:pic>
                    </a:graphicData>
                  </a:graphic>
                </wp:inline>
              </w:drawing>
            </w:r>
          </w:p>
        </w:tc>
      </w:tr>
      <w:tr w:rsidR="009C6940" w:rsidRPr="00176D3F" w14:paraId="4498BE6D" w14:textId="77777777" w:rsidTr="009C6940">
        <w:tc>
          <w:tcPr>
            <w:tcW w:w="5000" w:type="pct"/>
            <w:tcBorders>
              <w:top w:val="nil"/>
              <w:left w:val="nil"/>
              <w:bottom w:val="nil"/>
              <w:right w:val="nil"/>
            </w:tcBorders>
            <w:shd w:val="clear" w:color="auto" w:fill="auto"/>
          </w:tcPr>
          <w:p w14:paraId="4D40A8CE" w14:textId="77777777" w:rsidR="009C6940" w:rsidRPr="00176D3F" w:rsidRDefault="009C6940" w:rsidP="009C6940">
            <w:pPr>
              <w:pStyle w:val="Note"/>
            </w:pPr>
            <w:r w:rsidRPr="005666CC">
              <w:rPr>
                <w:rStyle w:val="NoteLabel"/>
              </w:rPr>
              <w:t>a</w:t>
            </w:r>
            <w:r>
              <w:t xml:space="preserve"> Does not include Victoria.</w:t>
            </w:r>
          </w:p>
        </w:tc>
      </w:tr>
      <w:tr w:rsidR="009C6940" w:rsidRPr="00176D3F" w14:paraId="2DD624FD" w14:textId="77777777" w:rsidTr="009C6940">
        <w:tc>
          <w:tcPr>
            <w:tcW w:w="5000" w:type="pct"/>
            <w:tcBorders>
              <w:top w:val="nil"/>
              <w:left w:val="nil"/>
              <w:bottom w:val="nil"/>
              <w:right w:val="nil"/>
            </w:tcBorders>
            <w:shd w:val="clear" w:color="auto" w:fill="auto"/>
          </w:tcPr>
          <w:p w14:paraId="32CE4267"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73D5F9DD" w14:textId="77777777" w:rsidTr="009C6940">
        <w:tc>
          <w:tcPr>
            <w:tcW w:w="5000" w:type="pct"/>
            <w:tcBorders>
              <w:top w:val="nil"/>
              <w:left w:val="nil"/>
              <w:bottom w:val="single" w:sz="6" w:space="0" w:color="78A22F"/>
              <w:right w:val="nil"/>
            </w:tcBorders>
            <w:shd w:val="clear" w:color="auto" w:fill="auto"/>
          </w:tcPr>
          <w:p w14:paraId="0B55C0E6" w14:textId="77777777" w:rsidR="009C6940" w:rsidRDefault="009C6940" w:rsidP="009C6940">
            <w:pPr>
              <w:pStyle w:val="Figurespace"/>
            </w:pPr>
          </w:p>
        </w:tc>
      </w:tr>
      <w:tr w:rsidR="009C6940" w:rsidRPr="000863A5" w14:paraId="04BCE483" w14:textId="77777777" w:rsidTr="009C6940">
        <w:tc>
          <w:tcPr>
            <w:tcW w:w="5000" w:type="pct"/>
            <w:tcBorders>
              <w:top w:val="single" w:sz="6" w:space="0" w:color="78A22F"/>
              <w:left w:val="nil"/>
              <w:bottom w:val="nil"/>
              <w:right w:val="nil"/>
            </w:tcBorders>
          </w:tcPr>
          <w:p w14:paraId="72DF89F8" w14:textId="77777777" w:rsidR="009C6940" w:rsidRPr="00626D32" w:rsidRDefault="009C6940" w:rsidP="009C6940">
            <w:pPr>
              <w:pStyle w:val="BoxSpaceBelow"/>
            </w:pPr>
          </w:p>
        </w:tc>
      </w:tr>
    </w:tbl>
    <w:p w14:paraId="5D971AFA" w14:textId="77777777" w:rsidR="009C6940" w:rsidRDefault="009C6940" w:rsidP="009C6940">
      <w:pPr>
        <w:pStyle w:val="Heading4"/>
        <w:spacing w:before="360"/>
      </w:pPr>
      <w:r>
        <w:t>What drives workplace bullying?</w:t>
      </w:r>
    </w:p>
    <w:p w14:paraId="08F2DB2A" w14:textId="77777777" w:rsidR="009C6940" w:rsidRDefault="009C6940" w:rsidP="009C6940">
      <w:pPr>
        <w:pStyle w:val="BodyText"/>
      </w:pPr>
      <w:r>
        <w:t xml:space="preserve">There are a number of reasons why workplace bullying occurs. A lack of managerial regard for the psychological health of their employees or a poor psychosocial safety climate has been associated with bullying (chapter 7). Other causes include the use of bullying to increase the productivity of the workforce, or as a means of maintaining power and status within a workplace. Poor quality work with poorly designed jobs and tasks, with high levels of demand, but low levels of control are also considered to give rise to bullying in the workplace </w:t>
      </w:r>
      <w:r w:rsidRPr="00845BDF">
        <w:rPr>
          <w:szCs w:val="24"/>
        </w:rPr>
        <w:t>(Potter, Dollard and Tuckey 2016)</w:t>
      </w:r>
      <w:r>
        <w:t>.</w:t>
      </w:r>
    </w:p>
    <w:p w14:paraId="67CE94C6" w14:textId="77777777" w:rsidR="009C6940" w:rsidRDefault="009C6940" w:rsidP="009C6940">
      <w:pPr>
        <w:pStyle w:val="BodyText"/>
      </w:pPr>
      <w:r w:rsidRPr="00651CB3">
        <w:t>The Productivity Commission heard personal stories of workplace bullying (for example, Jane Jervis, sub. 593; Joyce Noronha-Barrett, sub. 518). In some cases, people have felt that being good at a job is a risk factor for bullying, as it may cause envy among co</w:t>
      </w:r>
      <w:r>
        <w:t>-</w:t>
      </w:r>
      <w:r w:rsidRPr="00651CB3">
        <w:t>workers (confidential personal communication).</w:t>
      </w:r>
    </w:p>
    <w:p w14:paraId="7B2E6ACF" w14:textId="77777777" w:rsidR="009C6940" w:rsidRDefault="009C6940" w:rsidP="009C6940">
      <w:pPr>
        <w:pStyle w:val="Heading3"/>
      </w:pPr>
      <w:r>
        <w:t>Bullying versus harassment</w:t>
      </w:r>
    </w:p>
    <w:p w14:paraId="3EC48335" w14:textId="77777777" w:rsidR="009C6940" w:rsidRDefault="009C6940" w:rsidP="009C6940">
      <w:pPr>
        <w:pStyle w:val="BodyText"/>
      </w:pPr>
      <w:r>
        <w:t xml:space="preserve">While often mentioned in tandem, bullying is considered to be different from harassment. Bullying involves repeated unreasonable behaviour whereas harassment can be inferred from a single incident. Safe Work Australia defines harassment as unwelcome behaviour </w:t>
      </w:r>
      <w:r>
        <w:lastRenderedPageBreak/>
        <w:t xml:space="preserve">that intimidates, offends or humiliates a person and may involve sexual harassment or unlawful discrimination (whereby an individual or group of people are treated unfairly or less favourably based on a particular characteristic or due to belonging to a particular group of people) </w:t>
      </w:r>
      <w:r w:rsidRPr="00A77DEA">
        <w:rPr>
          <w:szCs w:val="24"/>
        </w:rPr>
        <w:t>(Safe Work Australia 2016)</w:t>
      </w:r>
      <w:r>
        <w:t xml:space="preserve">. It is also described as unwanted behaviour that offends, humiliates or intimidates a person and targets them on the basis of a characteristic such as race, gender or ethnicity. While the terms are often used interchangeably and share similar antecedents, bullying is viewed by some as being more severe than harassment </w:t>
      </w:r>
      <w:r w:rsidRPr="00845BDF">
        <w:rPr>
          <w:szCs w:val="24"/>
        </w:rPr>
        <w:t>(Potter, Dollard and Tuckey 2016)</w:t>
      </w:r>
      <w:r>
        <w:t xml:space="preserve">. </w:t>
      </w:r>
    </w:p>
    <w:p w14:paraId="13EA5369" w14:textId="77777777" w:rsidR="009C6940" w:rsidRDefault="009C6940" w:rsidP="009C6940">
      <w:pPr>
        <w:pStyle w:val="BodyText"/>
      </w:pPr>
      <w:r>
        <w:t>Harassment is typically addressed through anti</w:t>
      </w:r>
      <w:r>
        <w:noBreakHyphen/>
        <w:t xml:space="preserve">discrimination legislation (such as the </w:t>
      </w:r>
      <w:r w:rsidRPr="00D7737E">
        <w:rPr>
          <w:i/>
        </w:rPr>
        <w:t>Sex Discrimination Act 1984</w:t>
      </w:r>
      <w:r>
        <w:t xml:space="preserve"> (Cth), </w:t>
      </w:r>
      <w:r w:rsidRPr="00D7737E">
        <w:rPr>
          <w:i/>
        </w:rPr>
        <w:t>Racial Discrimination Act 1975</w:t>
      </w:r>
      <w:r>
        <w:t xml:space="preserve"> (Cth) and the </w:t>
      </w:r>
      <w:r w:rsidRPr="00D7737E">
        <w:rPr>
          <w:i/>
        </w:rPr>
        <w:t>Disability Discrimination Act 1992</w:t>
      </w:r>
      <w:r>
        <w:t xml:space="preserve"> (Cth)) rather than WHS and enables a victim of harassment to make a complaint to an external agency and, in effect, launch legal proceedings against the employer </w:t>
      </w:r>
      <w:r w:rsidRPr="00D7737E">
        <w:rPr>
          <w:rFonts w:cs="Arial"/>
          <w:szCs w:val="24"/>
        </w:rPr>
        <w:t>(Power 2017)</w:t>
      </w:r>
      <w:r>
        <w:t xml:space="preserve">. </w:t>
      </w:r>
    </w:p>
    <w:p w14:paraId="1F8E9DBE" w14:textId="77777777" w:rsidR="009C6940" w:rsidRDefault="009C6940" w:rsidP="009C6940">
      <w:pPr>
        <w:pStyle w:val="BodyText"/>
      </w:pPr>
      <w:r>
        <w:t>Anti</w:t>
      </w:r>
      <w:r>
        <w:noBreakHyphen/>
        <w:t>discrimination legislation provides for a prohibition of certain behaviour whereas WHS imposes a positive obligation to prevent harm. Enforcement under anti</w:t>
      </w:r>
      <w:r>
        <w:noBreakHyphen/>
        <w:t>discrimination legislation is mainly through an individual making a complaint followed by a private confidential conciliation process with the remedies granted primarily in the form of compensation to the complainant. With anti</w:t>
      </w:r>
      <w:r>
        <w:noBreakHyphen/>
        <w:t xml:space="preserve">discrimination legislation, enforcement rights are with the individual and, unlike with WHS regimes, there is no government agency in place to identify and prosecute any breaches </w:t>
      </w:r>
      <w:r w:rsidRPr="007C6D69">
        <w:rPr>
          <w:szCs w:val="24"/>
        </w:rPr>
        <w:t>(Smith, Schleiger and Elphick 2020)</w:t>
      </w:r>
      <w:r>
        <w:t xml:space="preserve">. </w:t>
      </w:r>
    </w:p>
    <w:p w14:paraId="3D463726" w14:textId="77777777" w:rsidR="009C6940" w:rsidRDefault="009C6940" w:rsidP="009C6940">
      <w:pPr>
        <w:pStyle w:val="Heading3"/>
      </w:pPr>
      <w:r>
        <w:t>The estimated costs of bullying</w:t>
      </w:r>
    </w:p>
    <w:p w14:paraId="49BE7E54" w14:textId="77777777" w:rsidR="009C6940" w:rsidRDefault="009C6940" w:rsidP="009C6940">
      <w:pPr>
        <w:pStyle w:val="BodyText"/>
      </w:pPr>
      <w:r>
        <w:t xml:space="preserve">The costs of bullying in the workplace are estimates. In 2010, the Productivity Commission reported an estimated cost to business of between $17 billion and $36 billion — this estimate was founded on work by Sheehan et al. </w:t>
      </w:r>
      <w:r w:rsidRPr="00374CE5">
        <w:t>(2001)</w:t>
      </w:r>
      <w:r>
        <w:t xml:space="preserve"> using an estimated prevalence rate of 15% (based on the approximate mid</w:t>
      </w:r>
      <w:r>
        <w:noBreakHyphen/>
        <w:t xml:space="preserve">point of two international estimates). Applying a more conservative international prevalence rate of 3.5%, produced an estimated annual cost to business of between $6 billion and $13 billion </w:t>
      </w:r>
      <w:r w:rsidRPr="00B0637A">
        <w:rPr>
          <w:szCs w:val="24"/>
        </w:rPr>
        <w:t>(PC 2010)</w:t>
      </w:r>
      <w:r>
        <w:t xml:space="preserve">. </w:t>
      </w:r>
    </w:p>
    <w:p w14:paraId="2C0127F8" w14:textId="77777777" w:rsidR="009C6940" w:rsidRPr="00CC0C70" w:rsidRDefault="009C6940" w:rsidP="009C6940">
      <w:pPr>
        <w:pStyle w:val="BodyText"/>
      </w:pPr>
      <w:r>
        <w:t>The $36 </w:t>
      </w:r>
      <w:r w:rsidRPr="00CC0C70">
        <w:t>billion figure (the upper estimate at the higher prevalence rate</w:t>
      </w:r>
      <w:r>
        <w:t>)</w:t>
      </w:r>
      <w:r w:rsidRPr="00CC0C70">
        <w:t xml:space="preserve"> has since </w:t>
      </w:r>
      <w:r>
        <w:t xml:space="preserve">often </w:t>
      </w:r>
      <w:r w:rsidRPr="00CC0C70">
        <w:t xml:space="preserve">been referred to as the annual cost of workplace bullying in Australia. More recent estimates undertaken by the </w:t>
      </w:r>
      <w:r>
        <w:t xml:space="preserve">Productivity </w:t>
      </w:r>
      <w:r w:rsidRPr="00CC0C70">
        <w:t xml:space="preserve">Commission </w:t>
      </w:r>
      <w:r>
        <w:t xml:space="preserve">for this Inquiry </w:t>
      </w:r>
      <w:r w:rsidRPr="00CC0C70">
        <w:t>using the same methodology, but with a prevalence rate of 9.4% (as estimated by the Australian Workplace Barometer study) and adjusting for population growth and inflation</w:t>
      </w:r>
      <w:r>
        <w:t>,</w:t>
      </w:r>
      <w:r w:rsidRPr="00CC0C70">
        <w:t xml:space="preserve"> produced a</w:t>
      </w:r>
      <w:r>
        <w:t>n estimated cost of between $22 </w:t>
      </w:r>
      <w:r w:rsidRPr="00CC0C70">
        <w:t>billion and $47.4 billion wi</w:t>
      </w:r>
      <w:r>
        <w:t>th a midpoint estimate of $34.7 </w:t>
      </w:r>
      <w:r w:rsidRPr="00CC0C70">
        <w:t xml:space="preserve">billion in 2018. </w:t>
      </w:r>
    </w:p>
    <w:p w14:paraId="43672B90" w14:textId="77777777" w:rsidR="009C6940" w:rsidRDefault="009C6940" w:rsidP="009C6940">
      <w:pPr>
        <w:pStyle w:val="BodyText"/>
      </w:pPr>
      <w:r>
        <w:t xml:space="preserve">These costs include loss of productivity, absenteeism, legal and compensation costs and redundancy and early retirement payouts. There are also the costs to management in dealing with bullying claims, investigating these claims, and workplace support measures and services provided to workers, such as though counselling. </w:t>
      </w:r>
    </w:p>
    <w:p w14:paraId="67FEFE50" w14:textId="77777777" w:rsidR="009C6940" w:rsidRDefault="009C6940" w:rsidP="009C6940">
      <w:pPr>
        <w:pStyle w:val="BodyText"/>
      </w:pPr>
      <w:r>
        <w:lastRenderedPageBreak/>
        <w:t>Where bullying cases enter into the public domain there is also the risk of damage to the brand and goodwill of a business. There are also significant costs imposed on the victims of bullying, including isolation and withdrawal, fear of dismissal, stress and anxiety, low self</w:t>
      </w:r>
      <w:r>
        <w:noBreakHyphen/>
        <w:t>esteem and any related physical symptoms. Wider costs to the community can include any health and medical costs required to treat a victim of bullying, income support and other government benefits provided to victims of bullying who become unemployed.</w:t>
      </w:r>
    </w:p>
    <w:p w14:paraId="3C6F3C72" w14:textId="77777777" w:rsidR="009C6940" w:rsidRDefault="009C6940" w:rsidP="009C6940">
      <w:pPr>
        <w:pStyle w:val="BodyText"/>
      </w:pPr>
      <w:r>
        <w:t xml:space="preserve">In addition to the psychological harm that workplace bullying can cause, it can also impact on the physical health of the victim resulting in further costs due to their inability to participate and be productive. There is also the potential impact on bystanders who have observed the behaviour who may then withdraw themselves to avoid becoming a victim or suffer vicariously, whereas other bystanders may align themselves with the perpetrator or perpetrators to protect themselves (Working Well Together, sub. 266). </w:t>
      </w:r>
    </w:p>
    <w:p w14:paraId="126EC526" w14:textId="77777777" w:rsidR="009C6940" w:rsidRDefault="009C6940" w:rsidP="009C6940">
      <w:pPr>
        <w:pStyle w:val="Heading3"/>
        <w:spacing w:before="480"/>
      </w:pPr>
      <w:r>
        <w:t>WHS and workplace bullying</w:t>
      </w:r>
    </w:p>
    <w:p w14:paraId="3E8DED37" w14:textId="77777777" w:rsidR="009C6940" w:rsidRDefault="009C6940" w:rsidP="009C6940">
      <w:pPr>
        <w:pStyle w:val="BodyText"/>
      </w:pPr>
      <w:r w:rsidRPr="009A4897">
        <w:t xml:space="preserve">The responsibility to prevent workplace bullying is contained in WHS legislation </w:t>
      </w:r>
      <w:r>
        <w:t xml:space="preserve">through </w:t>
      </w:r>
      <w:r w:rsidRPr="009A4897">
        <w:t>the duty of care held by employers to provide a healthy and safe working environment for their workers. Workers also have the duty to ensure their actions</w:t>
      </w:r>
      <w:r>
        <w:t xml:space="preserve">, including their behaviour towards others, </w:t>
      </w:r>
      <w:r w:rsidRPr="009A4897">
        <w:t xml:space="preserve">do not constitute a risk to </w:t>
      </w:r>
      <w:r>
        <w:t xml:space="preserve">the </w:t>
      </w:r>
      <w:r w:rsidRPr="009A4897">
        <w:t xml:space="preserve">health and safety </w:t>
      </w:r>
      <w:r>
        <w:t>of themselves or other people in</w:t>
      </w:r>
      <w:r w:rsidRPr="009A4897">
        <w:t xml:space="preserve"> the workplace. </w:t>
      </w:r>
      <w:r>
        <w:t>While there is no explicit prohibition of bullying in WHS legislation, there is an implied duty of care, Safe Work Australia noted:</w:t>
      </w:r>
    </w:p>
    <w:p w14:paraId="65D22979" w14:textId="77777777" w:rsidR="009C6940" w:rsidRPr="009A4897" w:rsidRDefault="009C6940" w:rsidP="009C6940">
      <w:pPr>
        <w:pStyle w:val="Quote"/>
      </w:pPr>
      <w:r>
        <w:t xml:space="preserve">All work health and safety laws in Australia recognise workplace bullying as work health and safety issue with the responsibility to prevent workplace bullying covered by the primary duty of care held by employers </w:t>
      </w:r>
      <w:r w:rsidRPr="00F13E92">
        <w:rPr>
          <w:szCs w:val="24"/>
        </w:rPr>
        <w:t>(House of Representatives Standing Committee on Education and Employment 2012)</w:t>
      </w:r>
      <w:r>
        <w:t>.</w:t>
      </w:r>
    </w:p>
    <w:p w14:paraId="4A8E06A2" w14:textId="77777777" w:rsidR="009C6940" w:rsidRDefault="009C6940" w:rsidP="009C6940">
      <w:pPr>
        <w:pStyle w:val="BodyText"/>
      </w:pPr>
      <w:r>
        <w:t>However, bullying is a difficult issue in the workplace. Employers and WHS inspectors find bullying type claims to be more resource intensive, complex and difficult to resolve in comparison to WHS issues related to physical safety. Previous work by the Productivity Commission highlighted the difficulties surrounding cases of bullying as they were often emotive, and involved a range of different individual interpretations of events, making it more difficult to substantiate a claim.</w:t>
      </w:r>
    </w:p>
    <w:p w14:paraId="45A16279" w14:textId="77777777" w:rsidR="009C6940" w:rsidRDefault="009C6940" w:rsidP="009C6940">
      <w:pPr>
        <w:pStyle w:val="BodyText"/>
        <w:keepNext/>
      </w:pPr>
      <w:r>
        <w:t>A study of state and territory government WHS inspectors across different jurisdictions and their involvement with psychosocial hazards in the workplace highlighted that bullying cases were often linked to the performance of the complainant. It was often difficult for the inspector to resolve and or verify if the issues of performance were genuine or manufactured to delegitimise the complaint and how to balance competing claims when there often appeared to be fault on both sides. Moreover, as claims of bullying almost always involve criticism of co</w:t>
      </w:r>
      <w:r>
        <w:noBreakHyphen/>
        <w:t xml:space="preserve">workers or managers, there is a risk that investigation could involve further victimisation, particularly as people accused of bullying in being able to effectively respond to the allegation would need to be informed of the identity of the complainant </w:t>
      </w:r>
      <w:r w:rsidRPr="00C77FD6">
        <w:rPr>
          <w:szCs w:val="24"/>
        </w:rPr>
        <w:t xml:space="preserve">(Johnstone, </w:t>
      </w:r>
      <w:r w:rsidRPr="00C77FD6">
        <w:rPr>
          <w:szCs w:val="24"/>
        </w:rPr>
        <w:lastRenderedPageBreak/>
        <w:t>Quinlan and McNamara 2008)</w:t>
      </w:r>
      <w:r>
        <w:t>. A Victorian Government WHS inspector, in an interview for the study, highlighted the difficulties in dealing with cases of workplace bullying:</w:t>
      </w:r>
    </w:p>
    <w:p w14:paraId="5B4B8BD4" w14:textId="77777777" w:rsidR="009C6940" w:rsidRDefault="009C6940" w:rsidP="009C6940">
      <w:pPr>
        <w:pStyle w:val="Quote"/>
      </w:pPr>
      <w:r>
        <w:t>… it is such a grey area and it is so emotive and so personal to people and it’s a he</w:t>
      </w:r>
      <w:r>
        <w:noBreakHyphen/>
        <w:t>said, she</w:t>
      </w:r>
      <w:r>
        <w:noBreakHyphen/>
        <w:t xml:space="preserve">said, that you cannot investigate, that you cannot validate, that you cannot verify and people who put in the complaint, are generally wounded people for some other reason other than what has gone on with the scenario. </w:t>
      </w:r>
      <w:r w:rsidRPr="00AB72B7">
        <w:rPr>
          <w:szCs w:val="24"/>
        </w:rPr>
        <w:t>(Johnstone, Quinlan and McNamara 2008)</w:t>
      </w:r>
    </w:p>
    <w:p w14:paraId="7C4035FA" w14:textId="77777777" w:rsidR="009C6940" w:rsidRDefault="009C6940" w:rsidP="009C6940">
      <w:pPr>
        <w:pStyle w:val="BodyText"/>
      </w:pPr>
      <w:r>
        <w:t>Worksafe Western Australia commented that in its experience, alleged cases of workplace bullying are often confused with other issues such as discrimination or equal opportunity issues, a one off event of workplace conflict or aggression, legitimate management decisions or managing staff performance. It said:</w:t>
      </w:r>
    </w:p>
    <w:p w14:paraId="4663C296" w14:textId="77777777" w:rsidR="009C6940" w:rsidRDefault="009C6940" w:rsidP="009C6940">
      <w:pPr>
        <w:pStyle w:val="Quote"/>
      </w:pPr>
      <w:r>
        <w:t xml:space="preserve">A not uncommon scenario is where a worker is treated in a manner they consider to be inappropriate from which they then form the view that they are the subject of bullying. That worker can then develop selective attention and only focus on those behaviours by the alleged bully that fit their perception, At the same time if the original trigger was a performance issue, this performance issue continues, attracting more attention, thus further reinforcing a perception of bullying </w:t>
      </w:r>
      <w:r w:rsidRPr="000E4B09">
        <w:rPr>
          <w:szCs w:val="24"/>
        </w:rPr>
        <w:t>(</w:t>
      </w:r>
      <w:r w:rsidRPr="005A3687">
        <w:rPr>
          <w:szCs w:val="24"/>
        </w:rPr>
        <w:t>Department of Commerce (Western Australia) and Worksafe Western Australia 2012</w:t>
      </w:r>
      <w:r>
        <w:rPr>
          <w:szCs w:val="24"/>
        </w:rPr>
        <w:t>, p. 11</w:t>
      </w:r>
      <w:r w:rsidRPr="000E4B09">
        <w:rPr>
          <w:szCs w:val="24"/>
        </w:rPr>
        <w:t>)</w:t>
      </w:r>
      <w:r>
        <w:t>.</w:t>
      </w:r>
    </w:p>
    <w:p w14:paraId="7C2CDD9D" w14:textId="77777777" w:rsidR="009C6940" w:rsidRDefault="009C6940" w:rsidP="009C6940">
      <w:pPr>
        <w:pStyle w:val="BodyText"/>
        <w:spacing w:before="200"/>
      </w:pPr>
      <w:r>
        <w:t xml:space="preserve">In a study of bullying of teachers in Catholic schools, the most significant form of bullying based on teachers responses was the targeting of negative comments about their work and the withholding of praise or recognition. The authors of the study noted that this finding could be partially explained as that poorly performing teachers viewed attempts by the principal or executive staff to improve performance as bullying and this in turn raised the issue of how senior staff should deal with performance issues. An alternative explanation was that teaching culture did not encourage the acknowledgement of professional achievement </w:t>
      </w:r>
      <w:r w:rsidRPr="00756A35">
        <w:rPr>
          <w:szCs w:val="24"/>
        </w:rPr>
        <w:t>(Duncan and Riley 2005)</w:t>
      </w:r>
    </w:p>
    <w:p w14:paraId="603ECA2B" w14:textId="77777777" w:rsidR="009C6940" w:rsidRDefault="009C6940" w:rsidP="009C6940">
      <w:pPr>
        <w:pStyle w:val="BodyText"/>
        <w:spacing w:before="200"/>
      </w:pPr>
      <w:r>
        <w:t>The Australian Industry Group (sub. 208) commented that in the industries it represented, psychological claims (including bullying) often occur when an employee has been subject to performance management, disciplinary action or an investigation due to a complaint about their behaviour.</w:t>
      </w:r>
    </w:p>
    <w:p w14:paraId="63DEB075" w14:textId="77777777" w:rsidR="009C6940" w:rsidRDefault="009C6940" w:rsidP="009C6940">
      <w:pPr>
        <w:pStyle w:val="BodyText"/>
        <w:spacing w:before="200"/>
      </w:pPr>
      <w:r>
        <w:t xml:space="preserve">WHS and workers compensation legislation makes it clear that reasonable management action undertaken in a reasonable manner does not constitute workplace bullying. For example, the </w:t>
      </w:r>
      <w:r w:rsidRPr="00641A52">
        <w:rPr>
          <w:i/>
        </w:rPr>
        <w:t>Fair Work Act 2009</w:t>
      </w:r>
      <w:r>
        <w:t xml:space="preserve"> (Cth) points out that reasonable management action carried out in a reasonable manner provides a qualification as to the definition of workplace bullying. Similarly, workers compensation legislation provides a defence or an exception for the provision of compensation for psychological injuries (such as from workplace bullying) resulting from reasonable management action carried out in a reasonable manner or reasonable way. Reasonable management action typically relates to performance appraisals, ongoing meetings to deal with underperformance, counselling or disciplining an employee for misconduct, modifying an employees’ duties, dismissal of an employee and denying an employee a benefit in relation to their employment. Whether or not these actions were undertaken in a reasonable manner or reasonable way will depend on the type of action taken by management, the facts and the circumstances surrounding the action, the impact on the </w:t>
      </w:r>
      <w:r>
        <w:lastRenderedPageBreak/>
        <w:t xml:space="preserve">worker and any other relevant matters. This is typically determined on the basis of whether or not the established policies and procedures of the employer were followed, whether the employer breached any of its own guidelines, whether the employer adopted procedural fairness in dealing with the matter and whether any investigations were carried out in a timely manner </w:t>
      </w:r>
      <w:r w:rsidRPr="00667B4F">
        <w:rPr>
          <w:szCs w:val="24"/>
        </w:rPr>
        <w:t>(Fair Work Commission 2018</w:t>
      </w:r>
      <w:r>
        <w:t xml:space="preserve">; </w:t>
      </w:r>
      <w:r w:rsidRPr="00667B4F">
        <w:rPr>
          <w:szCs w:val="24"/>
        </w:rPr>
        <w:t>Reilly 2010</w:t>
      </w:r>
      <w:r>
        <w:t xml:space="preserve">; </w:t>
      </w:r>
      <w:r w:rsidRPr="00667B4F">
        <w:rPr>
          <w:szCs w:val="24"/>
        </w:rPr>
        <w:t>Workplace Law 2017)</w:t>
      </w:r>
      <w:r>
        <w:t>.</w:t>
      </w:r>
    </w:p>
    <w:p w14:paraId="7124545D" w14:textId="77777777" w:rsidR="009C6940" w:rsidRDefault="009C6940" w:rsidP="009C6940">
      <w:pPr>
        <w:pStyle w:val="BodyText"/>
        <w:spacing w:before="200"/>
      </w:pPr>
      <w:r>
        <w:t>From another perspective, accusations of bullying, particularly when unfounded, can have detrimental effects on the alleged perpetrator and can amount to bullying itself.</w:t>
      </w:r>
    </w:p>
    <w:p w14:paraId="19C56827" w14:textId="77777777" w:rsidR="009C6940" w:rsidRDefault="009C6940" w:rsidP="009C6940">
      <w:pPr>
        <w:pStyle w:val="BodyText"/>
        <w:spacing w:before="200"/>
      </w:pPr>
      <w:r>
        <w:t xml:space="preserve">Workplace conflicts and allegations of bullying in the workplace are often addressed by the employer contracting third parties to provide an independent and impartial investigation. This in turn has led to scepticism from some sources as to the quality and independence of these investigations </w:t>
      </w:r>
      <w:r w:rsidRPr="009C010A">
        <w:rPr>
          <w:szCs w:val="24"/>
        </w:rPr>
        <w:t>(Bornstein 2014)</w:t>
      </w:r>
      <w:r>
        <w:t xml:space="preserve">. For example, while these external investigations are usually conducted by people from a human resources or legal background there is no required minimum standard for such investigators. Also, there is the risk that the employer will exercise control over the process to engineer the desired outcome and there is a commercial incentive for the investigator to produce a report that meets the need of the employer. Depending on the findings, this can give the impression to the complainant that the process and outcome of the investigation has been manipulated by the employer, further damaging the mental health of the complainant </w:t>
      </w:r>
      <w:r w:rsidRPr="009C010A">
        <w:rPr>
          <w:szCs w:val="24"/>
        </w:rPr>
        <w:t>(Bornstein 2014)</w:t>
      </w:r>
      <w:r>
        <w:t>.</w:t>
      </w:r>
    </w:p>
    <w:p w14:paraId="45395717" w14:textId="77777777" w:rsidR="009C6940" w:rsidRDefault="009C6940" w:rsidP="009C6940">
      <w:pPr>
        <w:pStyle w:val="Heading3"/>
      </w:pPr>
      <w:r>
        <w:t>Other approaches to deal with workplace bullying</w:t>
      </w:r>
    </w:p>
    <w:p w14:paraId="43CEECAA" w14:textId="77777777" w:rsidR="009C6940" w:rsidRDefault="009C6940" w:rsidP="009C6940">
      <w:pPr>
        <w:pStyle w:val="BodyText"/>
        <w:spacing w:before="200"/>
      </w:pPr>
      <w:r>
        <w:t xml:space="preserve">The Victorian Government in 2011 amended the </w:t>
      </w:r>
      <w:r w:rsidRPr="004623B0">
        <w:rPr>
          <w:i/>
        </w:rPr>
        <w:t>Crimes Act 1958</w:t>
      </w:r>
      <w:r>
        <w:t xml:space="preserve"> (Vic) to alter the crime of stalking to include behaviour that is typically characterised as bullying. This is commonly known as ‘Brodie’s Law’. This followed the suicide of a waitress who was subject to recurring verbal and physical acts of bullying. While the employer and a number of co</w:t>
      </w:r>
      <w:r>
        <w:noBreakHyphen/>
        <w:t>workers were fined under the existing WHS legislation, a public campaign followed to have Victorian legislation changed so that acts of bullying in the workplace and in other situations could be punished by terms of imprisonment of up to 10 years.</w:t>
      </w:r>
    </w:p>
    <w:p w14:paraId="745A1164" w14:textId="77777777" w:rsidR="009C6940" w:rsidRPr="009A4897" w:rsidRDefault="009C6940" w:rsidP="009C6940">
      <w:pPr>
        <w:pStyle w:val="BodyText"/>
        <w:spacing w:before="200"/>
      </w:pPr>
      <w:r>
        <w:t xml:space="preserve">In the following five years since its introduction, 58 offenders were charged by Victorian Police </w:t>
      </w:r>
      <w:r w:rsidRPr="0086786D">
        <w:rPr>
          <w:szCs w:val="24"/>
        </w:rPr>
        <w:t>(Victoria Police 2016)</w:t>
      </w:r>
      <w:r>
        <w:t>. Similar legislation has not yet been introduced outside of Victoria, although there has been some discussion in some other jurisdictions.</w:t>
      </w:r>
    </w:p>
    <w:p w14:paraId="3E5A2F27" w14:textId="77777777" w:rsidR="009C6940" w:rsidRDefault="009C6940" w:rsidP="009C6940">
      <w:pPr>
        <w:pStyle w:val="BodyText"/>
        <w:spacing w:before="200"/>
      </w:pPr>
      <w:r>
        <w:t xml:space="preserve">Following the introduction of the Victorian legislation, the Australian Government announced a House of Representatives inquiry into workplace bullying </w:t>
      </w:r>
      <w:r w:rsidRPr="00AD28EA">
        <w:rPr>
          <w:szCs w:val="24"/>
        </w:rPr>
        <w:t>(House of Representatives Standing Committee on Education and Employment 2012)</w:t>
      </w:r>
      <w:r>
        <w:t>. The report made a number of recommendations including the development of a national definition of workplace bullying and for Safe Work Australia to develop a code of practice to manage the risk of workplace bullying and provide advice and guidance material for employers. In response to that inquiry, changes were made to the Fair Work Act to enable the Fair Work Commission can make orders to prevent bullying behaviour in the workplace following an application by an employee. These orders could include:</w:t>
      </w:r>
    </w:p>
    <w:p w14:paraId="24CFAE88" w14:textId="77777777" w:rsidR="009C6940" w:rsidRDefault="009C6940" w:rsidP="009C6940">
      <w:pPr>
        <w:pStyle w:val="ListBullet"/>
        <w:rPr>
          <w:szCs w:val="24"/>
          <w:lang w:val="en"/>
        </w:rPr>
      </w:pPr>
      <w:r>
        <w:rPr>
          <w:lang w:val="en"/>
        </w:rPr>
        <w:t>requiring the individual or group of individuals to stop the specified behavior</w:t>
      </w:r>
    </w:p>
    <w:p w14:paraId="4E675632" w14:textId="77777777" w:rsidR="009C6940" w:rsidRDefault="009C6940" w:rsidP="009C6940">
      <w:pPr>
        <w:pStyle w:val="ListBullet"/>
        <w:rPr>
          <w:lang w:val="en"/>
        </w:rPr>
      </w:pPr>
      <w:r>
        <w:rPr>
          <w:lang w:val="en"/>
        </w:rPr>
        <w:lastRenderedPageBreak/>
        <w:t>monitoring of behavior by an employer or principal</w:t>
      </w:r>
    </w:p>
    <w:p w14:paraId="6D629E3E" w14:textId="77777777" w:rsidR="009C6940" w:rsidRDefault="009C6940" w:rsidP="009C6940">
      <w:pPr>
        <w:pStyle w:val="ListBullet"/>
        <w:rPr>
          <w:lang w:val="en"/>
        </w:rPr>
      </w:pPr>
      <w:r>
        <w:rPr>
          <w:lang w:val="en"/>
        </w:rPr>
        <w:t>complying with an employer’s bullying policy</w:t>
      </w:r>
    </w:p>
    <w:p w14:paraId="7B5DA7CE" w14:textId="77777777" w:rsidR="009C6940" w:rsidRDefault="009C6940" w:rsidP="009C6940">
      <w:pPr>
        <w:pStyle w:val="ListBullet"/>
        <w:rPr>
          <w:lang w:val="en"/>
        </w:rPr>
      </w:pPr>
      <w:r>
        <w:rPr>
          <w:lang w:val="en"/>
        </w:rPr>
        <w:t>providing information, additional support and training to workers</w:t>
      </w:r>
    </w:p>
    <w:p w14:paraId="52FB90A2" w14:textId="77777777" w:rsidR="009C6940" w:rsidRDefault="009C6940" w:rsidP="009C6940">
      <w:pPr>
        <w:pStyle w:val="ListBullet"/>
        <w:rPr>
          <w:lang w:val="en"/>
        </w:rPr>
      </w:pPr>
      <w:r>
        <w:rPr>
          <w:lang w:val="en"/>
        </w:rPr>
        <w:t>reviewing the employer’s or principal’s bullying policy</w:t>
      </w:r>
    </w:p>
    <w:p w14:paraId="17E86800" w14:textId="77777777" w:rsidR="009C6940" w:rsidRDefault="009C6940" w:rsidP="009C6940">
      <w:pPr>
        <w:pStyle w:val="BodyText"/>
        <w:spacing w:before="200"/>
      </w:pPr>
      <w:r>
        <w:t xml:space="preserve">However, the Fair Work Commission cannot issue fines or penalties or award compensation. Since the introduction of these powers in 2014 only a handful of orders have been made </w:t>
      </w:r>
      <w:r w:rsidRPr="00405205">
        <w:rPr>
          <w:szCs w:val="24"/>
        </w:rPr>
        <w:t>(Wilson 2018)</w:t>
      </w:r>
      <w:r>
        <w:t>.</w:t>
      </w:r>
    </w:p>
    <w:p w14:paraId="49EA96F9" w14:textId="77777777" w:rsidR="009C6940" w:rsidRDefault="009C6940" w:rsidP="009C6940">
      <w:pPr>
        <w:pStyle w:val="BodyText"/>
        <w:spacing w:before="200"/>
      </w:pPr>
      <w:r>
        <w:t>The Victorian Auditor</w:t>
      </w:r>
      <w:r>
        <w:noBreakHyphen/>
        <w:t>General, in its report on workplace bullying and harassment in the Victorian health sector, recognised the duties the WHS legislation placed on employers to eliminate or minimise health and safety risks in the workplace. It con</w:t>
      </w:r>
      <w:r w:rsidRPr="00022802">
        <w:t xml:space="preserve">cluded that </w:t>
      </w:r>
      <w:r>
        <w:t>w</w:t>
      </w:r>
      <w:r w:rsidRPr="00022802">
        <w:t>orkp</w:t>
      </w:r>
      <w:r>
        <w:t>lace bullying and harassment were</w:t>
      </w:r>
      <w:r w:rsidRPr="00022802">
        <w:t xml:space="preserve"> best dealt with </w:t>
      </w:r>
      <w:r>
        <w:t>by having organisations apply a risk management approach</w:t>
      </w:r>
      <w:r w:rsidRPr="00022802">
        <w:t xml:space="preserve"> to prevent it from occurring and responding quickly if it does occur. </w:t>
      </w:r>
      <w:r>
        <w:t xml:space="preserve">Early intervention was the key given that workplace conflicts and minor inappropriate behaviours could easily escalate. </w:t>
      </w:r>
      <w:r w:rsidRPr="00022802">
        <w:t xml:space="preserve">Fundamental to this </w:t>
      </w:r>
      <w:r>
        <w:t>was</w:t>
      </w:r>
      <w:r w:rsidRPr="00022802">
        <w:t xml:space="preserve"> the need to create a positive workplace culture where everyone treats each other with respect</w:t>
      </w:r>
      <w:r>
        <w:t>. However, in the Victorian health sector it noted that the leadership had not given sufficient priority and commitment to reducing bullying and harassment in their organisations. It considered the key steps to reduce the risk of bullying and harassment in these organisations was through:</w:t>
      </w:r>
    </w:p>
    <w:p w14:paraId="47AEB988" w14:textId="77777777" w:rsidR="009C6940" w:rsidRPr="004D1222" w:rsidRDefault="009C6940" w:rsidP="009C6940">
      <w:pPr>
        <w:pStyle w:val="ListBullet"/>
      </w:pPr>
      <w:r w:rsidRPr="004D1222">
        <w:t xml:space="preserve">identifying the potential for workplace bullying through data and identifying organisational risk factors </w:t>
      </w:r>
    </w:p>
    <w:p w14:paraId="15105F8A" w14:textId="77777777" w:rsidR="009C6940" w:rsidRPr="004D1222" w:rsidRDefault="009C6940" w:rsidP="009C6940">
      <w:pPr>
        <w:pStyle w:val="ListBullet"/>
      </w:pPr>
      <w:r w:rsidRPr="004D1222">
        <w:t xml:space="preserve">implementing control measures to prevent, minimise and respond to these risks, such as through building a positive, respectful culture and having good management practices and systems including policies, procedures and training </w:t>
      </w:r>
    </w:p>
    <w:p w14:paraId="302DEF66" w14:textId="77777777" w:rsidR="009C6940" w:rsidRPr="004D1222" w:rsidRDefault="009C6940" w:rsidP="009C6940">
      <w:pPr>
        <w:pStyle w:val="ListBullet"/>
      </w:pPr>
      <w:r w:rsidRPr="004D1222">
        <w:t>monitoring and reviewing the effectiveness of these control measures</w:t>
      </w:r>
      <w:r>
        <w:t xml:space="preserve"> </w:t>
      </w:r>
      <w:r w:rsidRPr="000F7052">
        <w:rPr>
          <w:szCs w:val="24"/>
        </w:rPr>
        <w:t>(VAGO 2016)</w:t>
      </w:r>
      <w:r w:rsidRPr="004D1222">
        <w:t xml:space="preserve">. </w:t>
      </w:r>
    </w:p>
    <w:p w14:paraId="6D45F3B8" w14:textId="77777777" w:rsidR="009C6940" w:rsidRPr="00484334" w:rsidRDefault="009C6940" w:rsidP="009C6940">
      <w:pPr>
        <w:pStyle w:val="BodyText"/>
        <w:rPr>
          <w:spacing w:val="-2"/>
        </w:rPr>
      </w:pPr>
      <w:r w:rsidRPr="00484334">
        <w:rPr>
          <w:spacing w:val="-2"/>
        </w:rPr>
        <w:t>Workplace bullying is primarily dealt with through the WHS legislative framework. These arrangements, through their risk management approach to psychological harm in the workplace, place the onus on the employer to prevent (as far as reasonably possible) workplace bullying from occurring, as well as requiring employers to appropriately respond to complaints of workplace bullying. The WHS laws also hold individual workers who participate in workplace bullying accountable. Although there are financial penalties provided in WHS legislation, it is still appropriate that serious cases of bullying can be addressed through criminal law. As Safe Work Australia (2012) noted, criminal acts whether committed in the workplace or elsewhere should be penalised under the relevant criminal laws.</w:t>
      </w:r>
    </w:p>
    <w:p w14:paraId="2FA3C79D" w14:textId="77777777" w:rsidR="009C6940" w:rsidRDefault="009C6940" w:rsidP="009C6940">
      <w:pPr>
        <w:pStyle w:val="BodyText"/>
        <w:spacing w:before="200"/>
      </w:pPr>
      <w:r>
        <w:t>Strengthening the focus on psychological risks and harm in the current WHS arrangements is discussed in chapter 7.</w:t>
      </w:r>
    </w:p>
    <w:p w14:paraId="392DAFEC" w14:textId="77777777" w:rsidR="009C6940" w:rsidRDefault="009C6940" w:rsidP="009C6940">
      <w:pPr>
        <w:pStyle w:val="Heading1nochapterno"/>
        <w:pageBreakBefore/>
      </w:pPr>
      <w:r>
        <w:lastRenderedPageBreak/>
        <w:t>References</w:t>
      </w:r>
    </w:p>
    <w:p w14:paraId="28C2BB11" w14:textId="77777777" w:rsidR="009C6940" w:rsidRPr="00484334" w:rsidRDefault="009C6940" w:rsidP="009C6940">
      <w:pPr>
        <w:pStyle w:val="Reference"/>
        <w:spacing w:before="100" w:line="260" w:lineRule="atLeast"/>
        <w:rPr>
          <w:spacing w:val="-4"/>
          <w:sz w:val="20"/>
        </w:rPr>
      </w:pPr>
      <w:r w:rsidRPr="00484334">
        <w:rPr>
          <w:spacing w:val="-4"/>
          <w:sz w:val="20"/>
        </w:rPr>
        <w:t xml:space="preserve">Australian Public Service Commission 2019, </w:t>
      </w:r>
      <w:r w:rsidRPr="00484334">
        <w:rPr>
          <w:i/>
          <w:iCs/>
          <w:spacing w:val="-4"/>
          <w:sz w:val="20"/>
        </w:rPr>
        <w:t>2019 APS Employee Census</w:t>
      </w:r>
      <w:r w:rsidRPr="00484334">
        <w:rPr>
          <w:iCs/>
          <w:spacing w:val="-4"/>
          <w:sz w:val="20"/>
        </w:rPr>
        <w:t>, Canberra</w:t>
      </w:r>
      <w:r w:rsidRPr="00484334">
        <w:rPr>
          <w:spacing w:val="-4"/>
          <w:sz w:val="20"/>
        </w:rPr>
        <w:t>.</w:t>
      </w:r>
    </w:p>
    <w:p w14:paraId="518F35D8" w14:textId="77777777" w:rsidR="009C6940" w:rsidRPr="00484334" w:rsidRDefault="009C6940" w:rsidP="009C6940">
      <w:pPr>
        <w:pStyle w:val="Reference"/>
        <w:spacing w:before="100" w:line="260" w:lineRule="atLeast"/>
        <w:rPr>
          <w:spacing w:val="-4"/>
          <w:sz w:val="20"/>
        </w:rPr>
      </w:pPr>
      <w:r w:rsidRPr="00484334">
        <w:rPr>
          <w:spacing w:val="-4"/>
          <w:sz w:val="20"/>
        </w:rPr>
        <w:t xml:space="preserve">Bornstein, J. 2014, </w:t>
      </w:r>
      <w:r w:rsidRPr="00484334">
        <w:rPr>
          <w:i/>
          <w:iCs/>
          <w:spacing w:val="-4"/>
          <w:sz w:val="20"/>
        </w:rPr>
        <w:t>Bullying investigations: unfair and brutal</w:t>
      </w:r>
      <w:r w:rsidRPr="00484334">
        <w:rPr>
          <w:spacing w:val="-4"/>
          <w:sz w:val="20"/>
        </w:rPr>
        <w:t>, https://percapita.org.au/our_media/bullying-investigations-unfair-and-brutal/ (accessed 19 May 2020).</w:t>
      </w:r>
    </w:p>
    <w:p w14:paraId="7E1181EC" w14:textId="77777777" w:rsidR="009C6940" w:rsidRPr="00484334" w:rsidRDefault="009C6940" w:rsidP="009C6940">
      <w:pPr>
        <w:pStyle w:val="Reference"/>
        <w:spacing w:before="100" w:line="260" w:lineRule="atLeast"/>
        <w:rPr>
          <w:spacing w:val="-4"/>
          <w:sz w:val="20"/>
        </w:rPr>
      </w:pPr>
      <w:r w:rsidRPr="00484334">
        <w:rPr>
          <w:spacing w:val="-4"/>
          <w:sz w:val="20"/>
        </w:rPr>
        <w:t xml:space="preserve">Campbell, M. 2005, ‘Cyber bullying: An old problem in a new guise?’, </w:t>
      </w:r>
      <w:r w:rsidRPr="00484334">
        <w:rPr>
          <w:i/>
          <w:iCs/>
          <w:spacing w:val="-4"/>
          <w:sz w:val="20"/>
        </w:rPr>
        <w:t>Australian Journal of Guidance and Counselling</w:t>
      </w:r>
      <w:r w:rsidRPr="00484334">
        <w:rPr>
          <w:spacing w:val="-4"/>
          <w:sz w:val="20"/>
        </w:rPr>
        <w:t>, vol. 15, no. 1, pp. 68–76.</w:t>
      </w:r>
    </w:p>
    <w:p w14:paraId="00B22E81" w14:textId="77777777" w:rsidR="009C6940" w:rsidRPr="00484334" w:rsidRDefault="009C6940" w:rsidP="009C6940">
      <w:pPr>
        <w:pStyle w:val="Reference"/>
        <w:spacing w:before="100" w:line="260" w:lineRule="atLeast"/>
        <w:rPr>
          <w:spacing w:val="-4"/>
          <w:sz w:val="20"/>
        </w:rPr>
      </w:pPr>
      <w:r w:rsidRPr="00484334">
        <w:rPr>
          <w:spacing w:val="-4"/>
          <w:sz w:val="20"/>
        </w:rPr>
        <w:t xml:space="preserve">Crebbin, W., Campbell, G., Hillis, D. and Watters, D. 2015, ‘Prevalence of bullying, discrimination and sexual harassment in surgery in Australasia’, </w:t>
      </w:r>
      <w:r w:rsidRPr="00484334">
        <w:rPr>
          <w:i/>
          <w:iCs/>
          <w:spacing w:val="-4"/>
          <w:sz w:val="20"/>
        </w:rPr>
        <w:t>ANZ Journal of Surgery</w:t>
      </w:r>
      <w:r w:rsidRPr="00484334">
        <w:rPr>
          <w:spacing w:val="-4"/>
          <w:sz w:val="20"/>
        </w:rPr>
        <w:t>, vol. 85, no. 12, pp. 905–909.</w:t>
      </w:r>
    </w:p>
    <w:p w14:paraId="4EAEB067" w14:textId="77777777" w:rsidR="009C6940" w:rsidRPr="00484334" w:rsidRDefault="009C6940" w:rsidP="009C6940">
      <w:pPr>
        <w:pStyle w:val="Reference"/>
        <w:spacing w:before="100" w:line="260" w:lineRule="atLeast"/>
        <w:rPr>
          <w:spacing w:val="-4"/>
          <w:sz w:val="20"/>
        </w:rPr>
      </w:pPr>
      <w:r w:rsidRPr="00484334">
        <w:rPr>
          <w:spacing w:val="-4"/>
          <w:sz w:val="20"/>
        </w:rPr>
        <w:t xml:space="preserve">Department of Commerce (Western Australia) and Worksafe Western Australia 2012, </w:t>
      </w:r>
      <w:r w:rsidRPr="00484334">
        <w:rPr>
          <w:i/>
          <w:iCs/>
          <w:spacing w:val="-4"/>
          <w:sz w:val="20"/>
        </w:rPr>
        <w:t>Submission to the House of Representatives Standing Committee on Education and Employment Inquiry into Workplace Bullying</w:t>
      </w:r>
      <w:r w:rsidRPr="00484334">
        <w:rPr>
          <w:spacing w:val="-4"/>
          <w:sz w:val="20"/>
        </w:rPr>
        <w:t>, Perth.</w:t>
      </w:r>
    </w:p>
    <w:p w14:paraId="1EB23956" w14:textId="77777777" w:rsidR="009C6940" w:rsidRPr="00484334" w:rsidRDefault="009C6940" w:rsidP="009C6940">
      <w:pPr>
        <w:pStyle w:val="Reference"/>
        <w:spacing w:before="100" w:line="260" w:lineRule="atLeast"/>
        <w:rPr>
          <w:spacing w:val="-4"/>
          <w:sz w:val="20"/>
        </w:rPr>
      </w:pPr>
      <w:r w:rsidRPr="00484334">
        <w:rPr>
          <w:spacing w:val="-4"/>
          <w:sz w:val="20"/>
        </w:rPr>
        <w:t xml:space="preserve">Department of Communications 2014, </w:t>
      </w:r>
      <w:r w:rsidRPr="00484334">
        <w:rPr>
          <w:i/>
          <w:iCs/>
          <w:spacing w:val="-4"/>
          <w:sz w:val="20"/>
        </w:rPr>
        <w:t>Regulation Impact Statement - Enhancing Online Safety for Children</w:t>
      </w:r>
      <w:r w:rsidRPr="00484334">
        <w:rPr>
          <w:iCs/>
          <w:spacing w:val="-4"/>
          <w:sz w:val="20"/>
        </w:rPr>
        <w:t>, Canberra</w:t>
      </w:r>
      <w:r w:rsidRPr="00484334">
        <w:rPr>
          <w:spacing w:val="-4"/>
          <w:sz w:val="20"/>
        </w:rPr>
        <w:t>.</w:t>
      </w:r>
    </w:p>
    <w:p w14:paraId="364E55FC" w14:textId="77777777" w:rsidR="009C6940" w:rsidRPr="00484334" w:rsidRDefault="009C6940" w:rsidP="009C6940">
      <w:pPr>
        <w:pStyle w:val="Reference"/>
        <w:spacing w:before="100" w:line="260" w:lineRule="atLeast"/>
        <w:rPr>
          <w:spacing w:val="-4"/>
          <w:sz w:val="20"/>
        </w:rPr>
      </w:pPr>
      <w:r w:rsidRPr="00484334">
        <w:rPr>
          <w:spacing w:val="-4"/>
          <w:sz w:val="20"/>
        </w:rPr>
        <w:t xml:space="preserve">Duncan, D.J. and Riley, D. 2005, ‘Staff bullying in catholic schools’, </w:t>
      </w:r>
      <w:r w:rsidRPr="00484334">
        <w:rPr>
          <w:i/>
          <w:iCs/>
          <w:spacing w:val="-4"/>
          <w:sz w:val="20"/>
        </w:rPr>
        <w:t>Australian and New Zealand Journal of Law and Education</w:t>
      </w:r>
      <w:r w:rsidRPr="00484334">
        <w:rPr>
          <w:spacing w:val="-4"/>
          <w:sz w:val="20"/>
        </w:rPr>
        <w:t>, vol. 10, no. 1, pp. 47–58.</w:t>
      </w:r>
    </w:p>
    <w:p w14:paraId="764571CC" w14:textId="77777777" w:rsidR="009C6940" w:rsidRPr="00484334" w:rsidRDefault="009C6940" w:rsidP="009C6940">
      <w:pPr>
        <w:pStyle w:val="Reference"/>
        <w:spacing w:before="100" w:line="260" w:lineRule="atLeast"/>
        <w:rPr>
          <w:spacing w:val="-4"/>
          <w:sz w:val="20"/>
        </w:rPr>
      </w:pPr>
      <w:r w:rsidRPr="00484334">
        <w:rPr>
          <w:spacing w:val="-4"/>
          <w:sz w:val="20"/>
        </w:rPr>
        <w:t xml:space="preserve">Fair Work Commission 2018, </w:t>
      </w:r>
      <w:r w:rsidRPr="00484334">
        <w:rPr>
          <w:i/>
          <w:iCs/>
          <w:spacing w:val="-4"/>
          <w:sz w:val="20"/>
        </w:rPr>
        <w:t>Reasonable Management Action Carried Out in a Reasonable Manner</w:t>
      </w:r>
      <w:r w:rsidRPr="00484334">
        <w:rPr>
          <w:spacing w:val="-4"/>
          <w:sz w:val="20"/>
        </w:rPr>
        <w:t>.</w:t>
      </w:r>
    </w:p>
    <w:p w14:paraId="612B835D" w14:textId="77777777" w:rsidR="009C6940" w:rsidRPr="00484334" w:rsidRDefault="009C6940" w:rsidP="009C6940">
      <w:pPr>
        <w:pStyle w:val="Reference"/>
        <w:spacing w:before="100" w:line="260" w:lineRule="atLeast"/>
        <w:rPr>
          <w:spacing w:val="-4"/>
          <w:sz w:val="20"/>
        </w:rPr>
      </w:pPr>
      <w:r w:rsidRPr="00484334">
        <w:rPr>
          <w:spacing w:val="-4"/>
          <w:sz w:val="20"/>
        </w:rPr>
        <w:t xml:space="preserve">Gruber, J. and Finernan, S. 2008, ‘Comparing the impact of bullying and sexual harassment victimization on the mental and physical health of adolescents’, </w:t>
      </w:r>
      <w:r w:rsidRPr="00484334">
        <w:rPr>
          <w:i/>
          <w:iCs/>
          <w:spacing w:val="-4"/>
          <w:sz w:val="20"/>
        </w:rPr>
        <w:t>Sex Roles</w:t>
      </w:r>
      <w:r w:rsidRPr="00484334">
        <w:rPr>
          <w:spacing w:val="-4"/>
          <w:sz w:val="20"/>
        </w:rPr>
        <w:t>, vol. 59, no. 1–2, pp. 1–13.</w:t>
      </w:r>
    </w:p>
    <w:p w14:paraId="5D5B621F" w14:textId="77777777" w:rsidR="009C6940" w:rsidRPr="00484334" w:rsidRDefault="009C6940" w:rsidP="009C6940">
      <w:pPr>
        <w:pStyle w:val="Reference"/>
        <w:spacing w:before="100" w:line="260" w:lineRule="atLeast"/>
        <w:rPr>
          <w:spacing w:val="-4"/>
          <w:sz w:val="20"/>
        </w:rPr>
      </w:pPr>
      <w:r w:rsidRPr="00484334">
        <w:rPr>
          <w:spacing w:val="-4"/>
          <w:sz w:val="20"/>
        </w:rPr>
        <w:t xml:space="preserve">headspace 2012, </w:t>
      </w:r>
      <w:r w:rsidRPr="00484334">
        <w:rPr>
          <w:i/>
          <w:iCs/>
          <w:spacing w:val="-4"/>
          <w:sz w:val="20"/>
        </w:rPr>
        <w:t>Submission to House of Representatives Standing Committee on Education and Employment Inquiry into Workplace Bullying</w:t>
      </w:r>
      <w:r w:rsidRPr="00484334">
        <w:rPr>
          <w:spacing w:val="-4"/>
          <w:sz w:val="20"/>
        </w:rPr>
        <w:t>, Canberra.</w:t>
      </w:r>
    </w:p>
    <w:p w14:paraId="15D02937" w14:textId="77777777" w:rsidR="009C6940" w:rsidRPr="00484334" w:rsidRDefault="009C6940" w:rsidP="009C6940">
      <w:pPr>
        <w:pStyle w:val="Reference"/>
        <w:spacing w:before="100" w:line="260" w:lineRule="atLeast"/>
        <w:rPr>
          <w:spacing w:val="-4"/>
          <w:sz w:val="20"/>
        </w:rPr>
      </w:pPr>
      <w:r w:rsidRPr="00484334">
        <w:rPr>
          <w:spacing w:val="-4"/>
          <w:sz w:val="20"/>
        </w:rPr>
        <w:t xml:space="preserve">House of Representatives Standing Committee on Education and Employment 2012, </w:t>
      </w:r>
      <w:r w:rsidRPr="00484334">
        <w:rPr>
          <w:i/>
          <w:iCs/>
          <w:spacing w:val="-4"/>
          <w:sz w:val="20"/>
        </w:rPr>
        <w:t>Workplace Bullying – We Just Want it to Stop</w:t>
      </w:r>
      <w:r w:rsidRPr="00484334">
        <w:rPr>
          <w:spacing w:val="-4"/>
          <w:sz w:val="20"/>
        </w:rPr>
        <w:t>, Canberra.</w:t>
      </w:r>
    </w:p>
    <w:p w14:paraId="6DC9D04F" w14:textId="77777777" w:rsidR="009C6940" w:rsidRPr="00484334" w:rsidRDefault="009C6940" w:rsidP="009C6940">
      <w:pPr>
        <w:pStyle w:val="Reference"/>
        <w:spacing w:before="100" w:line="260" w:lineRule="atLeast"/>
        <w:rPr>
          <w:spacing w:val="-4"/>
          <w:sz w:val="20"/>
        </w:rPr>
      </w:pPr>
      <w:r w:rsidRPr="00484334">
        <w:rPr>
          <w:spacing w:val="-4"/>
          <w:sz w:val="20"/>
        </w:rPr>
        <w:t xml:space="preserve">Johnstone, R., Quinlan, M. and McNamara, M. 2008, </w:t>
      </w:r>
      <w:r w:rsidRPr="00484334">
        <w:rPr>
          <w:i/>
          <w:iCs/>
          <w:spacing w:val="-4"/>
          <w:sz w:val="20"/>
        </w:rPr>
        <w:t>OHS Inspectors and Psychosocial Risk Factors: Evidence from Australia</w:t>
      </w:r>
      <w:r w:rsidRPr="00484334">
        <w:rPr>
          <w:spacing w:val="-4"/>
          <w:sz w:val="20"/>
        </w:rPr>
        <w:t>, Working Paper 60, National Research Centre for OHS Regulation.</w:t>
      </w:r>
    </w:p>
    <w:p w14:paraId="724962C7" w14:textId="77777777" w:rsidR="009C6940" w:rsidRPr="00484334" w:rsidRDefault="009C6940" w:rsidP="009C6940">
      <w:pPr>
        <w:pStyle w:val="Reference"/>
        <w:spacing w:before="100" w:line="260" w:lineRule="atLeast"/>
        <w:rPr>
          <w:spacing w:val="-4"/>
          <w:sz w:val="20"/>
        </w:rPr>
      </w:pPr>
      <w:r w:rsidRPr="00484334">
        <w:rPr>
          <w:spacing w:val="-4"/>
          <w:sz w:val="20"/>
        </w:rPr>
        <w:t xml:space="preserve">NSW Public Service Commission 2018, </w:t>
      </w:r>
      <w:r w:rsidRPr="00484334">
        <w:rPr>
          <w:i/>
          <w:iCs/>
          <w:spacing w:val="-4"/>
          <w:sz w:val="20"/>
        </w:rPr>
        <w:t>NSW Public Sector Employee Survey, 2018</w:t>
      </w:r>
      <w:r w:rsidRPr="00484334">
        <w:rPr>
          <w:spacing w:val="-4"/>
          <w:sz w:val="20"/>
        </w:rPr>
        <w:t>, www.psc.nsw.gov.au/</w:t>
      </w:r>
      <w:r w:rsidRPr="00484334">
        <w:rPr>
          <w:spacing w:val="-4"/>
          <w:sz w:val="20"/>
        </w:rPr>
        <w:br/>
        <w:t>reports---data/people-matter-employee-survey/previous-surveys/people-matter-employee-survey-2018-/education (accessed 13 December 2019).</w:t>
      </w:r>
    </w:p>
    <w:p w14:paraId="045F64B5" w14:textId="77777777" w:rsidR="009C6940" w:rsidRPr="00484334" w:rsidRDefault="009C6940" w:rsidP="009C6940">
      <w:pPr>
        <w:pStyle w:val="Reference"/>
        <w:spacing w:before="100" w:line="260" w:lineRule="atLeast"/>
        <w:rPr>
          <w:spacing w:val="-4"/>
          <w:sz w:val="20"/>
        </w:rPr>
      </w:pPr>
      <w:r w:rsidRPr="00484334">
        <w:rPr>
          <w:spacing w:val="-4"/>
          <w:sz w:val="20"/>
        </w:rPr>
        <w:t xml:space="preserve">Office of the eSafety Commissioner 2018, </w:t>
      </w:r>
      <w:r w:rsidRPr="00484334">
        <w:rPr>
          <w:i/>
          <w:iCs/>
          <w:spacing w:val="-4"/>
          <w:sz w:val="20"/>
        </w:rPr>
        <w:t>Office of the eSafety Commissioner Annual Report 2017–18</w:t>
      </w:r>
      <w:r w:rsidRPr="00484334">
        <w:rPr>
          <w:spacing w:val="-4"/>
          <w:sz w:val="20"/>
        </w:rPr>
        <w:t>.</w:t>
      </w:r>
    </w:p>
    <w:p w14:paraId="5AA72355" w14:textId="77777777" w:rsidR="009C6940" w:rsidRPr="00484334" w:rsidRDefault="009C6940" w:rsidP="009C6940">
      <w:pPr>
        <w:pStyle w:val="Reference"/>
        <w:spacing w:before="100" w:line="260" w:lineRule="atLeast"/>
        <w:rPr>
          <w:spacing w:val="-4"/>
          <w:sz w:val="20"/>
        </w:rPr>
      </w:pPr>
      <w:r w:rsidRPr="00484334">
        <w:rPr>
          <w:spacing w:val="-4"/>
          <w:sz w:val="20"/>
        </w:rPr>
        <w:t xml:space="preserve">PC (Productivity Commission) 2010, </w:t>
      </w:r>
      <w:r w:rsidRPr="00484334">
        <w:rPr>
          <w:i/>
          <w:iCs/>
          <w:spacing w:val="-4"/>
          <w:sz w:val="20"/>
        </w:rPr>
        <w:t>Performance Benchmarking of Australian Business Regulation: Occupational Health and Safety</w:t>
      </w:r>
      <w:r w:rsidRPr="00484334">
        <w:rPr>
          <w:spacing w:val="-4"/>
          <w:sz w:val="20"/>
        </w:rPr>
        <w:t>, Research Report, Canberra.</w:t>
      </w:r>
    </w:p>
    <w:p w14:paraId="59035AD4" w14:textId="77777777" w:rsidR="009C6940" w:rsidRPr="00484334" w:rsidRDefault="009C6940" w:rsidP="009C6940">
      <w:pPr>
        <w:pStyle w:val="Reference"/>
        <w:spacing w:before="100" w:line="260" w:lineRule="atLeast"/>
        <w:rPr>
          <w:spacing w:val="-4"/>
          <w:sz w:val="20"/>
        </w:rPr>
      </w:pPr>
      <w:r w:rsidRPr="00484334">
        <w:rPr>
          <w:spacing w:val="-4"/>
          <w:sz w:val="20"/>
        </w:rPr>
        <w:t xml:space="preserve">Pearce, N., Cross, D., Monks, H., Waters, S. and Falconer, S. 2011, ‘Current evidence of best practice in whole-school bullying intervention and its potential to inform cyberbullying interventions’, </w:t>
      </w:r>
      <w:r w:rsidRPr="00484334">
        <w:rPr>
          <w:i/>
          <w:iCs/>
          <w:spacing w:val="-4"/>
          <w:sz w:val="20"/>
        </w:rPr>
        <w:t>Australian Journal of Guidance and Counselling</w:t>
      </w:r>
      <w:r w:rsidRPr="00484334">
        <w:rPr>
          <w:spacing w:val="-4"/>
          <w:sz w:val="20"/>
        </w:rPr>
        <w:t>, vol. 21, no. 1, pp. 1–21.</w:t>
      </w:r>
    </w:p>
    <w:p w14:paraId="70C066E2" w14:textId="77777777" w:rsidR="009C6940" w:rsidRPr="00484334" w:rsidRDefault="009C6940" w:rsidP="009C6940">
      <w:pPr>
        <w:pStyle w:val="Reference"/>
        <w:spacing w:before="100" w:line="260" w:lineRule="atLeast"/>
        <w:rPr>
          <w:spacing w:val="-4"/>
          <w:sz w:val="20"/>
        </w:rPr>
      </w:pPr>
      <w:r w:rsidRPr="00484334">
        <w:rPr>
          <w:spacing w:val="-4"/>
          <w:sz w:val="20"/>
        </w:rPr>
        <w:t xml:space="preserve">Potter, B., Dollard, M.F. and Tuckey, M. 2016, </w:t>
      </w:r>
      <w:r w:rsidRPr="00484334">
        <w:rPr>
          <w:i/>
          <w:iCs/>
          <w:spacing w:val="-4"/>
          <w:sz w:val="20"/>
        </w:rPr>
        <w:t>Bullying and Harassment in Australian Workplaces: Results from the Australian Workplace Barometer Project 2014/2015</w:t>
      </w:r>
      <w:r w:rsidRPr="00484334">
        <w:rPr>
          <w:spacing w:val="-4"/>
          <w:sz w:val="20"/>
        </w:rPr>
        <w:t>, Prepared for Safe Work Australia, Canberra.</w:t>
      </w:r>
    </w:p>
    <w:p w14:paraId="2037CD36" w14:textId="77777777" w:rsidR="009C6940" w:rsidRPr="00484334" w:rsidRDefault="009C6940" w:rsidP="009C6940">
      <w:pPr>
        <w:pStyle w:val="Reference"/>
        <w:spacing w:before="100" w:line="260" w:lineRule="atLeast"/>
        <w:rPr>
          <w:spacing w:val="-4"/>
          <w:sz w:val="20"/>
        </w:rPr>
      </w:pPr>
      <w:r w:rsidRPr="00484334">
        <w:rPr>
          <w:spacing w:val="-4"/>
          <w:sz w:val="20"/>
        </w:rPr>
        <w:t xml:space="preserve">Power, C. 2017, </w:t>
      </w:r>
      <w:r w:rsidRPr="00484334">
        <w:rPr>
          <w:i/>
          <w:iCs/>
          <w:spacing w:val="-4"/>
          <w:sz w:val="20"/>
        </w:rPr>
        <w:t>What is the difference between workplace bullying and harassment?</w:t>
      </w:r>
      <w:r w:rsidRPr="00484334">
        <w:rPr>
          <w:spacing w:val="-4"/>
          <w:sz w:val="20"/>
        </w:rPr>
        <w:t>, www.employmentlaw</w:t>
      </w:r>
      <w:r>
        <w:rPr>
          <w:spacing w:val="-4"/>
          <w:sz w:val="20"/>
        </w:rPr>
        <w:br/>
      </w:r>
      <w:r w:rsidRPr="00484334">
        <w:rPr>
          <w:spacing w:val="-4"/>
          <w:sz w:val="20"/>
        </w:rPr>
        <w:t>handbook.com.au/what-is-the-difference-between-workplace-bullying-and-harassment/ (accessed 13 March 2019).</w:t>
      </w:r>
    </w:p>
    <w:p w14:paraId="17C853AE" w14:textId="77777777" w:rsidR="009C6940" w:rsidRPr="00484334" w:rsidRDefault="009C6940" w:rsidP="009C6940">
      <w:pPr>
        <w:pStyle w:val="Reference"/>
        <w:spacing w:before="100" w:line="260" w:lineRule="atLeast"/>
        <w:rPr>
          <w:spacing w:val="-4"/>
          <w:sz w:val="20"/>
        </w:rPr>
      </w:pPr>
      <w:r w:rsidRPr="00484334">
        <w:rPr>
          <w:spacing w:val="-4"/>
          <w:sz w:val="20"/>
        </w:rPr>
        <w:t xml:space="preserve">PwC (PricewaterhouseCoopers) 2018, </w:t>
      </w:r>
      <w:r w:rsidRPr="00484334">
        <w:rPr>
          <w:i/>
          <w:iCs/>
          <w:spacing w:val="-4"/>
          <w:sz w:val="20"/>
        </w:rPr>
        <w:t>The Economic Cost of Bullying in Australian schools</w:t>
      </w:r>
      <w:r w:rsidRPr="00484334">
        <w:rPr>
          <w:iCs/>
          <w:spacing w:val="-4"/>
          <w:sz w:val="20"/>
        </w:rPr>
        <w:t>, Melbourne</w:t>
      </w:r>
      <w:r w:rsidRPr="00484334">
        <w:rPr>
          <w:spacing w:val="-4"/>
          <w:sz w:val="20"/>
        </w:rPr>
        <w:t>.</w:t>
      </w:r>
    </w:p>
    <w:p w14:paraId="7B3F037D" w14:textId="77777777" w:rsidR="009C6940" w:rsidRPr="00484334" w:rsidRDefault="009C6940" w:rsidP="009C6940">
      <w:pPr>
        <w:pStyle w:val="Reference"/>
        <w:spacing w:before="100" w:line="260" w:lineRule="atLeast"/>
        <w:rPr>
          <w:spacing w:val="-4"/>
          <w:sz w:val="20"/>
        </w:rPr>
      </w:pPr>
      <w:r w:rsidRPr="00484334">
        <w:rPr>
          <w:spacing w:val="-4"/>
          <w:sz w:val="20"/>
        </w:rPr>
        <w:lastRenderedPageBreak/>
        <w:t xml:space="preserve">Reilly, E. 2010, ‘The mental injury. Exception to workers’ compensation claims’, </w:t>
      </w:r>
      <w:r w:rsidRPr="00484334">
        <w:rPr>
          <w:i/>
          <w:iCs/>
          <w:spacing w:val="-4"/>
          <w:sz w:val="20"/>
        </w:rPr>
        <w:t>Precedent</w:t>
      </w:r>
      <w:r w:rsidRPr="00484334">
        <w:rPr>
          <w:spacing w:val="-4"/>
          <w:sz w:val="20"/>
        </w:rPr>
        <w:t>, no. 101, pp. 31</w:t>
      </w:r>
      <w:r w:rsidRPr="00484334">
        <w:rPr>
          <w:spacing w:val="-4"/>
          <w:sz w:val="20"/>
        </w:rPr>
        <w:noBreakHyphen/>
        <w:t>34.</w:t>
      </w:r>
    </w:p>
    <w:p w14:paraId="3B75C4FA" w14:textId="77777777" w:rsidR="009C6940" w:rsidRPr="00484334" w:rsidRDefault="009C6940" w:rsidP="009C6940">
      <w:pPr>
        <w:pStyle w:val="Reference"/>
        <w:spacing w:before="100" w:line="260" w:lineRule="atLeast"/>
        <w:rPr>
          <w:spacing w:val="-4"/>
          <w:sz w:val="20"/>
        </w:rPr>
      </w:pPr>
      <w:r w:rsidRPr="00484334">
        <w:rPr>
          <w:spacing w:val="-4"/>
          <w:sz w:val="20"/>
        </w:rPr>
        <w:t xml:space="preserve">Rigby, K. and Griffiths, C. 2018, ‘Addressing traditional school-based bullying more effectively’, </w:t>
      </w:r>
      <w:r w:rsidRPr="00484334">
        <w:rPr>
          <w:i/>
          <w:iCs/>
          <w:spacing w:val="-4"/>
          <w:sz w:val="20"/>
        </w:rPr>
        <w:t>Reducing Cyberbullying in Schools - International Evidence-Based Best Practices</w:t>
      </w:r>
      <w:r w:rsidRPr="00484334">
        <w:rPr>
          <w:spacing w:val="-4"/>
          <w:sz w:val="20"/>
        </w:rPr>
        <w:t>, pp. 17–32.</w:t>
      </w:r>
    </w:p>
    <w:p w14:paraId="30127A52" w14:textId="77777777" w:rsidR="009C6940" w:rsidRPr="00484334" w:rsidRDefault="009C6940" w:rsidP="009C6940">
      <w:pPr>
        <w:pStyle w:val="Reference"/>
        <w:spacing w:before="100" w:line="260" w:lineRule="atLeast"/>
        <w:rPr>
          <w:spacing w:val="-4"/>
          <w:sz w:val="20"/>
        </w:rPr>
      </w:pPr>
      <w:r w:rsidRPr="00484334">
        <w:rPr>
          <w:spacing w:val="-4"/>
          <w:sz w:val="20"/>
        </w:rPr>
        <w:t xml:space="preserve">—— and Johnson, K. 2016, </w:t>
      </w:r>
      <w:r w:rsidRPr="00484334">
        <w:rPr>
          <w:i/>
          <w:iCs/>
          <w:spacing w:val="-4"/>
          <w:sz w:val="20"/>
        </w:rPr>
        <w:t>The Prevalence and Effectiveness of Anti-Bullying Strategies Employed in Australian Schools</w:t>
      </w:r>
      <w:r w:rsidRPr="00484334">
        <w:rPr>
          <w:spacing w:val="-4"/>
          <w:sz w:val="20"/>
        </w:rPr>
        <w:t>, University of South Australia, Adelaide.</w:t>
      </w:r>
    </w:p>
    <w:p w14:paraId="4FEB6AEA" w14:textId="77777777" w:rsidR="009C6940" w:rsidRPr="00484334" w:rsidRDefault="009C6940" w:rsidP="009C6940">
      <w:pPr>
        <w:pStyle w:val="Reference"/>
        <w:spacing w:before="100" w:line="260" w:lineRule="atLeast"/>
        <w:rPr>
          <w:spacing w:val="-4"/>
          <w:sz w:val="20"/>
        </w:rPr>
      </w:pPr>
      <w:r w:rsidRPr="00484334">
        <w:rPr>
          <w:spacing w:val="-4"/>
          <w:sz w:val="20"/>
        </w:rPr>
        <w:t xml:space="preserve">Riley, D., Duncan, D.J. and Edwards, J. 2012, </w:t>
      </w:r>
      <w:r w:rsidRPr="00484334">
        <w:rPr>
          <w:i/>
          <w:iCs/>
          <w:spacing w:val="-4"/>
          <w:sz w:val="20"/>
        </w:rPr>
        <w:t>Bullying of Staff in Schools</w:t>
      </w:r>
      <w:r w:rsidRPr="00484334">
        <w:rPr>
          <w:spacing w:val="-4"/>
          <w:sz w:val="20"/>
        </w:rPr>
        <w:t>, ACER Press, Camberwell, Victoria.</w:t>
      </w:r>
    </w:p>
    <w:p w14:paraId="157165A8" w14:textId="77777777" w:rsidR="009C6940" w:rsidRPr="00484334" w:rsidRDefault="009C6940" w:rsidP="009C6940">
      <w:pPr>
        <w:pStyle w:val="Reference"/>
        <w:spacing w:before="100" w:line="260" w:lineRule="atLeast"/>
        <w:rPr>
          <w:spacing w:val="-4"/>
          <w:sz w:val="20"/>
        </w:rPr>
      </w:pPr>
      <w:r w:rsidRPr="00484334">
        <w:rPr>
          <w:spacing w:val="-4"/>
          <w:sz w:val="20"/>
        </w:rPr>
        <w:t xml:space="preserve">Safe Work Australia 2012, </w:t>
      </w:r>
      <w:r w:rsidRPr="00484334">
        <w:rPr>
          <w:i/>
          <w:iCs/>
          <w:spacing w:val="-4"/>
          <w:sz w:val="20"/>
        </w:rPr>
        <w:t>Submission to the House Standing Committee on Education and Employment. Inquiry into Workplace Bullying</w:t>
      </w:r>
      <w:r w:rsidRPr="00484334">
        <w:rPr>
          <w:spacing w:val="-4"/>
          <w:sz w:val="20"/>
        </w:rPr>
        <w:t>, Canberra.</w:t>
      </w:r>
    </w:p>
    <w:p w14:paraId="3A559EEB" w14:textId="77777777" w:rsidR="009C6940" w:rsidRPr="00484334" w:rsidRDefault="009C6940" w:rsidP="009C6940">
      <w:pPr>
        <w:pStyle w:val="Reference"/>
        <w:spacing w:before="100" w:line="260" w:lineRule="atLeast"/>
        <w:rPr>
          <w:spacing w:val="-4"/>
          <w:sz w:val="20"/>
        </w:rPr>
      </w:pPr>
      <w:r w:rsidRPr="00484334">
        <w:rPr>
          <w:spacing w:val="-4"/>
          <w:sz w:val="20"/>
        </w:rPr>
        <w:t xml:space="preserve">—— 2016, </w:t>
      </w:r>
      <w:r w:rsidRPr="00484334">
        <w:rPr>
          <w:i/>
          <w:iCs/>
          <w:spacing w:val="-4"/>
          <w:sz w:val="20"/>
        </w:rPr>
        <w:t>Guide for Preventing and Responding to Workplace Bullying</w:t>
      </w:r>
      <w:r w:rsidRPr="00484334">
        <w:rPr>
          <w:spacing w:val="-4"/>
          <w:sz w:val="20"/>
        </w:rPr>
        <w:t>, Canberra.</w:t>
      </w:r>
    </w:p>
    <w:p w14:paraId="01BE82C1" w14:textId="77777777" w:rsidR="009C6940" w:rsidRPr="00484334" w:rsidRDefault="009C6940" w:rsidP="009C6940">
      <w:pPr>
        <w:pStyle w:val="Reference"/>
        <w:spacing w:before="100" w:line="260" w:lineRule="atLeast"/>
        <w:rPr>
          <w:spacing w:val="-4"/>
          <w:sz w:val="20"/>
        </w:rPr>
      </w:pPr>
      <w:r w:rsidRPr="00484334">
        <w:rPr>
          <w:spacing w:val="-4"/>
          <w:sz w:val="20"/>
        </w:rPr>
        <w:t xml:space="preserve">Sheehan, M., McCarthy, P., Barker, M. and Henderson, M. 2001, </w:t>
      </w:r>
      <w:r w:rsidRPr="00484334">
        <w:rPr>
          <w:i/>
          <w:iCs/>
          <w:spacing w:val="-4"/>
          <w:sz w:val="20"/>
        </w:rPr>
        <w:t>A model for assessing the impacts and costs of workplace bullying</w:t>
      </w:r>
      <w:r w:rsidRPr="00484334">
        <w:rPr>
          <w:spacing w:val="-4"/>
          <w:sz w:val="20"/>
        </w:rPr>
        <w:t>, Paper presented at the Standing Conference on Organisational Symbolism (SCOS) 30 June to 4th July, Trinity College, Dublin.</w:t>
      </w:r>
    </w:p>
    <w:p w14:paraId="04AAD060" w14:textId="77777777" w:rsidR="009C6940" w:rsidRPr="00484334" w:rsidRDefault="009C6940" w:rsidP="009C6940">
      <w:pPr>
        <w:pStyle w:val="Reference"/>
        <w:spacing w:before="100" w:line="260" w:lineRule="atLeast"/>
        <w:rPr>
          <w:spacing w:val="-4"/>
          <w:sz w:val="20"/>
        </w:rPr>
      </w:pPr>
      <w:r w:rsidRPr="00484334">
        <w:rPr>
          <w:spacing w:val="-4"/>
          <w:sz w:val="20"/>
        </w:rPr>
        <w:t xml:space="preserve">Smith, B., Schleiger, M. and Elphick, L. 2020, ‘Preventing sexual harassment in work: exploring the promise of work health and safety laws’, </w:t>
      </w:r>
      <w:r w:rsidRPr="00484334">
        <w:rPr>
          <w:i/>
          <w:iCs/>
          <w:spacing w:val="-4"/>
          <w:sz w:val="20"/>
        </w:rPr>
        <w:t>Australian Journal of Labour Law</w:t>
      </w:r>
      <w:r w:rsidRPr="00484334">
        <w:rPr>
          <w:spacing w:val="-4"/>
          <w:sz w:val="20"/>
        </w:rPr>
        <w:t>, vol. 2, no. 32.</w:t>
      </w:r>
    </w:p>
    <w:p w14:paraId="2808B770" w14:textId="77777777" w:rsidR="009C6940" w:rsidRPr="00484334" w:rsidRDefault="009C6940" w:rsidP="009C6940">
      <w:pPr>
        <w:pStyle w:val="Reference"/>
        <w:spacing w:before="100" w:line="260" w:lineRule="atLeast"/>
        <w:rPr>
          <w:spacing w:val="-4"/>
          <w:sz w:val="20"/>
        </w:rPr>
      </w:pPr>
      <w:r w:rsidRPr="00484334">
        <w:rPr>
          <w:spacing w:val="-4"/>
          <w:sz w:val="20"/>
        </w:rPr>
        <w:t xml:space="preserve">SSSC (Safe and Supportive School Communities Working Group) 2019, </w:t>
      </w:r>
      <w:r w:rsidRPr="00484334">
        <w:rPr>
          <w:i/>
          <w:iCs/>
          <w:spacing w:val="-4"/>
          <w:sz w:val="20"/>
        </w:rPr>
        <w:t>Bullying. No Way!</w:t>
      </w:r>
      <w:r w:rsidRPr="00484334">
        <w:rPr>
          <w:spacing w:val="-4"/>
          <w:sz w:val="20"/>
        </w:rPr>
        <w:t>, https://bullyingnoway.gov.au/ (accessed 31 July 2019).</w:t>
      </w:r>
    </w:p>
    <w:p w14:paraId="717215DF" w14:textId="77777777" w:rsidR="009C6940" w:rsidRPr="00484334" w:rsidRDefault="009C6940" w:rsidP="009C6940">
      <w:pPr>
        <w:pStyle w:val="Reference"/>
        <w:spacing w:before="100" w:line="260" w:lineRule="atLeast"/>
        <w:rPr>
          <w:spacing w:val="-4"/>
          <w:sz w:val="20"/>
        </w:rPr>
      </w:pPr>
      <w:r w:rsidRPr="00484334">
        <w:rPr>
          <w:spacing w:val="-4"/>
          <w:sz w:val="20"/>
        </w:rPr>
        <w:t xml:space="preserve">VAGO (Victorian Auditor-General’s Office) 2016, </w:t>
      </w:r>
      <w:r w:rsidRPr="00484334">
        <w:rPr>
          <w:i/>
          <w:iCs/>
          <w:spacing w:val="-4"/>
          <w:sz w:val="20"/>
        </w:rPr>
        <w:t>Bullying and Harassment in the Health Sector</w:t>
      </w:r>
      <w:r w:rsidRPr="00484334">
        <w:rPr>
          <w:spacing w:val="-4"/>
          <w:sz w:val="20"/>
        </w:rPr>
        <w:t>, Melbourne.</w:t>
      </w:r>
    </w:p>
    <w:p w14:paraId="40BE06EF" w14:textId="77777777" w:rsidR="009C6940" w:rsidRPr="00484334" w:rsidRDefault="009C6940" w:rsidP="009C6940">
      <w:pPr>
        <w:pStyle w:val="Reference"/>
        <w:spacing w:before="100" w:line="260" w:lineRule="atLeast"/>
        <w:rPr>
          <w:spacing w:val="-4"/>
          <w:sz w:val="20"/>
        </w:rPr>
      </w:pPr>
      <w:r w:rsidRPr="00484334">
        <w:rPr>
          <w:spacing w:val="-4"/>
          <w:sz w:val="20"/>
        </w:rPr>
        <w:t xml:space="preserve">Victoria Police 2016, </w:t>
      </w:r>
      <w:r w:rsidRPr="00484334">
        <w:rPr>
          <w:i/>
          <w:iCs/>
          <w:spacing w:val="-4"/>
          <w:sz w:val="20"/>
        </w:rPr>
        <w:t>Brodie’s Law - Five Years On</w:t>
      </w:r>
      <w:r w:rsidRPr="00484334">
        <w:rPr>
          <w:spacing w:val="-4"/>
          <w:sz w:val="20"/>
        </w:rPr>
        <w:t>, www.vicpolicenews.com.au/cops-and-bloggers</w:t>
      </w:r>
      <w:r w:rsidRPr="00484334">
        <w:rPr>
          <w:spacing w:val="-4"/>
          <w:sz w:val="20"/>
        </w:rPr>
        <w:br/>
        <w:t>/blogs/brodies-law-five-years-on (accessed 9 January 2019).</w:t>
      </w:r>
    </w:p>
    <w:p w14:paraId="551CC4E2" w14:textId="77777777" w:rsidR="009C6940" w:rsidRPr="00484334" w:rsidRDefault="009C6940" w:rsidP="009C6940">
      <w:pPr>
        <w:pStyle w:val="Reference"/>
        <w:spacing w:before="100" w:line="260" w:lineRule="atLeast"/>
        <w:rPr>
          <w:spacing w:val="-4"/>
          <w:sz w:val="20"/>
        </w:rPr>
      </w:pPr>
      <w:r w:rsidRPr="00484334">
        <w:rPr>
          <w:spacing w:val="-4"/>
          <w:sz w:val="20"/>
        </w:rPr>
        <w:t xml:space="preserve">Wilson, J. 2018, ‘“Over the top” discipline: rethinking bullying in the public service’, </w:t>
      </w:r>
      <w:r w:rsidRPr="00484334">
        <w:rPr>
          <w:i/>
          <w:iCs/>
          <w:spacing w:val="-4"/>
          <w:sz w:val="20"/>
        </w:rPr>
        <w:t>The Mandarin</w:t>
      </w:r>
      <w:r w:rsidRPr="00484334">
        <w:rPr>
          <w:spacing w:val="-4"/>
          <w:sz w:val="20"/>
        </w:rPr>
        <w:t>.</w:t>
      </w:r>
    </w:p>
    <w:p w14:paraId="4BB9E592" w14:textId="77777777" w:rsidR="009C6940" w:rsidRPr="00484334" w:rsidRDefault="009C6940" w:rsidP="009C6940">
      <w:pPr>
        <w:pStyle w:val="Reference"/>
        <w:spacing w:before="100" w:line="260" w:lineRule="atLeast"/>
        <w:rPr>
          <w:spacing w:val="-4"/>
          <w:sz w:val="20"/>
        </w:rPr>
      </w:pPr>
      <w:r w:rsidRPr="00484334">
        <w:rPr>
          <w:spacing w:val="-4"/>
          <w:sz w:val="20"/>
        </w:rPr>
        <w:t xml:space="preserve">Workplace Law 2017, </w:t>
      </w:r>
      <w:r w:rsidRPr="00484334">
        <w:rPr>
          <w:i/>
          <w:iCs/>
          <w:spacing w:val="-4"/>
          <w:sz w:val="20"/>
        </w:rPr>
        <w:t>Reasonable management action and psychological injuries</w:t>
      </w:r>
      <w:r w:rsidRPr="00484334">
        <w:rPr>
          <w:spacing w:val="-4"/>
          <w:sz w:val="20"/>
        </w:rPr>
        <w:t>, www.workplacelaw.com.au</w:t>
      </w:r>
      <w:r w:rsidRPr="00484334">
        <w:rPr>
          <w:spacing w:val="-4"/>
          <w:sz w:val="20"/>
        </w:rPr>
        <w:br/>
        <w:t>reasonable-management-action-and-psychological-injuries/ (accessed 20 May 2019).</w:t>
      </w:r>
    </w:p>
    <w:p w14:paraId="35A8F937" w14:textId="77777777" w:rsidR="009C6940" w:rsidRPr="00484334" w:rsidRDefault="009C6940" w:rsidP="009C6940">
      <w:pPr>
        <w:pStyle w:val="Reference"/>
        <w:spacing w:before="80" w:line="260" w:lineRule="atLeast"/>
        <w:ind w:left="0" w:firstLine="0"/>
        <w:rPr>
          <w:spacing w:val="-4"/>
          <w:sz w:val="20"/>
        </w:rPr>
      </w:pPr>
    </w:p>
    <w:p w14:paraId="2E6D9164" w14:textId="77777777" w:rsidR="009C6940" w:rsidRDefault="009C6940" w:rsidP="009C6940">
      <w:pPr>
        <w:sectPr w:rsidR="009C6940" w:rsidSect="009C6940">
          <w:headerReference w:type="even" r:id="rId41"/>
          <w:headerReference w:type="default" r:id="rId42"/>
          <w:footerReference w:type="even" r:id="rId43"/>
          <w:footerReference w:type="default" r:id="rId44"/>
          <w:type w:val="oddPage"/>
          <w:pgSz w:w="11907" w:h="16840" w:code="9"/>
          <w:pgMar w:top="1985" w:right="1304" w:bottom="1247" w:left="1814" w:header="1701" w:footer="397" w:gutter="0"/>
          <w:pgNumType w:chapSep="period"/>
          <w:cols w:space="720"/>
          <w:docGrid w:linePitch="326"/>
        </w:sectPr>
      </w:pPr>
    </w:p>
    <w:p w14:paraId="3C6F7E13" w14:textId="77777777" w:rsidR="009C6940" w:rsidRDefault="009C6940" w:rsidP="0085206F">
      <w:pPr>
        <w:pStyle w:val="Heading1"/>
      </w:pPr>
      <w:r>
        <w:lastRenderedPageBreak/>
        <w:t>F</w:t>
      </w:r>
      <w:r>
        <w:tab/>
        <w:t xml:space="preserve">Mental health and the workers compensation system </w:t>
      </w:r>
    </w:p>
    <w:p w14:paraId="1C446317" w14:textId="77777777" w:rsidR="009C6940" w:rsidRDefault="009C6940" w:rsidP="009C6940">
      <w:pPr>
        <w:pStyle w:val="BodyText"/>
      </w:pPr>
      <w:r w:rsidRPr="00D171B9">
        <w:t>The workers compensation system in Australia provides payments to employees who incur a work</w:t>
      </w:r>
      <w:r>
        <w:noBreakHyphen/>
      </w:r>
      <w:r w:rsidRPr="00D171B9">
        <w:t xml:space="preserve">related injury or illness. This compensates </w:t>
      </w:r>
      <w:r>
        <w:t xml:space="preserve">them </w:t>
      </w:r>
      <w:r w:rsidRPr="00D171B9">
        <w:t xml:space="preserve">for the loss of income while not at work, and also for any medical and rehabilitation expenses. </w:t>
      </w:r>
      <w:r>
        <w:t xml:space="preserve">This appendix analyses the trends and features of the workers compensation system in Australia with regard to mental health claims. It </w:t>
      </w:r>
      <w:r w:rsidRPr="00D171B9">
        <w:t xml:space="preserve">draws on data </w:t>
      </w:r>
      <w:r>
        <w:t>that</w:t>
      </w:r>
      <w:r w:rsidRPr="00D171B9">
        <w:t xml:space="preserve"> the Productivity Commission </w:t>
      </w:r>
      <w:r>
        <w:t>received</w:t>
      </w:r>
      <w:r w:rsidRPr="00D171B9">
        <w:t xml:space="preserve"> from the states, territories and Comcare</w:t>
      </w:r>
      <w:r>
        <w:t>.</w:t>
      </w:r>
    </w:p>
    <w:p w14:paraId="069A2813" w14:textId="77777777" w:rsidR="009C6940" w:rsidRDefault="009C6940" w:rsidP="009C6940">
      <w:pPr>
        <w:pStyle w:val="Heading2"/>
        <w:spacing w:before="480"/>
      </w:pPr>
      <w:r>
        <w:t>F.</w:t>
      </w:r>
      <w:r>
        <w:rPr>
          <w:noProof/>
        </w:rPr>
        <w:t>1</w:t>
      </w:r>
      <w:r>
        <w:tab/>
        <w:t xml:space="preserve">The national picture of mental health claims </w:t>
      </w:r>
    </w:p>
    <w:p w14:paraId="630015A6" w14:textId="77777777" w:rsidR="009C6940" w:rsidRDefault="009C6940" w:rsidP="009C6940">
      <w:pPr>
        <w:pStyle w:val="BodyText"/>
      </w:pPr>
      <w:r>
        <w:t>To conduct its analysis, the Productivity Commission focused on claims arising from the past five financial years (2014</w:t>
      </w:r>
      <w:r>
        <w:noBreakHyphen/>
        <w:t>15 to 2018</w:t>
      </w:r>
      <w:r>
        <w:noBreakHyphen/>
        <w:t>19).</w:t>
      </w:r>
      <w:r>
        <w:rPr>
          <w:rStyle w:val="FootnoteReference"/>
        </w:rPr>
        <w:footnoteReference w:id="2"/>
      </w:r>
      <w:r>
        <w:t xml:space="preserve"> This resulted in a dataset containing approximately one million observations across all the states, territories and Comcare. This amount includes all accepted and rejected physical and mental health claims.</w:t>
      </w:r>
      <w:r>
        <w:rPr>
          <w:rStyle w:val="FootnoteReference"/>
        </w:rPr>
        <w:footnoteReference w:id="3"/>
      </w:r>
      <w:r>
        <w:t xml:space="preserve"> From this, the total number of mental health claims amounted to 70 000. Whilst this figure includes all rejected and accepted mental health claims, it does not include active or pending claims.</w:t>
      </w:r>
      <w:r>
        <w:rPr>
          <w:rStyle w:val="FootnoteReference"/>
        </w:rPr>
        <w:footnoteReference w:id="4"/>
      </w:r>
      <w:r>
        <w:t xml:space="preserve"> Further, rejected claims only include those claims rejected on initial application, and so do not include those rejected claims which were later overturned. </w:t>
      </w:r>
    </w:p>
    <w:p w14:paraId="154B7CB7" w14:textId="77777777" w:rsidR="009C6940" w:rsidRDefault="009C6940" w:rsidP="009C6940">
      <w:pPr>
        <w:pStyle w:val="BodyText"/>
      </w:pPr>
      <w:r>
        <w:t>The key trends and features of this data are that:</w:t>
      </w:r>
    </w:p>
    <w:p w14:paraId="0BFC322E" w14:textId="77777777" w:rsidR="009C6940" w:rsidRDefault="009C6940" w:rsidP="009C6940">
      <w:pPr>
        <w:pStyle w:val="ListBullet"/>
        <w:spacing w:before="100"/>
      </w:pPr>
      <w:r>
        <w:t>the total number of mental health claims has gradually increased between 2014</w:t>
      </w:r>
      <w:r>
        <w:noBreakHyphen/>
        <w:t>15 and 2018</w:t>
      </w:r>
      <w:r>
        <w:noBreakHyphen/>
        <w:t>19 (figure F.1)</w:t>
      </w:r>
    </w:p>
    <w:p w14:paraId="651DBCF1" w14:textId="77777777" w:rsidR="009C6940" w:rsidRDefault="009C6940" w:rsidP="009C6940">
      <w:pPr>
        <w:pStyle w:val="ListBullet"/>
        <w:spacing w:before="100"/>
      </w:pPr>
      <w:r>
        <w:t>the increase in mental health claims is reflected in a higher year</w:t>
      </w:r>
      <w:r>
        <w:noBreakHyphen/>
        <w:t>on</w:t>
      </w:r>
      <w:r>
        <w:noBreakHyphen/>
        <w:t>year percentage increase in mental health claims (compared with physical claims) (figure F.2)</w:t>
      </w:r>
    </w:p>
    <w:p w14:paraId="40E6462A" w14:textId="77777777" w:rsidR="009C6940" w:rsidRDefault="009C6940" w:rsidP="009C6940">
      <w:pPr>
        <w:pStyle w:val="ListBullet"/>
        <w:spacing w:before="100"/>
      </w:pPr>
      <w:r>
        <w:t>as a proportion of all claims lodged, mental health claims have been increasing over time (figure F.3)</w:t>
      </w:r>
    </w:p>
    <w:p w14:paraId="5D1E8037" w14:textId="77777777" w:rsidR="009C6940" w:rsidRDefault="009C6940" w:rsidP="009C6940">
      <w:pPr>
        <w:pStyle w:val="ListBullet"/>
        <w:spacing w:before="100"/>
      </w:pPr>
      <w:r>
        <w:t>while rejection rates for physical health</w:t>
      </w:r>
      <w:r>
        <w:noBreakHyphen/>
        <w:t xml:space="preserve">related claims have been flat, rejection rates for mental health claims have been gradually decreasing over time (figure F.4). </w:t>
      </w:r>
    </w:p>
    <w:p w14:paraId="76299857" w14:textId="77777777" w:rsidR="009C6940" w:rsidRPr="002A2A5F"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4C853FE" w14:textId="77777777" w:rsidTr="009C6940">
        <w:trPr>
          <w:trHeight w:val="427"/>
          <w:tblHeader/>
        </w:trPr>
        <w:tc>
          <w:tcPr>
            <w:tcW w:w="5000" w:type="pct"/>
            <w:tcBorders>
              <w:top w:val="single" w:sz="6" w:space="0" w:color="78A22F"/>
              <w:left w:val="nil"/>
              <w:bottom w:val="nil"/>
              <w:right w:val="nil"/>
            </w:tcBorders>
            <w:shd w:val="clear" w:color="auto" w:fill="auto"/>
          </w:tcPr>
          <w:p w14:paraId="34C6440E" w14:textId="77777777" w:rsidR="009C6940" w:rsidRDefault="009C6940" w:rsidP="009C6940">
            <w:pPr>
              <w:pStyle w:val="FigureTitle"/>
            </w:pPr>
            <w:r w:rsidRPr="00784A05">
              <w:rPr>
                <w:b w:val="0"/>
              </w:rPr>
              <w:t xml:space="preserve">Figure </w:t>
            </w:r>
            <w:r>
              <w:rPr>
                <w:b w:val="0"/>
              </w:rPr>
              <w:t>F.</w:t>
            </w:r>
            <w:r>
              <w:rPr>
                <w:b w:val="0"/>
                <w:noProof/>
              </w:rPr>
              <w:t>1</w:t>
            </w:r>
            <w:r>
              <w:tab/>
              <w:t>Mental health claims have been increasing over time</w:t>
            </w:r>
            <w:r w:rsidRPr="000A6D2D">
              <w:rPr>
                <w:rStyle w:val="NoteLabel"/>
                <w:rFonts w:ascii="Arial Bold" w:hAnsi="Arial Bold"/>
                <w:b/>
                <w:position w:val="10"/>
              </w:rPr>
              <w:t>a</w:t>
            </w:r>
          </w:p>
          <w:p w14:paraId="352DB011" w14:textId="77777777" w:rsidR="009C6940" w:rsidRPr="00176D3F" w:rsidRDefault="009C6940" w:rsidP="009C6940">
            <w:pPr>
              <w:pStyle w:val="Subtitle"/>
            </w:pPr>
            <w:r>
              <w:t>Total number of mental health claims</w:t>
            </w:r>
          </w:p>
        </w:tc>
      </w:tr>
      <w:tr w:rsidR="009C6940" w:rsidRPr="005C1364" w14:paraId="4E2FDEF7" w14:textId="77777777" w:rsidTr="009C6940">
        <w:trPr>
          <w:trHeight w:val="320"/>
        </w:trPr>
        <w:tc>
          <w:tcPr>
            <w:tcW w:w="5000" w:type="pct"/>
            <w:tcBorders>
              <w:top w:val="nil"/>
              <w:left w:val="nil"/>
              <w:bottom w:val="nil"/>
              <w:right w:val="nil"/>
            </w:tcBorders>
            <w:shd w:val="clear" w:color="auto" w:fill="auto"/>
            <w:tcMar>
              <w:top w:w="28" w:type="dxa"/>
              <w:bottom w:w="28" w:type="dxa"/>
            </w:tcMar>
          </w:tcPr>
          <w:p w14:paraId="044B0C9F" w14:textId="77777777" w:rsidR="009C6940" w:rsidRPr="005C1364" w:rsidRDefault="009C6940" w:rsidP="009C6940">
            <w:pPr>
              <w:pStyle w:val="Figure"/>
              <w:spacing w:before="60" w:after="60"/>
            </w:pPr>
            <w:r>
              <w:rPr>
                <w:noProof/>
              </w:rPr>
              <w:drawing>
                <wp:inline distT="0" distB="0" distL="0" distR="0" wp14:anchorId="173215CF" wp14:editId="777B7326">
                  <wp:extent cx="5400346" cy="2700122"/>
                  <wp:effectExtent l="0" t="0" r="0" b="0"/>
                  <wp:docPr id="24" name="Picture 24" descr="This bar graph shows that total mental health claims have been increasing over time. It covers the five year period from 2014-15 to 2018-19. In 2018-19, over 15,000 mental health claims were lodged. " title="Figure F.1 Mental health claims have been increasing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 F.1.emf"/>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400346" cy="2700122"/>
                          </a:xfrm>
                          <a:prstGeom prst="rect">
                            <a:avLst/>
                          </a:prstGeom>
                        </pic:spPr>
                      </pic:pic>
                    </a:graphicData>
                  </a:graphic>
                </wp:inline>
              </w:drawing>
            </w:r>
          </w:p>
        </w:tc>
      </w:tr>
      <w:tr w:rsidR="009C6940" w:rsidRPr="00176D3F" w14:paraId="42076D00" w14:textId="77777777" w:rsidTr="009C6940">
        <w:trPr>
          <w:trHeight w:val="164"/>
        </w:trPr>
        <w:tc>
          <w:tcPr>
            <w:tcW w:w="5000" w:type="pct"/>
            <w:tcBorders>
              <w:top w:val="nil"/>
              <w:left w:val="nil"/>
              <w:bottom w:val="nil"/>
              <w:right w:val="nil"/>
            </w:tcBorders>
            <w:shd w:val="clear" w:color="auto" w:fill="auto"/>
          </w:tcPr>
          <w:p w14:paraId="1D899435" w14:textId="77777777" w:rsidR="009C6940" w:rsidRPr="00176D3F" w:rsidRDefault="009C6940" w:rsidP="009C6940">
            <w:pPr>
              <w:pStyle w:val="Note"/>
            </w:pPr>
            <w:r>
              <w:rPr>
                <w:rStyle w:val="NoteLabel"/>
              </w:rPr>
              <w:t>a</w:t>
            </w:r>
            <w:r>
              <w:t xml:space="preserve"> Includes all states, territories and Comcare. </w:t>
            </w:r>
          </w:p>
        </w:tc>
      </w:tr>
      <w:tr w:rsidR="009C6940" w:rsidRPr="00176D3F" w14:paraId="7E2A6A76" w14:textId="77777777" w:rsidTr="009C6940">
        <w:trPr>
          <w:trHeight w:val="177"/>
        </w:trPr>
        <w:tc>
          <w:tcPr>
            <w:tcW w:w="5000" w:type="pct"/>
            <w:tcBorders>
              <w:top w:val="nil"/>
              <w:left w:val="nil"/>
              <w:bottom w:val="nil"/>
              <w:right w:val="nil"/>
            </w:tcBorders>
            <w:shd w:val="clear" w:color="auto" w:fill="auto"/>
          </w:tcPr>
          <w:p w14:paraId="31ED783C"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rsidRPr="002A2A5F" w14:paraId="7A340078" w14:textId="77777777" w:rsidTr="009C6940">
        <w:trPr>
          <w:trHeight w:val="57"/>
        </w:trPr>
        <w:tc>
          <w:tcPr>
            <w:tcW w:w="5000" w:type="pct"/>
            <w:tcBorders>
              <w:top w:val="nil"/>
              <w:left w:val="nil"/>
              <w:bottom w:val="single" w:sz="6" w:space="0" w:color="78A22F"/>
              <w:right w:val="nil"/>
            </w:tcBorders>
            <w:shd w:val="clear" w:color="auto" w:fill="auto"/>
          </w:tcPr>
          <w:p w14:paraId="3C433AD0" w14:textId="77777777" w:rsidR="009C6940" w:rsidRPr="002A2A5F" w:rsidRDefault="009C6940" w:rsidP="009C6940">
            <w:pPr>
              <w:pStyle w:val="Figurespace"/>
            </w:pPr>
          </w:p>
        </w:tc>
      </w:tr>
      <w:tr w:rsidR="009C6940" w:rsidRPr="002A2A5F" w14:paraId="66B06533" w14:textId="77777777" w:rsidTr="009C6940">
        <w:trPr>
          <w:trHeight w:val="106"/>
        </w:trPr>
        <w:tc>
          <w:tcPr>
            <w:tcW w:w="5000" w:type="pct"/>
            <w:tcBorders>
              <w:top w:val="single" w:sz="6" w:space="0" w:color="78A22F"/>
              <w:left w:val="nil"/>
              <w:bottom w:val="nil"/>
              <w:right w:val="nil"/>
            </w:tcBorders>
          </w:tcPr>
          <w:p w14:paraId="380303AA" w14:textId="77777777" w:rsidR="009C6940" w:rsidRPr="002A2A5F" w:rsidRDefault="009C6940" w:rsidP="009C6940">
            <w:pPr>
              <w:pStyle w:val="BoxSpaceBelow"/>
            </w:pPr>
          </w:p>
        </w:tc>
      </w:tr>
    </w:tbl>
    <w:p w14:paraId="18274A91"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BA2520B" w14:textId="77777777" w:rsidTr="009C6940">
        <w:trPr>
          <w:tblHeader/>
        </w:trPr>
        <w:tc>
          <w:tcPr>
            <w:tcW w:w="5000" w:type="pct"/>
            <w:tcBorders>
              <w:top w:val="single" w:sz="6" w:space="0" w:color="78A22F"/>
              <w:left w:val="nil"/>
              <w:bottom w:val="nil"/>
              <w:right w:val="nil"/>
            </w:tcBorders>
            <w:shd w:val="clear" w:color="auto" w:fill="auto"/>
          </w:tcPr>
          <w:p w14:paraId="36646BE0" w14:textId="77777777" w:rsidR="009C6940" w:rsidRDefault="009C6940" w:rsidP="009C6940">
            <w:pPr>
              <w:pStyle w:val="FigureTitle"/>
            </w:pPr>
            <w:r w:rsidRPr="00784A05">
              <w:rPr>
                <w:b w:val="0"/>
              </w:rPr>
              <w:t xml:space="preserve">Figure </w:t>
            </w:r>
            <w:r>
              <w:rPr>
                <w:b w:val="0"/>
              </w:rPr>
              <w:t>F.</w:t>
            </w:r>
            <w:r>
              <w:rPr>
                <w:b w:val="0"/>
                <w:noProof/>
              </w:rPr>
              <w:t>2</w:t>
            </w:r>
            <w:r>
              <w:tab/>
              <w:t>Divergence between claim growth rates</w:t>
            </w:r>
            <w:r w:rsidRPr="000A6D2D">
              <w:rPr>
                <w:rStyle w:val="NoteLabel"/>
                <w:rFonts w:ascii="Arial Bold" w:hAnsi="Arial Bold"/>
                <w:b/>
                <w:position w:val="10"/>
              </w:rPr>
              <w:t>a,b</w:t>
            </w:r>
          </w:p>
          <w:p w14:paraId="458B49FD" w14:textId="77777777" w:rsidR="009C6940" w:rsidRPr="00176D3F" w:rsidRDefault="009C6940" w:rsidP="009C6940">
            <w:pPr>
              <w:pStyle w:val="Subtitle"/>
            </w:pPr>
            <w:r>
              <w:t>Percentage change in total mental health and physical health claims</w:t>
            </w:r>
          </w:p>
        </w:tc>
      </w:tr>
      <w:tr w:rsidR="009C6940" w14:paraId="19022514"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B1465D" w14:paraId="3950B611" w14:textId="77777777" w:rsidTr="009C6940">
              <w:trPr>
                <w:tblHeader/>
                <w:jc w:val="center"/>
              </w:trPr>
              <w:tc>
                <w:tcPr>
                  <w:tcW w:w="5000" w:type="pct"/>
                  <w:tcBorders>
                    <w:top w:val="nil"/>
                    <w:bottom w:val="nil"/>
                  </w:tcBorders>
                </w:tcPr>
                <w:p w14:paraId="6D322F62" w14:textId="77777777" w:rsidR="009C6940" w:rsidRPr="00B1465D" w:rsidRDefault="009C6940" w:rsidP="009C6940">
                  <w:pPr>
                    <w:pStyle w:val="Figure"/>
                    <w:spacing w:before="60" w:after="60"/>
                    <w:rPr>
                      <w:rFonts w:ascii="Arial" w:hAnsi="Arial" w:cs="Arial"/>
                      <w:sz w:val="18"/>
                      <w:szCs w:val="18"/>
                    </w:rPr>
                  </w:pPr>
                  <w:r w:rsidRPr="007A16C7">
                    <w:rPr>
                      <w:rFonts w:ascii="Arial" w:hAnsi="Arial" w:cs="Arial"/>
                      <w:noProof/>
                      <w:sz w:val="18"/>
                      <w:szCs w:val="18"/>
                    </w:rPr>
                    <w:drawing>
                      <wp:inline distT="0" distB="0" distL="0" distR="0" wp14:anchorId="55FD678C" wp14:editId="757A51AE">
                        <wp:extent cx="5495925" cy="2762250"/>
                        <wp:effectExtent l="0" t="0" r="9525" b="0"/>
                        <wp:docPr id="25" name="Picture 25" descr="This line graph shows that mental health claim growth rates are increasing over the five year period from 2014-15 to 2018-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95925" cy="2762250"/>
                                </a:xfrm>
                                <a:prstGeom prst="rect">
                                  <a:avLst/>
                                </a:prstGeom>
                                <a:noFill/>
                                <a:ln>
                                  <a:noFill/>
                                </a:ln>
                              </pic:spPr>
                            </pic:pic>
                          </a:graphicData>
                        </a:graphic>
                      </wp:inline>
                    </w:drawing>
                  </w:r>
                </w:p>
              </w:tc>
            </w:tr>
          </w:tbl>
          <w:p w14:paraId="68658091" w14:textId="77777777" w:rsidR="009C6940" w:rsidRDefault="009C6940" w:rsidP="009C6940">
            <w:pPr>
              <w:pStyle w:val="Figure"/>
              <w:spacing w:before="60" w:after="60"/>
            </w:pPr>
          </w:p>
        </w:tc>
      </w:tr>
      <w:tr w:rsidR="009C6940" w:rsidRPr="00176D3F" w14:paraId="16E1865B" w14:textId="77777777" w:rsidTr="009C6940">
        <w:tc>
          <w:tcPr>
            <w:tcW w:w="5000" w:type="pct"/>
            <w:tcBorders>
              <w:top w:val="nil"/>
              <w:left w:val="nil"/>
              <w:bottom w:val="nil"/>
              <w:right w:val="nil"/>
            </w:tcBorders>
            <w:shd w:val="clear" w:color="auto" w:fill="auto"/>
          </w:tcPr>
          <w:p w14:paraId="0255210C" w14:textId="77777777" w:rsidR="009C6940" w:rsidRPr="00BB5EA1" w:rsidRDefault="009C6940" w:rsidP="009C6940">
            <w:pPr>
              <w:pStyle w:val="Note"/>
              <w:rPr>
                <w:b/>
                <w:bCs/>
              </w:rPr>
            </w:pPr>
            <w:r>
              <w:rPr>
                <w:rStyle w:val="NoteLabel"/>
              </w:rPr>
              <w:t>a</w:t>
            </w:r>
            <w:r>
              <w:t xml:space="preserve"> The total number of claims includes all accepted and rejected claims and does not include pending claims. </w:t>
            </w:r>
            <w:r w:rsidRPr="00BB5EA1">
              <w:rPr>
                <w:rStyle w:val="NoteLabel"/>
              </w:rPr>
              <w:t>b</w:t>
            </w:r>
            <w:r>
              <w:rPr>
                <w:rStyle w:val="NoteLabel"/>
              </w:rPr>
              <w:t xml:space="preserve"> </w:t>
            </w:r>
            <w:r w:rsidRPr="00BB5EA1">
              <w:rPr>
                <w:bCs/>
              </w:rPr>
              <w:t>Physical claims do not include Vic</w:t>
            </w:r>
            <w:r>
              <w:rPr>
                <w:bCs/>
              </w:rPr>
              <w:t>toria</w:t>
            </w:r>
            <w:r w:rsidRPr="00BB5EA1">
              <w:rPr>
                <w:bCs/>
              </w:rPr>
              <w:t xml:space="preserve"> or S</w:t>
            </w:r>
            <w:r>
              <w:rPr>
                <w:bCs/>
              </w:rPr>
              <w:t xml:space="preserve">outh </w:t>
            </w:r>
            <w:r w:rsidRPr="00BB5EA1">
              <w:rPr>
                <w:bCs/>
              </w:rPr>
              <w:t>A</w:t>
            </w:r>
            <w:r>
              <w:rPr>
                <w:bCs/>
              </w:rPr>
              <w:t>ustralia</w:t>
            </w:r>
            <w:r w:rsidRPr="00BB5EA1">
              <w:rPr>
                <w:bCs/>
              </w:rPr>
              <w:t xml:space="preserve"> data</w:t>
            </w:r>
            <w:r>
              <w:rPr>
                <w:bCs/>
              </w:rPr>
              <w:t>.</w:t>
            </w:r>
          </w:p>
        </w:tc>
      </w:tr>
      <w:tr w:rsidR="009C6940" w:rsidRPr="00176D3F" w14:paraId="4CA22E04" w14:textId="77777777" w:rsidTr="009C6940">
        <w:tc>
          <w:tcPr>
            <w:tcW w:w="5000" w:type="pct"/>
            <w:tcBorders>
              <w:top w:val="nil"/>
              <w:left w:val="nil"/>
              <w:bottom w:val="nil"/>
              <w:right w:val="nil"/>
            </w:tcBorders>
            <w:shd w:val="clear" w:color="auto" w:fill="auto"/>
          </w:tcPr>
          <w:p w14:paraId="64EBFEFD"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25A127B5" w14:textId="77777777" w:rsidTr="009C6940">
        <w:tc>
          <w:tcPr>
            <w:tcW w:w="5000" w:type="pct"/>
            <w:tcBorders>
              <w:top w:val="nil"/>
              <w:left w:val="nil"/>
              <w:bottom w:val="single" w:sz="6" w:space="0" w:color="78A22F"/>
              <w:right w:val="nil"/>
            </w:tcBorders>
            <w:shd w:val="clear" w:color="auto" w:fill="auto"/>
          </w:tcPr>
          <w:p w14:paraId="04CC1DD5" w14:textId="77777777" w:rsidR="009C6940" w:rsidRDefault="009C6940" w:rsidP="009C6940">
            <w:pPr>
              <w:pStyle w:val="Figurespace"/>
            </w:pPr>
          </w:p>
        </w:tc>
      </w:tr>
      <w:tr w:rsidR="009C6940" w:rsidRPr="000863A5" w14:paraId="02A1B30C" w14:textId="77777777" w:rsidTr="009C6940">
        <w:tc>
          <w:tcPr>
            <w:tcW w:w="5000" w:type="pct"/>
            <w:tcBorders>
              <w:top w:val="single" w:sz="6" w:space="0" w:color="78A22F"/>
              <w:left w:val="nil"/>
              <w:bottom w:val="nil"/>
              <w:right w:val="nil"/>
            </w:tcBorders>
          </w:tcPr>
          <w:p w14:paraId="327D0E7E" w14:textId="77777777" w:rsidR="009C6940" w:rsidRPr="00626D32" w:rsidRDefault="009C6940" w:rsidP="009C6940">
            <w:pPr>
              <w:pStyle w:val="BoxSpaceBelow"/>
            </w:pPr>
          </w:p>
        </w:tc>
      </w:tr>
    </w:tbl>
    <w:p w14:paraId="105E7A7A" w14:textId="77777777" w:rsidR="009C6940" w:rsidRPr="003B7F24"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DE03FF1" w14:textId="77777777" w:rsidTr="009C6940">
        <w:trPr>
          <w:tblHeader/>
        </w:trPr>
        <w:tc>
          <w:tcPr>
            <w:tcW w:w="5000" w:type="pct"/>
            <w:tcBorders>
              <w:top w:val="single" w:sz="6" w:space="0" w:color="78A22F"/>
              <w:left w:val="nil"/>
              <w:bottom w:val="nil"/>
              <w:right w:val="nil"/>
            </w:tcBorders>
            <w:shd w:val="clear" w:color="auto" w:fill="auto"/>
          </w:tcPr>
          <w:p w14:paraId="138D46C2" w14:textId="77777777" w:rsidR="009C6940" w:rsidRPr="00D214BF" w:rsidRDefault="009C6940" w:rsidP="009C6940">
            <w:pPr>
              <w:pStyle w:val="FigureTitle"/>
            </w:pPr>
            <w:r w:rsidRPr="00784A05">
              <w:rPr>
                <w:b w:val="0"/>
              </w:rPr>
              <w:t xml:space="preserve">Figure </w:t>
            </w:r>
            <w:r>
              <w:rPr>
                <w:b w:val="0"/>
              </w:rPr>
              <w:t>F.</w:t>
            </w:r>
            <w:r>
              <w:rPr>
                <w:b w:val="0"/>
                <w:noProof/>
              </w:rPr>
              <w:t>3</w:t>
            </w:r>
            <w:r>
              <w:tab/>
              <w:t>Mental health claims are increasing as a proportion of all workers compensation claims</w:t>
            </w:r>
            <w:r w:rsidRPr="000A6D2D">
              <w:rPr>
                <w:rStyle w:val="NoteLabel"/>
                <w:rFonts w:ascii="Arial Bold" w:hAnsi="Arial Bold"/>
                <w:b/>
                <w:position w:val="10"/>
              </w:rPr>
              <w:t>a,b</w:t>
            </w:r>
          </w:p>
        </w:tc>
      </w:tr>
      <w:tr w:rsidR="009C6940" w14:paraId="464C7FF1"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5446A9F5" w14:textId="77777777" w:rsidTr="009C6940">
              <w:trPr>
                <w:tblHeader/>
                <w:jc w:val="center"/>
              </w:trPr>
              <w:tc>
                <w:tcPr>
                  <w:tcW w:w="5000" w:type="pct"/>
                  <w:tcBorders>
                    <w:top w:val="nil"/>
                    <w:bottom w:val="nil"/>
                  </w:tcBorders>
                </w:tcPr>
                <w:p w14:paraId="0F01D4A0" w14:textId="77777777" w:rsidR="009C6940" w:rsidRPr="00B1465D" w:rsidRDefault="009C6940" w:rsidP="009C6940">
                  <w:pPr>
                    <w:pStyle w:val="Figure"/>
                    <w:spacing w:before="0" w:after="0"/>
                  </w:pPr>
                  <w:r>
                    <w:rPr>
                      <w:noProof/>
                    </w:rPr>
                    <w:drawing>
                      <wp:inline distT="0" distB="0" distL="0" distR="0" wp14:anchorId="709C68A9" wp14:editId="3B67FD54">
                        <wp:extent cx="5400346" cy="2700122"/>
                        <wp:effectExtent l="0" t="0" r="0" b="0"/>
                        <wp:docPr id="26" name="Picture 26" descr="This bar chart shows that mental health claims are an increasing proportion of total claims over the five year period from 2014-15 to 2018-19. In the 2018-19 financial year for example, mental health claims comprised approximately 6% of all claims. In 2014-15 this number was closer to 4.5%. All claims includes physical and mental health claims. " title="Figure F.3 Mental health claims are increasing as a proportion of all workers compensation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p_health_by_category.emf"/>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400346" cy="2700122"/>
                                </a:xfrm>
                                <a:prstGeom prst="rect">
                                  <a:avLst/>
                                </a:prstGeom>
                              </pic:spPr>
                            </pic:pic>
                          </a:graphicData>
                        </a:graphic>
                      </wp:inline>
                    </w:drawing>
                  </w:r>
                </w:p>
              </w:tc>
            </w:tr>
          </w:tbl>
          <w:p w14:paraId="35F2FFCF" w14:textId="77777777" w:rsidR="009C6940" w:rsidRDefault="009C6940" w:rsidP="009C6940">
            <w:pPr>
              <w:pStyle w:val="Figure"/>
            </w:pPr>
          </w:p>
        </w:tc>
      </w:tr>
      <w:tr w:rsidR="009C6940" w:rsidRPr="00176D3F" w14:paraId="2BAA73CA" w14:textId="77777777" w:rsidTr="009C6940">
        <w:tc>
          <w:tcPr>
            <w:tcW w:w="5000" w:type="pct"/>
            <w:tcBorders>
              <w:top w:val="nil"/>
              <w:left w:val="nil"/>
              <w:bottom w:val="nil"/>
              <w:right w:val="nil"/>
            </w:tcBorders>
            <w:shd w:val="clear" w:color="auto" w:fill="auto"/>
          </w:tcPr>
          <w:p w14:paraId="7FD50EEC" w14:textId="77777777" w:rsidR="009C6940" w:rsidRPr="00176D3F" w:rsidRDefault="009C6940" w:rsidP="009C6940">
            <w:pPr>
              <w:pStyle w:val="Note"/>
              <w:spacing w:line="260" w:lineRule="exact"/>
            </w:pPr>
            <w:r>
              <w:rPr>
                <w:rStyle w:val="NoteLabel"/>
              </w:rPr>
              <w:t>a</w:t>
            </w:r>
            <w:r>
              <w:t> Percentage is calculated by dividing the total number of mental health claims by the sum of the total number of mental health and physical claims and multiplying by 100. The total number of claims includes all accepted and rejected claims.</w:t>
            </w:r>
            <w:r w:rsidRPr="00636F41">
              <w:rPr>
                <w:rStyle w:val="NoteLabel"/>
                <w:b w:val="0"/>
              </w:rPr>
              <w:t xml:space="preserve"> </w:t>
            </w:r>
            <w:r w:rsidRPr="00A560E1">
              <w:rPr>
                <w:rStyle w:val="NoteLabel"/>
              </w:rPr>
              <w:t>b</w:t>
            </w:r>
            <w:r>
              <w:t> </w:t>
            </w:r>
            <w:r w:rsidRPr="00BB5EA1">
              <w:rPr>
                <w:bCs/>
              </w:rPr>
              <w:t>Physical claims do not include Vic</w:t>
            </w:r>
            <w:r>
              <w:rPr>
                <w:bCs/>
              </w:rPr>
              <w:t>toria</w:t>
            </w:r>
            <w:r w:rsidRPr="00BB5EA1">
              <w:rPr>
                <w:bCs/>
              </w:rPr>
              <w:t xml:space="preserve"> or S</w:t>
            </w:r>
            <w:r>
              <w:rPr>
                <w:bCs/>
              </w:rPr>
              <w:t xml:space="preserve">outh </w:t>
            </w:r>
            <w:r w:rsidRPr="00BB5EA1">
              <w:rPr>
                <w:bCs/>
              </w:rPr>
              <w:t>A</w:t>
            </w:r>
            <w:r>
              <w:rPr>
                <w:bCs/>
              </w:rPr>
              <w:t xml:space="preserve">ustralia. </w:t>
            </w:r>
          </w:p>
        </w:tc>
      </w:tr>
      <w:tr w:rsidR="009C6940" w:rsidRPr="00176D3F" w14:paraId="49C7D067" w14:textId="77777777" w:rsidTr="009C6940">
        <w:tc>
          <w:tcPr>
            <w:tcW w:w="5000" w:type="pct"/>
            <w:tcBorders>
              <w:top w:val="nil"/>
              <w:left w:val="nil"/>
              <w:bottom w:val="nil"/>
              <w:right w:val="nil"/>
            </w:tcBorders>
            <w:shd w:val="clear" w:color="auto" w:fill="auto"/>
          </w:tcPr>
          <w:p w14:paraId="4528D031"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472D271A" w14:textId="77777777" w:rsidTr="009C6940">
        <w:tc>
          <w:tcPr>
            <w:tcW w:w="5000" w:type="pct"/>
            <w:tcBorders>
              <w:top w:val="nil"/>
              <w:left w:val="nil"/>
              <w:bottom w:val="single" w:sz="6" w:space="0" w:color="78A22F"/>
              <w:right w:val="nil"/>
            </w:tcBorders>
            <w:shd w:val="clear" w:color="auto" w:fill="auto"/>
          </w:tcPr>
          <w:p w14:paraId="1192C8C7" w14:textId="77777777" w:rsidR="009C6940" w:rsidRDefault="009C6940" w:rsidP="009C6940">
            <w:pPr>
              <w:pStyle w:val="Figurespace"/>
            </w:pPr>
          </w:p>
        </w:tc>
      </w:tr>
      <w:tr w:rsidR="009C6940" w:rsidRPr="000863A5" w14:paraId="3B981D48" w14:textId="77777777" w:rsidTr="009C6940">
        <w:tc>
          <w:tcPr>
            <w:tcW w:w="5000" w:type="pct"/>
            <w:tcBorders>
              <w:top w:val="single" w:sz="6" w:space="0" w:color="78A22F"/>
              <w:left w:val="nil"/>
              <w:bottom w:val="nil"/>
              <w:right w:val="nil"/>
            </w:tcBorders>
          </w:tcPr>
          <w:p w14:paraId="2A41DBC0" w14:textId="77777777" w:rsidR="009C6940" w:rsidRPr="00626D32" w:rsidRDefault="009C6940" w:rsidP="009C6940">
            <w:pPr>
              <w:pStyle w:val="BoxSpaceBelow"/>
            </w:pPr>
          </w:p>
        </w:tc>
      </w:tr>
    </w:tbl>
    <w:p w14:paraId="55A8266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D8EC2BD" w14:textId="77777777" w:rsidTr="009C6940">
        <w:trPr>
          <w:tblHeader/>
        </w:trPr>
        <w:tc>
          <w:tcPr>
            <w:tcW w:w="5000" w:type="pct"/>
            <w:tcBorders>
              <w:top w:val="single" w:sz="6" w:space="0" w:color="78A22F"/>
              <w:left w:val="nil"/>
              <w:bottom w:val="nil"/>
              <w:right w:val="nil"/>
            </w:tcBorders>
            <w:shd w:val="clear" w:color="auto" w:fill="auto"/>
          </w:tcPr>
          <w:p w14:paraId="2ED60FB1" w14:textId="77777777" w:rsidR="009C6940" w:rsidRDefault="009C6940" w:rsidP="009C6940">
            <w:pPr>
              <w:pStyle w:val="FigureTitle"/>
              <w:keepNext w:val="0"/>
              <w:keepLines w:val="0"/>
            </w:pPr>
            <w:r w:rsidRPr="00784A05">
              <w:rPr>
                <w:b w:val="0"/>
              </w:rPr>
              <w:t xml:space="preserve">Figure </w:t>
            </w:r>
            <w:r>
              <w:rPr>
                <w:b w:val="0"/>
              </w:rPr>
              <w:t>F.</w:t>
            </w:r>
            <w:r>
              <w:rPr>
                <w:b w:val="0"/>
                <w:noProof/>
              </w:rPr>
              <w:t>4</w:t>
            </w:r>
            <w:r>
              <w:tab/>
              <w:t>Rejection rates have been decreasing over time</w:t>
            </w:r>
            <w:r w:rsidRPr="005D5169">
              <w:rPr>
                <w:rStyle w:val="NoteLabel"/>
                <w:b/>
              </w:rPr>
              <w:t>a,b</w:t>
            </w:r>
          </w:p>
          <w:p w14:paraId="6524BDB5" w14:textId="77777777" w:rsidR="009C6940" w:rsidRPr="00176D3F" w:rsidRDefault="009C6940" w:rsidP="009C6940">
            <w:pPr>
              <w:pStyle w:val="Subtitle"/>
            </w:pPr>
            <w:r>
              <w:t>Mental health</w:t>
            </w:r>
            <w:r>
              <w:noBreakHyphen/>
              <w:t>related claims compared with physical health</w:t>
            </w:r>
            <w:r>
              <w:noBreakHyphen/>
              <w:t>related claims</w:t>
            </w:r>
          </w:p>
        </w:tc>
      </w:tr>
      <w:tr w:rsidR="009C6940" w14:paraId="4FC0DDD5"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1C43E151" w14:textId="77777777" w:rsidTr="009C6940">
              <w:trPr>
                <w:tblHeader/>
                <w:jc w:val="center"/>
              </w:trPr>
              <w:tc>
                <w:tcPr>
                  <w:tcW w:w="5000" w:type="pct"/>
                  <w:tcBorders>
                    <w:top w:val="nil"/>
                    <w:bottom w:val="nil"/>
                  </w:tcBorders>
                </w:tcPr>
                <w:p w14:paraId="78D19B68" w14:textId="77777777" w:rsidR="009C6940" w:rsidRPr="00B1465D" w:rsidRDefault="009C6940" w:rsidP="009C6940">
                  <w:pPr>
                    <w:pStyle w:val="Figure"/>
                    <w:spacing w:before="0" w:after="0"/>
                    <w:rPr>
                      <w:rFonts w:ascii="Arial" w:hAnsi="Arial" w:cs="Arial"/>
                      <w:sz w:val="18"/>
                      <w:szCs w:val="18"/>
                    </w:rPr>
                  </w:pPr>
                  <w:r w:rsidRPr="007A16C7">
                    <w:rPr>
                      <w:rFonts w:ascii="Arial" w:hAnsi="Arial" w:cs="Arial"/>
                      <w:noProof/>
                      <w:sz w:val="18"/>
                      <w:szCs w:val="18"/>
                    </w:rPr>
                    <w:drawing>
                      <wp:inline distT="0" distB="0" distL="0" distR="0" wp14:anchorId="1F6E4294" wp14:editId="63FCF10B">
                        <wp:extent cx="5400040" cy="2762250"/>
                        <wp:effectExtent l="0" t="0" r="0" b="0"/>
                        <wp:docPr id="27" name="Picture 27" descr="The line chart shows that rejection rates for mental health claims have been gradually decreasing over the five year period from 2014-15 to 2018-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00040" cy="2762250"/>
                                </a:xfrm>
                                <a:prstGeom prst="rect">
                                  <a:avLst/>
                                </a:prstGeom>
                                <a:noFill/>
                                <a:ln>
                                  <a:noFill/>
                                </a:ln>
                              </pic:spPr>
                            </pic:pic>
                          </a:graphicData>
                        </a:graphic>
                      </wp:inline>
                    </w:drawing>
                  </w:r>
                </w:p>
              </w:tc>
            </w:tr>
          </w:tbl>
          <w:p w14:paraId="73278FB4" w14:textId="77777777" w:rsidR="009C6940" w:rsidRDefault="009C6940" w:rsidP="009C6940">
            <w:pPr>
              <w:pStyle w:val="Figure"/>
              <w:spacing w:before="0" w:after="0"/>
            </w:pPr>
          </w:p>
        </w:tc>
      </w:tr>
      <w:tr w:rsidR="009C6940" w:rsidRPr="00176D3F" w14:paraId="0438CB81" w14:textId="77777777" w:rsidTr="009C6940">
        <w:tc>
          <w:tcPr>
            <w:tcW w:w="5000" w:type="pct"/>
            <w:tcBorders>
              <w:top w:val="nil"/>
              <w:left w:val="nil"/>
              <w:bottom w:val="nil"/>
              <w:right w:val="nil"/>
            </w:tcBorders>
            <w:shd w:val="clear" w:color="auto" w:fill="auto"/>
          </w:tcPr>
          <w:p w14:paraId="350B0E85" w14:textId="77777777" w:rsidR="009C6940" w:rsidRPr="00176D3F" w:rsidRDefault="009C6940" w:rsidP="009C6940">
            <w:pPr>
              <w:pStyle w:val="Note"/>
            </w:pPr>
            <w:r>
              <w:rPr>
                <w:rStyle w:val="NoteLabel"/>
              </w:rPr>
              <w:t>a</w:t>
            </w:r>
            <w:r>
              <w:t xml:space="preserve"> Percentage is calculated by dividing the total number of rejected claims by the sum of total accepted and rejected claims and multiplying by 100. </w:t>
            </w:r>
            <w:r>
              <w:rPr>
                <w:rStyle w:val="NoteLabel"/>
              </w:rPr>
              <w:t>b</w:t>
            </w:r>
            <w:r>
              <w:t> </w:t>
            </w:r>
            <w:r w:rsidRPr="00BB5EA1">
              <w:rPr>
                <w:bCs/>
              </w:rPr>
              <w:t>Physical claims do not include Vic</w:t>
            </w:r>
            <w:r>
              <w:rPr>
                <w:bCs/>
              </w:rPr>
              <w:t>toria</w:t>
            </w:r>
            <w:r w:rsidRPr="00BB5EA1">
              <w:rPr>
                <w:bCs/>
              </w:rPr>
              <w:t xml:space="preserve"> or S</w:t>
            </w:r>
            <w:r>
              <w:rPr>
                <w:bCs/>
              </w:rPr>
              <w:t xml:space="preserve">outh </w:t>
            </w:r>
            <w:r w:rsidRPr="00BB5EA1">
              <w:rPr>
                <w:bCs/>
              </w:rPr>
              <w:t>A</w:t>
            </w:r>
            <w:r>
              <w:rPr>
                <w:bCs/>
              </w:rPr>
              <w:t>ustralia.</w:t>
            </w:r>
          </w:p>
        </w:tc>
      </w:tr>
      <w:tr w:rsidR="009C6940" w:rsidRPr="00176D3F" w14:paraId="67D98381" w14:textId="77777777" w:rsidTr="009C6940">
        <w:tc>
          <w:tcPr>
            <w:tcW w:w="5000" w:type="pct"/>
            <w:tcBorders>
              <w:top w:val="nil"/>
              <w:left w:val="nil"/>
              <w:bottom w:val="nil"/>
              <w:right w:val="nil"/>
            </w:tcBorders>
            <w:shd w:val="clear" w:color="auto" w:fill="auto"/>
          </w:tcPr>
          <w:p w14:paraId="11E3B669"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1AB24A7A" w14:textId="77777777" w:rsidTr="009C6940">
        <w:tc>
          <w:tcPr>
            <w:tcW w:w="5000" w:type="pct"/>
            <w:tcBorders>
              <w:top w:val="nil"/>
              <w:left w:val="nil"/>
              <w:bottom w:val="single" w:sz="6" w:space="0" w:color="78A22F"/>
              <w:right w:val="nil"/>
            </w:tcBorders>
            <w:shd w:val="clear" w:color="auto" w:fill="auto"/>
          </w:tcPr>
          <w:p w14:paraId="1E96CFE5" w14:textId="77777777" w:rsidR="009C6940" w:rsidRDefault="009C6940" w:rsidP="009C6940">
            <w:pPr>
              <w:pStyle w:val="Figurespace"/>
            </w:pPr>
          </w:p>
        </w:tc>
      </w:tr>
      <w:tr w:rsidR="009C6940" w:rsidRPr="000863A5" w14:paraId="5D7A53B1" w14:textId="77777777" w:rsidTr="009C6940">
        <w:tc>
          <w:tcPr>
            <w:tcW w:w="5000" w:type="pct"/>
            <w:tcBorders>
              <w:top w:val="single" w:sz="6" w:space="0" w:color="78A22F"/>
              <w:left w:val="nil"/>
              <w:bottom w:val="nil"/>
              <w:right w:val="nil"/>
            </w:tcBorders>
          </w:tcPr>
          <w:p w14:paraId="44DFEC55" w14:textId="77777777" w:rsidR="009C6940" w:rsidRPr="00626D32" w:rsidRDefault="009C6940" w:rsidP="009C6940">
            <w:pPr>
              <w:pStyle w:val="BoxSpaceBelow"/>
            </w:pPr>
          </w:p>
        </w:tc>
      </w:tr>
    </w:tbl>
    <w:p w14:paraId="38E98CD6" w14:textId="77777777" w:rsidR="009C6940" w:rsidRDefault="009C6940" w:rsidP="009C6940">
      <w:pPr>
        <w:pStyle w:val="Heading2"/>
        <w:spacing w:before="480"/>
      </w:pPr>
      <w:r>
        <w:lastRenderedPageBreak/>
        <w:t>F.</w:t>
      </w:r>
      <w:r>
        <w:rPr>
          <w:noProof/>
        </w:rPr>
        <w:t>2</w:t>
      </w:r>
      <w:r>
        <w:tab/>
        <w:t>Mental health-related workers claims by gender and income</w:t>
      </w:r>
    </w:p>
    <w:p w14:paraId="72CCB7EB" w14:textId="77777777" w:rsidR="009C6940" w:rsidRDefault="009C6940" w:rsidP="009C6940">
      <w:pPr>
        <w:pStyle w:val="BodyText"/>
      </w:pPr>
      <w:r>
        <w:t>The Productivity Commission received data on the gender and income of those making a mental health</w:t>
      </w:r>
      <w:r>
        <w:noBreakHyphen/>
        <w:t xml:space="preserve">related workers compensation claim. </w:t>
      </w:r>
    </w:p>
    <w:p w14:paraId="32B8ABD5" w14:textId="77777777" w:rsidR="009C6940" w:rsidRDefault="009C6940" w:rsidP="009C6940">
      <w:pPr>
        <w:pStyle w:val="Heading3"/>
      </w:pPr>
      <w:r>
        <w:t>By gender</w:t>
      </w:r>
    </w:p>
    <w:p w14:paraId="71A4CEC9" w14:textId="77777777" w:rsidR="009C6940" w:rsidRDefault="009C6940" w:rsidP="009C6940">
      <w:pPr>
        <w:pStyle w:val="BodyText"/>
      </w:pPr>
      <w:r>
        <w:t>This analysis examined rejection rates and types of mental health claims, by gender. Table F.1 highlights the data collected.</w:t>
      </w:r>
    </w:p>
    <w:p w14:paraId="5A9DEF00"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3B148D09" w14:textId="77777777" w:rsidTr="009C6940">
        <w:trPr>
          <w:tblHeader/>
        </w:trPr>
        <w:tc>
          <w:tcPr>
            <w:tcW w:w="5000" w:type="pct"/>
            <w:tcBorders>
              <w:top w:val="single" w:sz="6" w:space="0" w:color="78A22F"/>
              <w:left w:val="nil"/>
              <w:bottom w:val="nil"/>
              <w:right w:val="nil"/>
            </w:tcBorders>
            <w:shd w:val="clear" w:color="auto" w:fill="auto"/>
          </w:tcPr>
          <w:p w14:paraId="77E6C81C" w14:textId="77777777" w:rsidR="009C6940" w:rsidRDefault="009C6940" w:rsidP="009C6940">
            <w:pPr>
              <w:pStyle w:val="TableTitle"/>
            </w:pPr>
            <w:r>
              <w:rPr>
                <w:b w:val="0"/>
              </w:rPr>
              <w:t>Table F.1</w:t>
            </w:r>
            <w:r>
              <w:tab/>
              <w:t>Total number of claims by gender</w:t>
            </w:r>
          </w:p>
          <w:p w14:paraId="6B97D6B3" w14:textId="77777777" w:rsidR="009C6940" w:rsidRPr="00784A05" w:rsidRDefault="009C6940" w:rsidP="009C6940">
            <w:pPr>
              <w:pStyle w:val="Subtitle"/>
            </w:pPr>
            <w:r>
              <w:t>Between 2014</w:t>
            </w:r>
            <w:r>
              <w:noBreakHyphen/>
              <w:t>15 and 2018</w:t>
            </w:r>
            <w:r>
              <w:noBreakHyphen/>
              <w:t>19</w:t>
            </w:r>
          </w:p>
        </w:tc>
      </w:tr>
      <w:tr w:rsidR="009C6940" w14:paraId="4BA7FE6C" w14:textId="77777777" w:rsidTr="009C6940">
        <w:tc>
          <w:tcPr>
            <w:tcW w:w="5000" w:type="pct"/>
            <w:tcBorders>
              <w:top w:val="nil"/>
              <w:left w:val="nil"/>
              <w:bottom w:val="nil"/>
              <w:right w:val="nil"/>
            </w:tcBorders>
            <w:shd w:val="clear" w:color="auto" w:fill="auto"/>
          </w:tcPr>
          <w:tbl>
            <w:tblPr>
              <w:tblW w:w="4962" w:type="pct"/>
              <w:tblCellMar>
                <w:top w:w="28" w:type="dxa"/>
                <w:left w:w="0" w:type="dxa"/>
                <w:right w:w="0" w:type="dxa"/>
              </w:tblCellMar>
              <w:tblLook w:val="0000" w:firstRow="0" w:lastRow="0" w:firstColumn="0" w:lastColumn="0" w:noHBand="0" w:noVBand="0"/>
            </w:tblPr>
            <w:tblGrid>
              <w:gridCol w:w="2112"/>
              <w:gridCol w:w="2110"/>
              <w:gridCol w:w="2110"/>
              <w:gridCol w:w="2108"/>
            </w:tblGrid>
            <w:tr w:rsidR="009C6940" w14:paraId="0B69F13D" w14:textId="77777777" w:rsidTr="009C6940">
              <w:trPr>
                <w:trHeight w:val="284"/>
                <w:tblHeader/>
              </w:trPr>
              <w:tc>
                <w:tcPr>
                  <w:tcW w:w="1251" w:type="pct"/>
                  <w:tcBorders>
                    <w:top w:val="single" w:sz="6" w:space="0" w:color="BFBFBF"/>
                    <w:bottom w:val="single" w:sz="6" w:space="0" w:color="BFBFBF"/>
                  </w:tcBorders>
                  <w:shd w:val="clear" w:color="auto" w:fill="auto"/>
                  <w:tcMar>
                    <w:top w:w="28" w:type="dxa"/>
                  </w:tcMar>
                </w:tcPr>
                <w:p w14:paraId="1E735D6D" w14:textId="77777777" w:rsidR="009C6940" w:rsidRPr="00724302" w:rsidRDefault="009C6940" w:rsidP="009C6940">
                  <w:pPr>
                    <w:pStyle w:val="TableColumnHeading"/>
                  </w:pPr>
                </w:p>
              </w:tc>
              <w:tc>
                <w:tcPr>
                  <w:tcW w:w="1250" w:type="pct"/>
                  <w:tcBorders>
                    <w:top w:val="single" w:sz="6" w:space="0" w:color="BFBFBF"/>
                    <w:bottom w:val="single" w:sz="6" w:space="0" w:color="BFBFBF"/>
                  </w:tcBorders>
                </w:tcPr>
                <w:p w14:paraId="4AD3D931" w14:textId="77777777" w:rsidR="009C6940" w:rsidRPr="00724302" w:rsidRDefault="009C6940" w:rsidP="009C6940">
                  <w:pPr>
                    <w:pStyle w:val="TableColumnHeading"/>
                  </w:pPr>
                  <w:r w:rsidRPr="00724302">
                    <w:t>Mental health claims</w:t>
                  </w:r>
                </w:p>
              </w:tc>
              <w:tc>
                <w:tcPr>
                  <w:tcW w:w="1250" w:type="pct"/>
                  <w:tcBorders>
                    <w:top w:val="single" w:sz="6" w:space="0" w:color="BFBFBF"/>
                    <w:bottom w:val="single" w:sz="6" w:space="0" w:color="BFBFBF"/>
                  </w:tcBorders>
                  <w:shd w:val="clear" w:color="auto" w:fill="auto"/>
                  <w:tcMar>
                    <w:top w:w="28" w:type="dxa"/>
                  </w:tcMar>
                </w:tcPr>
                <w:p w14:paraId="3C40084A" w14:textId="77777777" w:rsidR="009C6940" w:rsidRPr="00724302" w:rsidRDefault="009C6940" w:rsidP="009C6940">
                  <w:pPr>
                    <w:pStyle w:val="TableColumnHeading"/>
                  </w:pPr>
                  <w:r w:rsidRPr="00724302">
                    <w:t>Physical claims</w:t>
                  </w:r>
                </w:p>
              </w:tc>
              <w:tc>
                <w:tcPr>
                  <w:tcW w:w="1249" w:type="pct"/>
                  <w:tcBorders>
                    <w:top w:val="single" w:sz="6" w:space="0" w:color="BFBFBF"/>
                    <w:bottom w:val="single" w:sz="6" w:space="0" w:color="BFBFBF"/>
                  </w:tcBorders>
                  <w:shd w:val="clear" w:color="auto" w:fill="auto"/>
                  <w:tcMar>
                    <w:top w:w="28" w:type="dxa"/>
                  </w:tcMar>
                </w:tcPr>
                <w:p w14:paraId="7F8AD067" w14:textId="77777777" w:rsidR="009C6940" w:rsidRPr="00724302" w:rsidRDefault="009C6940" w:rsidP="009C6940">
                  <w:pPr>
                    <w:pStyle w:val="TableColumnHeading"/>
                    <w:ind w:right="11"/>
                  </w:pPr>
                  <w:r w:rsidRPr="00724302">
                    <w:t>Total</w:t>
                  </w:r>
                </w:p>
              </w:tc>
            </w:tr>
            <w:tr w:rsidR="009C6940" w14:paraId="79C3DC77" w14:textId="77777777" w:rsidTr="009C6940">
              <w:trPr>
                <w:trHeight w:val="284"/>
                <w:tblHeader/>
              </w:trPr>
              <w:tc>
                <w:tcPr>
                  <w:tcW w:w="1251" w:type="pct"/>
                  <w:tcBorders>
                    <w:top w:val="single" w:sz="6" w:space="0" w:color="BFBFBF"/>
                  </w:tcBorders>
                  <w:shd w:val="clear" w:color="auto" w:fill="auto"/>
                  <w:tcMar>
                    <w:top w:w="28" w:type="dxa"/>
                  </w:tcMar>
                </w:tcPr>
                <w:p w14:paraId="7A586156" w14:textId="77777777" w:rsidR="009C6940" w:rsidRDefault="009C6940" w:rsidP="009C6940">
                  <w:pPr>
                    <w:pStyle w:val="TableBodyText"/>
                    <w:spacing w:before="40"/>
                    <w:jc w:val="left"/>
                  </w:pPr>
                  <w:r>
                    <w:t>Male</w:t>
                  </w:r>
                </w:p>
              </w:tc>
              <w:tc>
                <w:tcPr>
                  <w:tcW w:w="1250" w:type="pct"/>
                  <w:tcBorders>
                    <w:top w:val="single" w:sz="6" w:space="0" w:color="BFBFBF"/>
                  </w:tcBorders>
                </w:tcPr>
                <w:p w14:paraId="2B9B1894" w14:textId="77777777" w:rsidR="009C6940" w:rsidRPr="00636F41" w:rsidRDefault="009C6940" w:rsidP="009C6940">
                  <w:pPr>
                    <w:pStyle w:val="TableBodyText"/>
                    <w:spacing w:before="40"/>
                    <w:rPr>
                      <w:i/>
                    </w:rPr>
                  </w:pPr>
                  <w:r w:rsidRPr="00636F41">
                    <w:t>29</w:t>
                  </w:r>
                  <w:r>
                    <w:t> </w:t>
                  </w:r>
                  <w:r w:rsidRPr="00636F41">
                    <w:t>066</w:t>
                  </w:r>
                </w:p>
              </w:tc>
              <w:tc>
                <w:tcPr>
                  <w:tcW w:w="1250" w:type="pct"/>
                  <w:tcBorders>
                    <w:top w:val="single" w:sz="6" w:space="0" w:color="BFBFBF"/>
                  </w:tcBorders>
                  <w:shd w:val="clear" w:color="auto" w:fill="auto"/>
                  <w:tcMar>
                    <w:top w:w="28" w:type="dxa"/>
                  </w:tcMar>
                </w:tcPr>
                <w:p w14:paraId="780AB4D0" w14:textId="77777777" w:rsidR="009C6940" w:rsidRPr="00636F41" w:rsidRDefault="009C6940" w:rsidP="009C6940">
                  <w:pPr>
                    <w:pStyle w:val="TableBodyText"/>
                    <w:spacing w:before="40"/>
                    <w:rPr>
                      <w:i/>
                    </w:rPr>
                  </w:pPr>
                  <w:r w:rsidRPr="00636F41">
                    <w:t>635</w:t>
                  </w:r>
                  <w:r>
                    <w:t> </w:t>
                  </w:r>
                  <w:r w:rsidRPr="00636F41">
                    <w:t>756</w:t>
                  </w:r>
                </w:p>
              </w:tc>
              <w:tc>
                <w:tcPr>
                  <w:tcW w:w="1249" w:type="pct"/>
                  <w:tcBorders>
                    <w:top w:val="single" w:sz="6" w:space="0" w:color="BFBFBF"/>
                  </w:tcBorders>
                  <w:shd w:val="clear" w:color="auto" w:fill="auto"/>
                  <w:tcMar>
                    <w:top w:w="28" w:type="dxa"/>
                  </w:tcMar>
                </w:tcPr>
                <w:p w14:paraId="4DC7819A" w14:textId="77777777" w:rsidR="009C6940" w:rsidRPr="00636F41" w:rsidRDefault="009C6940" w:rsidP="009C6940">
                  <w:pPr>
                    <w:pStyle w:val="TableBodyText"/>
                    <w:spacing w:before="40"/>
                    <w:ind w:right="11"/>
                    <w:rPr>
                      <w:i/>
                    </w:rPr>
                  </w:pPr>
                  <w:r w:rsidRPr="00636F41">
                    <w:t>664</w:t>
                  </w:r>
                  <w:r>
                    <w:t> </w:t>
                  </w:r>
                  <w:r w:rsidRPr="00636F41">
                    <w:t>822</w:t>
                  </w:r>
                </w:p>
              </w:tc>
            </w:tr>
            <w:tr w:rsidR="009C6940" w14:paraId="03069B6B" w14:textId="77777777" w:rsidTr="009C6940">
              <w:trPr>
                <w:trHeight w:val="284"/>
                <w:tblHeader/>
              </w:trPr>
              <w:tc>
                <w:tcPr>
                  <w:tcW w:w="1251" w:type="pct"/>
                  <w:shd w:val="clear" w:color="auto" w:fill="auto"/>
                  <w:tcMar>
                    <w:top w:w="28" w:type="dxa"/>
                  </w:tcMar>
                </w:tcPr>
                <w:p w14:paraId="69EDB42B" w14:textId="77777777" w:rsidR="009C6940" w:rsidRDefault="009C6940" w:rsidP="009C6940">
                  <w:pPr>
                    <w:pStyle w:val="TableBodyText"/>
                    <w:jc w:val="left"/>
                  </w:pPr>
                  <w:r>
                    <w:t>Female</w:t>
                  </w:r>
                </w:p>
              </w:tc>
              <w:tc>
                <w:tcPr>
                  <w:tcW w:w="1250" w:type="pct"/>
                </w:tcPr>
                <w:p w14:paraId="5F25C809" w14:textId="77777777" w:rsidR="009C6940" w:rsidRPr="00636F41" w:rsidRDefault="009C6940" w:rsidP="009C6940">
                  <w:pPr>
                    <w:pStyle w:val="TableBodyText"/>
                    <w:rPr>
                      <w:i/>
                    </w:rPr>
                  </w:pPr>
                  <w:r w:rsidRPr="00636F41">
                    <w:t>40</w:t>
                  </w:r>
                  <w:r>
                    <w:t> </w:t>
                  </w:r>
                  <w:r w:rsidRPr="00636F41">
                    <w:t>084</w:t>
                  </w:r>
                </w:p>
              </w:tc>
              <w:tc>
                <w:tcPr>
                  <w:tcW w:w="1250" w:type="pct"/>
                  <w:shd w:val="clear" w:color="auto" w:fill="auto"/>
                  <w:tcMar>
                    <w:top w:w="28" w:type="dxa"/>
                  </w:tcMar>
                </w:tcPr>
                <w:p w14:paraId="4777E91F" w14:textId="77777777" w:rsidR="009C6940" w:rsidRPr="00636F41" w:rsidRDefault="009C6940" w:rsidP="009C6940">
                  <w:pPr>
                    <w:pStyle w:val="TableBodyText"/>
                    <w:rPr>
                      <w:i/>
                    </w:rPr>
                  </w:pPr>
                  <w:r w:rsidRPr="00636F41">
                    <w:t>326</w:t>
                  </w:r>
                  <w:r>
                    <w:t> </w:t>
                  </w:r>
                  <w:r w:rsidRPr="00636F41">
                    <w:t>834</w:t>
                  </w:r>
                </w:p>
              </w:tc>
              <w:tc>
                <w:tcPr>
                  <w:tcW w:w="1249" w:type="pct"/>
                  <w:shd w:val="clear" w:color="auto" w:fill="auto"/>
                  <w:tcMar>
                    <w:top w:w="28" w:type="dxa"/>
                  </w:tcMar>
                </w:tcPr>
                <w:p w14:paraId="5E371AA9" w14:textId="77777777" w:rsidR="009C6940" w:rsidRPr="00636F41" w:rsidRDefault="009C6940" w:rsidP="009C6940">
                  <w:pPr>
                    <w:pStyle w:val="TableBodyText"/>
                    <w:ind w:right="11"/>
                    <w:rPr>
                      <w:i/>
                    </w:rPr>
                  </w:pPr>
                  <w:r w:rsidRPr="00636F41">
                    <w:t>366</w:t>
                  </w:r>
                  <w:r>
                    <w:t> </w:t>
                  </w:r>
                  <w:r w:rsidRPr="00636F41">
                    <w:t>918</w:t>
                  </w:r>
                </w:p>
              </w:tc>
            </w:tr>
            <w:tr w:rsidR="009C6940" w14:paraId="504717D5" w14:textId="77777777" w:rsidTr="009C6940">
              <w:trPr>
                <w:trHeight w:val="293"/>
                <w:tblHeader/>
              </w:trPr>
              <w:tc>
                <w:tcPr>
                  <w:tcW w:w="1251" w:type="pct"/>
                  <w:tcBorders>
                    <w:bottom w:val="single" w:sz="4" w:space="0" w:color="BFBFBF" w:themeColor="background1" w:themeShade="BF"/>
                  </w:tcBorders>
                  <w:shd w:val="clear" w:color="auto" w:fill="auto"/>
                  <w:tcMar>
                    <w:top w:w="28" w:type="dxa"/>
                  </w:tcMar>
                </w:tcPr>
                <w:p w14:paraId="2F84F911" w14:textId="77777777" w:rsidR="009C6940" w:rsidRPr="000A6D2D" w:rsidRDefault="009C6940" w:rsidP="009C6940">
                  <w:pPr>
                    <w:pStyle w:val="TableBodyText"/>
                    <w:jc w:val="left"/>
                    <w:rPr>
                      <w:b/>
                    </w:rPr>
                  </w:pPr>
                  <w:r w:rsidRPr="000A6D2D">
                    <w:rPr>
                      <w:b/>
                    </w:rPr>
                    <w:t>Total</w:t>
                  </w:r>
                </w:p>
              </w:tc>
              <w:tc>
                <w:tcPr>
                  <w:tcW w:w="1250" w:type="pct"/>
                  <w:tcBorders>
                    <w:bottom w:val="single" w:sz="4" w:space="0" w:color="BFBFBF" w:themeColor="background1" w:themeShade="BF"/>
                  </w:tcBorders>
                </w:tcPr>
                <w:p w14:paraId="1B53C690" w14:textId="77777777" w:rsidR="009C6940" w:rsidRPr="000A6D2D" w:rsidRDefault="009C6940" w:rsidP="009C6940">
                  <w:pPr>
                    <w:pStyle w:val="TableBodyText"/>
                    <w:rPr>
                      <w:b/>
                      <w:i/>
                    </w:rPr>
                  </w:pPr>
                  <w:r w:rsidRPr="000A6D2D">
                    <w:rPr>
                      <w:b/>
                    </w:rPr>
                    <w:t>69 150</w:t>
                  </w:r>
                </w:p>
              </w:tc>
              <w:tc>
                <w:tcPr>
                  <w:tcW w:w="1250" w:type="pct"/>
                  <w:tcBorders>
                    <w:bottom w:val="single" w:sz="4" w:space="0" w:color="BFBFBF" w:themeColor="background1" w:themeShade="BF"/>
                  </w:tcBorders>
                  <w:shd w:val="clear" w:color="auto" w:fill="auto"/>
                  <w:tcMar>
                    <w:top w:w="28" w:type="dxa"/>
                  </w:tcMar>
                </w:tcPr>
                <w:p w14:paraId="77F5546E" w14:textId="77777777" w:rsidR="009C6940" w:rsidRPr="000A6D2D" w:rsidRDefault="009C6940" w:rsidP="009C6940">
                  <w:pPr>
                    <w:pStyle w:val="TableBodyText"/>
                    <w:rPr>
                      <w:b/>
                      <w:i/>
                    </w:rPr>
                  </w:pPr>
                  <w:r w:rsidRPr="000A6D2D">
                    <w:rPr>
                      <w:b/>
                    </w:rPr>
                    <w:t>962 590</w:t>
                  </w:r>
                </w:p>
              </w:tc>
              <w:tc>
                <w:tcPr>
                  <w:tcW w:w="1249" w:type="pct"/>
                  <w:tcBorders>
                    <w:bottom w:val="single" w:sz="4" w:space="0" w:color="BFBFBF" w:themeColor="background1" w:themeShade="BF"/>
                  </w:tcBorders>
                  <w:shd w:val="clear" w:color="auto" w:fill="auto"/>
                  <w:tcMar>
                    <w:top w:w="28" w:type="dxa"/>
                  </w:tcMar>
                </w:tcPr>
                <w:p w14:paraId="19B5032A" w14:textId="77777777" w:rsidR="009C6940" w:rsidRPr="000A6D2D" w:rsidRDefault="009C6940" w:rsidP="009C6940">
                  <w:pPr>
                    <w:pStyle w:val="TableBodyText"/>
                    <w:ind w:right="11"/>
                    <w:rPr>
                      <w:b/>
                      <w:i/>
                    </w:rPr>
                  </w:pPr>
                  <w:r w:rsidRPr="000A6D2D">
                    <w:rPr>
                      <w:b/>
                    </w:rPr>
                    <w:t>1 031 740</w:t>
                  </w:r>
                </w:p>
              </w:tc>
            </w:tr>
          </w:tbl>
          <w:p w14:paraId="526A1B59" w14:textId="77777777" w:rsidR="009C6940" w:rsidRDefault="009C6940" w:rsidP="009C6940">
            <w:pPr>
              <w:pStyle w:val="Box"/>
            </w:pPr>
          </w:p>
        </w:tc>
      </w:tr>
      <w:tr w:rsidR="009C6940" w14:paraId="33333F84" w14:textId="77777777" w:rsidTr="009C6940">
        <w:tc>
          <w:tcPr>
            <w:tcW w:w="5000" w:type="pct"/>
            <w:tcBorders>
              <w:top w:val="nil"/>
              <w:left w:val="nil"/>
              <w:bottom w:val="nil"/>
              <w:right w:val="nil"/>
            </w:tcBorders>
            <w:shd w:val="clear" w:color="auto" w:fill="auto"/>
          </w:tcPr>
          <w:p w14:paraId="06D84DF4" w14:textId="77777777" w:rsidR="009C6940"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555DEBEE" w14:textId="77777777" w:rsidTr="009C6940">
        <w:tc>
          <w:tcPr>
            <w:tcW w:w="5000" w:type="pct"/>
            <w:tcBorders>
              <w:top w:val="nil"/>
              <w:left w:val="nil"/>
              <w:bottom w:val="single" w:sz="6" w:space="0" w:color="78A22F"/>
              <w:right w:val="nil"/>
            </w:tcBorders>
            <w:shd w:val="clear" w:color="auto" w:fill="auto"/>
          </w:tcPr>
          <w:p w14:paraId="5018756E" w14:textId="77777777" w:rsidR="009C6940" w:rsidRDefault="009C6940" w:rsidP="009C6940">
            <w:pPr>
              <w:pStyle w:val="Box"/>
              <w:spacing w:before="0" w:line="120" w:lineRule="exact"/>
            </w:pPr>
          </w:p>
        </w:tc>
      </w:tr>
      <w:tr w:rsidR="009C6940" w:rsidRPr="000863A5" w14:paraId="619B31FF" w14:textId="77777777" w:rsidTr="009C6940">
        <w:tc>
          <w:tcPr>
            <w:tcW w:w="5000" w:type="pct"/>
            <w:tcBorders>
              <w:top w:val="single" w:sz="6" w:space="0" w:color="78A22F"/>
              <w:left w:val="nil"/>
              <w:bottom w:val="nil"/>
              <w:right w:val="nil"/>
            </w:tcBorders>
          </w:tcPr>
          <w:p w14:paraId="0F30E3AE" w14:textId="77777777" w:rsidR="009C6940" w:rsidRPr="00626D32" w:rsidRDefault="009C6940" w:rsidP="009C6940">
            <w:pPr>
              <w:pStyle w:val="BoxSpaceBelow"/>
            </w:pPr>
          </w:p>
        </w:tc>
      </w:tr>
    </w:tbl>
    <w:p w14:paraId="19D9EEC9" w14:textId="77777777" w:rsidR="009C6940" w:rsidRDefault="009C6940" w:rsidP="009C6940">
      <w:pPr>
        <w:pStyle w:val="BodyText"/>
      </w:pPr>
      <w:r>
        <w:t>Females are more likely than males to make a mental health</w:t>
      </w:r>
      <w:r>
        <w:noBreakHyphen/>
        <w:t>related workers compensation claim (figure F.5). They account for more than half (58%) of the total number of mental health</w:t>
      </w:r>
      <w:r>
        <w:noBreakHyphen/>
        <w:t>related workers compensation claims, but form about 47% of the Australian labour force.</w:t>
      </w:r>
      <w:r>
        <w:rPr>
          <w:rStyle w:val="FootnoteReference"/>
        </w:rPr>
        <w:footnoteReference w:id="5"/>
      </w:r>
    </w:p>
    <w:p w14:paraId="58AA651E" w14:textId="77777777" w:rsidR="009C6940" w:rsidRDefault="009C6940" w:rsidP="009C6940">
      <w:pPr>
        <w:pStyle w:val="BodyText"/>
      </w:pPr>
      <w:r>
        <w:t xml:space="preserve">Other key features relating to gender from the data include: </w:t>
      </w:r>
    </w:p>
    <w:p w14:paraId="1BF61069" w14:textId="77777777" w:rsidR="009C6940" w:rsidRDefault="009C6940" w:rsidP="009C6940">
      <w:pPr>
        <w:pStyle w:val="ListBullet"/>
      </w:pPr>
      <w:r>
        <w:t>males are more likely to have their claim rejected (figure F.6)</w:t>
      </w:r>
    </w:p>
    <w:p w14:paraId="49E03DD2" w14:textId="77777777" w:rsidR="009C6940" w:rsidRDefault="009C6940" w:rsidP="009C6940">
      <w:pPr>
        <w:pStyle w:val="ListBullet"/>
      </w:pPr>
      <w:r>
        <w:t xml:space="preserve">work pressure was the most frequent claim made by males, and bullying for females (figure F.7). This pattern was consistent across all jurisdictions. </w:t>
      </w:r>
    </w:p>
    <w:p w14:paraId="3AB08B8A" w14:textId="77777777" w:rsidR="009C6940" w:rsidRPr="003B7F24"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64D07A7" w14:textId="77777777" w:rsidTr="009C6940">
        <w:trPr>
          <w:tblHeader/>
        </w:trPr>
        <w:tc>
          <w:tcPr>
            <w:tcW w:w="5000" w:type="pct"/>
            <w:tcBorders>
              <w:top w:val="single" w:sz="6" w:space="0" w:color="78A22F"/>
              <w:left w:val="nil"/>
              <w:bottom w:val="nil"/>
              <w:right w:val="nil"/>
            </w:tcBorders>
            <w:shd w:val="clear" w:color="auto" w:fill="auto"/>
          </w:tcPr>
          <w:p w14:paraId="21E5F657" w14:textId="77777777" w:rsidR="009C6940" w:rsidRDefault="009C6940" w:rsidP="009C6940">
            <w:pPr>
              <w:pStyle w:val="FigureTitle"/>
            </w:pPr>
            <w:r w:rsidRPr="00784A05">
              <w:rPr>
                <w:b w:val="0"/>
              </w:rPr>
              <w:t xml:space="preserve">Figure </w:t>
            </w:r>
            <w:r>
              <w:rPr>
                <w:b w:val="0"/>
              </w:rPr>
              <w:t>F.5</w:t>
            </w:r>
            <w:r>
              <w:tab/>
              <w:t>Females are more likely to make a mental health claim</w:t>
            </w:r>
            <w:r w:rsidRPr="000A6D2D">
              <w:rPr>
                <w:rStyle w:val="NoteLabel"/>
                <w:rFonts w:ascii="Arial Bold" w:hAnsi="Arial Bold"/>
                <w:b/>
                <w:position w:val="10"/>
              </w:rPr>
              <w:t>a,b</w:t>
            </w:r>
          </w:p>
          <w:p w14:paraId="0E282CD8" w14:textId="77777777" w:rsidR="009C6940" w:rsidRPr="00176D3F" w:rsidRDefault="009C6940" w:rsidP="009C6940">
            <w:pPr>
              <w:pStyle w:val="Subtitle"/>
            </w:pPr>
            <w:r>
              <w:t>Mental health claims, by gender</w:t>
            </w:r>
          </w:p>
        </w:tc>
      </w:tr>
      <w:tr w:rsidR="009C6940" w:rsidRPr="000D54BE" w14:paraId="30526446"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0D54BE" w14:paraId="4E136B11" w14:textId="77777777" w:rsidTr="009C6940">
              <w:trPr>
                <w:tblHeader/>
                <w:jc w:val="center"/>
              </w:trPr>
              <w:tc>
                <w:tcPr>
                  <w:tcW w:w="5000" w:type="pct"/>
                  <w:tcBorders>
                    <w:top w:val="nil"/>
                    <w:bottom w:val="nil"/>
                  </w:tcBorders>
                </w:tcPr>
                <w:p w14:paraId="442B5973" w14:textId="77777777" w:rsidR="009C6940" w:rsidRPr="000D54BE" w:rsidRDefault="009C6940" w:rsidP="009C6940">
                  <w:pPr>
                    <w:pStyle w:val="Figure"/>
                    <w:spacing w:before="0" w:after="0"/>
                  </w:pPr>
                  <w:r w:rsidRPr="00456895">
                    <w:rPr>
                      <w:noProof/>
                    </w:rPr>
                    <w:drawing>
                      <wp:inline distT="0" distB="0" distL="0" distR="0" wp14:anchorId="79B8258F" wp14:editId="2885D4BD">
                        <wp:extent cx="5295265" cy="2941814"/>
                        <wp:effectExtent l="0" t="0" r="635" b="0"/>
                        <wp:docPr id="28" name="Picture 28" descr="This bar chart shows that over the five year period from 2014-15 to 2018-19, females compromised around 58% of all mental health claims whilst males compromised 42%. " title="Figure F.5 Females are more likely to make a mental health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295265" cy="2941814"/>
                                </a:xfrm>
                                <a:prstGeom prst="rect">
                                  <a:avLst/>
                                </a:prstGeom>
                                <a:noFill/>
                                <a:ln>
                                  <a:noFill/>
                                </a:ln>
                              </pic:spPr>
                            </pic:pic>
                          </a:graphicData>
                        </a:graphic>
                      </wp:inline>
                    </w:drawing>
                  </w:r>
                </w:p>
              </w:tc>
            </w:tr>
          </w:tbl>
          <w:p w14:paraId="59FF404B" w14:textId="77777777" w:rsidR="009C6940" w:rsidRPr="000D54BE" w:rsidRDefault="009C6940" w:rsidP="009C6940">
            <w:pPr>
              <w:pStyle w:val="Figure"/>
              <w:spacing w:before="0" w:after="0"/>
            </w:pPr>
          </w:p>
        </w:tc>
      </w:tr>
      <w:tr w:rsidR="009C6940" w:rsidRPr="00176D3F" w14:paraId="4898F7E7" w14:textId="77777777" w:rsidTr="009C6940">
        <w:tc>
          <w:tcPr>
            <w:tcW w:w="5000" w:type="pct"/>
            <w:tcBorders>
              <w:top w:val="nil"/>
              <w:left w:val="nil"/>
              <w:bottom w:val="nil"/>
              <w:right w:val="nil"/>
            </w:tcBorders>
            <w:shd w:val="clear" w:color="auto" w:fill="auto"/>
          </w:tcPr>
          <w:p w14:paraId="63DDA1E7" w14:textId="77777777" w:rsidR="009C6940" w:rsidRPr="00176D3F" w:rsidRDefault="009C6940" w:rsidP="009C6940">
            <w:pPr>
              <w:pStyle w:val="Note"/>
              <w:spacing w:line="260" w:lineRule="exact"/>
            </w:pPr>
            <w:r>
              <w:rPr>
                <w:rStyle w:val="NoteLabel"/>
              </w:rPr>
              <w:t>a</w:t>
            </w:r>
            <w:r>
              <w:t xml:space="preserve"> Percentage is calculated by dividing the number of total mental health claims by gender) by the total number of mental health claims and multiplying by 100. The total number of claims includes all accepted and rejected mental health claims. </w:t>
            </w:r>
            <w:r>
              <w:rPr>
                <w:rStyle w:val="NoteLabel"/>
              </w:rPr>
              <w:t>b</w:t>
            </w:r>
            <w:r>
              <w:t> </w:t>
            </w:r>
            <w:r>
              <w:rPr>
                <w:bCs/>
              </w:rPr>
              <w:t>Between 2014</w:t>
            </w:r>
            <w:r>
              <w:rPr>
                <w:bCs/>
              </w:rPr>
              <w:noBreakHyphen/>
              <w:t>15 and 2018</w:t>
            </w:r>
            <w:r>
              <w:rPr>
                <w:bCs/>
              </w:rPr>
              <w:noBreakHyphen/>
              <w:t>19.</w:t>
            </w:r>
          </w:p>
        </w:tc>
      </w:tr>
      <w:tr w:rsidR="009C6940" w:rsidRPr="00176D3F" w14:paraId="40EB529A" w14:textId="77777777" w:rsidTr="009C6940">
        <w:tc>
          <w:tcPr>
            <w:tcW w:w="5000" w:type="pct"/>
            <w:tcBorders>
              <w:top w:val="nil"/>
              <w:left w:val="nil"/>
              <w:bottom w:val="nil"/>
              <w:right w:val="nil"/>
            </w:tcBorders>
            <w:shd w:val="clear" w:color="auto" w:fill="auto"/>
          </w:tcPr>
          <w:p w14:paraId="2F6B42B8"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2F518494" w14:textId="77777777" w:rsidTr="009C6940">
        <w:tc>
          <w:tcPr>
            <w:tcW w:w="5000" w:type="pct"/>
            <w:tcBorders>
              <w:top w:val="nil"/>
              <w:left w:val="nil"/>
              <w:bottom w:val="single" w:sz="6" w:space="0" w:color="78A22F"/>
              <w:right w:val="nil"/>
            </w:tcBorders>
            <w:shd w:val="clear" w:color="auto" w:fill="auto"/>
          </w:tcPr>
          <w:p w14:paraId="1ECCBBE8" w14:textId="77777777" w:rsidR="009C6940" w:rsidRDefault="009C6940" w:rsidP="009C6940">
            <w:pPr>
              <w:pStyle w:val="Figurespace"/>
            </w:pPr>
          </w:p>
        </w:tc>
      </w:tr>
      <w:tr w:rsidR="009C6940" w:rsidRPr="000863A5" w14:paraId="7BD215AD" w14:textId="77777777" w:rsidTr="009C6940">
        <w:tc>
          <w:tcPr>
            <w:tcW w:w="5000" w:type="pct"/>
            <w:tcBorders>
              <w:top w:val="single" w:sz="6" w:space="0" w:color="78A22F"/>
              <w:left w:val="nil"/>
              <w:bottom w:val="nil"/>
              <w:right w:val="nil"/>
            </w:tcBorders>
          </w:tcPr>
          <w:p w14:paraId="6557FEAD" w14:textId="77777777" w:rsidR="009C6940" w:rsidRPr="00626D32" w:rsidRDefault="009C6940" w:rsidP="009C6940">
            <w:pPr>
              <w:pStyle w:val="BoxSpaceBelow"/>
            </w:pPr>
          </w:p>
        </w:tc>
      </w:tr>
    </w:tbl>
    <w:p w14:paraId="45967E17" w14:textId="77777777" w:rsidR="009C6940" w:rsidRDefault="009C6940" w:rsidP="009C6940">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FDD4273" w14:textId="77777777" w:rsidTr="009C6940">
        <w:trPr>
          <w:tblHeader/>
        </w:trPr>
        <w:tc>
          <w:tcPr>
            <w:tcW w:w="5000" w:type="pct"/>
            <w:tcBorders>
              <w:top w:val="single" w:sz="6" w:space="0" w:color="78A22F"/>
              <w:left w:val="nil"/>
              <w:bottom w:val="nil"/>
              <w:right w:val="nil"/>
            </w:tcBorders>
            <w:shd w:val="clear" w:color="auto" w:fill="auto"/>
          </w:tcPr>
          <w:p w14:paraId="39701617" w14:textId="77777777" w:rsidR="009C6940" w:rsidRPr="000A6D2D" w:rsidRDefault="009C6940" w:rsidP="009C6940">
            <w:pPr>
              <w:pStyle w:val="FigureTitle"/>
              <w:rPr>
                <w:rStyle w:val="NoteLabel"/>
                <w:b/>
                <w:spacing w:val="-4"/>
              </w:rPr>
            </w:pPr>
            <w:r w:rsidRPr="00784A05">
              <w:rPr>
                <w:b w:val="0"/>
              </w:rPr>
              <w:t xml:space="preserve">Figure </w:t>
            </w:r>
            <w:r>
              <w:rPr>
                <w:b w:val="0"/>
              </w:rPr>
              <w:t>F.6</w:t>
            </w:r>
            <w:r>
              <w:tab/>
            </w:r>
            <w:r w:rsidRPr="000A6D2D">
              <w:rPr>
                <w:spacing w:val="-4"/>
              </w:rPr>
              <w:t>Males are more likely to have their mental health claim rejected</w:t>
            </w:r>
            <w:r w:rsidRPr="000A6D2D">
              <w:rPr>
                <w:rStyle w:val="NoteLabel"/>
                <w:rFonts w:ascii="Arial Bold" w:hAnsi="Arial Bold"/>
                <w:b/>
                <w:spacing w:val="-4"/>
                <w:position w:val="10"/>
              </w:rPr>
              <w:t>a</w:t>
            </w:r>
          </w:p>
          <w:p w14:paraId="1C0C531D" w14:textId="77777777" w:rsidR="009C6940" w:rsidRPr="00853A1B" w:rsidRDefault="009C6940" w:rsidP="009C6940">
            <w:pPr>
              <w:pStyle w:val="Subtitle"/>
            </w:pPr>
            <w:r w:rsidRPr="00853A1B">
              <w:t>Rejection rates over time</w:t>
            </w:r>
            <w:r>
              <w:t>, by gender</w:t>
            </w:r>
          </w:p>
        </w:tc>
      </w:tr>
      <w:tr w:rsidR="009C6940" w14:paraId="041106B6" w14:textId="77777777" w:rsidTr="009C6940">
        <w:tc>
          <w:tcPr>
            <w:tcW w:w="5000" w:type="pct"/>
            <w:tcBorders>
              <w:top w:val="nil"/>
              <w:left w:val="nil"/>
              <w:bottom w:val="nil"/>
              <w:right w:val="nil"/>
            </w:tcBorders>
            <w:shd w:val="clear" w:color="auto" w:fill="auto"/>
            <w:tcMar>
              <w:top w:w="28" w:type="dxa"/>
              <w:bottom w:w="28" w:type="dxa"/>
            </w:tcMar>
          </w:tcPr>
          <w:p w14:paraId="064AF120" w14:textId="77777777" w:rsidR="009C6940" w:rsidRDefault="009C6940" w:rsidP="009C6940">
            <w:pPr>
              <w:pStyle w:val="Figure"/>
              <w:spacing w:before="0" w:after="0"/>
            </w:pPr>
            <w:r w:rsidRPr="007A16C7">
              <w:rPr>
                <w:noProof/>
              </w:rPr>
              <w:drawing>
                <wp:inline distT="0" distB="0" distL="0" distR="0" wp14:anchorId="313F1ED1" wp14:editId="5D8E0EB1">
                  <wp:extent cx="5399405" cy="2585085"/>
                  <wp:effectExtent l="0" t="0" r="0" b="5715"/>
                  <wp:docPr id="29" name="Picture 29" descr="This bar chart shows that over the five year period from 2014-15 to 2018-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99405" cy="2585085"/>
                          </a:xfrm>
                          <a:prstGeom prst="rect">
                            <a:avLst/>
                          </a:prstGeom>
                          <a:noFill/>
                          <a:ln>
                            <a:noFill/>
                          </a:ln>
                        </pic:spPr>
                      </pic:pic>
                    </a:graphicData>
                  </a:graphic>
                </wp:inline>
              </w:drawing>
            </w:r>
          </w:p>
        </w:tc>
      </w:tr>
      <w:tr w:rsidR="009C6940" w:rsidRPr="00176D3F" w14:paraId="22BE772A" w14:textId="77777777" w:rsidTr="009C6940">
        <w:tc>
          <w:tcPr>
            <w:tcW w:w="5000" w:type="pct"/>
            <w:tcBorders>
              <w:top w:val="nil"/>
              <w:left w:val="nil"/>
              <w:bottom w:val="nil"/>
              <w:right w:val="nil"/>
            </w:tcBorders>
            <w:shd w:val="clear" w:color="auto" w:fill="auto"/>
          </w:tcPr>
          <w:p w14:paraId="1C3B1C6E" w14:textId="77777777" w:rsidR="009C6940" w:rsidRPr="00176D3F" w:rsidRDefault="009C6940" w:rsidP="009C6940">
            <w:pPr>
              <w:pStyle w:val="Note"/>
            </w:pPr>
            <w:r>
              <w:rPr>
                <w:rStyle w:val="NoteLabel"/>
              </w:rPr>
              <w:t>a</w:t>
            </w:r>
            <w:r>
              <w:t xml:space="preserve"> Percentage is calculated by dividing total rejected mental health claims by the sum of total accepted and rejected mental health claims and multiplying by 100. </w:t>
            </w:r>
          </w:p>
        </w:tc>
      </w:tr>
      <w:tr w:rsidR="009C6940" w:rsidRPr="00176D3F" w14:paraId="7121135B" w14:textId="77777777" w:rsidTr="009C6940">
        <w:tc>
          <w:tcPr>
            <w:tcW w:w="5000" w:type="pct"/>
            <w:tcBorders>
              <w:top w:val="nil"/>
              <w:left w:val="nil"/>
              <w:bottom w:val="nil"/>
              <w:right w:val="nil"/>
            </w:tcBorders>
            <w:shd w:val="clear" w:color="auto" w:fill="auto"/>
          </w:tcPr>
          <w:p w14:paraId="7FEE3981"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4F012B9C" w14:textId="77777777" w:rsidTr="009C6940">
        <w:tc>
          <w:tcPr>
            <w:tcW w:w="5000" w:type="pct"/>
            <w:tcBorders>
              <w:top w:val="nil"/>
              <w:left w:val="nil"/>
              <w:bottom w:val="single" w:sz="6" w:space="0" w:color="78A22F"/>
              <w:right w:val="nil"/>
            </w:tcBorders>
            <w:shd w:val="clear" w:color="auto" w:fill="auto"/>
          </w:tcPr>
          <w:p w14:paraId="1CF06FE3" w14:textId="77777777" w:rsidR="009C6940" w:rsidRDefault="009C6940" w:rsidP="009C6940">
            <w:pPr>
              <w:pStyle w:val="Figurespace"/>
            </w:pPr>
          </w:p>
        </w:tc>
      </w:tr>
      <w:tr w:rsidR="009C6940" w:rsidRPr="000863A5" w14:paraId="5175696D" w14:textId="77777777" w:rsidTr="009C6940">
        <w:tc>
          <w:tcPr>
            <w:tcW w:w="5000" w:type="pct"/>
            <w:tcBorders>
              <w:top w:val="single" w:sz="6" w:space="0" w:color="78A22F"/>
              <w:left w:val="nil"/>
              <w:bottom w:val="nil"/>
              <w:right w:val="nil"/>
            </w:tcBorders>
          </w:tcPr>
          <w:p w14:paraId="7AF2D8D5" w14:textId="77777777" w:rsidR="009C6940" w:rsidRPr="00626D32" w:rsidRDefault="009C6940" w:rsidP="009C6940">
            <w:pPr>
              <w:pStyle w:val="BoxSpaceBelow"/>
            </w:pPr>
          </w:p>
        </w:tc>
      </w:tr>
    </w:tbl>
    <w:p w14:paraId="205A52CA"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9A97D54" w14:textId="77777777" w:rsidTr="009C6940">
        <w:trPr>
          <w:tblHeader/>
        </w:trPr>
        <w:tc>
          <w:tcPr>
            <w:tcW w:w="5000" w:type="pct"/>
            <w:tcBorders>
              <w:top w:val="single" w:sz="6" w:space="0" w:color="78A22F"/>
              <w:left w:val="nil"/>
              <w:bottom w:val="nil"/>
              <w:right w:val="nil"/>
            </w:tcBorders>
            <w:shd w:val="clear" w:color="auto" w:fill="auto"/>
          </w:tcPr>
          <w:p w14:paraId="4426E134" w14:textId="77777777" w:rsidR="009C6940" w:rsidRDefault="009C6940" w:rsidP="009C6940">
            <w:pPr>
              <w:pStyle w:val="FigureTitle"/>
            </w:pPr>
            <w:r w:rsidRPr="00784A05">
              <w:rPr>
                <w:b w:val="0"/>
              </w:rPr>
              <w:t xml:space="preserve">Figure </w:t>
            </w:r>
            <w:r>
              <w:rPr>
                <w:b w:val="0"/>
              </w:rPr>
              <w:t>F.7</w:t>
            </w:r>
            <w:r>
              <w:tab/>
              <w:t>Top mental health</w:t>
            </w:r>
            <w:r>
              <w:noBreakHyphen/>
              <w:t>related claim categories, by gender</w:t>
            </w:r>
            <w:r w:rsidRPr="000A6D2D">
              <w:rPr>
                <w:rStyle w:val="NoteLabel"/>
                <w:rFonts w:ascii="Arial Bold" w:hAnsi="Arial Bold"/>
                <w:b/>
                <w:position w:val="10"/>
              </w:rPr>
              <w:t>a,b</w:t>
            </w:r>
          </w:p>
          <w:p w14:paraId="229A6F38" w14:textId="77777777" w:rsidR="009C6940" w:rsidRPr="00623A00" w:rsidRDefault="009C6940" w:rsidP="009C6940">
            <w:pPr>
              <w:pStyle w:val="Subtitle"/>
            </w:pPr>
            <w:r>
              <w:t>Claim mechanism as a proportion of total mental health claims</w:t>
            </w:r>
          </w:p>
        </w:tc>
      </w:tr>
      <w:tr w:rsidR="009C6940" w14:paraId="160ECE4A"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4254A0C0" w14:textId="77777777" w:rsidTr="009C6940">
              <w:trPr>
                <w:tblHeader/>
                <w:jc w:val="center"/>
              </w:trPr>
              <w:tc>
                <w:tcPr>
                  <w:tcW w:w="5000" w:type="pct"/>
                  <w:tcBorders>
                    <w:top w:val="nil"/>
                    <w:bottom w:val="nil"/>
                  </w:tcBorders>
                </w:tcPr>
                <w:p w14:paraId="1639CC05" w14:textId="77777777" w:rsidR="009C6940" w:rsidRPr="00B1465D" w:rsidRDefault="009C6940" w:rsidP="009C6940">
                  <w:pPr>
                    <w:pStyle w:val="Figure"/>
                    <w:spacing w:before="0" w:after="0"/>
                    <w:rPr>
                      <w:rFonts w:ascii="Arial" w:hAnsi="Arial" w:cs="Arial"/>
                      <w:sz w:val="18"/>
                      <w:szCs w:val="18"/>
                    </w:rPr>
                  </w:pPr>
                  <w:r>
                    <w:rPr>
                      <w:rFonts w:ascii="Arial" w:hAnsi="Arial" w:cs="Arial"/>
                      <w:noProof/>
                      <w:sz w:val="18"/>
                      <w:szCs w:val="18"/>
                    </w:rPr>
                    <w:drawing>
                      <wp:inline distT="0" distB="0" distL="0" distR="0" wp14:anchorId="2DD6832E" wp14:editId="19733E40">
                        <wp:extent cx="5400346" cy="2700122"/>
                        <wp:effectExtent l="0" t="0" r="0" b="0"/>
                        <wp:docPr id="30" name="Picture 30" descr="This bar chart shows both males and females put in similar types of mental health claims. One difference is that whilst bullying was the most common claim for females, work pressure was the most common claim for males. For example, over the five year period from 2014-15 to 2018-19, bullying compromised approximately 30% of claims by females whilst work pressure compromised 30% of claims by males. " title="Figure F.7 Top mental health related claim categories, by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F.7.emf"/>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400346" cy="2700122"/>
                                </a:xfrm>
                                <a:prstGeom prst="rect">
                                  <a:avLst/>
                                </a:prstGeom>
                              </pic:spPr>
                            </pic:pic>
                          </a:graphicData>
                        </a:graphic>
                      </wp:inline>
                    </w:drawing>
                  </w:r>
                </w:p>
              </w:tc>
            </w:tr>
          </w:tbl>
          <w:p w14:paraId="43A7C3C9" w14:textId="77777777" w:rsidR="009C6940" w:rsidRDefault="009C6940" w:rsidP="009C6940">
            <w:pPr>
              <w:pStyle w:val="Figure"/>
              <w:spacing w:before="0" w:after="0"/>
            </w:pPr>
          </w:p>
        </w:tc>
      </w:tr>
      <w:tr w:rsidR="009C6940" w:rsidRPr="00176D3F" w14:paraId="6C487CE7" w14:textId="77777777" w:rsidTr="009C6940">
        <w:tc>
          <w:tcPr>
            <w:tcW w:w="5000" w:type="pct"/>
            <w:tcBorders>
              <w:top w:val="nil"/>
              <w:left w:val="nil"/>
              <w:bottom w:val="nil"/>
              <w:right w:val="nil"/>
            </w:tcBorders>
            <w:shd w:val="clear" w:color="auto" w:fill="auto"/>
          </w:tcPr>
          <w:p w14:paraId="510C9F4F" w14:textId="77777777" w:rsidR="009C6940" w:rsidRPr="00176D3F" w:rsidRDefault="009C6940" w:rsidP="009C6940">
            <w:pPr>
              <w:pStyle w:val="Note"/>
            </w:pPr>
            <w:r>
              <w:rPr>
                <w:rStyle w:val="NoteLabel"/>
              </w:rPr>
              <w:t>a</w:t>
            </w:r>
            <w:r>
              <w:t> Between 2014</w:t>
            </w:r>
            <w:r>
              <w:noBreakHyphen/>
              <w:t>15 and 2018</w:t>
            </w:r>
            <w:r>
              <w:noBreakHyphen/>
              <w:t xml:space="preserve">19. </w:t>
            </w:r>
            <w:r>
              <w:rPr>
                <w:rStyle w:val="NoteLabel"/>
              </w:rPr>
              <w:t>b</w:t>
            </w:r>
            <w:r>
              <w:t> Total claims includes both rejected and accepted claims.</w:t>
            </w:r>
          </w:p>
        </w:tc>
      </w:tr>
      <w:tr w:rsidR="009C6940" w:rsidRPr="00176D3F" w14:paraId="165BDAA3" w14:textId="77777777" w:rsidTr="009C6940">
        <w:tc>
          <w:tcPr>
            <w:tcW w:w="5000" w:type="pct"/>
            <w:tcBorders>
              <w:top w:val="nil"/>
              <w:left w:val="nil"/>
              <w:bottom w:val="nil"/>
              <w:right w:val="nil"/>
            </w:tcBorders>
            <w:shd w:val="clear" w:color="auto" w:fill="auto"/>
          </w:tcPr>
          <w:p w14:paraId="33EC96A4"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7F06BB60" w14:textId="77777777" w:rsidTr="009C6940">
        <w:tc>
          <w:tcPr>
            <w:tcW w:w="5000" w:type="pct"/>
            <w:tcBorders>
              <w:top w:val="nil"/>
              <w:left w:val="nil"/>
              <w:bottom w:val="single" w:sz="6" w:space="0" w:color="78A22F"/>
              <w:right w:val="nil"/>
            </w:tcBorders>
            <w:shd w:val="clear" w:color="auto" w:fill="auto"/>
          </w:tcPr>
          <w:p w14:paraId="5CDF5683" w14:textId="77777777" w:rsidR="009C6940" w:rsidRDefault="009C6940" w:rsidP="009C6940">
            <w:pPr>
              <w:pStyle w:val="Figurespace"/>
            </w:pPr>
          </w:p>
        </w:tc>
      </w:tr>
      <w:tr w:rsidR="009C6940" w:rsidRPr="000863A5" w14:paraId="3B3B1B66" w14:textId="77777777" w:rsidTr="009C6940">
        <w:tc>
          <w:tcPr>
            <w:tcW w:w="5000" w:type="pct"/>
            <w:tcBorders>
              <w:top w:val="single" w:sz="6" w:space="0" w:color="78A22F"/>
              <w:left w:val="nil"/>
              <w:bottom w:val="nil"/>
              <w:right w:val="nil"/>
            </w:tcBorders>
          </w:tcPr>
          <w:p w14:paraId="404F3F45" w14:textId="77777777" w:rsidR="009C6940" w:rsidRPr="00626D32" w:rsidRDefault="009C6940" w:rsidP="009C6940">
            <w:pPr>
              <w:pStyle w:val="BoxSpaceBelow"/>
            </w:pPr>
          </w:p>
        </w:tc>
      </w:tr>
    </w:tbl>
    <w:p w14:paraId="6596F005" w14:textId="77777777" w:rsidR="009C6940" w:rsidRDefault="009C6940" w:rsidP="009C6940">
      <w:pPr>
        <w:pStyle w:val="Heading3"/>
      </w:pPr>
      <w:r>
        <w:t>By income</w:t>
      </w:r>
    </w:p>
    <w:p w14:paraId="6A82D318" w14:textId="77777777" w:rsidR="009C6940" w:rsidRDefault="009C6940" w:rsidP="009C6940">
      <w:pPr>
        <w:pStyle w:val="BodyText"/>
      </w:pPr>
      <w:r>
        <w:t>Data on the weekly income of claimants was also provided, which was then broken down into income quartiles and deciles for analysis. This analysis focused on rejection rates and type of mental health claim by level of income. To do this, only those with recorded weekly incomes of at least $100 were included. From this it appears that:</w:t>
      </w:r>
    </w:p>
    <w:p w14:paraId="37E93369" w14:textId="77777777" w:rsidR="009C6940" w:rsidRDefault="009C6940" w:rsidP="009C6940">
      <w:pPr>
        <w:pStyle w:val="ListBullet"/>
      </w:pPr>
      <w:r>
        <w:t>higher incomes are associated with lower rejection rates for mental health</w:t>
      </w:r>
      <w:r>
        <w:noBreakHyphen/>
        <w:t>related claims (figure F.8)</w:t>
      </w:r>
    </w:p>
    <w:p w14:paraId="08660802" w14:textId="77777777" w:rsidR="009C6940" w:rsidRDefault="009C6940" w:rsidP="009C6940">
      <w:pPr>
        <w:pStyle w:val="ListBullet"/>
      </w:pPr>
      <w:r>
        <w:t>males have higher rejection rates across all incomes levels (figure F.8)</w:t>
      </w:r>
    </w:p>
    <w:p w14:paraId="4D4DE56E" w14:textId="77777777" w:rsidR="009C6940" w:rsidRDefault="009C6940" w:rsidP="009C6940">
      <w:pPr>
        <w:pStyle w:val="ListBullet"/>
      </w:pPr>
      <w:r>
        <w:t>higher incomes are associated with relatively more work pressure claims and fewer bullying claims (figure F.9). These are the two most common mental health claims.</w:t>
      </w:r>
    </w:p>
    <w:p w14:paraId="40678959"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09CAC80" w14:textId="77777777" w:rsidTr="009C6940">
        <w:trPr>
          <w:tblHeader/>
        </w:trPr>
        <w:tc>
          <w:tcPr>
            <w:tcW w:w="5000" w:type="pct"/>
            <w:tcBorders>
              <w:top w:val="single" w:sz="6" w:space="0" w:color="78A22F"/>
              <w:left w:val="nil"/>
              <w:bottom w:val="nil"/>
              <w:right w:val="nil"/>
            </w:tcBorders>
            <w:shd w:val="clear" w:color="auto" w:fill="auto"/>
          </w:tcPr>
          <w:p w14:paraId="5F0CF3BF" w14:textId="77777777" w:rsidR="009C6940" w:rsidRDefault="009C6940" w:rsidP="009C6940">
            <w:pPr>
              <w:pStyle w:val="FigureTitle"/>
            </w:pPr>
            <w:r w:rsidRPr="00784A05">
              <w:rPr>
                <w:b w:val="0"/>
              </w:rPr>
              <w:t xml:space="preserve">Figure </w:t>
            </w:r>
            <w:r>
              <w:rPr>
                <w:b w:val="0"/>
              </w:rPr>
              <w:t>F.8</w:t>
            </w:r>
            <w:r>
              <w:tab/>
              <w:t>Males across all income levels face higher rejection rates for mental health claims</w:t>
            </w:r>
            <w:r w:rsidRPr="000A6D2D">
              <w:rPr>
                <w:rStyle w:val="NoteLabel"/>
                <w:rFonts w:ascii="Arial Bold" w:hAnsi="Arial Bold"/>
                <w:b/>
                <w:position w:val="10"/>
              </w:rPr>
              <w:t>a,b,c,d</w:t>
            </w:r>
          </w:p>
          <w:p w14:paraId="0EEFCD1E" w14:textId="77777777" w:rsidR="009C6940" w:rsidRPr="00176D3F" w:rsidRDefault="009C6940" w:rsidP="009C6940">
            <w:pPr>
              <w:pStyle w:val="Subtitle"/>
            </w:pPr>
            <w:r>
              <w:t>Rejection rates, by income quartile and gender (min weekly income of $100)</w:t>
            </w:r>
          </w:p>
        </w:tc>
      </w:tr>
      <w:tr w:rsidR="009C6940" w14:paraId="489C769C"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4E1D2F9C" w14:textId="77777777" w:rsidTr="009C6940">
              <w:trPr>
                <w:tblHeader/>
                <w:jc w:val="center"/>
              </w:trPr>
              <w:tc>
                <w:tcPr>
                  <w:tcW w:w="5000" w:type="pct"/>
                  <w:tcBorders>
                    <w:top w:val="nil"/>
                    <w:bottom w:val="nil"/>
                  </w:tcBorders>
                </w:tcPr>
                <w:p w14:paraId="3592719C" w14:textId="77777777" w:rsidR="009C6940" w:rsidRPr="00B1465D" w:rsidRDefault="009C6940" w:rsidP="009C6940">
                  <w:pPr>
                    <w:pStyle w:val="Figure"/>
                    <w:spacing w:before="0" w:after="0"/>
                  </w:pPr>
                  <w:r>
                    <w:rPr>
                      <w:noProof/>
                    </w:rPr>
                    <w:drawing>
                      <wp:inline distT="0" distB="0" distL="0" distR="0" wp14:anchorId="7527DC1D" wp14:editId="15342D96">
                        <wp:extent cx="5259583" cy="2533650"/>
                        <wp:effectExtent l="0" t="0" r="0" b="0"/>
                        <wp:docPr id="31" name="Picture 31" descr="This bar chart breaks down rejection rates by income quartiles and gender and finds that men across all income quartiles are more likely to have their claim rejected and that lower income claimants also have higher rejection rates. This chart only includes those with a recorded income of at least $100." title="Figure F.8 Males across all income levels face higher rejection rates for mental health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F.9.emf"/>
                                <pic:cNvPicPr/>
                              </pic:nvPicPr>
                              <pic:blipFill rotWithShape="1">
                                <a:blip r:embed="rId52" cstate="print">
                                  <a:extLst>
                                    <a:ext uri="{28A0092B-C50C-407E-A947-70E740481C1C}">
                                      <a14:useLocalDpi xmlns:a14="http://schemas.microsoft.com/office/drawing/2010/main" val="0"/>
                                    </a:ext>
                                  </a:extLst>
                                </a:blip>
                                <a:srcRect t="1795" b="1859"/>
                                <a:stretch/>
                              </pic:blipFill>
                              <pic:spPr bwMode="auto">
                                <a:xfrm>
                                  <a:off x="0" y="0"/>
                                  <a:ext cx="5265483" cy="253649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B84784" w14:textId="77777777" w:rsidR="009C6940" w:rsidRDefault="009C6940" w:rsidP="009C6940">
            <w:pPr>
              <w:pStyle w:val="Figure"/>
              <w:spacing w:before="0" w:after="0"/>
            </w:pPr>
          </w:p>
        </w:tc>
      </w:tr>
      <w:tr w:rsidR="009C6940" w:rsidRPr="00176D3F" w14:paraId="657506EF" w14:textId="77777777" w:rsidTr="009C6940">
        <w:tc>
          <w:tcPr>
            <w:tcW w:w="5000" w:type="pct"/>
            <w:tcBorders>
              <w:top w:val="nil"/>
              <w:left w:val="nil"/>
              <w:bottom w:val="nil"/>
              <w:right w:val="nil"/>
            </w:tcBorders>
            <w:shd w:val="clear" w:color="auto" w:fill="auto"/>
          </w:tcPr>
          <w:p w14:paraId="357F087A" w14:textId="77777777" w:rsidR="009C6940" w:rsidRPr="00176D3F" w:rsidRDefault="009C6940" w:rsidP="009C6940">
            <w:pPr>
              <w:pStyle w:val="Note"/>
              <w:spacing w:line="260" w:lineRule="exact"/>
            </w:pPr>
            <w:r>
              <w:rPr>
                <w:rStyle w:val="NoteLabel"/>
              </w:rPr>
              <w:t>a</w:t>
            </w:r>
            <w:r>
              <w:t xml:space="preserve"> Percentage is calculated by dividing the total number of rejected mental health claims by the total number of mental health claims and multiplying by 100. </w:t>
            </w:r>
            <w:r>
              <w:rPr>
                <w:rStyle w:val="NoteLabel"/>
              </w:rPr>
              <w:t>b</w:t>
            </w:r>
            <w:r>
              <w:t xml:space="preserve"> The total number of claims includes all accepted and rejected mental health claims. </w:t>
            </w:r>
            <w:r>
              <w:rPr>
                <w:rStyle w:val="NoteLabel"/>
              </w:rPr>
              <w:t>c</w:t>
            </w:r>
            <w:r>
              <w:t> Between 2014</w:t>
            </w:r>
            <w:r>
              <w:noBreakHyphen/>
              <w:t>15 and 2018</w:t>
            </w:r>
            <w:r>
              <w:noBreakHyphen/>
              <w:t xml:space="preserve">19. </w:t>
            </w:r>
            <w:r>
              <w:rPr>
                <w:rStyle w:val="NoteLabel"/>
              </w:rPr>
              <w:t>d</w:t>
            </w:r>
            <w:r>
              <w:rPr>
                <w:rStyle w:val="NoteLabel"/>
                <w:b w:val="0"/>
              </w:rPr>
              <w:t> </w:t>
            </w:r>
            <w:r>
              <w:rPr>
                <w:bCs/>
              </w:rPr>
              <w:t xml:space="preserve">The rejection rates in this chart differ from those in figures F.4 and F.6 as they only include observations for which weekly income was at least $100. This means, for example, observations where income was not recorded are not included.  </w:t>
            </w:r>
          </w:p>
        </w:tc>
      </w:tr>
      <w:tr w:rsidR="009C6940" w:rsidRPr="00176D3F" w14:paraId="42FD02C4" w14:textId="77777777" w:rsidTr="009C6940">
        <w:tc>
          <w:tcPr>
            <w:tcW w:w="5000" w:type="pct"/>
            <w:tcBorders>
              <w:top w:val="nil"/>
              <w:left w:val="nil"/>
              <w:bottom w:val="nil"/>
              <w:right w:val="nil"/>
            </w:tcBorders>
            <w:shd w:val="clear" w:color="auto" w:fill="auto"/>
          </w:tcPr>
          <w:p w14:paraId="5597FE20"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2093EC4E" w14:textId="77777777" w:rsidTr="009C6940">
        <w:tc>
          <w:tcPr>
            <w:tcW w:w="5000" w:type="pct"/>
            <w:tcBorders>
              <w:top w:val="nil"/>
              <w:left w:val="nil"/>
              <w:bottom w:val="single" w:sz="6" w:space="0" w:color="78A22F"/>
              <w:right w:val="nil"/>
            </w:tcBorders>
            <w:shd w:val="clear" w:color="auto" w:fill="auto"/>
          </w:tcPr>
          <w:p w14:paraId="7F5FFDAE" w14:textId="77777777" w:rsidR="009C6940" w:rsidRDefault="009C6940" w:rsidP="009C6940">
            <w:pPr>
              <w:pStyle w:val="Figurespace"/>
            </w:pPr>
          </w:p>
        </w:tc>
      </w:tr>
      <w:tr w:rsidR="009C6940" w:rsidRPr="000863A5" w14:paraId="73530F9B" w14:textId="77777777" w:rsidTr="009C6940">
        <w:tc>
          <w:tcPr>
            <w:tcW w:w="5000" w:type="pct"/>
            <w:tcBorders>
              <w:top w:val="single" w:sz="6" w:space="0" w:color="78A22F"/>
              <w:left w:val="nil"/>
              <w:bottom w:val="nil"/>
              <w:right w:val="nil"/>
            </w:tcBorders>
          </w:tcPr>
          <w:p w14:paraId="65DD3BFC" w14:textId="77777777" w:rsidR="009C6940" w:rsidRPr="00626D32" w:rsidRDefault="009C6940" w:rsidP="009C6940">
            <w:pPr>
              <w:pStyle w:val="BoxSpaceBelow"/>
            </w:pPr>
          </w:p>
        </w:tc>
      </w:tr>
    </w:tbl>
    <w:p w14:paraId="548A9E13" w14:textId="77777777" w:rsidR="009C6940" w:rsidRDefault="009C6940" w:rsidP="009C6940">
      <w:pPr>
        <w:pStyle w:val="BoxSpaceAbove"/>
        <w:spacing w:before="2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247D748" w14:textId="77777777" w:rsidTr="009C6940">
        <w:trPr>
          <w:tblHeader/>
        </w:trPr>
        <w:tc>
          <w:tcPr>
            <w:tcW w:w="5000" w:type="pct"/>
            <w:tcBorders>
              <w:top w:val="single" w:sz="6" w:space="0" w:color="78A22F"/>
              <w:left w:val="nil"/>
              <w:bottom w:val="nil"/>
              <w:right w:val="nil"/>
            </w:tcBorders>
            <w:shd w:val="clear" w:color="auto" w:fill="auto"/>
          </w:tcPr>
          <w:p w14:paraId="64DF26FA" w14:textId="77777777" w:rsidR="009C6940" w:rsidRDefault="009C6940" w:rsidP="009C6940">
            <w:pPr>
              <w:pStyle w:val="FigureTitle"/>
            </w:pPr>
            <w:r w:rsidRPr="00784A05">
              <w:rPr>
                <w:b w:val="0"/>
              </w:rPr>
              <w:t xml:space="preserve">Figure </w:t>
            </w:r>
            <w:r>
              <w:rPr>
                <w:b w:val="0"/>
              </w:rPr>
              <w:t>F.9</w:t>
            </w:r>
            <w:r>
              <w:tab/>
              <w:t>Bullying and work pressure over income deciles</w:t>
            </w:r>
            <w:r w:rsidRPr="000A6D2D">
              <w:rPr>
                <w:rStyle w:val="NoteLabel"/>
                <w:rFonts w:ascii="Arial Bold" w:hAnsi="Arial Bold"/>
                <w:b/>
                <w:position w:val="10"/>
              </w:rPr>
              <w:t>a,b,c</w:t>
            </w:r>
            <w:r>
              <w:rPr>
                <w:rStyle w:val="NoteLabel"/>
                <w:rFonts w:ascii="Arial Bold" w:hAnsi="Arial Bold"/>
                <w:b/>
                <w:position w:val="10"/>
              </w:rPr>
              <w:t>,d</w:t>
            </w:r>
          </w:p>
          <w:p w14:paraId="5FE72A1F" w14:textId="77777777" w:rsidR="009C6940" w:rsidRPr="00176D3F" w:rsidRDefault="009C6940" w:rsidP="009C6940">
            <w:pPr>
              <w:pStyle w:val="Subtitle"/>
            </w:pPr>
            <w:r>
              <w:t>As a proportion of serious mental health claims (min weekly income of $100)</w:t>
            </w:r>
          </w:p>
        </w:tc>
      </w:tr>
      <w:tr w:rsidR="009C6940" w14:paraId="65D37025"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6F8BCBEC" w14:textId="77777777" w:rsidTr="009C6940">
              <w:trPr>
                <w:tblHeader/>
                <w:jc w:val="center"/>
              </w:trPr>
              <w:tc>
                <w:tcPr>
                  <w:tcW w:w="5000" w:type="pct"/>
                  <w:tcBorders>
                    <w:top w:val="nil"/>
                    <w:bottom w:val="nil"/>
                  </w:tcBorders>
                </w:tcPr>
                <w:p w14:paraId="591AADD6" w14:textId="77777777" w:rsidR="009C6940" w:rsidRPr="00B1465D" w:rsidRDefault="009C6940" w:rsidP="009C6940">
                  <w:pPr>
                    <w:pStyle w:val="Figure"/>
                    <w:spacing w:before="0" w:after="0"/>
                  </w:pPr>
                  <w:r>
                    <w:rPr>
                      <w:noProof/>
                    </w:rPr>
                    <w:drawing>
                      <wp:inline distT="0" distB="0" distL="0" distR="0" wp14:anchorId="0DC5A072" wp14:editId="71A8FDCB">
                        <wp:extent cx="5212179" cy="2551814"/>
                        <wp:effectExtent l="0" t="0" r="0" b="0"/>
                        <wp:docPr id="32" name="Picture 32" descr="This line chart graphs the proportion of accepted mental health claims arising from work pressure and bullying over income deciles. It shows that as income increases, claims for work pressure increase. It also shows that as income increases, claims for bullying decrease. For example, going from the bottom to the top income decile, the share of accepted mental health claims arising from work pressure rises from 18% to 35%. " title="Figure F.9 Bullying and work pressure over income de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 F.10.emf"/>
                                <pic:cNvPicPr/>
                              </pic:nvPicPr>
                              <pic:blipFill rotWithShape="1">
                                <a:blip r:embed="rId53" cstate="print">
                                  <a:extLst>
                                    <a:ext uri="{28A0092B-C50C-407E-A947-70E740481C1C}">
                                      <a14:useLocalDpi xmlns:a14="http://schemas.microsoft.com/office/drawing/2010/main" val="0"/>
                                    </a:ext>
                                  </a:extLst>
                                </a:blip>
                                <a:srcRect b="2080"/>
                                <a:stretch/>
                              </pic:blipFill>
                              <pic:spPr bwMode="auto">
                                <a:xfrm>
                                  <a:off x="0" y="0"/>
                                  <a:ext cx="5216687" cy="255402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1B0D20" w14:textId="77777777" w:rsidR="009C6940" w:rsidRDefault="009C6940" w:rsidP="009C6940">
            <w:pPr>
              <w:pStyle w:val="Figure"/>
              <w:spacing w:before="0" w:after="0"/>
            </w:pPr>
          </w:p>
        </w:tc>
      </w:tr>
      <w:tr w:rsidR="009C6940" w:rsidRPr="00176D3F" w14:paraId="4C3A3181" w14:textId="77777777" w:rsidTr="009C6940">
        <w:tc>
          <w:tcPr>
            <w:tcW w:w="5000" w:type="pct"/>
            <w:tcBorders>
              <w:top w:val="nil"/>
              <w:left w:val="nil"/>
              <w:bottom w:val="nil"/>
              <w:right w:val="nil"/>
            </w:tcBorders>
            <w:shd w:val="clear" w:color="auto" w:fill="auto"/>
          </w:tcPr>
          <w:p w14:paraId="7B822E61" w14:textId="77777777" w:rsidR="009C6940" w:rsidRPr="00215908" w:rsidRDefault="009C6940" w:rsidP="009C6940">
            <w:pPr>
              <w:pStyle w:val="Note"/>
              <w:rPr>
                <w:spacing w:val="-2"/>
              </w:rPr>
            </w:pPr>
            <w:r w:rsidRPr="00215908">
              <w:rPr>
                <w:rStyle w:val="NoteLabel"/>
                <w:spacing w:val="-2"/>
              </w:rPr>
              <w:t>a</w:t>
            </w:r>
            <w:r w:rsidRPr="00215908">
              <w:rPr>
                <w:spacing w:val="-2"/>
              </w:rPr>
              <w:t> Between 2014</w:t>
            </w:r>
            <w:r w:rsidRPr="00215908">
              <w:rPr>
                <w:spacing w:val="-2"/>
              </w:rPr>
              <w:noBreakHyphen/>
              <w:t>15 and 2018</w:t>
            </w:r>
            <w:r w:rsidRPr="00215908">
              <w:rPr>
                <w:spacing w:val="-2"/>
              </w:rPr>
              <w:noBreakHyphen/>
              <w:t xml:space="preserve">19 </w:t>
            </w:r>
            <w:r w:rsidRPr="00215908">
              <w:rPr>
                <w:rStyle w:val="NoteLabel"/>
                <w:spacing w:val="-2"/>
              </w:rPr>
              <w:t>b</w:t>
            </w:r>
            <w:r w:rsidRPr="00215908">
              <w:rPr>
                <w:spacing w:val="-2"/>
              </w:rPr>
              <w:t xml:space="preserve"> Does not include Victoria. </w:t>
            </w:r>
            <w:r w:rsidRPr="00215908">
              <w:rPr>
                <w:rStyle w:val="NoteLabel"/>
                <w:spacing w:val="-2"/>
              </w:rPr>
              <w:t>c </w:t>
            </w:r>
            <w:r w:rsidRPr="00215908">
              <w:rPr>
                <w:bCs/>
                <w:spacing w:val="-2"/>
              </w:rPr>
              <w:t xml:space="preserve">Serious mental health claims are those accepted claims resulting in at least one week off work. </w:t>
            </w:r>
            <w:r w:rsidRPr="0087540E">
              <w:rPr>
                <w:rStyle w:val="NoteLabel"/>
                <w:spacing w:val="-2"/>
              </w:rPr>
              <w:t>d</w:t>
            </w:r>
            <w:r w:rsidRPr="00215908">
              <w:rPr>
                <w:bCs/>
                <w:spacing w:val="-2"/>
              </w:rPr>
              <w:t xml:space="preserve"> Income deciles range from 1 (lowest) to 10 (highest).</w:t>
            </w:r>
          </w:p>
        </w:tc>
      </w:tr>
      <w:tr w:rsidR="009C6940" w:rsidRPr="00176D3F" w14:paraId="1B8FB9CE" w14:textId="77777777" w:rsidTr="009C6940">
        <w:tc>
          <w:tcPr>
            <w:tcW w:w="5000" w:type="pct"/>
            <w:tcBorders>
              <w:top w:val="nil"/>
              <w:left w:val="nil"/>
              <w:bottom w:val="nil"/>
              <w:right w:val="nil"/>
            </w:tcBorders>
            <w:shd w:val="clear" w:color="auto" w:fill="auto"/>
          </w:tcPr>
          <w:p w14:paraId="6F89FBD9" w14:textId="77777777" w:rsidR="009C6940" w:rsidRPr="00176D3F" w:rsidRDefault="009C6940" w:rsidP="009C6940">
            <w:pPr>
              <w:pStyle w:val="Source"/>
            </w:pPr>
            <w:r>
              <w:rPr>
                <w:i/>
              </w:rPr>
              <w:t>S</w:t>
            </w:r>
            <w:r w:rsidRPr="00784A05">
              <w:rPr>
                <w:i/>
              </w:rPr>
              <w:t>ource</w:t>
            </w:r>
            <w:r w:rsidRPr="00176D3F">
              <w:t xml:space="preserve">: </w:t>
            </w:r>
            <w:r>
              <w:t>Data provided by state and territory workers compensation agencies and Comcare.</w:t>
            </w:r>
          </w:p>
        </w:tc>
      </w:tr>
      <w:tr w:rsidR="009C6940" w14:paraId="3C786686" w14:textId="77777777" w:rsidTr="009C6940">
        <w:tc>
          <w:tcPr>
            <w:tcW w:w="5000" w:type="pct"/>
            <w:tcBorders>
              <w:top w:val="nil"/>
              <w:left w:val="nil"/>
              <w:bottom w:val="single" w:sz="6" w:space="0" w:color="78A22F"/>
              <w:right w:val="nil"/>
            </w:tcBorders>
            <w:shd w:val="clear" w:color="auto" w:fill="auto"/>
          </w:tcPr>
          <w:p w14:paraId="73D7E4FB" w14:textId="77777777" w:rsidR="009C6940" w:rsidRDefault="009C6940" w:rsidP="009C6940">
            <w:pPr>
              <w:pStyle w:val="Figurespace"/>
            </w:pPr>
          </w:p>
        </w:tc>
      </w:tr>
      <w:tr w:rsidR="009C6940" w:rsidRPr="000863A5" w14:paraId="4E1C7033" w14:textId="77777777" w:rsidTr="009C6940">
        <w:tc>
          <w:tcPr>
            <w:tcW w:w="5000" w:type="pct"/>
            <w:tcBorders>
              <w:top w:val="single" w:sz="6" w:space="0" w:color="78A22F"/>
              <w:left w:val="nil"/>
              <w:bottom w:val="nil"/>
              <w:right w:val="nil"/>
            </w:tcBorders>
          </w:tcPr>
          <w:p w14:paraId="7201E789" w14:textId="77777777" w:rsidR="009C6940" w:rsidRPr="00626D32" w:rsidRDefault="009C6940" w:rsidP="009C6940">
            <w:pPr>
              <w:pStyle w:val="BoxSpaceBelow"/>
              <w:spacing w:before="0" w:after="0"/>
            </w:pPr>
          </w:p>
        </w:tc>
      </w:tr>
    </w:tbl>
    <w:p w14:paraId="34093111" w14:textId="77777777" w:rsidR="009C6940" w:rsidRPr="0085206F" w:rsidRDefault="009C6940" w:rsidP="009C6940"/>
    <w:p w14:paraId="5FAC192A" w14:textId="77777777" w:rsidR="009C6940" w:rsidRPr="0085206F" w:rsidRDefault="009C6940" w:rsidP="009C6940">
      <w:pPr>
        <w:sectPr w:rsidR="009C6940" w:rsidRPr="0085206F" w:rsidSect="009C6940">
          <w:headerReference w:type="even" r:id="rId54"/>
          <w:headerReference w:type="default" r:id="rId55"/>
          <w:footerReference w:type="even" r:id="rId56"/>
          <w:footerReference w:type="default" r:id="rId57"/>
          <w:type w:val="oddPage"/>
          <w:pgSz w:w="11907" w:h="16840" w:code="9"/>
          <w:pgMar w:top="1985" w:right="1304" w:bottom="1247" w:left="1814" w:header="1701" w:footer="397" w:gutter="0"/>
          <w:pgNumType w:chapSep="period"/>
          <w:cols w:space="720"/>
          <w:docGrid w:linePitch="326"/>
        </w:sectPr>
      </w:pPr>
    </w:p>
    <w:p w14:paraId="684E3EBE" w14:textId="77777777" w:rsidR="009C6940" w:rsidRDefault="009C6940" w:rsidP="0085206F">
      <w:pPr>
        <w:pStyle w:val="Heading1"/>
      </w:pPr>
      <w:r>
        <w:lastRenderedPageBreak/>
        <w:t>G</w:t>
      </w:r>
      <w:r>
        <w:tab/>
        <w:t>Funding and commissioning arrangements: supporting detail</w:t>
      </w:r>
    </w:p>
    <w:p w14:paraId="1CC9DABD" w14:textId="77777777" w:rsidR="009C6940" w:rsidRDefault="009C6940" w:rsidP="009C6940">
      <w:pPr>
        <w:pStyle w:val="BodyText"/>
      </w:pPr>
      <w:r>
        <w:t>This appendix provides background to the reforms to funding and commissioning arrangements recommended in chapter 23.</w:t>
      </w:r>
    </w:p>
    <w:p w14:paraId="06D944BA" w14:textId="77777777" w:rsidR="009C6940" w:rsidRDefault="009C6940" w:rsidP="009C6940">
      <w:pPr>
        <w:pStyle w:val="ListBullet"/>
      </w:pPr>
      <w:r>
        <w:t>It summarises the evidence from elsewhere in the report that the funding currently allocated to mental healthcare and psychosocial supports is not spent to best meet consumer needs (section G.1)</w:t>
      </w:r>
    </w:p>
    <w:p w14:paraId="582E52A9" w14:textId="77777777" w:rsidR="009C6940" w:rsidRDefault="009C6940" w:rsidP="009C6940">
      <w:pPr>
        <w:pStyle w:val="ListBullet"/>
      </w:pPr>
      <w:r>
        <w:t>It analyses the role of Primary Health Networks (PHNs) in the context of broader primary mental healthcare funding arrangements, focusing on: regional equity in the distribution of funds; incentives arising from the interaction of Medicare Benefits Schedule (MBS) rebates and PHN funds; and the autonomy PHNs have in their commissioning decisions (section G.2)</w:t>
      </w:r>
    </w:p>
    <w:p w14:paraId="0425F4FD" w14:textId="77777777" w:rsidR="009C6940" w:rsidRDefault="009C6940" w:rsidP="009C6940">
      <w:pPr>
        <w:pStyle w:val="ListBullet"/>
      </w:pPr>
      <w:r>
        <w:t>It analyses Local Hospital Network (LHN) funding arrangements, focusing on: the incentives arising from the different ways that hospital</w:t>
      </w:r>
      <w:r>
        <w:noBreakHyphen/>
        <w:t xml:space="preserve"> and community</w:t>
      </w:r>
      <w:r>
        <w:noBreakHyphen/>
        <w:t>based services are funded; and the impacts of Australian Government contributions to LHNs under the National Health Reform Agreement (NHRA) (section G.3)</w:t>
      </w:r>
    </w:p>
    <w:p w14:paraId="3F344E59" w14:textId="77777777" w:rsidR="009C6940" w:rsidRPr="001D65D8" w:rsidRDefault="009C6940" w:rsidP="009C6940">
      <w:pPr>
        <w:pStyle w:val="ListBullet"/>
        <w:rPr>
          <w:i/>
        </w:rPr>
      </w:pPr>
      <w:r>
        <w:t xml:space="preserve">It analyses the current approach to managing the federal split in government responsibilities for mental healthcare set out in Priority Area One of the </w:t>
      </w:r>
      <w:r w:rsidRPr="00A262FB">
        <w:t>Fifth National Mental Health and Suicide Prevention Plan</w:t>
      </w:r>
      <w:r>
        <w:t xml:space="preserve"> (section G.4)</w:t>
      </w:r>
    </w:p>
    <w:p w14:paraId="54AE8E43" w14:textId="77777777" w:rsidR="009C6940" w:rsidRDefault="009C6940" w:rsidP="009C6940">
      <w:pPr>
        <w:pStyle w:val="ListBullet"/>
      </w:pPr>
      <w:r>
        <w:t>It analyses the feedback to the two options for allocating responsibility for mental healthcare and psychosocial supports (‘Renovate’ and ‘Rebuild’) that were presented in the draft report (section G.5)</w:t>
      </w:r>
    </w:p>
    <w:p w14:paraId="479489B0" w14:textId="77777777" w:rsidR="009C6940" w:rsidRPr="003E6FF0" w:rsidRDefault="009C6940" w:rsidP="009C6940">
      <w:pPr>
        <w:pStyle w:val="ListBullet"/>
        <w:rPr>
          <w:spacing w:val="-4"/>
        </w:rPr>
      </w:pPr>
      <w:r>
        <w:rPr>
          <w:spacing w:val="-4"/>
        </w:rPr>
        <w:t xml:space="preserve">It </w:t>
      </w:r>
      <w:r w:rsidRPr="003E6FF0">
        <w:rPr>
          <w:spacing w:val="-4"/>
        </w:rPr>
        <w:t>outlines some additional considerations that underpin recommended reforms (section G.6).</w:t>
      </w:r>
    </w:p>
    <w:p w14:paraId="28730D9D" w14:textId="77777777" w:rsidR="009C6940" w:rsidRDefault="009C6940" w:rsidP="009C6940">
      <w:pPr>
        <w:pStyle w:val="BodyText"/>
      </w:pPr>
      <w:r>
        <w:t xml:space="preserve">Many of the analyses in this appendix examine the extent to which the current arrangements support two normative positions that underpin the reforms outlined in chapter 23: that government agencies, providers and consumers should face </w:t>
      </w:r>
      <w:r w:rsidRPr="000708AE">
        <w:rPr>
          <w:i/>
        </w:rPr>
        <w:t>incentives</w:t>
      </w:r>
      <w:r>
        <w:t xml:space="preserve"> to take account of the full range of costs and benefits of their decisions; and that decisions should be made by those who have the best access to </w:t>
      </w:r>
      <w:r w:rsidRPr="00600A78">
        <w:rPr>
          <w:i/>
        </w:rPr>
        <w:t>information</w:t>
      </w:r>
      <w:r>
        <w:t xml:space="preserve"> about costs the benefits of their decisions.</w:t>
      </w:r>
      <w:r>
        <w:rPr>
          <w:rStyle w:val="FootnoteReference"/>
        </w:rPr>
        <w:footnoteReference w:id="6"/>
      </w:r>
      <w:r>
        <w:t xml:space="preserve"> In the </w:t>
      </w:r>
      <w:r>
        <w:lastRenderedPageBreak/>
        <w:t>Productivity Commission’s view, aligning decision-making with incentives and information is most likely to lead to resources being allocated to best meet consumer needs.</w:t>
      </w:r>
    </w:p>
    <w:p w14:paraId="60DE105B" w14:textId="77777777" w:rsidR="009C6940" w:rsidRDefault="009C6940" w:rsidP="009C6940">
      <w:pPr>
        <w:pStyle w:val="Heading2"/>
      </w:pPr>
      <w:r>
        <w:t>G.</w:t>
      </w:r>
      <w:r>
        <w:rPr>
          <w:noProof/>
        </w:rPr>
        <w:t>1</w:t>
      </w:r>
      <w:r>
        <w:tab/>
        <w:t>Resources are not allocated to their best use</w:t>
      </w:r>
    </w:p>
    <w:p w14:paraId="42266879" w14:textId="77777777" w:rsidR="009C6940" w:rsidRDefault="009C6940" w:rsidP="009C6940">
      <w:pPr>
        <w:pStyle w:val="BodyText"/>
      </w:pPr>
      <w:r>
        <w:t>This Inquiry report provides evidence that mental health resources are not allocated to best meet consumer needs. Two particular issues stand out — the ‘missing middle’ and the relative shortage of low intensity mental health services (chapter 12).</w:t>
      </w:r>
    </w:p>
    <w:p w14:paraId="5682B5A2" w14:textId="77777777" w:rsidR="009C6940" w:rsidRDefault="009C6940" w:rsidP="009C6940">
      <w:pPr>
        <w:pStyle w:val="BodyText"/>
      </w:pPr>
      <w:r>
        <w:t>Little has been done to meet these shortfalls in clinical services, despite widespread acknowledgement of the problems (chapter 12) and growth in mental healthcare funding for other services. Recent years have seen the Australian Government provide additional funding to primary mental healthcare services and State and Territory Governments increase funding for public hospitals (figure G.1). However, the Australian Government has largely not invested in services that target more acute cohorts (with the exception of private health insurance subsidies), and State and Territory Governments, at best, only appear to be maintaining their funding of community</w:t>
      </w:r>
      <w:r>
        <w:noBreakHyphen/>
        <w:t>based care in recent years, with real per capita expenditure on community ambulatory and residential mental healthcare declining between 2011</w:t>
      </w:r>
      <w:r>
        <w:noBreakHyphen/>
        <w:t>12 and 2016</w:t>
      </w:r>
      <w:r>
        <w:noBreakHyphen/>
        <w:t>17.</w:t>
      </w:r>
    </w:p>
    <w:p w14:paraId="6F7EF339"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89E3B94" w14:textId="77777777" w:rsidTr="009C6940">
        <w:trPr>
          <w:tblHeader/>
        </w:trPr>
        <w:tc>
          <w:tcPr>
            <w:tcW w:w="5000" w:type="pct"/>
            <w:tcBorders>
              <w:top w:val="single" w:sz="6" w:space="0" w:color="78A22F"/>
              <w:left w:val="nil"/>
              <w:bottom w:val="nil"/>
              <w:right w:val="nil"/>
            </w:tcBorders>
            <w:shd w:val="clear" w:color="auto" w:fill="auto"/>
          </w:tcPr>
          <w:p w14:paraId="7445B6B5" w14:textId="77777777" w:rsidR="009C6940" w:rsidRPr="00B5243B" w:rsidRDefault="009C6940" w:rsidP="009C6940">
            <w:pPr>
              <w:pStyle w:val="FigureTitle"/>
              <w:rPr>
                <w:rStyle w:val="NoteLabel"/>
              </w:rPr>
            </w:pPr>
            <w:r w:rsidRPr="00784A05">
              <w:rPr>
                <w:b w:val="0"/>
              </w:rPr>
              <w:t xml:space="preserve">Figure </w:t>
            </w:r>
            <w:r>
              <w:rPr>
                <w:b w:val="0"/>
              </w:rPr>
              <w:t>G.</w:t>
            </w:r>
            <w:r>
              <w:rPr>
                <w:b w:val="0"/>
                <w:noProof/>
              </w:rPr>
              <w:t>1</w:t>
            </w:r>
            <w:r>
              <w:tab/>
              <w:t>Expenditure on mental healthcare</w:t>
            </w:r>
            <w:r w:rsidRPr="007A6E33">
              <w:rPr>
                <w:rStyle w:val="NoteLabel"/>
                <w:b/>
              </w:rPr>
              <w:t>a,b</w:t>
            </w:r>
          </w:p>
          <w:p w14:paraId="317F3843" w14:textId="77777777" w:rsidR="009C6940" w:rsidRPr="00176D3F" w:rsidRDefault="009C6940" w:rsidP="009C6940">
            <w:pPr>
              <w:pStyle w:val="Subtitle"/>
            </w:pPr>
            <w:r>
              <w:t>Selected items</w:t>
            </w:r>
          </w:p>
        </w:tc>
      </w:tr>
      <w:tr w:rsidR="009C6940" w14:paraId="58000B15"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B1465D" w14:paraId="369E7404" w14:textId="77777777" w:rsidTr="009C6940">
              <w:trPr>
                <w:tblHeader/>
                <w:jc w:val="center"/>
              </w:trPr>
              <w:tc>
                <w:tcPr>
                  <w:tcW w:w="5000" w:type="pct"/>
                  <w:tcBorders>
                    <w:top w:val="nil"/>
                    <w:bottom w:val="nil"/>
                  </w:tcBorders>
                </w:tcPr>
                <w:p w14:paraId="6960836A" w14:textId="77777777" w:rsidR="009C6940" w:rsidRPr="00B1465D" w:rsidRDefault="009C6940" w:rsidP="009C6940">
                  <w:pPr>
                    <w:pStyle w:val="Figure"/>
                    <w:spacing w:before="60" w:after="60"/>
                    <w:rPr>
                      <w:rFonts w:ascii="Arial" w:hAnsi="Arial" w:cs="Arial"/>
                      <w:sz w:val="18"/>
                      <w:szCs w:val="18"/>
                    </w:rPr>
                  </w:pPr>
                  <w:r w:rsidRPr="00CC23AC">
                    <w:rPr>
                      <w:rFonts w:ascii="Arial" w:hAnsi="Arial" w:cs="Arial"/>
                      <w:noProof/>
                      <w:sz w:val="18"/>
                      <w:szCs w:val="18"/>
                    </w:rPr>
                    <w:drawing>
                      <wp:inline distT="0" distB="0" distL="0" distR="0" wp14:anchorId="7B1D406A" wp14:editId="2C3D2376">
                        <wp:extent cx="5400675" cy="2876550"/>
                        <wp:effectExtent l="0" t="0" r="9525" b="0"/>
                        <wp:docPr id="33" name="Picture 33" descr="This figure shows real per-capita expenditure on State/Territory Government-provided public hospitals, State/Territory Government-provided community and residential mental healthcare, Australian Government-funded commissioned primary mental healthcare and MBS rebated mental healthcare (excluding GPs) from 2000-01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77D5969D" w14:textId="77777777" w:rsidR="009C6940" w:rsidRDefault="009C6940" w:rsidP="009C6940">
            <w:pPr>
              <w:pStyle w:val="Figure"/>
            </w:pPr>
          </w:p>
        </w:tc>
      </w:tr>
      <w:tr w:rsidR="009C6940" w:rsidRPr="00176D3F" w14:paraId="24B0D61D" w14:textId="77777777" w:rsidTr="009C6940">
        <w:tc>
          <w:tcPr>
            <w:tcW w:w="5000" w:type="pct"/>
            <w:tcBorders>
              <w:top w:val="nil"/>
              <w:left w:val="nil"/>
              <w:bottom w:val="nil"/>
              <w:right w:val="nil"/>
            </w:tcBorders>
            <w:shd w:val="clear" w:color="auto" w:fill="auto"/>
          </w:tcPr>
          <w:p w14:paraId="14B5FCD3" w14:textId="77777777" w:rsidR="009C6940" w:rsidRPr="00176D3F" w:rsidRDefault="009C6940" w:rsidP="009C6940">
            <w:pPr>
              <w:pStyle w:val="Note"/>
            </w:pPr>
            <w:r>
              <w:rPr>
                <w:rStyle w:val="NoteLabel"/>
              </w:rPr>
              <w:t>a</w:t>
            </w:r>
            <w:r>
              <w:t xml:space="preserve"> </w:t>
            </w:r>
            <w:r w:rsidRPr="003E6FF0">
              <w:rPr>
                <w:spacing w:val="-2"/>
              </w:rPr>
              <w:t>MBS</w:t>
            </w:r>
            <w:r w:rsidRPr="003E6FF0">
              <w:rPr>
                <w:spacing w:val="-2"/>
              </w:rPr>
              <w:noBreakHyphen/>
              <w:t xml:space="preserve">rebated mental healthcare comprises MBS rebates for allied mental healthcare and psychiatry. </w:t>
            </w:r>
            <w:r w:rsidRPr="003E6FF0">
              <w:rPr>
                <w:rStyle w:val="NoteLabel"/>
                <w:spacing w:val="-2"/>
              </w:rPr>
              <w:t>b</w:t>
            </w:r>
            <w:r w:rsidRPr="003E6FF0">
              <w:rPr>
                <w:spacing w:val="-2"/>
              </w:rPr>
              <w:t xml:space="preserve"> State and Territory Government expenditure is inclusive of Australian Government contributions under the NHRA.</w:t>
            </w:r>
          </w:p>
        </w:tc>
      </w:tr>
      <w:tr w:rsidR="009C6940" w:rsidRPr="00176D3F" w14:paraId="00E20F7D" w14:textId="77777777" w:rsidTr="009C6940">
        <w:tc>
          <w:tcPr>
            <w:tcW w:w="5000" w:type="pct"/>
            <w:tcBorders>
              <w:top w:val="nil"/>
              <w:left w:val="nil"/>
              <w:bottom w:val="nil"/>
              <w:right w:val="nil"/>
            </w:tcBorders>
            <w:shd w:val="clear" w:color="auto" w:fill="auto"/>
          </w:tcPr>
          <w:p w14:paraId="2F12D780" w14:textId="77777777" w:rsidR="009C6940" w:rsidRPr="00176D3F" w:rsidRDefault="009C6940" w:rsidP="009C6940">
            <w:pPr>
              <w:pStyle w:val="BoxSource"/>
            </w:pPr>
            <w:r>
              <w:rPr>
                <w:i/>
              </w:rPr>
              <w:t>S</w:t>
            </w:r>
            <w:r w:rsidRPr="00784A05">
              <w:rPr>
                <w:i/>
              </w:rPr>
              <w:t>ource</w:t>
            </w:r>
            <w:r w:rsidRPr="00176D3F">
              <w:t xml:space="preserve">: </w:t>
            </w:r>
            <w:r>
              <w:t>AIHW </w:t>
            </w:r>
            <w:r w:rsidRPr="004E5F06">
              <w:rPr>
                <w:rFonts w:cs="Arial"/>
              </w:rPr>
              <w:t>(2020a)</w:t>
            </w:r>
            <w:r>
              <w:t>.</w:t>
            </w:r>
          </w:p>
        </w:tc>
      </w:tr>
      <w:tr w:rsidR="009C6940" w14:paraId="657EEA28" w14:textId="77777777" w:rsidTr="009C6940">
        <w:tc>
          <w:tcPr>
            <w:tcW w:w="5000" w:type="pct"/>
            <w:tcBorders>
              <w:top w:val="nil"/>
              <w:left w:val="nil"/>
              <w:bottom w:val="single" w:sz="6" w:space="0" w:color="78A22F"/>
              <w:right w:val="nil"/>
            </w:tcBorders>
            <w:shd w:val="clear" w:color="auto" w:fill="auto"/>
          </w:tcPr>
          <w:p w14:paraId="7B78D48C" w14:textId="77777777" w:rsidR="009C6940" w:rsidRDefault="009C6940" w:rsidP="009C6940">
            <w:pPr>
              <w:pStyle w:val="Figurespace"/>
            </w:pPr>
          </w:p>
        </w:tc>
      </w:tr>
      <w:tr w:rsidR="009C6940" w:rsidRPr="000863A5" w14:paraId="38C6E507" w14:textId="77777777" w:rsidTr="009C6940">
        <w:tc>
          <w:tcPr>
            <w:tcW w:w="5000" w:type="pct"/>
            <w:tcBorders>
              <w:top w:val="single" w:sz="6" w:space="0" w:color="78A22F"/>
              <w:left w:val="nil"/>
              <w:bottom w:val="nil"/>
              <w:right w:val="nil"/>
            </w:tcBorders>
          </w:tcPr>
          <w:p w14:paraId="50E9EA1B" w14:textId="77777777" w:rsidR="009C6940" w:rsidRPr="00626D32" w:rsidRDefault="009C6940" w:rsidP="009C6940">
            <w:pPr>
              <w:pStyle w:val="BoxSpaceBelow"/>
            </w:pPr>
          </w:p>
        </w:tc>
      </w:tr>
    </w:tbl>
    <w:p w14:paraId="414D0181" w14:textId="77777777" w:rsidR="009C6940" w:rsidRDefault="009C6940" w:rsidP="009C6940">
      <w:pPr>
        <w:pStyle w:val="Heading2"/>
      </w:pPr>
      <w:r>
        <w:lastRenderedPageBreak/>
        <w:t>G.</w:t>
      </w:r>
      <w:r>
        <w:rPr>
          <w:noProof/>
        </w:rPr>
        <w:t>2</w:t>
      </w:r>
      <w:r>
        <w:tab/>
        <w:t>Primary mental healthcare funding arrangements</w:t>
      </w:r>
    </w:p>
    <w:p w14:paraId="423F8209" w14:textId="77777777" w:rsidR="009C6940" w:rsidRDefault="009C6940" w:rsidP="009C6940">
      <w:pPr>
        <w:pStyle w:val="BodyText"/>
      </w:pPr>
      <w:r>
        <w:t>Primary mental healthcare is funded via:</w:t>
      </w:r>
    </w:p>
    <w:p w14:paraId="196C7AC0" w14:textId="77777777" w:rsidR="009C6940" w:rsidRDefault="009C6940" w:rsidP="009C6940">
      <w:pPr>
        <w:pStyle w:val="ListBullet"/>
      </w:pPr>
      <w:r>
        <w:t>MBS rebates for GPs, allied mental health professionals, and psychiatrists</w:t>
      </w:r>
    </w:p>
    <w:p w14:paraId="71ADC54E" w14:textId="77777777" w:rsidR="009C6940" w:rsidRDefault="009C6940" w:rsidP="009C6940">
      <w:pPr>
        <w:pStyle w:val="ListBullet"/>
      </w:pPr>
      <w:r>
        <w:t>PHN commissioning, drawing from the Mental Health Care Flexible Funding Pool (chapter 12).</w:t>
      </w:r>
    </w:p>
    <w:p w14:paraId="32772BF6" w14:textId="77777777" w:rsidR="009C6940" w:rsidRDefault="009C6940" w:rsidP="009C6940">
      <w:pPr>
        <w:pStyle w:val="Heading3"/>
      </w:pPr>
      <w:r>
        <w:t>Regional inequities in primary mental healthcare funding</w:t>
      </w:r>
    </w:p>
    <w:p w14:paraId="20DE4221" w14:textId="77777777" w:rsidR="009C6940" w:rsidRPr="003E6FF0" w:rsidRDefault="009C6940" w:rsidP="009C6940">
      <w:pPr>
        <w:pStyle w:val="BodyText"/>
        <w:rPr>
          <w:spacing w:val="-4"/>
        </w:rPr>
      </w:pPr>
      <w:r w:rsidRPr="003E6FF0">
        <w:rPr>
          <w:spacing w:val="-4"/>
        </w:rPr>
        <w:t>The total funding for primary mental healthcare (MBS rebates plus the PHN Mental Health Care Flexible Funding Pool) is not distributed equitably across regions. This is mainly due to the inequitable distribution of MBS rebates for mental healthcare (box G.1; TAMHSS, sub. 919).</w:t>
      </w:r>
    </w:p>
    <w:p w14:paraId="099BA397" w14:textId="77777777" w:rsidR="009C6940" w:rsidRDefault="009C6940" w:rsidP="009C6940">
      <w:pPr>
        <w:pStyle w:val="BodyText"/>
      </w:pPr>
      <w:r w:rsidRPr="00DA2ECD">
        <w:t xml:space="preserve">Regional equity </w:t>
      </w:r>
      <w:r>
        <w:t xml:space="preserve">(the principle of horizontal equity applied to a geographical context) requires </w:t>
      </w:r>
      <w:r w:rsidRPr="00DA2ECD">
        <w:t xml:space="preserve">the share of all </w:t>
      </w:r>
      <w:r>
        <w:t xml:space="preserve">primary mental healthcare </w:t>
      </w:r>
      <w:r w:rsidRPr="00DA2ECD">
        <w:t xml:space="preserve">funds flowing to each PHN region </w:t>
      </w:r>
      <w:r>
        <w:t xml:space="preserve">to </w:t>
      </w:r>
      <w:r w:rsidRPr="00DA2ECD">
        <w:t>reflect its share of the total population weighted by factors that influence service need and prov</w:t>
      </w:r>
      <w:r>
        <w:t xml:space="preserve">ision costs. For example, regional and remote </w:t>
      </w:r>
      <w:r w:rsidRPr="00DA2ECD">
        <w:t>PHN regions should receive higher funding on a per</w:t>
      </w:r>
      <w:r>
        <w:t xml:space="preserve"> </w:t>
      </w:r>
      <w:r w:rsidRPr="00DA2ECD">
        <w:t xml:space="preserve">capita basis </w:t>
      </w:r>
      <w:r>
        <w:t xml:space="preserve">than others </w:t>
      </w:r>
      <w:r w:rsidRPr="00DA2ECD">
        <w:t xml:space="preserve">as the cost of supplying services </w:t>
      </w:r>
      <w:r>
        <w:t xml:space="preserve">in these regions </w:t>
      </w:r>
      <w:r w:rsidRPr="00DA2ECD">
        <w:t xml:space="preserve">is higher. Similar variations would reflect the share of Aboriginal and Torres Strait Islander people and people from lower socioeconomic backgrounds (as these groups are more likely to have mental illness, and hence </w:t>
      </w:r>
      <w:r>
        <w:t xml:space="preserve">increase </w:t>
      </w:r>
      <w:r w:rsidRPr="00DA2ECD">
        <w:t>demand</w:t>
      </w:r>
      <w:r>
        <w:t>s</w:t>
      </w:r>
      <w:r w:rsidRPr="00DA2ECD">
        <w:t xml:space="preserve"> for services</w:t>
      </w:r>
      <w:r>
        <w:t xml:space="preserve"> (chapter 2)</w:t>
      </w:r>
      <w:r w:rsidRPr="00DA2ECD">
        <w:t>).</w:t>
      </w:r>
    </w:p>
    <w:p w14:paraId="32DF82CA" w14:textId="77777777" w:rsidR="009C6940" w:rsidRPr="00DA2ECD" w:rsidRDefault="009C6940" w:rsidP="009C6940">
      <w:pPr>
        <w:pStyle w:val="BodyText"/>
      </w:pPr>
      <w:r w:rsidRPr="00DA2ECD">
        <w:t>Translating this principle to the distribution of the Mental Health</w:t>
      </w:r>
      <w:r>
        <w:t xml:space="preserve"> Care</w:t>
      </w:r>
      <w:r w:rsidRPr="00DA2ECD">
        <w:t xml:space="preserve"> Flexible Funding Pool (as opposed to the distribution of </w:t>
      </w:r>
      <w:r w:rsidRPr="00DA2ECD">
        <w:rPr>
          <w:i/>
        </w:rPr>
        <w:t>all</w:t>
      </w:r>
      <w:r w:rsidRPr="00DA2ECD">
        <w:t xml:space="preserve"> primary mental healthcare funding) means also taking account of the existing </w:t>
      </w:r>
      <w:r>
        <w:t xml:space="preserve">regional inequities in the distribution of MBS rebates. </w:t>
      </w:r>
      <w:r w:rsidRPr="00DA2ECD">
        <w:t xml:space="preserve">Hence, the distribution of the Mental Health </w:t>
      </w:r>
      <w:r>
        <w:t xml:space="preserve">Care </w:t>
      </w:r>
      <w:r w:rsidRPr="00DA2ECD">
        <w:t>Flexible Funding Pool should be more aggressively weighted toward regions that receive a relative shortfall of MBS rebates than would otherwise be the case</w:t>
      </w:r>
      <w:r>
        <w:t>.</w:t>
      </w:r>
    </w:p>
    <w:p w14:paraId="43A95C4B" w14:textId="77777777" w:rsidR="009C6940" w:rsidRPr="00DA2ECD" w:rsidRDefault="009C6940" w:rsidP="009C6940">
      <w:pPr>
        <w:pStyle w:val="BodyText"/>
      </w:pPr>
      <w:r w:rsidRPr="00DA2ECD">
        <w:t xml:space="preserve">The way that the </w:t>
      </w:r>
      <w:r>
        <w:t>Mental Health Care Flexible Funding Pool</w:t>
      </w:r>
      <w:r w:rsidRPr="00DA2ECD">
        <w:t xml:space="preserve"> is currently distributed between PHNs goes some way towards achieving regional equity. To demonstrate its impacts, the </w:t>
      </w:r>
      <w:r>
        <w:t xml:space="preserve">Productivity </w:t>
      </w:r>
      <w:r w:rsidRPr="00DA2ECD">
        <w:t xml:space="preserve">Commission has ranked PHN catchment regions by level of </w:t>
      </w:r>
      <w:r w:rsidRPr="004936F3">
        <w:t>need</w:t>
      </w:r>
      <w:r w:rsidRPr="00E92148">
        <w:t xml:space="preserve"> for primary mental health funding (with higher</w:t>
      </w:r>
      <w:r w:rsidRPr="00DA2ECD">
        <w:t xml:space="preserve"> need reflecting higher costs of service delivery and/or higher demand for services) and examined the total amount of primary mental healthcare</w:t>
      </w:r>
      <w:r>
        <w:t xml:space="preserve"> funding each receives on a per </w:t>
      </w:r>
      <w:r w:rsidRPr="00DA2ECD">
        <w:t>capita bas</w:t>
      </w:r>
      <w:r>
        <w:t>is (figure G.2</w:t>
      </w:r>
      <w:r w:rsidRPr="00DA2ECD">
        <w:t xml:space="preserve">). Broadly speaking, PHNs whose catchments receive a lower volume of MBS rebates per capita receive a greater share of the </w:t>
      </w:r>
      <w:r>
        <w:t>Mental Health Care Flexible Funding Pool</w:t>
      </w:r>
      <w:r w:rsidRPr="00DA2ECD">
        <w:t xml:space="preserve"> per capita. Moreover, total primary mental </w:t>
      </w:r>
      <w:r>
        <w:t xml:space="preserve">health funding per capita is </w:t>
      </w:r>
      <w:r w:rsidRPr="00DA2ECD">
        <w:t>highe</w:t>
      </w:r>
      <w:r>
        <w:t>st</w:t>
      </w:r>
      <w:r w:rsidRPr="00DA2ECD">
        <w:t xml:space="preserve"> in </w:t>
      </w:r>
      <w:r>
        <w:t xml:space="preserve">the </w:t>
      </w:r>
      <w:r w:rsidRPr="00DA2ECD">
        <w:t xml:space="preserve">PHN catchments with </w:t>
      </w:r>
      <w:r>
        <w:t xml:space="preserve">the </w:t>
      </w:r>
      <w:r w:rsidRPr="00DA2ECD">
        <w:t>greate</w:t>
      </w:r>
      <w:r>
        <w:t>st</w:t>
      </w:r>
      <w:r w:rsidRPr="00DA2ECD">
        <w:t xml:space="preserve"> need.</w:t>
      </w:r>
    </w:p>
    <w:p w14:paraId="53468C13" w14:textId="77777777" w:rsidR="009C6940" w:rsidRPr="00DA2ECD"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DA2ECD" w14:paraId="33645A07" w14:textId="77777777" w:rsidTr="009C6940">
        <w:trPr>
          <w:tblHeader/>
        </w:trPr>
        <w:tc>
          <w:tcPr>
            <w:tcW w:w="5000" w:type="pct"/>
            <w:tcBorders>
              <w:top w:val="single" w:sz="6" w:space="0" w:color="78A22F"/>
              <w:left w:val="nil"/>
              <w:bottom w:val="nil"/>
              <w:right w:val="nil"/>
            </w:tcBorders>
            <w:shd w:val="clear" w:color="auto" w:fill="F2F2F2"/>
          </w:tcPr>
          <w:p w14:paraId="5478A525" w14:textId="77777777" w:rsidR="009C6940" w:rsidRPr="00DA2ECD" w:rsidRDefault="009C6940" w:rsidP="009C6940">
            <w:pPr>
              <w:pStyle w:val="BoxTitle"/>
            </w:pPr>
            <w:r w:rsidRPr="00DA2ECD">
              <w:rPr>
                <w:b w:val="0"/>
              </w:rPr>
              <w:t xml:space="preserve">Box </w:t>
            </w:r>
            <w:r>
              <w:rPr>
                <w:b w:val="0"/>
              </w:rPr>
              <w:t>G.</w:t>
            </w:r>
            <w:r>
              <w:rPr>
                <w:b w:val="0"/>
                <w:noProof/>
              </w:rPr>
              <w:t>1</w:t>
            </w:r>
            <w:r w:rsidRPr="00DA2ECD">
              <w:tab/>
              <w:t>Geographic inequities in the distribution of MBS</w:t>
            </w:r>
            <w:r w:rsidRPr="00DA2ECD">
              <w:noBreakHyphen/>
              <w:t>funded mental health services</w:t>
            </w:r>
          </w:p>
        </w:tc>
      </w:tr>
      <w:tr w:rsidR="009C6940" w:rsidRPr="00445F4F" w14:paraId="742F7CFF" w14:textId="77777777" w:rsidTr="009C6940">
        <w:tc>
          <w:tcPr>
            <w:tcW w:w="5000" w:type="pct"/>
            <w:tcBorders>
              <w:top w:val="nil"/>
              <w:left w:val="nil"/>
              <w:bottom w:val="nil"/>
              <w:right w:val="nil"/>
            </w:tcBorders>
            <w:shd w:val="clear" w:color="auto" w:fill="F2F2F2"/>
          </w:tcPr>
          <w:p w14:paraId="2BDE935D" w14:textId="77777777" w:rsidR="009C6940" w:rsidRDefault="009C6940" w:rsidP="009C6940">
            <w:pPr>
              <w:pStyle w:val="Box"/>
            </w:pPr>
            <w:r>
              <w:t>Medicare Benefits Schedule r</w:t>
            </w:r>
            <w:r w:rsidRPr="00DA2ECD">
              <w:t>ebates disproportionately benefit consumers who live in urban areas (figure below), as consumer use of all provider types decreases sharply with remoteness. This is driven by the M</w:t>
            </w:r>
            <w:r>
              <w:t xml:space="preserve">edicare </w:t>
            </w:r>
            <w:r w:rsidRPr="00DA2ECD">
              <w:t>B</w:t>
            </w:r>
            <w:r>
              <w:t xml:space="preserve">enefits </w:t>
            </w:r>
            <w:r w:rsidRPr="00DA2ECD">
              <w:t>S</w:t>
            </w:r>
            <w:r>
              <w:t>chedule</w:t>
            </w:r>
            <w:r w:rsidRPr="00DA2ECD">
              <w:t xml:space="preserve"> payment m</w:t>
            </w:r>
            <w:r w:rsidRPr="00445F4F">
              <w:t xml:space="preserve">odel. </w:t>
            </w:r>
            <w:r>
              <w:t>Clinicians</w:t>
            </w:r>
            <w:r w:rsidRPr="00445F4F">
              <w:t xml:space="preserve"> </w:t>
            </w:r>
            <w:r>
              <w:t xml:space="preserve">are paid a uniform rebate and </w:t>
            </w:r>
            <w:r w:rsidRPr="00445F4F">
              <w:t xml:space="preserve">are free to choose where to locate and </w:t>
            </w:r>
            <w:r>
              <w:t xml:space="preserve">whether </w:t>
            </w:r>
            <w:r w:rsidRPr="00445F4F">
              <w:t xml:space="preserve">to </w:t>
            </w:r>
            <w:r>
              <w:t xml:space="preserve">charge </w:t>
            </w:r>
            <w:r w:rsidRPr="00445F4F">
              <w:t>out</w:t>
            </w:r>
            <w:r w:rsidRPr="00445F4F">
              <w:noBreakHyphen/>
              <w:t>of</w:t>
            </w:r>
            <w:r w:rsidRPr="00445F4F">
              <w:noBreakHyphen/>
              <w:t>pocket payment</w:t>
            </w:r>
            <w:r>
              <w:t>s to consumers</w:t>
            </w:r>
            <w:r w:rsidRPr="00445F4F">
              <w:t xml:space="preserve">. Hence, </w:t>
            </w:r>
            <w:r>
              <w:t>clinicians</w:t>
            </w:r>
            <w:r w:rsidRPr="00445F4F">
              <w:t xml:space="preserve"> tend to favour locations that</w:t>
            </w:r>
            <w:r>
              <w:t xml:space="preserve"> </w:t>
            </w:r>
            <w:r w:rsidRPr="00445F4F">
              <w:t>allow them to charge higher out</w:t>
            </w:r>
            <w:r w:rsidRPr="00445F4F">
              <w:noBreakHyphen/>
              <w:t>of</w:t>
            </w:r>
            <w:r w:rsidRPr="00445F4F">
              <w:noBreakHyphen/>
              <w:t>pocket payments for their services</w:t>
            </w:r>
            <w:r>
              <w:t xml:space="preserve"> (typically wealthier areas) or otherwise meet their preferences in relation to amenities and the costs of living and doing business </w:t>
            </w:r>
            <w:r w:rsidRPr="00673D53">
              <w:rPr>
                <w:rFonts w:cs="Arial"/>
                <w:szCs w:val="24"/>
              </w:rPr>
              <w:t>(Allan Fels, sub.</w:t>
            </w:r>
            <w:r>
              <w:rPr>
                <w:rFonts w:cs="Arial"/>
                <w:szCs w:val="24"/>
              </w:rPr>
              <w:t> </w:t>
            </w:r>
            <w:r w:rsidRPr="00673D53">
              <w:rPr>
                <w:rFonts w:cs="Arial"/>
                <w:szCs w:val="24"/>
              </w:rPr>
              <w:t>303; Meadows et al. 2015)</w:t>
            </w:r>
            <w:r w:rsidRPr="00445F4F">
              <w:t>.</w:t>
            </w:r>
          </w:p>
          <w:p w14:paraId="14C821F1" w14:textId="77777777" w:rsidR="009C6940" w:rsidRPr="003E6FF0" w:rsidRDefault="009C6940" w:rsidP="009C6940">
            <w:pPr>
              <w:pStyle w:val="BoxHeading1"/>
              <w:spacing w:after="80"/>
              <w:rPr>
                <w:rStyle w:val="NoteLabel"/>
                <w:rFonts w:ascii="Arial Bold" w:hAnsi="Arial Bold"/>
                <w:spacing w:val="-4"/>
              </w:rPr>
            </w:pPr>
            <w:r w:rsidRPr="003E6FF0">
              <w:rPr>
                <w:rFonts w:ascii="Arial Bold" w:hAnsi="Arial Bold"/>
                <w:spacing w:val="-4"/>
              </w:rPr>
              <w:t>Medicare Benefits Schedule funding disproportionately benefits people living in urban areas</w:t>
            </w:r>
          </w:p>
          <w:p w14:paraId="5CCAD525" w14:textId="77777777" w:rsidR="009C6940" w:rsidRDefault="009C6940" w:rsidP="009C6940">
            <w:pPr>
              <w:pStyle w:val="Subtitle"/>
              <w:ind w:left="0"/>
            </w:pPr>
            <w:r w:rsidRPr="00445F4F">
              <w:t>Relative utilisation of MBS rebates by remoteness of consumer for selected healthcare professions, 2007–2011</w:t>
            </w:r>
          </w:p>
          <w:p w14:paraId="6C5FC7ED" w14:textId="77777777" w:rsidR="009C6940" w:rsidRPr="00445F4F" w:rsidRDefault="009C6940" w:rsidP="009C6940">
            <w:pPr>
              <w:pStyle w:val="Box"/>
              <w:jc w:val="center"/>
            </w:pPr>
            <w:r w:rsidRPr="00445F4F">
              <w:rPr>
                <w:rFonts w:cs="Arial"/>
                <w:noProof/>
                <w:sz w:val="18"/>
                <w:szCs w:val="18"/>
              </w:rPr>
              <w:drawing>
                <wp:inline distT="0" distB="0" distL="0" distR="0" wp14:anchorId="40863092" wp14:editId="77022E8C">
                  <wp:extent cx="5399405" cy="2874010"/>
                  <wp:effectExtent l="0" t="0" r="0" b="2540"/>
                  <wp:docPr id="34" name="Picture 34" descr="This figure shows relative utilisation of Medicare Benefits Schedule rebates by remoteness of consumer for psychiatrists, clinical psychologists, other allied health professionals and GPs (mental health item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399405" cy="2874010"/>
                          </a:xfrm>
                          <a:prstGeom prst="rect">
                            <a:avLst/>
                          </a:prstGeom>
                          <a:noFill/>
                          <a:ln>
                            <a:noFill/>
                          </a:ln>
                        </pic:spPr>
                      </pic:pic>
                    </a:graphicData>
                  </a:graphic>
                </wp:inline>
              </w:drawing>
            </w:r>
          </w:p>
          <w:p w14:paraId="3185C6FC" w14:textId="77777777" w:rsidR="009C6940" w:rsidRPr="00445F4F" w:rsidRDefault="009C6940" w:rsidP="009C6940">
            <w:pPr>
              <w:pStyle w:val="Source"/>
            </w:pPr>
            <w:r w:rsidRPr="00445F4F">
              <w:rPr>
                <w:i/>
              </w:rPr>
              <w:t>Source</w:t>
            </w:r>
            <w:r w:rsidRPr="00445F4F">
              <w:t>: Productivity Commission estimates based on Meadows et al. </w:t>
            </w:r>
            <w:r w:rsidRPr="00445F4F">
              <w:rPr>
                <w:rFonts w:cs="Arial"/>
              </w:rPr>
              <w:t>(2015, table 2)</w:t>
            </w:r>
            <w:r w:rsidRPr="00445F4F">
              <w:t>.</w:t>
            </w:r>
          </w:p>
        </w:tc>
      </w:tr>
      <w:tr w:rsidR="009C6940" w:rsidRPr="00445F4F" w14:paraId="621EA9BF" w14:textId="77777777" w:rsidTr="009C6940">
        <w:tc>
          <w:tcPr>
            <w:tcW w:w="5000" w:type="pct"/>
            <w:tcBorders>
              <w:top w:val="nil"/>
              <w:left w:val="nil"/>
              <w:bottom w:val="single" w:sz="6" w:space="0" w:color="78A22F"/>
              <w:right w:val="nil"/>
            </w:tcBorders>
            <w:shd w:val="clear" w:color="auto" w:fill="F2F2F2"/>
          </w:tcPr>
          <w:p w14:paraId="5CDB3F77" w14:textId="77777777" w:rsidR="009C6940" w:rsidRPr="00445F4F" w:rsidRDefault="009C6940" w:rsidP="009C6940">
            <w:pPr>
              <w:pStyle w:val="Box"/>
              <w:spacing w:before="0" w:line="120" w:lineRule="exact"/>
            </w:pPr>
          </w:p>
        </w:tc>
      </w:tr>
      <w:tr w:rsidR="009C6940" w:rsidRPr="00445F4F" w14:paraId="66053C74" w14:textId="77777777" w:rsidTr="009C6940">
        <w:tc>
          <w:tcPr>
            <w:tcW w:w="5000" w:type="pct"/>
            <w:tcBorders>
              <w:top w:val="single" w:sz="6" w:space="0" w:color="78A22F"/>
              <w:left w:val="nil"/>
              <w:bottom w:val="nil"/>
              <w:right w:val="nil"/>
            </w:tcBorders>
          </w:tcPr>
          <w:p w14:paraId="4D62E558" w14:textId="77777777" w:rsidR="009C6940" w:rsidRPr="00445F4F" w:rsidRDefault="009C6940" w:rsidP="009C6940">
            <w:pPr>
              <w:pStyle w:val="BoxSpaceBelow"/>
            </w:pPr>
          </w:p>
        </w:tc>
      </w:tr>
    </w:tbl>
    <w:p w14:paraId="71ED2606" w14:textId="77777777" w:rsidR="009C6940" w:rsidRPr="00445F4F"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E92148" w14:paraId="4077FCAF" w14:textId="77777777" w:rsidTr="009C6940">
        <w:trPr>
          <w:tblHeader/>
        </w:trPr>
        <w:tc>
          <w:tcPr>
            <w:tcW w:w="5000" w:type="pct"/>
            <w:tcBorders>
              <w:top w:val="single" w:sz="6" w:space="0" w:color="78A22F"/>
              <w:left w:val="nil"/>
              <w:bottom w:val="nil"/>
              <w:right w:val="nil"/>
            </w:tcBorders>
            <w:shd w:val="clear" w:color="auto" w:fill="auto"/>
          </w:tcPr>
          <w:p w14:paraId="31D8A5FF" w14:textId="77777777" w:rsidR="009C6940" w:rsidRPr="00445F4F" w:rsidRDefault="009C6940" w:rsidP="009C6940">
            <w:pPr>
              <w:pStyle w:val="FigureTitle"/>
              <w:rPr>
                <w:rStyle w:val="NoteLabel"/>
              </w:rPr>
            </w:pPr>
            <w:r w:rsidRPr="00445F4F">
              <w:rPr>
                <w:b w:val="0"/>
              </w:rPr>
              <w:t xml:space="preserve">Figure </w:t>
            </w:r>
            <w:r>
              <w:rPr>
                <w:b w:val="0"/>
              </w:rPr>
              <w:t>G.</w:t>
            </w:r>
            <w:r>
              <w:rPr>
                <w:b w:val="0"/>
                <w:noProof/>
              </w:rPr>
              <w:t>2</w:t>
            </w:r>
            <w:r w:rsidRPr="00445F4F">
              <w:tab/>
              <w:t>Distribution of mental health funding among PHN regions</w:t>
            </w:r>
            <w:r w:rsidRPr="00445F4F">
              <w:rPr>
                <w:rStyle w:val="NoteLabel"/>
                <w:b/>
              </w:rPr>
              <w:t>a,b</w:t>
            </w:r>
          </w:p>
          <w:p w14:paraId="5F64FE2D" w14:textId="77777777" w:rsidR="009C6940" w:rsidRPr="009718F9" w:rsidRDefault="009C6940" w:rsidP="009C6940">
            <w:pPr>
              <w:pStyle w:val="Subtitle"/>
            </w:pPr>
            <w:r w:rsidRPr="009718F9">
              <w:t>Estimated 2018</w:t>
            </w:r>
            <w:r w:rsidRPr="009718F9">
              <w:noBreakHyphen/>
              <w:t>19 funding, by PHN</w:t>
            </w:r>
          </w:p>
        </w:tc>
      </w:tr>
      <w:tr w:rsidR="009C6940" w:rsidRPr="00E92148" w14:paraId="644C6B24"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E92148" w14:paraId="7ABDCA0F" w14:textId="77777777" w:rsidTr="009C6940">
              <w:trPr>
                <w:tblHeader/>
                <w:jc w:val="center"/>
              </w:trPr>
              <w:tc>
                <w:tcPr>
                  <w:tcW w:w="5000" w:type="pct"/>
                  <w:tcBorders>
                    <w:top w:val="nil"/>
                    <w:bottom w:val="nil"/>
                  </w:tcBorders>
                </w:tcPr>
                <w:p w14:paraId="56259479" w14:textId="77777777" w:rsidR="009C6940" w:rsidRPr="00E92148" w:rsidRDefault="009C6940" w:rsidP="009C6940">
                  <w:pPr>
                    <w:pStyle w:val="Figure"/>
                    <w:spacing w:before="0" w:after="0"/>
                    <w:rPr>
                      <w:rFonts w:ascii="Arial" w:hAnsi="Arial" w:cs="Arial"/>
                      <w:sz w:val="18"/>
                      <w:szCs w:val="18"/>
                    </w:rPr>
                  </w:pPr>
                  <w:r w:rsidRPr="001C6CCC">
                    <w:rPr>
                      <w:rFonts w:ascii="Arial" w:hAnsi="Arial" w:cs="Arial"/>
                      <w:noProof/>
                      <w:sz w:val="18"/>
                      <w:szCs w:val="18"/>
                    </w:rPr>
                    <w:drawing>
                      <wp:inline distT="0" distB="0" distL="0" distR="0" wp14:anchorId="29C0A513" wp14:editId="5E899940">
                        <wp:extent cx="5401310" cy="2881630"/>
                        <wp:effectExtent l="0" t="0" r="8890" b="0"/>
                        <wp:docPr id="35" name="Picture 35" descr="This figure shows 2018-19 per capita GP mental health MBS rebates, allied mental health MBS rebates, psychiatry MBS rebates and PHN mental health funding for each PHN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01310" cy="2881630"/>
                                </a:xfrm>
                                <a:prstGeom prst="rect">
                                  <a:avLst/>
                                </a:prstGeom>
                                <a:noFill/>
                                <a:ln>
                                  <a:noFill/>
                                </a:ln>
                              </pic:spPr>
                            </pic:pic>
                          </a:graphicData>
                        </a:graphic>
                      </wp:inline>
                    </w:drawing>
                  </w:r>
                </w:p>
              </w:tc>
            </w:tr>
          </w:tbl>
          <w:p w14:paraId="5DFD9510" w14:textId="77777777" w:rsidR="009C6940" w:rsidRPr="00E92148" w:rsidRDefault="009C6940" w:rsidP="009C6940">
            <w:pPr>
              <w:pStyle w:val="Figure"/>
              <w:spacing w:before="0" w:after="0"/>
            </w:pPr>
          </w:p>
        </w:tc>
      </w:tr>
      <w:tr w:rsidR="009C6940" w:rsidRPr="00E92148" w14:paraId="2742A3B1" w14:textId="77777777" w:rsidTr="009C6940">
        <w:tc>
          <w:tcPr>
            <w:tcW w:w="5000" w:type="pct"/>
            <w:tcBorders>
              <w:top w:val="nil"/>
              <w:left w:val="nil"/>
              <w:bottom w:val="nil"/>
              <w:right w:val="nil"/>
            </w:tcBorders>
            <w:shd w:val="clear" w:color="auto" w:fill="auto"/>
          </w:tcPr>
          <w:p w14:paraId="62B7263B" w14:textId="77777777" w:rsidR="009C6940" w:rsidRPr="00801739" w:rsidRDefault="009C6940" w:rsidP="009C6940">
            <w:pPr>
              <w:pStyle w:val="Note"/>
              <w:rPr>
                <w:rStyle w:val="NoteLabel"/>
              </w:rPr>
            </w:pPr>
            <w:r w:rsidRPr="00E92148">
              <w:rPr>
                <w:rStyle w:val="NoteLabel"/>
              </w:rPr>
              <w:t>a</w:t>
            </w:r>
            <w:r>
              <w:t xml:space="preserve"> MBS funds are based on 2017</w:t>
            </w:r>
            <w:r>
              <w:noBreakHyphen/>
              <w:t>18</w:t>
            </w:r>
            <w:r w:rsidRPr="00E92148">
              <w:t xml:space="preserve"> expenditures inflated to match growth in expenditure to 2018</w:t>
            </w:r>
            <w:r w:rsidRPr="00E92148">
              <w:noBreakHyphen/>
              <w:t>19.</w:t>
            </w:r>
            <w:r>
              <w:t xml:space="preserve"> </w:t>
            </w:r>
            <w:r w:rsidRPr="00E92148">
              <w:rPr>
                <w:rStyle w:val="NoteLabel"/>
              </w:rPr>
              <w:t>b</w:t>
            </w:r>
            <w:r w:rsidRPr="00E92148">
              <w:t xml:space="preserve"> PHN needs are ranked using the product of the weights that the Independent Hospital Pricing Authority’s national non</w:t>
            </w:r>
            <w:r w:rsidRPr="00E92148">
              <w:noBreakHyphen/>
              <w:t>admitted activity</w:t>
            </w:r>
            <w:r>
              <w:noBreakHyphen/>
            </w:r>
            <w:r w:rsidRPr="00E92148">
              <w:t xml:space="preserve">based funding prices </w:t>
            </w:r>
            <w:r>
              <w:t>use</w:t>
            </w:r>
            <w:r w:rsidRPr="00E92148">
              <w:t xml:space="preserve"> for remoteness and Aboriginal and Torres Strait Islander people (indicating higher costs) and weights that account for the prevalence of high or very high psychological distress among Aboriginal and Torres Strait Islander people (indicating higher demand).</w:t>
            </w:r>
          </w:p>
        </w:tc>
      </w:tr>
      <w:tr w:rsidR="009C6940" w:rsidRPr="00E92148" w14:paraId="6DE82FB2" w14:textId="77777777" w:rsidTr="009C6940">
        <w:tc>
          <w:tcPr>
            <w:tcW w:w="5000" w:type="pct"/>
            <w:tcBorders>
              <w:top w:val="nil"/>
              <w:left w:val="nil"/>
              <w:bottom w:val="nil"/>
              <w:right w:val="nil"/>
            </w:tcBorders>
            <w:shd w:val="clear" w:color="auto" w:fill="auto"/>
          </w:tcPr>
          <w:p w14:paraId="428E7340" w14:textId="77777777" w:rsidR="009C6940" w:rsidRPr="00E92148" w:rsidRDefault="009C6940" w:rsidP="009C6940">
            <w:pPr>
              <w:pStyle w:val="Source"/>
            </w:pPr>
            <w:r w:rsidRPr="00E92148">
              <w:rPr>
                <w:i/>
              </w:rPr>
              <w:t>Source</w:t>
            </w:r>
            <w:r w:rsidRPr="00E92148">
              <w:t>: Productivity Commission estimate</w:t>
            </w:r>
            <w:r>
              <w:t>s</w:t>
            </w:r>
            <w:r w:rsidRPr="00E92148">
              <w:t xml:space="preserve"> based on ABS (</w:t>
            </w:r>
            <w:r w:rsidRPr="00E92148">
              <w:rPr>
                <w:i/>
              </w:rPr>
              <w:t>Australian Demographic Statistics, September 2019</w:t>
            </w:r>
            <w:r w:rsidRPr="00E92148">
              <w:t xml:space="preserve">, cat. no. 3101.0), unpublished data supplied by the </w:t>
            </w:r>
            <w:r>
              <w:t>Australian Government Department of Health</w:t>
            </w:r>
            <w:r w:rsidRPr="00E92148">
              <w:t>; IHPA </w:t>
            </w:r>
            <w:r w:rsidRPr="00F31644">
              <w:rPr>
                <w:rFonts w:cs="Arial"/>
              </w:rPr>
              <w:t>(2019)</w:t>
            </w:r>
            <w:r w:rsidRPr="00E92148">
              <w:t xml:space="preserve">; and SCRGSP </w:t>
            </w:r>
            <w:r w:rsidRPr="00E92148">
              <w:rPr>
                <w:rFonts w:cs="Arial"/>
              </w:rPr>
              <w:t>(2020)</w:t>
            </w:r>
            <w:r w:rsidRPr="00E92148">
              <w:t>.</w:t>
            </w:r>
          </w:p>
        </w:tc>
      </w:tr>
      <w:tr w:rsidR="009C6940" w:rsidRPr="00E92148" w14:paraId="1FEC3E55" w14:textId="77777777" w:rsidTr="009C6940">
        <w:tc>
          <w:tcPr>
            <w:tcW w:w="5000" w:type="pct"/>
            <w:tcBorders>
              <w:top w:val="nil"/>
              <w:left w:val="nil"/>
              <w:bottom w:val="single" w:sz="6" w:space="0" w:color="78A22F"/>
              <w:right w:val="nil"/>
            </w:tcBorders>
            <w:shd w:val="clear" w:color="auto" w:fill="auto"/>
          </w:tcPr>
          <w:p w14:paraId="7F7AAA82" w14:textId="77777777" w:rsidR="009C6940" w:rsidRPr="00E92148" w:rsidRDefault="009C6940" w:rsidP="009C6940">
            <w:pPr>
              <w:pStyle w:val="Figurespace"/>
            </w:pPr>
          </w:p>
        </w:tc>
      </w:tr>
      <w:tr w:rsidR="009C6940" w:rsidRPr="00E92148" w14:paraId="760CD4CC" w14:textId="77777777" w:rsidTr="009C6940">
        <w:tc>
          <w:tcPr>
            <w:tcW w:w="5000" w:type="pct"/>
            <w:tcBorders>
              <w:top w:val="single" w:sz="6" w:space="0" w:color="78A22F"/>
              <w:left w:val="nil"/>
              <w:bottom w:val="nil"/>
              <w:right w:val="nil"/>
            </w:tcBorders>
          </w:tcPr>
          <w:p w14:paraId="451FF528" w14:textId="77777777" w:rsidR="009C6940" w:rsidRPr="00E92148" w:rsidRDefault="009C6940" w:rsidP="009C6940">
            <w:pPr>
              <w:pStyle w:val="BoxSpaceBelow"/>
            </w:pPr>
          </w:p>
        </w:tc>
      </w:tr>
    </w:tbl>
    <w:p w14:paraId="654C8B12" w14:textId="77777777" w:rsidR="009C6940" w:rsidRPr="00445F4F" w:rsidRDefault="009C6940" w:rsidP="009C6940">
      <w:pPr>
        <w:pStyle w:val="BodyText"/>
      </w:pPr>
      <w:r w:rsidRPr="00445F4F">
        <w:t xml:space="preserve">Nevertheless, there </w:t>
      </w:r>
      <w:r>
        <w:t>are shortcomings in the process for allocating the PHN Mental Health Care Flexible Funding Pool that exacerbate these inequities (box G.2</w:t>
      </w:r>
      <w:r w:rsidRPr="00445F4F">
        <w:t>).</w:t>
      </w:r>
    </w:p>
    <w:p w14:paraId="44802035" w14:textId="77777777" w:rsidR="009C6940" w:rsidRPr="009718F9" w:rsidRDefault="009C6940" w:rsidP="009C6940">
      <w:pPr>
        <w:pStyle w:val="ListBullet"/>
      </w:pPr>
      <w:r w:rsidRPr="009718F9">
        <w:t>Funding for some services (e.g. headspace centres) is allocated outside of standard processes or according to historical arrangements.</w:t>
      </w:r>
    </w:p>
    <w:p w14:paraId="026075F6" w14:textId="77777777" w:rsidR="009C6940" w:rsidRPr="00E92148" w:rsidRDefault="009C6940" w:rsidP="009C6940">
      <w:pPr>
        <w:pStyle w:val="ListBullet"/>
      </w:pPr>
      <w:r w:rsidRPr="00EA1D09">
        <w:t xml:space="preserve">While the distribution formula accounts for several factors that influence the cost of service delivery and/or the prevalence of mental illness in the community (rurality, socioeconomic status of </w:t>
      </w:r>
      <w:r w:rsidRPr="00E92148">
        <w:t>the population, share of the population that are Aboriginal or Torres Strait Islander), the weights attached to these factors are not evidence</w:t>
      </w:r>
      <w:r>
        <w:noBreakHyphen/>
      </w:r>
      <w:r w:rsidRPr="00E92148">
        <w:t>based.</w:t>
      </w:r>
    </w:p>
    <w:p w14:paraId="499A16A3" w14:textId="77777777" w:rsidR="009C6940" w:rsidRDefault="009C6940" w:rsidP="009C6940">
      <w:pPr>
        <w:pStyle w:val="ListBullet"/>
      </w:pPr>
      <w:r w:rsidRPr="009718F9">
        <w:t>While the distribution formula accounts for the quantum of MBS rebates for allied mental healthcare that a PHN catchment receives,</w:t>
      </w:r>
      <w:r>
        <w:t xml:space="preserve"> the way that it does so is </w:t>
      </w:r>
      <w:r w:rsidRPr="009718F9">
        <w:t>ad h</w:t>
      </w:r>
      <w:r>
        <w:t>oc in that it does not consider funds delivered via the MBS and funds delivered via PHN commissioning to be one</w:t>
      </w:r>
      <w:r>
        <w:noBreakHyphen/>
        <w:t>to</w:t>
      </w:r>
      <w:r>
        <w:noBreakHyphen/>
        <w:t>one substitutes. And it does not account for the distribution of MBS rebates for psychiatry.</w:t>
      </w:r>
    </w:p>
    <w:p w14:paraId="376354DE" w14:textId="77777777" w:rsidR="009C6940" w:rsidRPr="009718F9"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E92148" w14:paraId="4FAEDA18" w14:textId="77777777" w:rsidTr="009C6940">
        <w:trPr>
          <w:tblHeader/>
        </w:trPr>
        <w:tc>
          <w:tcPr>
            <w:tcW w:w="5000" w:type="pct"/>
            <w:tcBorders>
              <w:top w:val="single" w:sz="6" w:space="0" w:color="78A22F"/>
              <w:left w:val="nil"/>
              <w:bottom w:val="nil"/>
              <w:right w:val="nil"/>
            </w:tcBorders>
            <w:shd w:val="clear" w:color="auto" w:fill="F2F2F2"/>
          </w:tcPr>
          <w:p w14:paraId="78BB9778" w14:textId="77777777" w:rsidR="009C6940" w:rsidRPr="00E92148" w:rsidRDefault="009C6940" w:rsidP="009C6940">
            <w:pPr>
              <w:pStyle w:val="BoxTitle"/>
            </w:pPr>
            <w:r w:rsidRPr="00E92148">
              <w:rPr>
                <w:b w:val="0"/>
              </w:rPr>
              <w:t xml:space="preserve">Box </w:t>
            </w:r>
            <w:r>
              <w:rPr>
                <w:b w:val="0"/>
              </w:rPr>
              <w:t>G.</w:t>
            </w:r>
            <w:r>
              <w:rPr>
                <w:b w:val="0"/>
                <w:noProof/>
              </w:rPr>
              <w:t>2</w:t>
            </w:r>
            <w:r w:rsidRPr="00E92148">
              <w:tab/>
              <w:t>How PHN mental health funds are distributed</w:t>
            </w:r>
          </w:p>
        </w:tc>
      </w:tr>
      <w:tr w:rsidR="009C6940" w:rsidRPr="00E92148" w14:paraId="5F116D07" w14:textId="77777777" w:rsidTr="009C6940">
        <w:tc>
          <w:tcPr>
            <w:tcW w:w="5000" w:type="pct"/>
            <w:tcBorders>
              <w:top w:val="nil"/>
              <w:left w:val="nil"/>
              <w:bottom w:val="nil"/>
              <w:right w:val="nil"/>
            </w:tcBorders>
            <w:shd w:val="clear" w:color="auto" w:fill="F2F2F2"/>
          </w:tcPr>
          <w:p w14:paraId="01F19C2B" w14:textId="77777777" w:rsidR="009C6940" w:rsidRPr="00E92148" w:rsidRDefault="009C6940" w:rsidP="009C6940">
            <w:pPr>
              <w:pStyle w:val="Box"/>
            </w:pPr>
            <w:r w:rsidRPr="00E92148">
              <w:t>At present,</w:t>
            </w:r>
            <w:r>
              <w:t xml:space="preserve"> the Primary Health Network M</w:t>
            </w:r>
            <w:r w:rsidRPr="00E92148">
              <w:t>ental Health</w:t>
            </w:r>
            <w:r>
              <w:t xml:space="preserve"> Care</w:t>
            </w:r>
            <w:r w:rsidRPr="00E92148">
              <w:t xml:space="preserve"> Flexible Funding Pool is allocated in several different ways.</w:t>
            </w:r>
          </w:p>
          <w:p w14:paraId="2D00E21B" w14:textId="77777777" w:rsidR="009C6940" w:rsidRPr="00E92148" w:rsidRDefault="009C6940" w:rsidP="009C6940">
            <w:pPr>
              <w:pStyle w:val="BoxListBullet"/>
            </w:pPr>
            <w:r w:rsidRPr="00E92148">
              <w:t>Quarantined funds for headspace, headspace Early Youth Psychosis services and trials and national projects are allocated according to historical arrangements or on a fixed grant basis.</w:t>
            </w:r>
          </w:p>
          <w:p w14:paraId="15EF0067" w14:textId="77777777" w:rsidR="009C6940" w:rsidRPr="00E92148" w:rsidRDefault="009C6940" w:rsidP="009C6940">
            <w:pPr>
              <w:pStyle w:val="BoxListBullet"/>
            </w:pPr>
            <w:r w:rsidRPr="00E92148">
              <w:t>Quarantined funds for mental health services for Aboriginal and Torres Strait Islander peoples are allocated on an unweighted per capita basis.</w:t>
            </w:r>
          </w:p>
          <w:p w14:paraId="0CEF2AB1" w14:textId="77777777" w:rsidR="009C6940" w:rsidRPr="00E92148" w:rsidRDefault="009C6940" w:rsidP="009C6940">
            <w:pPr>
              <w:pStyle w:val="BoxListBullet"/>
            </w:pPr>
            <w:r w:rsidRPr="00E92148">
              <w:t>Funding previously apportioned to the Access to Allied Psychological Services program is allocated as follows:</w:t>
            </w:r>
          </w:p>
          <w:p w14:paraId="4E456F6A" w14:textId="77777777" w:rsidR="009C6940" w:rsidRPr="00E92148" w:rsidRDefault="009C6940" w:rsidP="009C6940">
            <w:pPr>
              <w:pStyle w:val="BoxListBullet2"/>
            </w:pPr>
            <w:r w:rsidRPr="00E92148">
              <w:t>50% is allocated using a weighted per capita formula with the weights inversely related to fixed historical use of mental health services that attracted Medicare Benefit Schedule rebate</w:t>
            </w:r>
            <w:r>
              <w:t>s</w:t>
            </w:r>
          </w:p>
          <w:p w14:paraId="58D0084D" w14:textId="77777777" w:rsidR="009C6940" w:rsidRPr="00E92148" w:rsidRDefault="009C6940" w:rsidP="009C6940">
            <w:pPr>
              <w:pStyle w:val="BoxListBullet2"/>
            </w:pPr>
            <w:r w:rsidRPr="00E92148">
              <w:t>50% is allocated using a weighted per capita formula with weights that provide additional funding the higher the share of the population that are Aboriginal or Torres Strait Islander, the lower the average socioeconomic status of the region, and the more remote the region.</w:t>
            </w:r>
          </w:p>
          <w:p w14:paraId="3FDB6729" w14:textId="77777777" w:rsidR="009C6940" w:rsidRPr="00E92148" w:rsidRDefault="009C6940" w:rsidP="009C6940">
            <w:pPr>
              <w:pStyle w:val="BoxListBullet"/>
            </w:pPr>
            <w:r w:rsidRPr="00E92148">
              <w:t xml:space="preserve">Other funding is allocated in full according to the second of these </w:t>
            </w:r>
            <w:r>
              <w:t xml:space="preserve">two </w:t>
            </w:r>
            <w:r w:rsidRPr="00E92148">
              <w:t>weighting schemes or a similar weighting scheme.</w:t>
            </w:r>
          </w:p>
        </w:tc>
      </w:tr>
      <w:tr w:rsidR="009C6940" w:rsidRPr="00E92148" w14:paraId="58EE90AC" w14:textId="77777777" w:rsidTr="009C6940">
        <w:tc>
          <w:tcPr>
            <w:tcW w:w="5000" w:type="pct"/>
            <w:tcBorders>
              <w:top w:val="nil"/>
              <w:left w:val="nil"/>
              <w:bottom w:val="nil"/>
              <w:right w:val="nil"/>
            </w:tcBorders>
            <w:shd w:val="clear" w:color="auto" w:fill="F2F2F2"/>
          </w:tcPr>
          <w:p w14:paraId="3A909D47" w14:textId="77777777" w:rsidR="009C6940" w:rsidRPr="00E92148" w:rsidRDefault="009C6940" w:rsidP="009C6940">
            <w:pPr>
              <w:pStyle w:val="BoxSource"/>
            </w:pPr>
            <w:r w:rsidRPr="00E92148">
              <w:rPr>
                <w:i/>
              </w:rPr>
              <w:t>Source</w:t>
            </w:r>
            <w:r w:rsidRPr="00E92148">
              <w:t>: DoH (pers. comm., 9 October 2019).</w:t>
            </w:r>
          </w:p>
        </w:tc>
      </w:tr>
      <w:tr w:rsidR="009C6940" w:rsidRPr="00E92148" w14:paraId="183B496C" w14:textId="77777777" w:rsidTr="009C6940">
        <w:tc>
          <w:tcPr>
            <w:tcW w:w="5000" w:type="pct"/>
            <w:tcBorders>
              <w:top w:val="nil"/>
              <w:left w:val="nil"/>
              <w:bottom w:val="single" w:sz="6" w:space="0" w:color="78A22F"/>
              <w:right w:val="nil"/>
            </w:tcBorders>
            <w:shd w:val="clear" w:color="auto" w:fill="F2F2F2"/>
          </w:tcPr>
          <w:p w14:paraId="5330F531" w14:textId="77777777" w:rsidR="009C6940" w:rsidRPr="00E92148" w:rsidRDefault="009C6940" w:rsidP="009C6940">
            <w:pPr>
              <w:pStyle w:val="Box"/>
              <w:spacing w:before="0" w:line="120" w:lineRule="exact"/>
            </w:pPr>
          </w:p>
        </w:tc>
      </w:tr>
      <w:tr w:rsidR="009C6940" w:rsidRPr="00E92148" w14:paraId="00AC2268" w14:textId="77777777" w:rsidTr="009C6940">
        <w:tc>
          <w:tcPr>
            <w:tcW w:w="5000" w:type="pct"/>
            <w:tcBorders>
              <w:top w:val="single" w:sz="6" w:space="0" w:color="78A22F"/>
              <w:left w:val="nil"/>
              <w:bottom w:val="nil"/>
              <w:right w:val="nil"/>
            </w:tcBorders>
          </w:tcPr>
          <w:p w14:paraId="357C67F0" w14:textId="77777777" w:rsidR="009C6940" w:rsidRPr="00E92148" w:rsidRDefault="009C6940" w:rsidP="009C6940">
            <w:pPr>
              <w:pStyle w:val="BoxSpaceBelow"/>
            </w:pPr>
          </w:p>
        </w:tc>
      </w:tr>
    </w:tbl>
    <w:p w14:paraId="66B09671" w14:textId="77777777" w:rsidR="009C6940" w:rsidRDefault="009C6940" w:rsidP="009C6940">
      <w:pPr>
        <w:pStyle w:val="Heading3"/>
      </w:pPr>
      <w:r>
        <w:t>Interaction of MBS rebates with PHN and State/Territory Government health department commissioning</w:t>
      </w:r>
    </w:p>
    <w:p w14:paraId="1F8862C4" w14:textId="77777777" w:rsidR="009C6940" w:rsidRDefault="009C6940" w:rsidP="009C6940">
      <w:pPr>
        <w:pStyle w:val="BodyText"/>
      </w:pPr>
      <w:r>
        <w:t>The interaction between the two different mechanisms for funding primary mental healthcare (MBS rebates and PHN commissioning) creates incentives for funding to be sub</w:t>
      </w:r>
      <w:r>
        <w:noBreakHyphen/>
        <w:t>optimally allocated, as does the interaction of MBS rebates with State and Territory Government health department commissioning of mental healthcare from LHNs and other providers.</w:t>
      </w:r>
    </w:p>
    <w:p w14:paraId="4E41C5DB" w14:textId="77777777" w:rsidR="009C6940" w:rsidRDefault="009C6940" w:rsidP="009C6940">
      <w:pPr>
        <w:pStyle w:val="BodyText"/>
      </w:pPr>
      <w:r>
        <w:t>The MBS is unique among funding instruments for mental health services. Other funding sources (including PHN Mental Health Care Flexible Funding Pool and State and Territory Government health department mental healthcare funding) are capped, and there is active management of the fixed pool of funds by an entity (a PHN or State/Territory Government health department) that contracts with service providers. By contrast, the MBS is uncapped and managed only in a passive way — by supply</w:t>
      </w:r>
      <w:r>
        <w:noBreakHyphen/>
        <w:t>side restrictions (limits on which practitioners can provide MBS</w:t>
      </w:r>
      <w:r>
        <w:noBreakHyphen/>
        <w:t>rebated services) and some demand</w:t>
      </w:r>
      <w:r>
        <w:noBreakHyphen/>
        <w:t>side restrictions, such as limits on the number of MBS</w:t>
      </w:r>
      <w:r>
        <w:noBreakHyphen/>
        <w:t>rebated services that each consumer can access.</w:t>
      </w:r>
    </w:p>
    <w:p w14:paraId="4C50356E" w14:textId="77777777" w:rsidR="009C6940" w:rsidRDefault="009C6940" w:rsidP="009C6940">
      <w:pPr>
        <w:pStyle w:val="BodyText"/>
      </w:pPr>
      <w:r>
        <w:t xml:space="preserve">These features render the MBS suited to expanding access to treatment. Since allied mental healthcare became eligible for MBS rebates with the introduction of the </w:t>
      </w:r>
      <w:r>
        <w:rPr>
          <w:i/>
        </w:rPr>
        <w:t xml:space="preserve">Better Access </w:t>
      </w:r>
      <w:r>
        <w:t>initiative in 2006, access to treatment expanded sharply.</w:t>
      </w:r>
    </w:p>
    <w:p w14:paraId="3C1E92C1" w14:textId="77777777" w:rsidR="009C6940" w:rsidRDefault="009C6940" w:rsidP="009C6940">
      <w:pPr>
        <w:pStyle w:val="ListBullet"/>
      </w:pPr>
      <w:r>
        <w:t>Rates of referrals to psychologists per depression</w:t>
      </w:r>
      <w:r>
        <w:noBreakHyphen/>
        <w:t xml:space="preserve">related GP contact grew more than threefold for both advantaged and disadvantaged socioeconomic groups and in major and </w:t>
      </w:r>
      <w:r>
        <w:lastRenderedPageBreak/>
        <w:t>non</w:t>
      </w:r>
      <w:r>
        <w:noBreakHyphen/>
        <w:t xml:space="preserve">major cities between 2002–2006 and 2006–2011 </w:t>
      </w:r>
      <w:r w:rsidRPr="00240D4C">
        <w:rPr>
          <w:szCs w:val="24"/>
        </w:rPr>
        <w:t>(Harrison, Britt and Charles 2012)</w:t>
      </w:r>
      <w:r>
        <w:t>.</w:t>
      </w:r>
      <w:r w:rsidRPr="004B6F30">
        <w:rPr>
          <w:rStyle w:val="FootnoteReference"/>
        </w:rPr>
        <w:footnoteReference w:id="7"/>
      </w:r>
    </w:p>
    <w:p w14:paraId="7BF0CF20" w14:textId="77777777" w:rsidR="009C6940" w:rsidRDefault="009C6940" w:rsidP="009C6940">
      <w:pPr>
        <w:pStyle w:val="ListBullet"/>
      </w:pPr>
      <w:r>
        <w:t>Whiteford et al. </w:t>
      </w:r>
      <w:r w:rsidRPr="00240D4C">
        <w:t>(2014)</w:t>
      </w:r>
      <w:r>
        <w:t xml:space="preserve"> estimated that the population treatment rate for mental illness increased from 37% to 46% between 2006</w:t>
      </w:r>
      <w:r>
        <w:noBreakHyphen/>
        <w:t>07 and 2009</w:t>
      </w:r>
      <w:r>
        <w:noBreakHyphen/>
        <w:t>10, and attributed this rise to the introduction of the Better Access program.</w:t>
      </w:r>
    </w:p>
    <w:p w14:paraId="6046F6BC" w14:textId="77777777" w:rsidR="009C6940" w:rsidRDefault="009C6940" w:rsidP="009C6940">
      <w:pPr>
        <w:pStyle w:val="BodyText"/>
      </w:pPr>
      <w:r>
        <w:t xml:space="preserve">However, the uncapped and passive nature of MBS funding invites cost shifting. Where managers of capped funding sources (PHNs and State/Territory Government health departments) are responsible for funding services that </w:t>
      </w:r>
      <w:r w:rsidRPr="00CF4065">
        <w:rPr>
          <w:i/>
        </w:rPr>
        <w:t>substitute</w:t>
      </w:r>
      <w:r>
        <w:t xml:space="preserve"> for those listed on the MBS (box G.3), they face incentives to allow MBS</w:t>
      </w:r>
      <w:r>
        <w:noBreakHyphen/>
        <w:t>rebated services to take the place of the services that they would otherwise fund.</w:t>
      </w:r>
    </w:p>
    <w:p w14:paraId="1D746ABB"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17669BC" w14:textId="77777777" w:rsidTr="009C6940">
        <w:trPr>
          <w:tblHeader/>
        </w:trPr>
        <w:tc>
          <w:tcPr>
            <w:tcW w:w="5000" w:type="pct"/>
            <w:tcBorders>
              <w:top w:val="single" w:sz="6" w:space="0" w:color="78A22F"/>
              <w:left w:val="nil"/>
              <w:bottom w:val="nil"/>
              <w:right w:val="nil"/>
            </w:tcBorders>
            <w:shd w:val="clear" w:color="auto" w:fill="F2F2F2"/>
          </w:tcPr>
          <w:p w14:paraId="162F5902" w14:textId="77777777" w:rsidR="009C6940" w:rsidRDefault="009C6940" w:rsidP="009C6940">
            <w:pPr>
              <w:pStyle w:val="BoxTitle"/>
            </w:pPr>
            <w:r>
              <w:rPr>
                <w:b w:val="0"/>
              </w:rPr>
              <w:t>Box G.</w:t>
            </w:r>
            <w:r>
              <w:rPr>
                <w:b w:val="0"/>
                <w:noProof/>
              </w:rPr>
              <w:t>3</w:t>
            </w:r>
            <w:r>
              <w:tab/>
              <w:t>Substitutability of MBS rebated services and commissioned services</w:t>
            </w:r>
          </w:p>
        </w:tc>
      </w:tr>
      <w:tr w:rsidR="009C6940" w14:paraId="239A80B3" w14:textId="77777777" w:rsidTr="009C6940">
        <w:tc>
          <w:tcPr>
            <w:tcW w:w="5000" w:type="pct"/>
            <w:tcBorders>
              <w:top w:val="nil"/>
              <w:left w:val="nil"/>
              <w:bottom w:val="nil"/>
              <w:right w:val="nil"/>
            </w:tcBorders>
            <w:shd w:val="clear" w:color="auto" w:fill="F2F2F2"/>
          </w:tcPr>
          <w:p w14:paraId="26C31A21" w14:textId="77777777" w:rsidR="009C6940" w:rsidRDefault="009C6940" w:rsidP="009C6940">
            <w:pPr>
              <w:pStyle w:val="Box"/>
            </w:pPr>
            <w:r>
              <w:t>Cost shifting to the Medicare Benefit Schedule (MBS) is possible only where MBS</w:t>
            </w:r>
            <w:r>
              <w:noBreakHyphen/>
              <w:t>rebated services substitute for services commissioned by Primary Health Networks (PHNs) and State and Territory Government health departments.</w:t>
            </w:r>
          </w:p>
          <w:p w14:paraId="25CE2CBF" w14:textId="77777777" w:rsidR="009C6940" w:rsidRDefault="009C6940" w:rsidP="009C6940">
            <w:pPr>
              <w:pStyle w:val="Box"/>
            </w:pPr>
            <w:r>
              <w:t>Evidence of such substitutability is strongest for MBS</w:t>
            </w:r>
            <w:r>
              <w:noBreakHyphen/>
              <w:t>rebated allied mental healthcare.</w:t>
            </w:r>
          </w:p>
          <w:p w14:paraId="71975D2C" w14:textId="77777777" w:rsidR="009C6940" w:rsidRDefault="009C6940" w:rsidP="009C6940">
            <w:pPr>
              <w:pStyle w:val="BoxListBullet"/>
            </w:pPr>
            <w:r w:rsidRPr="001112B4">
              <w:t>From a consumer perspective, PHN</w:t>
            </w:r>
            <w:r>
              <w:noBreakHyphen/>
            </w:r>
            <w:r w:rsidRPr="001112B4">
              <w:t>commissioned allied mental healthcare closely resembles some MBS</w:t>
            </w:r>
            <w:r>
              <w:noBreakHyphen/>
            </w:r>
            <w:r w:rsidRPr="001112B4">
              <w:t xml:space="preserve">rebated allied mental healthcare </w:t>
            </w:r>
            <w:r w:rsidRPr="009718F9">
              <w:rPr>
                <w:szCs w:val="24"/>
              </w:rPr>
              <w:t>(Bassilios et al. 2016)</w:t>
            </w:r>
            <w:r w:rsidRPr="009718F9">
              <w:t>, so it follows that these services are likely to be close</w:t>
            </w:r>
            <w:r w:rsidRPr="001112B4">
              <w:t xml:space="preserve"> substitutes.</w:t>
            </w:r>
          </w:p>
          <w:p w14:paraId="56DE4D41" w14:textId="77777777" w:rsidR="009C6940" w:rsidRDefault="009C6940" w:rsidP="009C6940">
            <w:pPr>
              <w:pStyle w:val="BoxListBullet"/>
            </w:pPr>
            <w:r>
              <w:t>Figure G.3 suggests some substitutability of allied mental healthcare in public mental healthcare (commissioned by State and Territory Government health departments) and MBS</w:t>
            </w:r>
            <w:r>
              <w:noBreakHyphen/>
              <w:t>rebated allied mental healthcare.</w:t>
            </w:r>
          </w:p>
          <w:p w14:paraId="2946A296" w14:textId="77777777" w:rsidR="009C6940" w:rsidRDefault="009C6940" w:rsidP="009C6940">
            <w:pPr>
              <w:pStyle w:val="Box"/>
            </w:pPr>
            <w:r>
              <w:t>The evidence of substitutability is somewhat weaker for MBS</w:t>
            </w:r>
            <w:r>
              <w:noBreakHyphen/>
              <w:t>rebated psychiatry.</w:t>
            </w:r>
          </w:p>
          <w:p w14:paraId="15D82485" w14:textId="77777777" w:rsidR="009C6940" w:rsidRDefault="009C6940" w:rsidP="009C6940">
            <w:pPr>
              <w:pStyle w:val="BoxListBullet"/>
            </w:pPr>
            <w:r>
              <w:t xml:space="preserve">PHNs </w:t>
            </w:r>
            <w:r w:rsidRPr="001112B4">
              <w:t>do not generally commission mental healthcare from psychiatrists</w:t>
            </w:r>
            <w:r>
              <w:t>, so there is less reason to assume that services commissioned by PHNs could substitute for the services of MBS</w:t>
            </w:r>
            <w:r>
              <w:noBreakHyphen/>
              <w:t>rebated psychiatrists. That said, there is some evidence of substitutability between MBS</w:t>
            </w:r>
            <w:r>
              <w:noBreakHyphen/>
              <w:t xml:space="preserve">rebated allied mental healthcare and psychiatry </w:t>
            </w:r>
            <w:r w:rsidRPr="00F31644">
              <w:rPr>
                <w:rFonts w:cs="Arial"/>
                <w:szCs w:val="24"/>
              </w:rPr>
              <w:t>(Britt and Miller 2009)</w:t>
            </w:r>
            <w:r>
              <w:t>, which — when combined with the conclusion above regarding MBS</w:t>
            </w:r>
            <w:r>
              <w:noBreakHyphen/>
              <w:t>rebated allied mental healthcare — indirectly suggests the possibility of substitution between MBS</w:t>
            </w:r>
            <w:r>
              <w:noBreakHyphen/>
              <w:t xml:space="preserve">rebated psychiatry and </w:t>
            </w:r>
            <w:r w:rsidRPr="001112B4">
              <w:t>PHN</w:t>
            </w:r>
            <w:r>
              <w:noBreakHyphen/>
            </w:r>
            <w:r w:rsidRPr="001112B4">
              <w:t>commissioned allied mental healthcare</w:t>
            </w:r>
            <w:r>
              <w:t>.</w:t>
            </w:r>
          </w:p>
          <w:p w14:paraId="1FFDB57F" w14:textId="77777777" w:rsidR="009C6940" w:rsidRDefault="009C6940" w:rsidP="009C6940">
            <w:pPr>
              <w:pStyle w:val="BoxListBullet"/>
            </w:pPr>
            <w:r>
              <w:t>Psychiatrists work in LHN</w:t>
            </w:r>
            <w:r>
              <w:noBreakHyphen/>
              <w:t>provided community ambulatory mental healthcare care services (commissioned by State and Territory Government health departments) (chapter 12), suggesting that these services could possibly substitute for MBS</w:t>
            </w:r>
            <w:r>
              <w:noBreakHyphen/>
              <w:t>rebated psychiatry.</w:t>
            </w:r>
          </w:p>
          <w:p w14:paraId="63287EEF" w14:textId="77777777" w:rsidR="009C6940" w:rsidRDefault="009C6940" w:rsidP="009C6940">
            <w:pPr>
              <w:pStyle w:val="Box"/>
            </w:pPr>
            <w:r>
              <w:t>It seems less likely that MBS</w:t>
            </w:r>
            <w:r>
              <w:noBreakHyphen/>
              <w:t>rebated general practitioner mental healthcare substitutes for commissioned mental healthcare given the unique gatekeeper role that general practitioners play in the mental health system (chapter 10).</w:t>
            </w:r>
          </w:p>
        </w:tc>
      </w:tr>
      <w:tr w:rsidR="009C6940" w14:paraId="5EF708F3" w14:textId="77777777" w:rsidTr="009C6940">
        <w:tc>
          <w:tcPr>
            <w:tcW w:w="5000" w:type="pct"/>
            <w:tcBorders>
              <w:top w:val="nil"/>
              <w:left w:val="nil"/>
              <w:bottom w:val="single" w:sz="6" w:space="0" w:color="78A22F"/>
              <w:right w:val="nil"/>
            </w:tcBorders>
            <w:shd w:val="clear" w:color="auto" w:fill="F2F2F2"/>
          </w:tcPr>
          <w:p w14:paraId="79481FC0" w14:textId="77777777" w:rsidR="009C6940" w:rsidRDefault="009C6940" w:rsidP="009C6940">
            <w:pPr>
              <w:pStyle w:val="Box"/>
              <w:spacing w:before="0" w:line="120" w:lineRule="exact"/>
            </w:pPr>
          </w:p>
        </w:tc>
      </w:tr>
      <w:tr w:rsidR="009C6940" w:rsidRPr="000863A5" w14:paraId="39759853" w14:textId="77777777" w:rsidTr="009C6940">
        <w:tc>
          <w:tcPr>
            <w:tcW w:w="5000" w:type="pct"/>
            <w:tcBorders>
              <w:top w:val="single" w:sz="6" w:space="0" w:color="78A22F"/>
              <w:left w:val="nil"/>
              <w:bottom w:val="nil"/>
              <w:right w:val="nil"/>
            </w:tcBorders>
          </w:tcPr>
          <w:p w14:paraId="461F4A63" w14:textId="77777777" w:rsidR="009C6940" w:rsidRPr="00626D32" w:rsidRDefault="009C6940" w:rsidP="009C6940">
            <w:pPr>
              <w:pStyle w:val="BoxSpaceBelow"/>
            </w:pPr>
          </w:p>
        </w:tc>
      </w:tr>
    </w:tbl>
    <w:p w14:paraId="6F617241" w14:textId="77777777" w:rsidR="009C6940" w:rsidRDefault="009C6940" w:rsidP="009C6940">
      <w:pPr>
        <w:pStyle w:val="BodyText"/>
      </w:pPr>
      <w:r>
        <w:lastRenderedPageBreak/>
        <w:t>Our concern is that these dynamics may create a service mix that is dominated by MBS</w:t>
      </w:r>
      <w:r>
        <w:noBreakHyphen/>
        <w:t>rebated treatments because of funding biases rather than because these treatments best meet consumer needs. There is some evidence of this at both the PHN and State/Territory Government levels.</w:t>
      </w:r>
    </w:p>
    <w:p w14:paraId="08691A1C" w14:textId="77777777" w:rsidR="009C6940" w:rsidRDefault="009C6940" w:rsidP="009C6940">
      <w:pPr>
        <w:pStyle w:val="BodyText"/>
        <w:spacing w:before="200"/>
      </w:pPr>
      <w:r>
        <w:t>At the PHN level, there is a substantial shortfall in the supply of low intensity treatments (section G.1), which are mostly commissioned by PHNs rather than funded via MBS rebates. Moreover, there is a tendency for PHN</w:t>
      </w:r>
      <w:r>
        <w:noBreakHyphen/>
        <w:t>commissioned services to leverage MBS rebates as much as possible.</w:t>
      </w:r>
    </w:p>
    <w:p w14:paraId="431B4644" w14:textId="77777777" w:rsidR="009C6940" w:rsidRPr="003E6FF0" w:rsidRDefault="009C6940" w:rsidP="009C6940">
      <w:pPr>
        <w:pStyle w:val="ListBullet"/>
        <w:rPr>
          <w:spacing w:val="-2"/>
        </w:rPr>
      </w:pPr>
      <w:r w:rsidRPr="003E6FF0">
        <w:rPr>
          <w:spacing w:val="-2"/>
        </w:rPr>
        <w:t>At the public hearings for this Inquiry, the Australian Counselling Association (Adelaide transcript, pp. 11–12) explained that it is common practice for PHNs to require that contracted clinicians be eligible for MBS rebates so that they can be commissioned to provide a small amount of care and bill the remainder to the MBS. This effectively locks out service providers, such as registered counsellors, who are not eligible for MBS rebates.</w:t>
      </w:r>
    </w:p>
    <w:p w14:paraId="08636AFC" w14:textId="77777777" w:rsidR="009C6940" w:rsidRDefault="009C6940" w:rsidP="009C6940">
      <w:pPr>
        <w:pStyle w:val="ListBullet"/>
      </w:pPr>
      <w:r>
        <w:t>In 2017</w:t>
      </w:r>
      <w:r>
        <w:noBreakHyphen/>
        <w:t xml:space="preserve">18, headspace centres (which receive PHN funding to cover infrastructure, community awareness and engagement programs, and some salaried staff) received 44% of their funding from MBS rebates (headspace, pers. comm., 2 August 2019). Indeed, an evaluation of headspace noted that the model was ‘designed to leverage from the MBS’ </w:t>
      </w:r>
      <w:r w:rsidRPr="00214243">
        <w:rPr>
          <w:rFonts w:cs="Arial"/>
        </w:rPr>
        <w:t>(Hilferty et al. 2015, p. 107)</w:t>
      </w:r>
      <w:r>
        <w:t>. Provided that there is adequate oversight of headspace centres, it would be preferable for headspace to be able to provide services in a way that best meets consumer needs, rather than in a way that meets the MBS billing requirements.</w:t>
      </w:r>
    </w:p>
    <w:p w14:paraId="690BF593" w14:textId="77777777" w:rsidR="009C6940" w:rsidRDefault="009C6940" w:rsidP="009C6940">
      <w:pPr>
        <w:pStyle w:val="BodyText"/>
        <w:spacing w:before="200"/>
      </w:pPr>
      <w:r>
        <w:t>At the State/Territory Government level, there also appears to be cost shifting. The employment of psychologists by State and Territory Government specialised mental health services has been in relative decline since the introduction of Better Access (figure G.3).</w:t>
      </w:r>
    </w:p>
    <w:p w14:paraId="0AD8F2CE" w14:textId="77777777" w:rsidR="009C6940" w:rsidRDefault="009C6940" w:rsidP="009C6940">
      <w:pPr>
        <w:pStyle w:val="BodyText"/>
        <w:spacing w:before="200"/>
        <w:rPr>
          <w:spacing w:val="-2"/>
        </w:rPr>
      </w:pPr>
      <w:r>
        <w:t xml:space="preserve">While it appears that there is cost shifting to the MBS, there are restrictions in place that prevent ‘double dipping’ (clinicians receiving MBS rebates and other government funding when providing services), which serve to prevent particularly egregious forms of cost shifting. </w:t>
      </w:r>
      <w:r w:rsidRPr="00F45C9C">
        <w:rPr>
          <w:spacing w:val="-2"/>
        </w:rPr>
        <w:t xml:space="preserve">Section 19.2 of the </w:t>
      </w:r>
      <w:r w:rsidRPr="00F45C9C">
        <w:rPr>
          <w:i/>
          <w:spacing w:val="-2"/>
        </w:rPr>
        <w:t>Health Insurance Act 1973</w:t>
      </w:r>
      <w:r w:rsidRPr="00F45C9C">
        <w:rPr>
          <w:spacing w:val="-2"/>
        </w:rPr>
        <w:t xml:space="preserve"> (Cth) prevents the payment of MBS rebates ‘in respect of a professional service that has been rendered by, or on behalf of, or under an arrangement with’ the Australian, State and Territory or local Governments or an authority established by these governments. These restrictions serve to prevent PHNs</w:t>
      </w:r>
      <w:r>
        <w:rPr>
          <w:spacing w:val="-2"/>
        </w:rPr>
        <w:t xml:space="preserve"> from co</w:t>
      </w:r>
      <w:r>
        <w:rPr>
          <w:spacing w:val="-2"/>
        </w:rPr>
        <w:noBreakHyphen/>
        <w:t>funding an MBS</w:t>
      </w:r>
      <w:r>
        <w:rPr>
          <w:spacing w:val="-2"/>
        </w:rPr>
        <w:noBreakHyphen/>
        <w:t>rebated session rather than commissioning a provider in full.</w:t>
      </w:r>
    </w:p>
    <w:p w14:paraId="3FE7799D" w14:textId="77777777" w:rsidR="009C6940" w:rsidRDefault="009C6940" w:rsidP="009C6940">
      <w:pPr>
        <w:pStyle w:val="BodyText"/>
        <w:spacing w:before="200"/>
      </w:pPr>
      <w:r>
        <w:rPr>
          <w:spacing w:val="-2"/>
        </w:rPr>
        <w:t>However, the restrictions are somewhat arbitrary. For example, they do not allow a PHN</w:t>
      </w:r>
      <w:r>
        <w:rPr>
          <w:spacing w:val="-2"/>
        </w:rPr>
        <w:noBreakHyphen/>
        <w:t>commissioned service provider to co</w:t>
      </w:r>
      <w:r>
        <w:rPr>
          <w:spacing w:val="-2"/>
        </w:rPr>
        <w:noBreakHyphen/>
        <w:t xml:space="preserve">fund the MBS rebates that a clinician might receive, but do not appear to prevent that service provider from charging below ‘market rates’ </w:t>
      </w:r>
      <w:r>
        <w:t>for the clinician’s tenancy and/or administrative support — an effective subsidy that could be used to attract the clinician.</w:t>
      </w:r>
    </w:p>
    <w:p w14:paraId="2E315F64" w14:textId="77777777" w:rsidR="009C6940" w:rsidRDefault="009C6940" w:rsidP="009C6940">
      <w:pPr>
        <w:pStyle w:val="BodyText"/>
        <w:spacing w:before="200"/>
      </w:pPr>
      <w:r>
        <w:t>Moreover, some aspects of the restrictions are undesirable. They limit the flexibility of PHNs and State and Territory Governments to pursue more innovative funding models that blend MBS rebates with contributions from the PHN Mental Health Care Flexible Funding Pool.</w:t>
      </w:r>
    </w:p>
    <w:p w14:paraId="372553A0"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2B6B2BA" w14:textId="77777777" w:rsidTr="009C6940">
        <w:trPr>
          <w:tblHeader/>
        </w:trPr>
        <w:tc>
          <w:tcPr>
            <w:tcW w:w="5000" w:type="pct"/>
            <w:tcBorders>
              <w:top w:val="single" w:sz="6" w:space="0" w:color="78A22F"/>
              <w:left w:val="nil"/>
              <w:bottom w:val="nil"/>
              <w:right w:val="nil"/>
            </w:tcBorders>
            <w:shd w:val="clear" w:color="auto" w:fill="auto"/>
          </w:tcPr>
          <w:p w14:paraId="2E05E1DD" w14:textId="77777777" w:rsidR="009C6940" w:rsidRPr="00176D3F" w:rsidRDefault="009C6940" w:rsidP="009C6940">
            <w:pPr>
              <w:pStyle w:val="FigureTitle"/>
            </w:pPr>
            <w:r w:rsidRPr="00784A05">
              <w:rPr>
                <w:b w:val="0"/>
              </w:rPr>
              <w:t xml:space="preserve">Figure </w:t>
            </w:r>
            <w:r>
              <w:rPr>
                <w:b w:val="0"/>
              </w:rPr>
              <w:t>G.</w:t>
            </w:r>
            <w:r>
              <w:rPr>
                <w:b w:val="0"/>
                <w:noProof/>
              </w:rPr>
              <w:t>3</w:t>
            </w:r>
            <w:r>
              <w:tab/>
              <w:t>Employment of psychologists by State and Territory Government specialised mental health services</w:t>
            </w:r>
          </w:p>
        </w:tc>
      </w:tr>
      <w:tr w:rsidR="009C6940" w14:paraId="6A432203"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05142680" w14:textId="77777777" w:rsidTr="009C6940">
              <w:trPr>
                <w:tblHeader/>
                <w:jc w:val="center"/>
              </w:trPr>
              <w:tc>
                <w:tcPr>
                  <w:tcW w:w="5000" w:type="pct"/>
                  <w:tcBorders>
                    <w:top w:val="nil"/>
                    <w:bottom w:val="nil"/>
                  </w:tcBorders>
                </w:tcPr>
                <w:p w14:paraId="25F36270" w14:textId="77777777" w:rsidR="009C6940" w:rsidRPr="00B1465D" w:rsidRDefault="009C6940" w:rsidP="009C6940">
                  <w:pPr>
                    <w:pStyle w:val="Figure"/>
                    <w:spacing w:before="60" w:after="60"/>
                    <w:rPr>
                      <w:rFonts w:ascii="Arial" w:hAnsi="Arial" w:cs="Arial"/>
                      <w:sz w:val="18"/>
                      <w:szCs w:val="18"/>
                    </w:rPr>
                  </w:pPr>
                  <w:r w:rsidRPr="00CD7F7B">
                    <w:rPr>
                      <w:rFonts w:ascii="Arial" w:hAnsi="Arial" w:cs="Arial"/>
                      <w:noProof/>
                      <w:sz w:val="18"/>
                      <w:szCs w:val="18"/>
                    </w:rPr>
                    <w:drawing>
                      <wp:inline distT="0" distB="0" distL="0" distR="0" wp14:anchorId="5FC913CD" wp14:editId="40097A5C">
                        <wp:extent cx="4985385" cy="2884805"/>
                        <wp:effectExtent l="0" t="0" r="5715" b="0"/>
                        <wp:docPr id="36" name="Picture 36" descr="This figure shows the number of full-time equivalent psychologists per 100 000 population employed by State and Territory Government specialised mental health services and the psychologist share of total full-time equivalent employees of State and Territory Government specialised mental health services from 1994-95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985385" cy="2884805"/>
                                </a:xfrm>
                                <a:prstGeom prst="rect">
                                  <a:avLst/>
                                </a:prstGeom>
                                <a:noFill/>
                                <a:ln>
                                  <a:noFill/>
                                </a:ln>
                              </pic:spPr>
                            </pic:pic>
                          </a:graphicData>
                        </a:graphic>
                      </wp:inline>
                    </w:drawing>
                  </w:r>
                </w:p>
              </w:tc>
            </w:tr>
          </w:tbl>
          <w:p w14:paraId="7115BEBC" w14:textId="77777777" w:rsidR="009C6940" w:rsidRDefault="009C6940" w:rsidP="009C6940">
            <w:pPr>
              <w:pStyle w:val="Figure"/>
            </w:pPr>
          </w:p>
        </w:tc>
      </w:tr>
      <w:tr w:rsidR="009C6940" w:rsidRPr="00176D3F" w14:paraId="49DF934C" w14:textId="77777777" w:rsidTr="009C6940">
        <w:tc>
          <w:tcPr>
            <w:tcW w:w="5000" w:type="pct"/>
            <w:tcBorders>
              <w:top w:val="nil"/>
              <w:left w:val="nil"/>
              <w:bottom w:val="nil"/>
              <w:right w:val="nil"/>
            </w:tcBorders>
            <w:shd w:val="clear" w:color="auto" w:fill="auto"/>
          </w:tcPr>
          <w:p w14:paraId="2C7CC6B3" w14:textId="77777777" w:rsidR="009C6940" w:rsidRPr="00176D3F" w:rsidRDefault="009C6940" w:rsidP="009C6940">
            <w:pPr>
              <w:pStyle w:val="Source"/>
            </w:pPr>
            <w:r>
              <w:rPr>
                <w:i/>
              </w:rPr>
              <w:t>S</w:t>
            </w:r>
            <w:r w:rsidRPr="00784A05">
              <w:rPr>
                <w:i/>
              </w:rPr>
              <w:t>ource</w:t>
            </w:r>
            <w:r w:rsidRPr="00176D3F">
              <w:t xml:space="preserve">: </w:t>
            </w:r>
            <w:r>
              <w:t>AIHW </w:t>
            </w:r>
            <w:r w:rsidRPr="000C166F">
              <w:rPr>
                <w:rFonts w:cs="Arial"/>
              </w:rPr>
              <w:t>(2020b)</w:t>
            </w:r>
            <w:r>
              <w:t>.</w:t>
            </w:r>
          </w:p>
        </w:tc>
      </w:tr>
      <w:tr w:rsidR="009C6940" w14:paraId="4B954439" w14:textId="77777777" w:rsidTr="009C6940">
        <w:tc>
          <w:tcPr>
            <w:tcW w:w="5000" w:type="pct"/>
            <w:tcBorders>
              <w:top w:val="nil"/>
              <w:left w:val="nil"/>
              <w:bottom w:val="single" w:sz="6" w:space="0" w:color="78A22F"/>
              <w:right w:val="nil"/>
            </w:tcBorders>
            <w:shd w:val="clear" w:color="auto" w:fill="auto"/>
          </w:tcPr>
          <w:p w14:paraId="2122B562" w14:textId="77777777" w:rsidR="009C6940" w:rsidRDefault="009C6940" w:rsidP="009C6940">
            <w:pPr>
              <w:pStyle w:val="Figurespace"/>
            </w:pPr>
          </w:p>
        </w:tc>
      </w:tr>
      <w:tr w:rsidR="009C6940" w:rsidRPr="000863A5" w14:paraId="647C17AB" w14:textId="77777777" w:rsidTr="009C6940">
        <w:tc>
          <w:tcPr>
            <w:tcW w:w="5000" w:type="pct"/>
            <w:tcBorders>
              <w:top w:val="single" w:sz="6" w:space="0" w:color="78A22F"/>
              <w:left w:val="nil"/>
              <w:bottom w:val="nil"/>
              <w:right w:val="nil"/>
            </w:tcBorders>
          </w:tcPr>
          <w:p w14:paraId="38670D75" w14:textId="77777777" w:rsidR="009C6940" w:rsidRPr="00626D32" w:rsidRDefault="009C6940" w:rsidP="009C6940">
            <w:pPr>
              <w:pStyle w:val="BoxSpaceBelow"/>
            </w:pPr>
          </w:p>
        </w:tc>
      </w:tr>
    </w:tbl>
    <w:p w14:paraId="07A4F6FB" w14:textId="77777777" w:rsidR="009C6940" w:rsidRPr="004275F3" w:rsidRDefault="009C6940" w:rsidP="009C6940">
      <w:pPr>
        <w:pStyle w:val="Heading3"/>
      </w:pPr>
      <w:r>
        <w:t>Autonomy granted to Primary Health Networks</w:t>
      </w:r>
    </w:p>
    <w:p w14:paraId="5EA3B853" w14:textId="77777777" w:rsidR="009C6940" w:rsidRDefault="009C6940" w:rsidP="009C6940">
      <w:pPr>
        <w:pStyle w:val="BodyText"/>
      </w:pPr>
      <w:r>
        <w:t>The expansion of regional decision making is a mostly positive aspect of mental health reform over the past several years (box G.4). However, some decisions about the use of the PHN Mental Health Care Flexible Funding Pool have been devolved to PHNs and some remain made centrally by the Australian Government Department of Health.</w:t>
      </w:r>
    </w:p>
    <w:p w14:paraId="49E32A62" w14:textId="77777777" w:rsidR="009C6940" w:rsidRDefault="009C6940" w:rsidP="009C6940">
      <w:pPr>
        <w:pStyle w:val="BodyText"/>
      </w:pPr>
      <w:r>
        <w:t>PHNs are afforded a large degree of choice over the types of services that they commission using most (about 60%) of the Mental Health Care Flexible Funding Pool. While the Australian Government Department of Health issues guidance documents that outline the various priority areas for PHN commissioning (DoH 2019c), PHNs determine the share of the Mental Health Care Flexible Funding Pool they allocate to services to meet each priority area, and have significant discretion about the types of services that they commission.</w:t>
      </w:r>
    </w:p>
    <w:p w14:paraId="2ADDD076" w14:textId="77777777" w:rsidR="009C6940" w:rsidRDefault="009C6940" w:rsidP="009C6940">
      <w:pPr>
        <w:pStyle w:val="BodyText"/>
      </w:pPr>
    </w:p>
    <w:p w14:paraId="1A93170F"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A8E7A64" w14:textId="77777777" w:rsidTr="009C6940">
        <w:trPr>
          <w:tblHeader/>
        </w:trPr>
        <w:tc>
          <w:tcPr>
            <w:tcW w:w="5000" w:type="pct"/>
            <w:tcBorders>
              <w:top w:val="single" w:sz="6" w:space="0" w:color="78A22F"/>
              <w:left w:val="nil"/>
              <w:bottom w:val="nil"/>
              <w:right w:val="nil"/>
            </w:tcBorders>
            <w:shd w:val="clear" w:color="auto" w:fill="F2F2F2"/>
          </w:tcPr>
          <w:p w14:paraId="17E86C46" w14:textId="77777777" w:rsidR="009C6940" w:rsidRDefault="009C6940" w:rsidP="009C6940">
            <w:pPr>
              <w:pStyle w:val="BoxTitle"/>
            </w:pPr>
            <w:r>
              <w:rPr>
                <w:b w:val="0"/>
              </w:rPr>
              <w:t>Box G.</w:t>
            </w:r>
            <w:r>
              <w:rPr>
                <w:b w:val="0"/>
                <w:noProof/>
              </w:rPr>
              <w:t>4</w:t>
            </w:r>
            <w:r>
              <w:tab/>
              <w:t>Regional decision making and mental health services</w:t>
            </w:r>
          </w:p>
        </w:tc>
      </w:tr>
      <w:tr w:rsidR="009C6940" w14:paraId="3448C319" w14:textId="77777777" w:rsidTr="009C6940">
        <w:tc>
          <w:tcPr>
            <w:tcW w:w="5000" w:type="pct"/>
            <w:tcBorders>
              <w:top w:val="nil"/>
              <w:left w:val="nil"/>
              <w:bottom w:val="nil"/>
              <w:right w:val="nil"/>
            </w:tcBorders>
            <w:shd w:val="clear" w:color="auto" w:fill="F2F2F2"/>
          </w:tcPr>
          <w:p w14:paraId="56FA3AAC" w14:textId="77777777" w:rsidR="009C6940" w:rsidRDefault="009C6940" w:rsidP="009C6940">
            <w:pPr>
              <w:pStyle w:val="Box"/>
            </w:pPr>
            <w:r>
              <w:t xml:space="preserve">In recent years, both levels of government have devolved more decision making about mental health service provision to the regional level. The Australian Government tasked PHNs with commissioning programs that were previously administered centrally in response to the National Mental Health Commission’s 2014 review </w:t>
            </w:r>
            <w:r w:rsidRPr="00F0232F">
              <w:rPr>
                <w:rFonts w:cs="Arial"/>
                <w:szCs w:val="24"/>
              </w:rPr>
              <w:t>(DoH 2015)</w:t>
            </w:r>
            <w:r>
              <w:t xml:space="preserve">, and the 2011 National Health Reform Agreement required State and Territory Governments to establish LHNs to manage public mental healthcare </w:t>
            </w:r>
            <w:r w:rsidRPr="00F0232F">
              <w:rPr>
                <w:rFonts w:cs="Arial"/>
                <w:szCs w:val="24"/>
              </w:rPr>
              <w:t>(COAG 2011)</w:t>
            </w:r>
            <w:r>
              <w:t>.</w:t>
            </w:r>
          </w:p>
          <w:p w14:paraId="58A9CB59" w14:textId="77777777" w:rsidR="009C6940" w:rsidRDefault="009C6940" w:rsidP="009C6940">
            <w:pPr>
              <w:pStyle w:val="Box"/>
            </w:pPr>
            <w:r>
              <w:t xml:space="preserve">Devolving mental health decision making and purchasing activities to the regional level is generally desirable, as it is consistent with the principle of subsidiarity. The Productivity Commission has previously argued strongly for a regionally governed healthcare system </w:t>
            </w:r>
            <w:r w:rsidRPr="00AF74FD">
              <w:rPr>
                <w:szCs w:val="24"/>
              </w:rPr>
              <w:t>(PC 2017b)</w:t>
            </w:r>
            <w:r>
              <w:t>, and these same arguments apply with equal force for mental health services. Australia is a large and diverse country, with regional variations in population density, socioeconomic status and culture. For these reasons, the needs of one area are unlikely to mirror those of another. Moreover, local people and agencies are generally better placed to take local context into account than distantly located bureaucrats, as they have more or better information at their disposal. This was pointed out by WentWest Limited (sub. 445, p. 53):</w:t>
            </w:r>
          </w:p>
          <w:p w14:paraId="04EB00A2" w14:textId="77777777" w:rsidR="009C6940" w:rsidRDefault="009C6940" w:rsidP="009C6940">
            <w:pPr>
              <w:pStyle w:val="BoxQuote"/>
            </w:pPr>
            <w:r w:rsidRPr="00EB2C43">
              <w:t xml:space="preserve">The focus of mental health service planning, implementation and monitoring must move to regions. The diversity of our regions, even across the Sydney metro area, requires </w:t>
            </w:r>
            <w:r>
              <w:t>[LHN]</w:t>
            </w:r>
            <w:r w:rsidRPr="00EB2C43">
              <w:t xml:space="preserve"> and PHN integrated planning to be continuous and adaptive to rapidly changing community needs</w:t>
            </w:r>
            <w:r>
              <w:t>.</w:t>
            </w:r>
          </w:p>
          <w:p w14:paraId="4683FE86" w14:textId="77777777" w:rsidR="009C6940" w:rsidRDefault="009C6940" w:rsidP="009C6940">
            <w:pPr>
              <w:pStyle w:val="Box"/>
            </w:pPr>
            <w:r>
              <w:t>However, there are some circumstances where devolution is not appropriate.</w:t>
            </w:r>
          </w:p>
          <w:p w14:paraId="50C832F2" w14:textId="77777777" w:rsidR="009C6940" w:rsidRDefault="009C6940" w:rsidP="009C6940">
            <w:pPr>
              <w:pStyle w:val="BoxListBullet"/>
            </w:pPr>
            <w:r>
              <w:t>Activities that can be more efficiently performed at scale are unsuited to devolution. For example:</w:t>
            </w:r>
          </w:p>
          <w:p w14:paraId="2B5746B5" w14:textId="77777777" w:rsidR="009C6940" w:rsidRDefault="009C6940" w:rsidP="009C6940">
            <w:pPr>
              <w:pStyle w:val="BoxListBullet2"/>
            </w:pPr>
            <w:r w:rsidRPr="006B3F4F">
              <w:t>it would be prohibitively costly for each region to design its own activity</w:t>
            </w:r>
            <w:r>
              <w:noBreakHyphen/>
            </w:r>
            <w:r w:rsidRPr="006B3F4F">
              <w:t>based funding classificat</w:t>
            </w:r>
            <w:r>
              <w:t>ion for remunerating hospitals</w:t>
            </w:r>
          </w:p>
          <w:p w14:paraId="4E404A98" w14:textId="77777777" w:rsidR="009C6940" w:rsidRDefault="009C6940" w:rsidP="009C6940">
            <w:pPr>
              <w:pStyle w:val="BoxListBullet2"/>
            </w:pPr>
            <w:r w:rsidRPr="006B3F4F">
              <w:t>some ser</w:t>
            </w:r>
            <w:r>
              <w:t xml:space="preserve">vices, such as online treatments </w:t>
            </w:r>
            <w:r w:rsidRPr="006B3F4F">
              <w:t>(chapter</w:t>
            </w:r>
            <w:r>
              <w:t> 11</w:t>
            </w:r>
            <w:r w:rsidRPr="006B3F4F">
              <w:t>), may require little (if any) adaptation to local contexts, but may benefit from considerable cost savings if deploy</w:t>
            </w:r>
            <w:r>
              <w:t>ed over a large population base.</w:t>
            </w:r>
          </w:p>
          <w:p w14:paraId="137A95F1" w14:textId="77777777" w:rsidR="009C6940" w:rsidRDefault="009C6940" w:rsidP="009C6940">
            <w:pPr>
              <w:pStyle w:val="BoxListBullet"/>
            </w:pPr>
            <w:r>
              <w:t>Decisions that require a high degree of specialised expertise are unsuited to devolution as not all regions will have such capacity.</w:t>
            </w:r>
          </w:p>
          <w:p w14:paraId="60D70787" w14:textId="77777777" w:rsidR="009C6940" w:rsidRPr="003E6FF0" w:rsidRDefault="009C6940" w:rsidP="009C6940">
            <w:pPr>
              <w:pStyle w:val="BoxListBullet"/>
              <w:rPr>
                <w:spacing w:val="-2"/>
              </w:rPr>
            </w:pPr>
            <w:r w:rsidRPr="003E6FF0">
              <w:rPr>
                <w:spacing w:val="-2"/>
              </w:rPr>
              <w:t>Devolution is also unsuitable where there are sufficiently large positive or negative ‘spillover’ effects of one region’s decision making on other regions. A central decision maker faces incentives to take these spillover effects into consideration, whereas a regional decision maker does not.</w:t>
            </w:r>
          </w:p>
        </w:tc>
      </w:tr>
      <w:tr w:rsidR="009C6940" w14:paraId="29C857EF" w14:textId="77777777" w:rsidTr="009C6940">
        <w:tc>
          <w:tcPr>
            <w:tcW w:w="5000" w:type="pct"/>
            <w:tcBorders>
              <w:top w:val="nil"/>
              <w:left w:val="nil"/>
              <w:bottom w:val="single" w:sz="6" w:space="0" w:color="78A22F"/>
              <w:right w:val="nil"/>
            </w:tcBorders>
            <w:shd w:val="clear" w:color="auto" w:fill="F2F2F2"/>
          </w:tcPr>
          <w:p w14:paraId="667175FD" w14:textId="77777777" w:rsidR="009C6940" w:rsidRDefault="009C6940" w:rsidP="009C6940">
            <w:pPr>
              <w:pStyle w:val="Box"/>
              <w:spacing w:before="0" w:line="120" w:lineRule="exact"/>
            </w:pPr>
          </w:p>
        </w:tc>
      </w:tr>
      <w:tr w:rsidR="009C6940" w:rsidRPr="000863A5" w14:paraId="507E2BA2" w14:textId="77777777" w:rsidTr="009C6940">
        <w:tc>
          <w:tcPr>
            <w:tcW w:w="5000" w:type="pct"/>
            <w:tcBorders>
              <w:top w:val="single" w:sz="6" w:space="0" w:color="78A22F"/>
              <w:left w:val="nil"/>
              <w:bottom w:val="nil"/>
              <w:right w:val="nil"/>
            </w:tcBorders>
          </w:tcPr>
          <w:p w14:paraId="05E22A51" w14:textId="77777777" w:rsidR="009C6940" w:rsidRPr="00626D32" w:rsidRDefault="009C6940" w:rsidP="009C6940">
            <w:pPr>
              <w:pStyle w:val="BoxSpaceBelow"/>
            </w:pPr>
          </w:p>
        </w:tc>
      </w:tr>
    </w:tbl>
    <w:p w14:paraId="135CC743" w14:textId="77777777" w:rsidR="009C6940" w:rsidRDefault="009C6940" w:rsidP="009C6940">
      <w:pPr>
        <w:pStyle w:val="BodyText"/>
      </w:pPr>
      <w:r>
        <w:t>Meanwhile, the Australian Government Department of Health controls how other parts of the Mental Health Care Flexible Funding Pool are spent:</w:t>
      </w:r>
    </w:p>
    <w:p w14:paraId="69550DE9" w14:textId="77777777" w:rsidR="009C6940" w:rsidRDefault="009C6940" w:rsidP="009C6940">
      <w:pPr>
        <w:pStyle w:val="ListBullet"/>
      </w:pPr>
      <w:r>
        <w:t xml:space="preserve">About one third of the Mental Health Care Flexible Funding Pool is committed to headspace services (including the headspace youth early psychosis program) </w:t>
      </w:r>
      <w:r w:rsidRPr="003439DD">
        <w:rPr>
          <w:szCs w:val="24"/>
        </w:rPr>
        <w:t>(PHN Advisory Panel 2018)</w:t>
      </w:r>
      <w:r>
        <w:t xml:space="preserve">. The quarantining of funds for headspace was originally a transitional arrangement, but seems to have become permanent. The Australian Government’s response to the National Mental Health Commission’s 2014 review said that PHNs would be provided with a ‘flexible’ funding pool, and made no mention of a quarantining funding for particular purposes </w:t>
      </w:r>
      <w:r w:rsidRPr="00477852">
        <w:rPr>
          <w:szCs w:val="24"/>
        </w:rPr>
        <w:t>(DoH</w:t>
      </w:r>
      <w:r w:rsidRPr="00E6075A">
        <w:rPr>
          <w:szCs w:val="24"/>
        </w:rPr>
        <w:t> 2015)</w:t>
      </w:r>
      <w:r>
        <w:t xml:space="preserve">. And the Department of Health’s subsequent guidance to PHNs on child and youth mental health services stated </w:t>
      </w:r>
      <w:r>
        <w:lastRenderedPageBreak/>
        <w:t xml:space="preserve">that PHNs would be required to maintain the existing headspace network only until 30 June 2018 as ‘[i]n the longer term, PHNs will have greater flexibility in meeting the needs of local young people with, or at risk of, mild to moderate mental illness’ </w:t>
      </w:r>
      <w:r w:rsidRPr="003439DD">
        <w:rPr>
          <w:szCs w:val="24"/>
        </w:rPr>
        <w:t>(DoH 2017, p. 3)</w:t>
      </w:r>
      <w:r>
        <w:t>. However, the Australian Government has since announced additional hypothecated funding to PHNs until 2025</w:t>
      </w:r>
      <w:r>
        <w:noBreakHyphen/>
        <w:t xml:space="preserve">26 for existing headspace services and 30 new headspace centres </w:t>
      </w:r>
      <w:r w:rsidRPr="00DE0A02">
        <w:rPr>
          <w:szCs w:val="24"/>
        </w:rPr>
        <w:t>(Australian Government 2019)</w:t>
      </w:r>
      <w:r>
        <w:t>.</w:t>
      </w:r>
    </w:p>
    <w:p w14:paraId="7F0382CD" w14:textId="77777777" w:rsidR="009C6940" w:rsidRDefault="009C6940" w:rsidP="009C6940">
      <w:pPr>
        <w:pStyle w:val="ListBullet"/>
      </w:pPr>
      <w:r>
        <w:t>A further</w:t>
      </w:r>
      <w:r w:rsidRPr="00E92148">
        <w:t xml:space="preserve"> 8% of the PHN Mental Health</w:t>
      </w:r>
      <w:r>
        <w:t xml:space="preserve"> Care</w:t>
      </w:r>
      <w:r w:rsidRPr="00E92148">
        <w:t xml:space="preserve"> Flexible Funding Pool is hypothecated to mental health services for Aboriginal and Torres Strait Islander people. </w:t>
      </w:r>
      <w:r>
        <w:t xml:space="preserve">This hypothecation is different from that which applies to headspace — in the headspace case, funding is hypothecated to a particular provider, whereas in this case funding is hypothecated to ensure that PHNs </w:t>
      </w:r>
      <w:r w:rsidRPr="00E92148">
        <w:t>commission services targeted at Aboriginal and Torres Strait Islander people.</w:t>
      </w:r>
    </w:p>
    <w:p w14:paraId="44BDE689" w14:textId="77777777" w:rsidR="009C6940" w:rsidRDefault="009C6940" w:rsidP="009C6940">
      <w:pPr>
        <w:pStyle w:val="Heading4"/>
      </w:pPr>
      <w:r>
        <w:t>Hypothecation of funding to headspace</w:t>
      </w:r>
    </w:p>
    <w:p w14:paraId="4441FD8C" w14:textId="77777777" w:rsidR="009C6940" w:rsidRPr="003E6FF0" w:rsidRDefault="009C6940" w:rsidP="009C6940">
      <w:pPr>
        <w:pStyle w:val="BodyText"/>
        <w:rPr>
          <w:spacing w:val="-2"/>
        </w:rPr>
      </w:pPr>
      <w:r w:rsidRPr="003E6FF0">
        <w:rPr>
          <w:spacing w:val="-2"/>
        </w:rPr>
        <w:t>Some arguments have been presented that support hypothecating PHN funding for headspace.</w:t>
      </w:r>
    </w:p>
    <w:p w14:paraId="32A8AD4A" w14:textId="77777777" w:rsidR="009C6940" w:rsidRDefault="009C6940" w:rsidP="009C6940">
      <w:pPr>
        <w:pStyle w:val="BodyText"/>
      </w:pPr>
      <w:r>
        <w:t>One is that the decision to commission a headspace centre in one region generates positive spillover benefits for other regions by reinforcing headspace’s national brand. If these spillovers were sufficiently strong, this could justify hypothecating funding to headspace, but their magnitude is uncertain and difficult to measure (box G.5).</w:t>
      </w:r>
    </w:p>
    <w:p w14:paraId="0C0CCA06" w14:textId="77777777" w:rsidR="009C6940" w:rsidRDefault="009C6940" w:rsidP="009C6940">
      <w:pPr>
        <w:pStyle w:val="BodyText"/>
      </w:pPr>
      <w:r>
        <w:t xml:space="preserve">Another is that the services provided by headspace centres are sufficiently effective to provide confidence that PHN funding for headspace centres could not better be spent elsewhere. The PHN Advisory Panel on Mental Health suggested that requirements on PHNs to commission headspace centres are justified as the ‘evidence base is strong’ </w:t>
      </w:r>
      <w:r w:rsidRPr="00B47C1E">
        <w:rPr>
          <w:szCs w:val="24"/>
        </w:rPr>
        <w:t>(PHN Advisory Panel on Mental Health 2018, p. 9)</w:t>
      </w:r>
      <w:r>
        <w:t>. Unfortunately, on our review, the evidence underpinning headspace’s effectiveness is not overwhelmingly strong (chapter 12), and certainly not sufficiently strong to discount the possibly that the funding allocated to headspace could be better spent on other services that PHNs commission.</w:t>
      </w:r>
    </w:p>
    <w:p w14:paraId="61AF0F5C"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CB1F507" w14:textId="77777777" w:rsidTr="009C6940">
        <w:trPr>
          <w:tblHeader/>
        </w:trPr>
        <w:tc>
          <w:tcPr>
            <w:tcW w:w="5000" w:type="pct"/>
            <w:tcBorders>
              <w:top w:val="single" w:sz="6" w:space="0" w:color="78A22F"/>
              <w:left w:val="nil"/>
              <w:bottom w:val="nil"/>
              <w:right w:val="nil"/>
            </w:tcBorders>
            <w:shd w:val="clear" w:color="auto" w:fill="F2F2F2"/>
          </w:tcPr>
          <w:p w14:paraId="13ED2BB2" w14:textId="77777777" w:rsidR="009C6940" w:rsidRDefault="009C6940" w:rsidP="009C6940">
            <w:pPr>
              <w:pStyle w:val="BoxTitle"/>
            </w:pPr>
            <w:r>
              <w:rPr>
                <w:b w:val="0"/>
              </w:rPr>
              <w:t>Box G.</w:t>
            </w:r>
            <w:r>
              <w:rPr>
                <w:b w:val="0"/>
                <w:noProof/>
              </w:rPr>
              <w:t>5</w:t>
            </w:r>
            <w:r>
              <w:tab/>
              <w:t>Positive spillovers from headspace centres?</w:t>
            </w:r>
          </w:p>
        </w:tc>
      </w:tr>
      <w:tr w:rsidR="009C6940" w14:paraId="2592C6E1" w14:textId="77777777" w:rsidTr="009C6940">
        <w:tc>
          <w:tcPr>
            <w:tcW w:w="5000" w:type="pct"/>
            <w:tcBorders>
              <w:top w:val="nil"/>
              <w:left w:val="nil"/>
              <w:bottom w:val="nil"/>
              <w:right w:val="nil"/>
            </w:tcBorders>
            <w:shd w:val="clear" w:color="auto" w:fill="F2F2F2"/>
          </w:tcPr>
          <w:p w14:paraId="2211CB36" w14:textId="77777777" w:rsidR="009C6940" w:rsidRDefault="009C6940" w:rsidP="009C6940">
            <w:pPr>
              <w:pStyle w:val="Box"/>
            </w:pPr>
            <w:r>
              <w:t>Requiring Primary Health Networks (PHNs) to commission headspace centres would be justified if the presence of a headspace centre in one PHN’s region generated sufficient benefits to consumers residing in another PHN’s region (known as ‘spillover’ benefits — box G.4). headspace centres could generate positive spillovers by reinforcing headspace’s national brand. For example, suppose that a young person with a mental illness hears that a friend living in a different PHN region had a positive experience with headspace, and consequently decides to seek help at a local headspace centre.</w:t>
            </w:r>
          </w:p>
          <w:p w14:paraId="1FAD9CE7" w14:textId="77777777" w:rsidR="009C6940" w:rsidRDefault="009C6940" w:rsidP="009C6940">
            <w:pPr>
              <w:pStyle w:val="Box"/>
            </w:pPr>
            <w:r>
              <w:t>Mental Health Victoria and the Victorian Healthcare Association (sub. 1184, p. 24) supported maintaining the existing hypothecation of funding to headspace on these grounds.</w:t>
            </w:r>
          </w:p>
          <w:p w14:paraId="62690BEE" w14:textId="77777777" w:rsidR="009C6940" w:rsidRPr="0050163E" w:rsidRDefault="009C6940" w:rsidP="009C6940">
            <w:pPr>
              <w:pStyle w:val="BoxQuote"/>
            </w:pPr>
            <w:r>
              <w:t>Relaxing requirements for PHNs to direct funds to headspace centres will result in further fragmentation of the service system, with access to headspace available in some regions and not others. We fear that this will provide a confusing message to the public and will be counter to efforts to encourage help</w:t>
            </w:r>
            <w:r>
              <w:noBreakHyphen/>
              <w:t>seeking.</w:t>
            </w:r>
          </w:p>
          <w:p w14:paraId="72FB8445" w14:textId="77777777" w:rsidR="009C6940" w:rsidRDefault="009C6940" w:rsidP="009C6940">
            <w:pPr>
              <w:pStyle w:val="Box"/>
            </w:pPr>
            <w:r>
              <w:t>There is some evidence that headspace’s value to young people partially derives from its national brand. As noted by a recent academic paper:</w:t>
            </w:r>
          </w:p>
          <w:p w14:paraId="360E50F7" w14:textId="77777777" w:rsidR="009C6940" w:rsidRDefault="009C6940" w:rsidP="009C6940">
            <w:pPr>
              <w:pStyle w:val="BoxQuote"/>
            </w:pPr>
            <w:r>
              <w:t xml:space="preserve">Having a strong and consistent national brand that clearly identifies and promotes headspace centres is crucial, and something that is quite unique for a mental health service. The national brand and communication strategies, including national media, position headspace as the peak organization for youth mental healthcare across Australia. The brand has become a trusted and credible source of information and support that is highly visible and valued by young people, families and communities throughout Australia. </w:t>
            </w:r>
            <w:r w:rsidRPr="005560EB">
              <w:rPr>
                <w:szCs w:val="24"/>
              </w:rPr>
              <w:t>(Rickwood et al. 2019, p. 164)</w:t>
            </w:r>
          </w:p>
          <w:p w14:paraId="5E44DDFC" w14:textId="77777777" w:rsidR="009C6940" w:rsidRDefault="009C6940" w:rsidP="009C6940">
            <w:pPr>
              <w:pStyle w:val="Box"/>
            </w:pPr>
            <w:r>
              <w:t>headspace — National Youth Mental Health Foundation (sub. 947) also pointed to the value of its national brand:</w:t>
            </w:r>
          </w:p>
          <w:p w14:paraId="1304E69D" w14:textId="77777777" w:rsidR="009C6940" w:rsidRDefault="009C6940" w:rsidP="009C6940">
            <w:pPr>
              <w:pStyle w:val="BoxQuote"/>
            </w:pPr>
            <w:r>
              <w:t>headspace is a nationally trusted brand, with 77% of young Australians recognising headspace as a youth</w:t>
            </w:r>
            <w:r>
              <w:noBreakHyphen/>
              <w:t>specific mental health organisation. (p. iii)</w:t>
            </w:r>
          </w:p>
          <w:p w14:paraId="3E0FD540" w14:textId="77777777" w:rsidR="009C6940" w:rsidRPr="004966AD" w:rsidRDefault="009C6940" w:rsidP="009C6940">
            <w:pPr>
              <w:pStyle w:val="BoxQuote"/>
            </w:pPr>
            <w:r>
              <w:t>Our brand tracking data and community impact research tell us that young people and their parents have high trust and confidence in headspace. Independent analysis by Deloitte Access Economics placed a value of $54 million on the headspace brand, defining this as the incremental operating benefit generated by the brand for the headspace network. (p. iii)</w:t>
            </w:r>
          </w:p>
          <w:p w14:paraId="0074C548" w14:textId="77777777" w:rsidR="009C6940" w:rsidRDefault="009C6940" w:rsidP="009C6940">
            <w:pPr>
              <w:pStyle w:val="BoxQuote"/>
            </w:pPr>
            <w:r>
              <w:t>Young people access headspace because it minimises uncertainty for them — it is a national platform and a brand they recognise and trust. (p. 25)</w:t>
            </w:r>
          </w:p>
          <w:p w14:paraId="1AC10425" w14:textId="77777777" w:rsidR="009C6940" w:rsidRPr="00AF518B" w:rsidRDefault="009C6940" w:rsidP="009C6940">
            <w:pPr>
              <w:pStyle w:val="Box"/>
            </w:pPr>
            <w:r>
              <w:t>And, at a meeting with the Productivity Commission, headspace’s Youth National Reference Group highlighted that headspace’s national brand signalled a youth friendly gateway into mental healthcare.</w:t>
            </w:r>
          </w:p>
          <w:p w14:paraId="79C8C0A1" w14:textId="77777777" w:rsidR="009C6940" w:rsidRDefault="009C6940" w:rsidP="009C6940">
            <w:pPr>
              <w:pStyle w:val="Box"/>
            </w:pPr>
            <w:r>
              <w:t>While the evidence presented above suggests that headspace’s national brand does enhance its value to young people, the magnitude of the effect is less clear. Moreover, the extent to which these benefits result from the activities of headspace National versus the incremental contributions of individual headspace centres is also not clear. The key issue for the Productivity Commission is that there should be bespoke services that best meet local needs.</w:t>
            </w:r>
          </w:p>
        </w:tc>
      </w:tr>
      <w:tr w:rsidR="009C6940" w14:paraId="795B7551" w14:textId="77777777" w:rsidTr="009C6940">
        <w:tc>
          <w:tcPr>
            <w:tcW w:w="5000" w:type="pct"/>
            <w:tcBorders>
              <w:top w:val="nil"/>
              <w:left w:val="nil"/>
              <w:bottom w:val="single" w:sz="6" w:space="0" w:color="78A22F"/>
              <w:right w:val="nil"/>
            </w:tcBorders>
            <w:shd w:val="clear" w:color="auto" w:fill="F2F2F2"/>
          </w:tcPr>
          <w:p w14:paraId="0AE474A4" w14:textId="77777777" w:rsidR="009C6940" w:rsidRDefault="009C6940" w:rsidP="009C6940">
            <w:pPr>
              <w:pStyle w:val="Box"/>
              <w:spacing w:before="0" w:line="120" w:lineRule="exact"/>
            </w:pPr>
          </w:p>
        </w:tc>
      </w:tr>
      <w:tr w:rsidR="009C6940" w:rsidRPr="000863A5" w14:paraId="45C59BF6" w14:textId="77777777" w:rsidTr="009C6940">
        <w:tc>
          <w:tcPr>
            <w:tcW w:w="5000" w:type="pct"/>
            <w:tcBorders>
              <w:top w:val="single" w:sz="6" w:space="0" w:color="78A22F"/>
              <w:left w:val="nil"/>
              <w:bottom w:val="nil"/>
              <w:right w:val="nil"/>
            </w:tcBorders>
          </w:tcPr>
          <w:p w14:paraId="44B0980A" w14:textId="77777777" w:rsidR="009C6940" w:rsidRPr="00626D32" w:rsidRDefault="009C6940" w:rsidP="009C6940">
            <w:pPr>
              <w:pStyle w:val="BoxSpaceBelow"/>
            </w:pPr>
          </w:p>
        </w:tc>
      </w:tr>
    </w:tbl>
    <w:p w14:paraId="48FD0E86" w14:textId="77777777" w:rsidR="009C6940" w:rsidRDefault="009C6940" w:rsidP="009C6940">
      <w:pPr>
        <w:pStyle w:val="BodyText"/>
      </w:pPr>
      <w:r>
        <w:t>Other arguments suggest that headspace funding should not be hypothecated.</w:t>
      </w:r>
    </w:p>
    <w:p w14:paraId="2F230292" w14:textId="77777777" w:rsidR="009C6940" w:rsidRDefault="009C6940" w:rsidP="009C6940">
      <w:pPr>
        <w:pStyle w:val="ListBullet"/>
      </w:pPr>
      <w:r>
        <w:t>Setting aside the potential for headspace centres to generate positive spillovers to other regions, the criteria laid out in box G.4 suggest that headspace funding should not be hypothecated.</w:t>
      </w:r>
    </w:p>
    <w:p w14:paraId="6D267759" w14:textId="77777777" w:rsidR="009C6940" w:rsidRDefault="009C6940" w:rsidP="009C6940">
      <w:pPr>
        <w:pStyle w:val="ListBullet2"/>
      </w:pPr>
      <w:r>
        <w:lastRenderedPageBreak/>
        <w:t>Decisions about funding headspace seem unlikely to realise economies of scale, as they must take into account regional context (which demands case</w:t>
      </w:r>
      <w:r>
        <w:noBreakHyphen/>
        <w:t>by</w:t>
      </w:r>
      <w:r>
        <w:noBreakHyphen/>
        <w:t>case decision making).</w:t>
      </w:r>
    </w:p>
    <w:p w14:paraId="77BD8924" w14:textId="77777777" w:rsidR="009C6940" w:rsidRDefault="009C6940" w:rsidP="009C6940">
      <w:pPr>
        <w:pStyle w:val="ListBullet2"/>
      </w:pPr>
      <w:r>
        <w:t>Decisions about funding headspace can be made locally on the basis of local evidence so long as the Australian Government Department of Health provides better guidance on the evidence base underpinning headspace and alternatives (recommendation 23).</w:t>
      </w:r>
    </w:p>
    <w:p w14:paraId="3D431500" w14:textId="77777777" w:rsidR="009C6940" w:rsidRDefault="009C6940" w:rsidP="009C6940">
      <w:pPr>
        <w:pStyle w:val="ListBullet"/>
      </w:pPr>
      <w:r>
        <w:t xml:space="preserve">Several </w:t>
      </w:r>
      <w:r w:rsidRPr="00C139D9">
        <w:t xml:space="preserve">participants suggested that the </w:t>
      </w:r>
      <w:r>
        <w:t>Australian Government Department of Health</w:t>
      </w:r>
      <w:r w:rsidRPr="00C139D9">
        <w:t xml:space="preserve">’s decisions about </w:t>
      </w:r>
      <w:r>
        <w:t xml:space="preserve">hypothecating PHN funding are motivated by politics rather than evidence </w:t>
      </w:r>
      <w:r w:rsidRPr="00C139D9">
        <w:t>(</w:t>
      </w:r>
      <w:r>
        <w:t>Martin Whitely, sub. </w:t>
      </w:r>
      <w:r w:rsidRPr="00C139D9">
        <w:t>1198</w:t>
      </w:r>
      <w:r>
        <w:t>; TAMHSS, sub. 919</w:t>
      </w:r>
      <w:r w:rsidRPr="00C139D9">
        <w:t>)</w:t>
      </w:r>
      <w:r>
        <w:t>.</w:t>
      </w:r>
    </w:p>
    <w:p w14:paraId="518982A1" w14:textId="77777777" w:rsidR="009C6940" w:rsidRDefault="009C6940" w:rsidP="009C6940">
      <w:pPr>
        <w:pStyle w:val="BodyText"/>
      </w:pPr>
      <w:r>
        <w:t>On balance, these arguments suggest that, at least in the longer term, funding to headspace should not be hypothecated. Rather, like any commissioned service, headspace should be required to show how its services are meeting local needs in order to receive ongoing funding (chapter 23).</w:t>
      </w:r>
    </w:p>
    <w:p w14:paraId="23654E54" w14:textId="77777777" w:rsidR="009C6940" w:rsidRDefault="009C6940" w:rsidP="009C6940">
      <w:pPr>
        <w:pStyle w:val="Heading4"/>
      </w:pPr>
      <w:r>
        <w:t>Hypothecation of funding to Aboriginal and Torres Strait Islander mental health services</w:t>
      </w:r>
    </w:p>
    <w:p w14:paraId="007ABF51" w14:textId="77777777" w:rsidR="009C6940" w:rsidRDefault="009C6940" w:rsidP="009C6940">
      <w:pPr>
        <w:pStyle w:val="BodyText"/>
      </w:pPr>
      <w:r>
        <w:t xml:space="preserve">As noted above, the hypothecation of funding to Aboriginal and Torres Strait Islander mental health services differs from that which applies to headspace. The question that arises in this context is whether the competitive procurement processes that PHNs use are appropriate for </w:t>
      </w:r>
      <w:r w:rsidRPr="00E92148">
        <w:t>Aboriginal and Torres Strait Islander</w:t>
      </w:r>
      <w:r>
        <w:t xml:space="preserve"> mental health services. PHNs are required to </w:t>
      </w:r>
      <w:r w:rsidRPr="001112B4">
        <w:t>engage with Aboriginal and Torres Strait Islander communities and Aboriginal Community Controlled Health Service</w:t>
      </w:r>
      <w:r>
        <w:t xml:space="preserve">s (ACCHSs) </w:t>
      </w:r>
      <w:r w:rsidRPr="00906F80">
        <w:rPr>
          <w:szCs w:val="24"/>
        </w:rPr>
        <w:t>(DoH 2016b)</w:t>
      </w:r>
      <w:r>
        <w:t xml:space="preserve">, but are free to contract any organisation to provide </w:t>
      </w:r>
      <w:r w:rsidRPr="00E92148">
        <w:t>Aboriginal and Torres Strait Islander</w:t>
      </w:r>
      <w:r>
        <w:t xml:space="preserve"> mental health services, whether an ACCHS or not </w:t>
      </w:r>
      <w:r w:rsidRPr="00E92148">
        <w:rPr>
          <w:szCs w:val="24"/>
        </w:rPr>
        <w:t>(DoH 2019a)</w:t>
      </w:r>
      <w:r>
        <w:t>.</w:t>
      </w:r>
    </w:p>
    <w:p w14:paraId="000A2EE4" w14:textId="77777777" w:rsidR="009C6940" w:rsidRPr="009718F9" w:rsidRDefault="009C6940" w:rsidP="009C6940">
      <w:pPr>
        <w:pStyle w:val="BodyText"/>
      </w:pPr>
      <w:r w:rsidRPr="00445F4F">
        <w:t>Some participants contend</w:t>
      </w:r>
      <w:r>
        <w:t xml:space="preserve">ed that these processes, </w:t>
      </w:r>
      <w:r w:rsidRPr="00445F4F">
        <w:t>in effect, contribute to unmet need in a large proportion of Aboriginal and Torres Strait Islander communities</w:t>
      </w:r>
      <w:r>
        <w:t>.</w:t>
      </w:r>
      <w:r>
        <w:rPr>
          <w:rStyle w:val="FootnoteReference"/>
        </w:rPr>
        <w:footnoteReference w:id="8"/>
      </w:r>
      <w:r>
        <w:t xml:space="preserve"> </w:t>
      </w:r>
      <w:r w:rsidRPr="00445F4F">
        <w:t>The National Aboriginal</w:t>
      </w:r>
      <w:r w:rsidRPr="009718F9">
        <w:t xml:space="preserve"> and Torres Strait Islander Leader</w:t>
      </w:r>
      <w:r>
        <w:t>ship in Mental Health</w:t>
      </w:r>
      <w:r w:rsidRPr="009718F9">
        <w:t>, Indigenou</w:t>
      </w:r>
      <w:r>
        <w:t>s Allied Health Australia</w:t>
      </w:r>
      <w:r w:rsidRPr="009718F9">
        <w:t xml:space="preserve"> and Australian Indigenous </w:t>
      </w:r>
      <w:r>
        <w:t>Psychologists Association</w:t>
      </w:r>
      <w:r w:rsidRPr="009718F9">
        <w:t xml:space="preserve"> (sub. 418) argued that: </w:t>
      </w:r>
    </w:p>
    <w:p w14:paraId="21B5979B" w14:textId="77777777" w:rsidR="009C6940" w:rsidRPr="009718F9" w:rsidRDefault="009C6940" w:rsidP="009C6940">
      <w:pPr>
        <w:pStyle w:val="ListBullet"/>
      </w:pPr>
      <w:r w:rsidRPr="009718F9">
        <w:t xml:space="preserve">idealised functioning ‘health markets’ do not exist for Aboriginal and Torres Strait Islander mental health services in many parts of Australia (the ‘thin market’ problem), so competitive processes </w:t>
      </w:r>
      <w:r>
        <w:t>a</w:t>
      </w:r>
      <w:r w:rsidRPr="009718F9">
        <w:t>re ineffective in maximising value for money</w:t>
      </w:r>
    </w:p>
    <w:p w14:paraId="4E85CBD1" w14:textId="77777777" w:rsidR="009C6940" w:rsidRPr="001112B4" w:rsidRDefault="009C6940" w:rsidP="009C6940">
      <w:pPr>
        <w:pStyle w:val="ListBullet"/>
      </w:pPr>
      <w:r w:rsidRPr="001112B4">
        <w:t xml:space="preserve">where competitive tendering is possible, it risks favouring organisations that write strong applications, </w:t>
      </w:r>
      <w:r>
        <w:t xml:space="preserve">which are </w:t>
      </w:r>
      <w:r w:rsidRPr="001112B4">
        <w:t xml:space="preserve">not those that </w:t>
      </w:r>
      <w:r>
        <w:t xml:space="preserve">necessarily </w:t>
      </w:r>
      <w:r w:rsidRPr="001112B4">
        <w:t>improve access to services and deliver sustainable outcomes.</w:t>
      </w:r>
    </w:p>
    <w:p w14:paraId="7DE8EE9F" w14:textId="77777777" w:rsidR="009C6940" w:rsidRDefault="009C6940" w:rsidP="009C6940">
      <w:pPr>
        <w:pStyle w:val="BodyText"/>
      </w:pPr>
      <w:r>
        <w:t xml:space="preserve">Hence, the Productivity Commission has considered whether ACCHSs should be preferred providers of Aboriginal and Torres Strait Islander mental health services, which would </w:t>
      </w:r>
      <w:r>
        <w:lastRenderedPageBreak/>
        <w:t xml:space="preserve">effectively allow them access </w:t>
      </w:r>
      <w:r w:rsidRPr="00E92148">
        <w:t xml:space="preserve">PHN </w:t>
      </w:r>
      <w:r>
        <w:t xml:space="preserve">mental health funds outside of standard competitive procurement process — the position supported by the </w:t>
      </w:r>
      <w:r w:rsidRPr="00445F4F">
        <w:t>National Aboriginal</w:t>
      </w:r>
      <w:r w:rsidRPr="009718F9">
        <w:t xml:space="preserve"> and Torres Strait Islander Leadership in Mental Health, Indigenous Allied Health Australia and Australian Indigenous Psychologists Association</w:t>
      </w:r>
      <w:r w:rsidDel="001F4CE1">
        <w:t xml:space="preserve"> </w:t>
      </w:r>
      <w:r>
        <w:rPr>
          <w:spacing w:val="-2"/>
        </w:rPr>
        <w:t>(</w:t>
      </w:r>
      <w:r w:rsidRPr="00EA1D09">
        <w:rPr>
          <w:spacing w:val="-2"/>
        </w:rPr>
        <w:t>sub. 418</w:t>
      </w:r>
      <w:r>
        <w:rPr>
          <w:spacing w:val="-2"/>
        </w:rPr>
        <w:t xml:space="preserve">) and </w:t>
      </w:r>
      <w:r>
        <w:t xml:space="preserve">ACCHSs themselves (IUIH, sub. 1108; NACCHO, </w:t>
      </w:r>
      <w:r w:rsidRPr="00EA1D09">
        <w:t>sub. 507</w:t>
      </w:r>
      <w:r>
        <w:t>).</w:t>
      </w:r>
    </w:p>
    <w:p w14:paraId="6C173C40" w14:textId="77777777" w:rsidR="009C6940" w:rsidRPr="006E7AC3" w:rsidRDefault="009C6940" w:rsidP="009C6940">
      <w:pPr>
        <w:pStyle w:val="BodyText"/>
        <w:rPr>
          <w:spacing w:val="2"/>
        </w:rPr>
      </w:pPr>
      <w:r w:rsidRPr="006E7AC3">
        <w:rPr>
          <w:spacing w:val="2"/>
        </w:rPr>
        <w:t>Aside from the shortcomings of competitive procurement in this context, the argument in favour is that ACCHSs generally offer benefits for Aboriginal and Torres Strait Islander people.</w:t>
      </w:r>
    </w:p>
    <w:p w14:paraId="526F5211" w14:textId="77777777" w:rsidR="009C6940" w:rsidRDefault="009C6940" w:rsidP="009C6940">
      <w:pPr>
        <w:pStyle w:val="ListBullet"/>
      </w:pPr>
      <w:r>
        <w:t xml:space="preserve">According to </w:t>
      </w:r>
      <w:r w:rsidRPr="00445F4F">
        <w:t>National Aboriginal</w:t>
      </w:r>
      <w:r w:rsidRPr="009718F9">
        <w:t xml:space="preserve"> and Torres Strait Islander Leadership in Mental Health, Indigenous Allied Health Australia and Australian Indigenous Psychologists Association</w:t>
      </w:r>
      <w:r>
        <w:rPr>
          <w:spacing w:val="-2"/>
        </w:rPr>
        <w:t xml:space="preserve"> (sub. 418, p. 9)</w:t>
      </w:r>
      <w:r>
        <w:t>, they provide:</w:t>
      </w:r>
    </w:p>
    <w:p w14:paraId="13AC48E5" w14:textId="77777777" w:rsidR="009C6940" w:rsidRDefault="009C6940" w:rsidP="009C6940">
      <w:pPr>
        <w:pStyle w:val="Quote"/>
        <w:rPr>
          <w:spacing w:val="-2"/>
        </w:rPr>
      </w:pPr>
      <w:r w:rsidRPr="00872D20">
        <w:rPr>
          <w:spacing w:val="-2"/>
        </w:rPr>
        <w:t>… a more accessible service by being based in Aboriginal and Torres Strait Islander communities and providing a culturally safe service environment and a culturally competent service experience. In contrast, most ot</w:t>
      </w:r>
      <w:r w:rsidRPr="00EA1D09">
        <w:rPr>
          <w:spacing w:val="-2"/>
        </w:rPr>
        <w:t>her services tend to lack these community/ cultural connections that are essential for prom</w:t>
      </w:r>
      <w:r>
        <w:rPr>
          <w:spacing w:val="-2"/>
        </w:rPr>
        <w:t>oting access to services.</w:t>
      </w:r>
    </w:p>
    <w:p w14:paraId="53753030" w14:textId="77777777" w:rsidR="009C6940" w:rsidRPr="00944790" w:rsidRDefault="009C6940" w:rsidP="009C6940">
      <w:pPr>
        <w:pStyle w:val="ListBullet"/>
      </w:pPr>
      <w:r w:rsidRPr="00944790">
        <w:t>Despite concluding that there is ‘a lack of evidence in the academic literature on the effectiveness of ACCHS</w:t>
      </w:r>
      <w:r>
        <w:t>s</w:t>
      </w:r>
      <w:r w:rsidRPr="00944790">
        <w:t xml:space="preserve"> compared </w:t>
      </w:r>
      <w:r>
        <w:t xml:space="preserve">with mainstream health services’, a literature review noted that ‘… </w:t>
      </w:r>
      <w:r w:rsidRPr="00944790">
        <w:t>a range of studies have been conducted which, while mostly small</w:t>
      </w:r>
      <w:r>
        <w:noBreakHyphen/>
      </w:r>
      <w:r w:rsidRPr="00944790">
        <w:t>scale, indicate that the services provided by ACCHS are valued by their Aboriginal clients</w:t>
      </w:r>
      <w:r>
        <w:t xml:space="preserve">’ </w:t>
      </w:r>
      <w:r w:rsidRPr="0095371F">
        <w:rPr>
          <w:szCs w:val="24"/>
        </w:rPr>
        <w:t>(Mackey, Boxall and Partel 2014, p. 6)</w:t>
      </w:r>
      <w:r>
        <w:t xml:space="preserve">. </w:t>
      </w:r>
    </w:p>
    <w:p w14:paraId="51C687B7" w14:textId="77777777" w:rsidR="009C6940" w:rsidRPr="006E7AC3" w:rsidRDefault="009C6940" w:rsidP="009C6940">
      <w:pPr>
        <w:pStyle w:val="BodyText"/>
        <w:rPr>
          <w:spacing w:val="-2"/>
        </w:rPr>
      </w:pPr>
      <w:r w:rsidRPr="006E7AC3">
        <w:rPr>
          <w:spacing w:val="-2"/>
        </w:rPr>
        <w:t>The argument against ACCHSs being preferred providers of Aboriginal and Torres Strait Islander mental health services hinges on whether the current arrangements adequately promote choice for Aboriginal and Torres Strait Islander people. Various participants highlighted the importance of choice that enables Aboriginal and Torres Strait Islander people to best meet their needs and preferences, for example, the Aboriginal Health and Medical Research Council (sub. 206) and the Mental Health Commission of New South Wales (sub. 948). But it is not clear that competitive processes do enhance choice for Aboriginal and Torres Strait Islander people. As noted above, competitive procurement processes seem somewhat unsuited to this context. And, were ACCHSs to be made preferred providers of Aboriginal and Torres Strait Islander mental health services, many Aboriginal and Torres Strait Islander people would retain access to mainstream providers funded via other means.</w:t>
      </w:r>
    </w:p>
    <w:p w14:paraId="48514EFF" w14:textId="77777777" w:rsidR="009C6940" w:rsidRDefault="009C6940" w:rsidP="009C6940">
      <w:pPr>
        <w:pStyle w:val="BodyText"/>
      </w:pPr>
      <w:r>
        <w:t xml:space="preserve">For these reasons, chapter 23 recommends that </w:t>
      </w:r>
      <w:r w:rsidRPr="006358A6">
        <w:t>ACCHSs should be made preferred providers of Aboriginal and Torres Strait Islander mental health services</w:t>
      </w:r>
      <w:r>
        <w:t>.</w:t>
      </w:r>
    </w:p>
    <w:p w14:paraId="72506C78" w14:textId="77777777" w:rsidR="009C6940" w:rsidRDefault="009C6940" w:rsidP="009C6940">
      <w:pPr>
        <w:pStyle w:val="Heading4"/>
      </w:pPr>
      <w:r>
        <w:t>Guidance provided to Primary Health Networks</w:t>
      </w:r>
    </w:p>
    <w:p w14:paraId="125E1DA6" w14:textId="77777777" w:rsidR="009C6940" w:rsidRDefault="009C6940" w:rsidP="009C6940">
      <w:pPr>
        <w:pStyle w:val="BodyText"/>
      </w:pPr>
      <w:r>
        <w:t>The lack of guidance provided to PHNs over the discretionary part of the PHN Mental Health Care Flexible Funding Pool is problematic. PHN guidance documents generally require PHNs to commission ‘evidence</w:t>
      </w:r>
      <w:r>
        <w:noBreakHyphen/>
        <w:t>based’ services, but there is no direction provided to PHNs about which services are suitably evidence</w:t>
      </w:r>
      <w:r>
        <w:noBreakHyphen/>
        <w:t xml:space="preserve">based. Not all PHNs have the scale to develop </w:t>
      </w:r>
      <w:r>
        <w:lastRenderedPageBreak/>
        <w:t>sufficiently high</w:t>
      </w:r>
      <w:r>
        <w:noBreakHyphen/>
        <w:t>level expertise in commissioning (TAMHSS, sub. 919). A review by the PHN Advisory Panel on Mental Health noted that:</w:t>
      </w:r>
    </w:p>
    <w:p w14:paraId="3FA42C11" w14:textId="77777777" w:rsidR="009C6940" w:rsidRDefault="009C6940" w:rsidP="009C6940">
      <w:pPr>
        <w:pStyle w:val="Quote"/>
      </w:pPr>
      <w:r>
        <w:t>Three years on from their establishment, stakeholder input to this review suggests significant variability between PHNs with respect to their organisational capability and capacity to implement mental health reform. Some PHNs demonstrate significant progress and achievements as change agents and system integrators while others evidence less readiness for these roles, with At the State and Territory Government level, the focus on hospital</w:t>
      </w:r>
      <w:r>
        <w:noBreakHyphen/>
        <w:t>based care over community</w:t>
      </w:r>
      <w:r>
        <w:noBreakHyphen/>
        <w:t xml:space="preserve">based care appears somewhat of a product of funding arrangements. a commensurate diminution in their progress. </w:t>
      </w:r>
      <w:r w:rsidRPr="003439DD">
        <w:rPr>
          <w:szCs w:val="24"/>
        </w:rPr>
        <w:t>(PHN Advisory Panel 2018, p. 4)</w:t>
      </w:r>
    </w:p>
    <w:p w14:paraId="183B5BF3" w14:textId="77777777" w:rsidR="009C6940" w:rsidRDefault="009C6940" w:rsidP="009C6940">
      <w:pPr>
        <w:pStyle w:val="BodyText"/>
      </w:pPr>
      <w:r>
        <w:t>Chapter 23 recommends that the Australian Government Department of Health should provide more guidance to PHNs.</w:t>
      </w:r>
    </w:p>
    <w:p w14:paraId="38432F9A" w14:textId="77777777" w:rsidR="009C6940" w:rsidRDefault="009C6940" w:rsidP="009C6940">
      <w:pPr>
        <w:pStyle w:val="Heading2"/>
      </w:pPr>
      <w:r>
        <w:t>G.</w:t>
      </w:r>
      <w:r>
        <w:rPr>
          <w:noProof/>
        </w:rPr>
        <w:t>3</w:t>
      </w:r>
      <w:r>
        <w:tab/>
        <w:t>Local Hospital Network funding arrangements</w:t>
      </w:r>
    </w:p>
    <w:p w14:paraId="0485F4E0" w14:textId="77777777" w:rsidR="009C6940" w:rsidRDefault="009C6940" w:rsidP="009C6940">
      <w:pPr>
        <w:pStyle w:val="BodyText"/>
      </w:pPr>
      <w:r>
        <w:t>While governance arrangements differ between jurisdictions, generally State/Territory Government health departments</w:t>
      </w:r>
      <w:r w:rsidRPr="009807F4">
        <w:t xml:space="preserve"> purchase</w:t>
      </w:r>
      <w:r>
        <w:t xml:space="preserve"> public mental healthcare (hospital</w:t>
      </w:r>
      <w:r>
        <w:noBreakHyphen/>
        <w:t>based mental healthcare, community ambulatory mental healthcare and residential mental healthcare) from providers managed by LHNs (with the Western Australian Mental Health Commission playing the role of the health department in Western Australia). In most States/Territories, LHNs are remunerated on an activity basis (activity</w:t>
      </w:r>
      <w:r>
        <w:noBreakHyphen/>
        <w:t>based funding) to provide most hospital</w:t>
      </w:r>
      <w:r>
        <w:noBreakHyphen/>
        <w:t>based mental healthcare, and receive block funding to provide community ambulatory and residential mental healthcare (box G.6).</w:t>
      </w:r>
    </w:p>
    <w:p w14:paraId="220FE54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2AD774A" w14:textId="77777777" w:rsidTr="009C6940">
        <w:trPr>
          <w:tblHeader/>
        </w:trPr>
        <w:tc>
          <w:tcPr>
            <w:tcW w:w="5000" w:type="pct"/>
            <w:tcBorders>
              <w:top w:val="single" w:sz="6" w:space="0" w:color="78A22F"/>
              <w:left w:val="nil"/>
              <w:bottom w:val="nil"/>
              <w:right w:val="nil"/>
            </w:tcBorders>
            <w:shd w:val="clear" w:color="auto" w:fill="F2F2F2"/>
          </w:tcPr>
          <w:p w14:paraId="56DACB13" w14:textId="77777777" w:rsidR="009C6940" w:rsidRDefault="009C6940" w:rsidP="009C6940">
            <w:pPr>
              <w:pStyle w:val="BoxTitle"/>
            </w:pPr>
            <w:r>
              <w:rPr>
                <w:b w:val="0"/>
              </w:rPr>
              <w:t>Box G.</w:t>
            </w:r>
            <w:r>
              <w:rPr>
                <w:b w:val="0"/>
                <w:noProof/>
              </w:rPr>
              <w:t>6</w:t>
            </w:r>
            <w:r>
              <w:tab/>
              <w:t>Public mental healthcare funding models by State/Territory</w:t>
            </w:r>
          </w:p>
        </w:tc>
      </w:tr>
      <w:tr w:rsidR="009C6940" w14:paraId="406F8ADF" w14:textId="77777777" w:rsidTr="009C6940">
        <w:tc>
          <w:tcPr>
            <w:tcW w:w="5000" w:type="pct"/>
            <w:tcBorders>
              <w:top w:val="nil"/>
              <w:left w:val="nil"/>
              <w:bottom w:val="nil"/>
              <w:right w:val="nil"/>
            </w:tcBorders>
            <w:shd w:val="clear" w:color="auto" w:fill="F2F2F2"/>
          </w:tcPr>
          <w:p w14:paraId="73C60E1F" w14:textId="77777777" w:rsidR="009C6940" w:rsidRDefault="009C6940" w:rsidP="009C6940">
            <w:pPr>
              <w:pStyle w:val="Box"/>
            </w:pPr>
            <w:r>
              <w:t xml:space="preserve">New South Wales, South Australia, Western Australia and Tasmania each follow the funding model for public mental health services used by the Independent Hospital Pricing Authority to calculate Australian Government transfers for these services (albeit with different prices paid for different service types) </w:t>
            </w:r>
            <w:r w:rsidRPr="00210417">
              <w:rPr>
                <w:rFonts w:cs="Arial"/>
                <w:szCs w:val="24"/>
              </w:rPr>
              <w:t>(SA Health 2018; Tas DoH 2019; WA DoH 2017)</w:t>
            </w:r>
            <w:r>
              <w:t>. They use activity</w:t>
            </w:r>
            <w:r>
              <w:noBreakHyphen/>
              <w:t>based funding for admitted care in general hospitals and block funding for admitted care in psychiatric hospitals, community ambulatory mental healthcare, and residential mental healthcare.</w:t>
            </w:r>
          </w:p>
          <w:p w14:paraId="1018BCF7" w14:textId="77777777" w:rsidR="009C6940" w:rsidRDefault="009C6940" w:rsidP="009C6940">
            <w:pPr>
              <w:pStyle w:val="Box"/>
            </w:pPr>
            <w:r>
              <w:t xml:space="preserve">Queensland’s model differs from these states in that it funds admitted care in general hospitals using a ‘per diem’ funding model (payments made per day of care provided) </w:t>
            </w:r>
            <w:r w:rsidRPr="00906F80">
              <w:rPr>
                <w:rFonts w:cs="Arial"/>
                <w:szCs w:val="24"/>
              </w:rPr>
              <w:t>(Queensland Health 2019)</w:t>
            </w:r>
            <w:r>
              <w:t>. By contrast, activity</w:t>
            </w:r>
            <w:r>
              <w:noBreakHyphen/>
              <w:t xml:space="preserve">based funding is paid per episode of care provided. </w:t>
            </w:r>
          </w:p>
          <w:p w14:paraId="20161365" w14:textId="77777777" w:rsidR="009C6940" w:rsidRDefault="009C6940" w:rsidP="009C6940">
            <w:pPr>
              <w:pStyle w:val="Box"/>
            </w:pPr>
            <w:r>
              <w:t xml:space="preserve">Victoria’s funding model differs further. It funds admitted and residential care on the basis of ‘available bed days’ (meaning that funding is conditional on bed availability, rather than utilisation). And it funds community ambulatory mental healthcare on the basis of ‘community service hours’ </w:t>
            </w:r>
            <w:r w:rsidRPr="00BC28A5">
              <w:rPr>
                <w:rFonts w:cs="Arial"/>
                <w:szCs w:val="24"/>
              </w:rPr>
              <w:t>(VIC DHHS 2019)</w:t>
            </w:r>
            <w:r>
              <w:t>.</w:t>
            </w:r>
          </w:p>
          <w:p w14:paraId="09F2BDFF" w14:textId="77777777" w:rsidR="009C6940" w:rsidRDefault="009C6940" w:rsidP="009C6940">
            <w:pPr>
              <w:pStyle w:val="Box"/>
            </w:pPr>
            <w:r>
              <w:t>The ACT Government did not provide us with a description of the funding models it uses for public mental healthcare and the Northern Territory Government did not respond to our requests for information about its funding models.</w:t>
            </w:r>
          </w:p>
        </w:tc>
      </w:tr>
      <w:tr w:rsidR="009C6940" w14:paraId="3E6CF7AC" w14:textId="77777777" w:rsidTr="009C6940">
        <w:tc>
          <w:tcPr>
            <w:tcW w:w="5000" w:type="pct"/>
            <w:tcBorders>
              <w:top w:val="nil"/>
              <w:left w:val="nil"/>
              <w:bottom w:val="single" w:sz="6" w:space="0" w:color="78A22F"/>
              <w:right w:val="nil"/>
            </w:tcBorders>
            <w:shd w:val="clear" w:color="auto" w:fill="F2F2F2"/>
          </w:tcPr>
          <w:p w14:paraId="122F5F70" w14:textId="77777777" w:rsidR="009C6940" w:rsidRDefault="009C6940" w:rsidP="009C6940">
            <w:pPr>
              <w:pStyle w:val="Box"/>
              <w:spacing w:before="0" w:line="120" w:lineRule="exact"/>
            </w:pPr>
          </w:p>
        </w:tc>
      </w:tr>
      <w:tr w:rsidR="009C6940" w:rsidRPr="000863A5" w14:paraId="709F89C8" w14:textId="77777777" w:rsidTr="009C6940">
        <w:tc>
          <w:tcPr>
            <w:tcW w:w="5000" w:type="pct"/>
            <w:tcBorders>
              <w:top w:val="single" w:sz="6" w:space="0" w:color="78A22F"/>
              <w:left w:val="nil"/>
              <w:bottom w:val="nil"/>
              <w:right w:val="nil"/>
            </w:tcBorders>
          </w:tcPr>
          <w:p w14:paraId="75664CDC" w14:textId="77777777" w:rsidR="009C6940" w:rsidRPr="00626D32" w:rsidRDefault="009C6940" w:rsidP="009C6940">
            <w:pPr>
              <w:pStyle w:val="BoxSpaceBelow"/>
            </w:pPr>
          </w:p>
        </w:tc>
      </w:tr>
    </w:tbl>
    <w:p w14:paraId="3375B338" w14:textId="77777777" w:rsidR="009C6940" w:rsidRPr="006E7AC3" w:rsidRDefault="009C6940" w:rsidP="009C6940">
      <w:pPr>
        <w:pStyle w:val="BodyText"/>
        <w:rPr>
          <w:spacing w:val="-2"/>
        </w:rPr>
      </w:pPr>
      <w:r w:rsidRPr="006E7AC3">
        <w:rPr>
          <w:spacing w:val="-2"/>
        </w:rPr>
        <w:lastRenderedPageBreak/>
        <w:t>This creates a financial incentive for LHNs to preference public hospital</w:t>
      </w:r>
      <w:r w:rsidRPr="006E7AC3">
        <w:rPr>
          <w:spacing w:val="-2"/>
        </w:rPr>
        <w:noBreakHyphen/>
        <w:t>based care over community</w:t>
      </w:r>
      <w:r w:rsidRPr="006E7AC3">
        <w:rPr>
          <w:spacing w:val="-2"/>
        </w:rPr>
        <w:noBreakHyphen/>
        <w:t>based care. LHNs receive additional (and, generally, cost</w:t>
      </w:r>
      <w:r w:rsidRPr="006E7AC3">
        <w:rPr>
          <w:spacing w:val="-2"/>
        </w:rPr>
        <w:noBreakHyphen/>
        <w:t>reflective) funding for each additional consumer they admit to hospital or service at an emergency department, but no additional funding for providing community ambulatory or residential mental healthcare to each additional consumer.</w:t>
      </w:r>
      <w:r w:rsidRPr="006E7AC3">
        <w:rPr>
          <w:rStyle w:val="FootnoteReference"/>
          <w:spacing w:val="-2"/>
        </w:rPr>
        <w:footnoteReference w:id="9"/>
      </w:r>
      <w:r w:rsidRPr="006E7AC3">
        <w:rPr>
          <w:spacing w:val="-2"/>
        </w:rPr>
        <w:t xml:space="preserve"> Several participants and commentators noted this phenomenon. </w:t>
      </w:r>
    </w:p>
    <w:p w14:paraId="45694508" w14:textId="77777777" w:rsidR="009C6940" w:rsidRDefault="009C6940" w:rsidP="009C6940">
      <w:pPr>
        <w:pStyle w:val="ListBullet"/>
      </w:pPr>
      <w:r>
        <w:t>The New South Wales Government (sub. 551, p. 26) said:</w:t>
      </w:r>
    </w:p>
    <w:p w14:paraId="728A2E00" w14:textId="77777777" w:rsidR="009C6940" w:rsidRDefault="009C6940" w:rsidP="009C6940">
      <w:pPr>
        <w:pStyle w:val="Quote"/>
      </w:pPr>
      <w:r>
        <w:t>Neither MBS nor [activity-based funding] within hospitals incentivise providers to invest in prevention and early intervention or address the underlying drivers of hospital admissions. They do not reward investments that support individuals using more appropriate and lower cost services (such as walk</w:t>
      </w:r>
      <w:r>
        <w:noBreakHyphen/>
        <w:t>in or community</w:t>
      </w:r>
      <w:r>
        <w:noBreakHyphen/>
        <w:t>based clinics).</w:t>
      </w:r>
    </w:p>
    <w:p w14:paraId="3A13BDFF" w14:textId="77777777" w:rsidR="009C6940" w:rsidRDefault="009C6940" w:rsidP="009C6940">
      <w:pPr>
        <w:pStyle w:val="ListBullet"/>
      </w:pPr>
      <w:r>
        <w:t>Wand </w:t>
      </w:r>
      <w:r w:rsidRPr="006370CA">
        <w:rPr>
          <w:szCs w:val="24"/>
        </w:rPr>
        <w:t>(2014, p. 273)</w:t>
      </w:r>
      <w:r>
        <w:t xml:space="preserve"> said:</w:t>
      </w:r>
    </w:p>
    <w:p w14:paraId="226CAD31" w14:textId="77777777" w:rsidR="009C6940" w:rsidRPr="00786521" w:rsidRDefault="009C6940" w:rsidP="009C6940">
      <w:pPr>
        <w:pStyle w:val="Quote"/>
      </w:pPr>
      <w:r>
        <w:t>Another criticism of the [activity-based funding] model is the potential for ‘gaming’ the system. This refers to hospitals or [LHNs] exploiting the system to obtain more funding. One example of this is the diversion of patients from community</w:t>
      </w:r>
      <w:r>
        <w:noBreakHyphen/>
        <w:t>based services to the more lucrative options of inpatient admissions and EDs. Not only would this add to the current problems with overstretched EDs and bed block, but it is at odds with the evidence favouring the effectiveness of community</w:t>
      </w:r>
      <w:r>
        <w:noBreakHyphen/>
        <w:t>based mental health care and consumer preferences.</w:t>
      </w:r>
    </w:p>
    <w:p w14:paraId="3E3CE434" w14:textId="77777777" w:rsidR="009C6940" w:rsidRDefault="009C6940" w:rsidP="009C6940">
      <w:pPr>
        <w:pStyle w:val="ListBullet"/>
      </w:pPr>
      <w:r>
        <w:t>During our consultations, one participant remarked that ‘LHNs just play the [National Weighted Activity Unit] game’ — meaning that their concern is with ensuring that they meet their targets for hospital admissions.</w:t>
      </w:r>
    </w:p>
    <w:p w14:paraId="410B6998" w14:textId="77777777" w:rsidR="009C6940" w:rsidRDefault="009C6940" w:rsidP="009C6940">
      <w:pPr>
        <w:pStyle w:val="ListBullet"/>
      </w:pPr>
      <w:r>
        <w:t>WentWest (sub. 445) noted that LHNs are hospital</w:t>
      </w:r>
      <w:r>
        <w:noBreakHyphen/>
        <w:t>centric.</w:t>
      </w:r>
    </w:p>
    <w:p w14:paraId="6DDEC9BA" w14:textId="77777777" w:rsidR="009C6940" w:rsidRDefault="009C6940" w:rsidP="009C6940">
      <w:pPr>
        <w:pStyle w:val="Heading3"/>
      </w:pPr>
      <w:r>
        <w:t>Impacts of the National Health Reform Agreement</w:t>
      </w:r>
    </w:p>
    <w:p w14:paraId="16EDD8C9" w14:textId="77777777" w:rsidR="009C6940" w:rsidRDefault="009C6940" w:rsidP="009C6940">
      <w:pPr>
        <w:pStyle w:val="BodyText"/>
      </w:pPr>
      <w:r>
        <w:t>State and Territory Government health departments (or the Western Australian Mental Health Commission) could counterbalance LHNs’ incentives by specifying the mix of hospital</w:t>
      </w:r>
      <w:r>
        <w:noBreakHyphen/>
        <w:t>based, community ambulatory and residential mental healthcare that each LHN must provide. But Australian Government transfers to State and Territory Governments under the NHRA (box G.7) have created incentives for State and Territory Government health departments to favour hospital</w:t>
      </w:r>
      <w:r>
        <w:noBreakHyphen/>
        <w:t>based care (Allan Fels, sub. 303, attachment 2). From 2012</w:t>
      </w:r>
      <w:r>
        <w:noBreakHyphen/>
        <w:t>13 to 2016</w:t>
      </w:r>
      <w:r>
        <w:noBreakHyphen/>
        <w:t>17, the Australian Government subsidised 45% of the growth in the average cost of LHN</w:t>
      </w:r>
      <w:r>
        <w:noBreakHyphen/>
        <w:t>provided mental healthcare, lessening State and Territory Government incentives to limit cost growth in more expensive hospital</w:t>
      </w:r>
      <w:r>
        <w:noBreakHyphen/>
        <w:t>based care.</w:t>
      </w:r>
    </w:p>
    <w:p w14:paraId="3DA2665E"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953ACEA" w14:textId="77777777" w:rsidTr="009C6940">
        <w:trPr>
          <w:tblHeader/>
        </w:trPr>
        <w:tc>
          <w:tcPr>
            <w:tcW w:w="5000" w:type="pct"/>
            <w:tcBorders>
              <w:top w:val="single" w:sz="6" w:space="0" w:color="78A22F"/>
              <w:left w:val="nil"/>
              <w:bottom w:val="nil"/>
              <w:right w:val="nil"/>
            </w:tcBorders>
            <w:shd w:val="clear" w:color="auto" w:fill="F2F2F2"/>
          </w:tcPr>
          <w:p w14:paraId="1A3E0BB4" w14:textId="77777777" w:rsidR="009C6940" w:rsidRDefault="009C6940" w:rsidP="009C6940">
            <w:pPr>
              <w:pStyle w:val="BoxTitle"/>
            </w:pPr>
            <w:r>
              <w:rPr>
                <w:b w:val="0"/>
              </w:rPr>
              <w:t>Box G.</w:t>
            </w:r>
            <w:r>
              <w:rPr>
                <w:b w:val="0"/>
                <w:noProof/>
              </w:rPr>
              <w:t>7</w:t>
            </w:r>
            <w:r>
              <w:tab/>
              <w:t>The National Health Reform Agreement</w:t>
            </w:r>
          </w:p>
        </w:tc>
      </w:tr>
      <w:tr w:rsidR="009C6940" w14:paraId="14CB2C1D" w14:textId="77777777" w:rsidTr="009C6940">
        <w:tc>
          <w:tcPr>
            <w:tcW w:w="5000" w:type="pct"/>
            <w:tcBorders>
              <w:top w:val="nil"/>
              <w:left w:val="nil"/>
              <w:bottom w:val="nil"/>
              <w:right w:val="nil"/>
            </w:tcBorders>
            <w:shd w:val="clear" w:color="auto" w:fill="F2F2F2"/>
          </w:tcPr>
          <w:p w14:paraId="7A1D7382" w14:textId="77777777" w:rsidR="009C6940" w:rsidRDefault="009C6940" w:rsidP="009C6940">
            <w:pPr>
              <w:pStyle w:val="Box"/>
            </w:pPr>
            <w:r>
              <w:t xml:space="preserve">The 2011 National Health Reform Agreement sets out the framework through which the Australian Government funds State and Territory Governments to deliver health services (overwhelmingly hospital services) </w:t>
            </w:r>
            <w:r w:rsidRPr="00F54F5B">
              <w:rPr>
                <w:rFonts w:cs="Arial"/>
                <w:szCs w:val="24"/>
              </w:rPr>
              <w:t>(COAG 2011)</w:t>
            </w:r>
            <w:r>
              <w:t>.</w:t>
            </w:r>
          </w:p>
          <w:p w14:paraId="56E52EA6" w14:textId="77777777" w:rsidR="009C6940" w:rsidRDefault="009C6940" w:rsidP="009C6940">
            <w:pPr>
              <w:pStyle w:val="Box"/>
            </w:pPr>
            <w:r>
              <w:t>The mental health</w:t>
            </w:r>
            <w:r>
              <w:noBreakHyphen/>
              <w:t>related component of these transfers amounted to $1.8 billion in 2018</w:t>
            </w:r>
            <w:r>
              <w:noBreakHyphen/>
              <w:t>19, or 29% of all State and Territory Government expenditure on specialised mental healthcare services in 2017</w:t>
            </w:r>
            <w:r>
              <w:noBreakHyphen/>
              <w:t xml:space="preserve">18 (the most recent year for which comparable data are available) </w:t>
            </w:r>
            <w:r w:rsidRPr="004E5F06">
              <w:rPr>
                <w:rFonts w:cs="Arial"/>
                <w:szCs w:val="24"/>
              </w:rPr>
              <w:t>(AIHW 2020a; unpublished data from DoH)</w:t>
            </w:r>
            <w:r>
              <w:t>. The transfers grow at 45% of the growth in the national average cost of providing in</w:t>
            </w:r>
            <w:r>
              <w:noBreakHyphen/>
              <w:t>scope public mental healthcare, subject to an annual growth cap of 6.5% per annum that was introduced in 2017</w:t>
            </w:r>
            <w:r>
              <w:noBreakHyphen/>
              <w:t>18.</w:t>
            </w:r>
          </w:p>
          <w:p w14:paraId="313B69DA" w14:textId="77777777" w:rsidR="009C6940" w:rsidRDefault="009C6940" w:rsidP="009C6940">
            <w:pPr>
              <w:pStyle w:val="Box"/>
            </w:pPr>
            <w:r>
              <w:t>The agreement also sets out common devolved governance arrangements for State and Territory Government health services. It requires State and Territory Governments to establish LHNs as separate legal entities that directly manage health services under service agreements with State and Territory Governments.</w:t>
            </w:r>
          </w:p>
          <w:p w14:paraId="4F5897FA" w14:textId="77777777" w:rsidR="009C6940" w:rsidRPr="0027757F" w:rsidRDefault="009C6940" w:rsidP="009C6940">
            <w:pPr>
              <w:pStyle w:val="Box"/>
            </w:pPr>
            <w:r>
              <w:t xml:space="preserve">The National Health Reform Agreement will expire on 31 June 2020. A 2020–25 agreement that maintains the existing funding parameters is expected to take effect from 1 July 2020 (all jurisdictions have signed a Heads of Agreement for this </w:t>
            </w:r>
            <w:r w:rsidRPr="00F54F5B">
              <w:rPr>
                <w:rFonts w:cs="Arial"/>
                <w:szCs w:val="24"/>
              </w:rPr>
              <w:t>(COAG 2018)</w:t>
            </w:r>
            <w:r>
              <w:t xml:space="preserve">). </w:t>
            </w:r>
          </w:p>
        </w:tc>
      </w:tr>
      <w:tr w:rsidR="009C6940" w14:paraId="1E5314E9" w14:textId="77777777" w:rsidTr="009C6940">
        <w:tc>
          <w:tcPr>
            <w:tcW w:w="5000" w:type="pct"/>
            <w:tcBorders>
              <w:top w:val="nil"/>
              <w:left w:val="nil"/>
              <w:bottom w:val="single" w:sz="6" w:space="0" w:color="78A22F"/>
              <w:right w:val="nil"/>
            </w:tcBorders>
            <w:shd w:val="clear" w:color="auto" w:fill="F2F2F2"/>
          </w:tcPr>
          <w:p w14:paraId="5168034A" w14:textId="77777777" w:rsidR="009C6940" w:rsidRDefault="009C6940" w:rsidP="009C6940">
            <w:pPr>
              <w:pStyle w:val="Box"/>
              <w:spacing w:before="0" w:line="120" w:lineRule="exact"/>
            </w:pPr>
          </w:p>
        </w:tc>
      </w:tr>
      <w:tr w:rsidR="009C6940" w:rsidRPr="000863A5" w14:paraId="2228FEE3" w14:textId="77777777" w:rsidTr="009C6940">
        <w:tc>
          <w:tcPr>
            <w:tcW w:w="5000" w:type="pct"/>
            <w:tcBorders>
              <w:top w:val="single" w:sz="6" w:space="0" w:color="78A22F"/>
              <w:left w:val="nil"/>
              <w:bottom w:val="nil"/>
              <w:right w:val="nil"/>
            </w:tcBorders>
          </w:tcPr>
          <w:p w14:paraId="7455FF1D" w14:textId="77777777" w:rsidR="009C6940" w:rsidRPr="00626D32" w:rsidRDefault="009C6940" w:rsidP="009C6940">
            <w:pPr>
              <w:pStyle w:val="BoxSpaceBelow"/>
            </w:pPr>
          </w:p>
        </w:tc>
      </w:tr>
    </w:tbl>
    <w:p w14:paraId="19C70DFA" w14:textId="77777777" w:rsidR="009C6940" w:rsidRDefault="009C6940" w:rsidP="009C6940">
      <w:pPr>
        <w:pStyle w:val="BodyText"/>
      </w:pPr>
      <w:r>
        <w:t>These incentives seem to have had some undesirable effects. Growth in expenditure on community ambulatory and residential mental healthcare generally exceeded growth in expenditure on public hospital</w:t>
      </w:r>
      <w:r>
        <w:noBreakHyphen/>
        <w:t>based mental healthcare prior to the NHRA taking effect (figure G.4). But since then, a much larger share of growth funding has gone to public hospital</w:t>
      </w:r>
      <w:r>
        <w:noBreakHyphen/>
        <w:t>based mental healthcare. This is despite National Mental Health Service Planning Framework benchmarks indicating that there are larger shortfalls in community ambulatory and residential mental healthcare than hospital</w:t>
      </w:r>
      <w:r>
        <w:noBreakHyphen/>
        <w:t>based mental healthcare, and frequent rhetoric about the need to build up services in the community to take pressure off hospitals (chapter 12).</w:t>
      </w:r>
    </w:p>
    <w:p w14:paraId="046FFC8D" w14:textId="77777777" w:rsidR="009C6940" w:rsidRDefault="009C6940" w:rsidP="009C6940">
      <w:pPr>
        <w:pStyle w:val="BodyText"/>
      </w:pPr>
      <w:r>
        <w:t>Recent changes to the NHRA may have reduced its distortionary impacts, although it is too early to be certain. Since 2017</w:t>
      </w:r>
      <w:r>
        <w:noBreakHyphen/>
        <w:t xml:space="preserve">18, annual growth in </w:t>
      </w:r>
      <w:r w:rsidRPr="0030260B">
        <w:rPr>
          <w:i/>
        </w:rPr>
        <w:t>total</w:t>
      </w:r>
      <w:r>
        <w:t xml:space="preserve"> (mental and physical health related) Australian Government contributions to State and Territory Governments under the NHRA has been capped at 6.5% (box G.7). If this cap is reached (or if State and Territory Government health departments </w:t>
      </w:r>
      <w:r w:rsidRPr="001965E5">
        <w:rPr>
          <w:i/>
        </w:rPr>
        <w:t>expect</w:t>
      </w:r>
      <w:r>
        <w:t xml:space="preserve"> that it </w:t>
      </w:r>
      <w:r w:rsidRPr="00047331">
        <w:t>will be</w:t>
      </w:r>
      <w:r>
        <w:t xml:space="preserve"> reached), then the distortion of State and Territory Government incentives — at least at the margin — would be neutralised. Funding growth in previous years has usually been sufficient to reach the cap. The cap was reached in 2018</w:t>
      </w:r>
      <w:r>
        <w:noBreakHyphen/>
        <w:t>19, but not in 2017</w:t>
      </w:r>
      <w:r>
        <w:noBreakHyphen/>
        <w:t xml:space="preserve">18 (the growth in Australian Government contributions in that year was 4.9% </w:t>
      </w:r>
      <w:r w:rsidRPr="00CB3EB5">
        <w:rPr>
          <w:szCs w:val="24"/>
        </w:rPr>
        <w:t>(NHFB 2020; pers. comm., 22 January 2020)</w:t>
      </w:r>
      <w:r>
        <w:t>). Years prior to the introduction of the cap saw growth in Australian Government funding comfortably exceed 6.5% — 11.5% in 2014</w:t>
      </w:r>
      <w:r>
        <w:noBreakHyphen/>
        <w:t>15, 11.1% in 2015</w:t>
      </w:r>
      <w:r>
        <w:noBreakHyphen/>
        <w:t>16 and 8.4% in 2016</w:t>
      </w:r>
      <w:r>
        <w:noBreakHyphen/>
        <w:t xml:space="preserve">17 </w:t>
      </w:r>
      <w:r w:rsidRPr="00761EDA">
        <w:rPr>
          <w:szCs w:val="24"/>
        </w:rPr>
        <w:t>(DoH 2019b)</w:t>
      </w:r>
      <w:r>
        <w:t>.</w:t>
      </w:r>
    </w:p>
    <w:p w14:paraId="573860B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D5BF719" w14:textId="77777777" w:rsidTr="009C6940">
        <w:trPr>
          <w:tblHeader/>
        </w:trPr>
        <w:tc>
          <w:tcPr>
            <w:tcW w:w="5000" w:type="pct"/>
            <w:tcBorders>
              <w:top w:val="single" w:sz="6" w:space="0" w:color="78A22F"/>
              <w:left w:val="nil"/>
              <w:bottom w:val="nil"/>
              <w:right w:val="nil"/>
            </w:tcBorders>
            <w:shd w:val="clear" w:color="auto" w:fill="auto"/>
          </w:tcPr>
          <w:p w14:paraId="28E284B3" w14:textId="77777777" w:rsidR="009C6940" w:rsidRPr="00D867B8" w:rsidRDefault="009C6940" w:rsidP="009C6940">
            <w:pPr>
              <w:pStyle w:val="FigureTitle"/>
              <w:rPr>
                <w:rStyle w:val="NoteLabel"/>
              </w:rPr>
            </w:pPr>
            <w:r w:rsidRPr="00784A05">
              <w:rPr>
                <w:b w:val="0"/>
              </w:rPr>
              <w:t xml:space="preserve">Figure </w:t>
            </w:r>
            <w:r>
              <w:rPr>
                <w:b w:val="0"/>
              </w:rPr>
              <w:t>G.</w:t>
            </w:r>
            <w:r>
              <w:rPr>
                <w:b w:val="0"/>
                <w:noProof/>
              </w:rPr>
              <w:t>4</w:t>
            </w:r>
            <w:r>
              <w:tab/>
              <w:t>Growth in expenditure on public mental healthcare</w:t>
            </w:r>
            <w:r w:rsidRPr="00D867B8">
              <w:rPr>
                <w:rStyle w:val="NoteLabel"/>
                <w:b/>
              </w:rPr>
              <w:t>a</w:t>
            </w:r>
          </w:p>
          <w:p w14:paraId="1509A06B" w14:textId="77777777" w:rsidR="009C6940" w:rsidRPr="00176D3F" w:rsidRDefault="009C6940" w:rsidP="009C6940">
            <w:pPr>
              <w:pStyle w:val="Subtitle"/>
            </w:pPr>
            <w:r>
              <w:t>State and Territory Government recurrent expenditure including Australian Government contributions</w:t>
            </w:r>
          </w:p>
        </w:tc>
      </w:tr>
      <w:tr w:rsidR="009C6940" w14:paraId="6BE75916"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B1465D" w14:paraId="303AEEB9" w14:textId="77777777" w:rsidTr="009C6940">
              <w:trPr>
                <w:tblHeader/>
                <w:jc w:val="center"/>
              </w:trPr>
              <w:tc>
                <w:tcPr>
                  <w:tcW w:w="5000" w:type="pct"/>
                  <w:tcBorders>
                    <w:top w:val="nil"/>
                    <w:bottom w:val="nil"/>
                  </w:tcBorders>
                </w:tcPr>
                <w:p w14:paraId="3C2345D6" w14:textId="77777777" w:rsidR="009C6940" w:rsidRPr="00B1465D" w:rsidRDefault="009C6940" w:rsidP="009C6940">
                  <w:pPr>
                    <w:pStyle w:val="Figure"/>
                    <w:spacing w:before="60" w:after="60"/>
                    <w:rPr>
                      <w:rFonts w:ascii="Arial" w:hAnsi="Arial" w:cs="Arial"/>
                      <w:sz w:val="18"/>
                      <w:szCs w:val="18"/>
                    </w:rPr>
                  </w:pPr>
                  <w:r w:rsidRPr="00222FF9">
                    <w:rPr>
                      <w:rFonts w:ascii="Arial" w:hAnsi="Arial" w:cs="Arial"/>
                      <w:noProof/>
                      <w:sz w:val="18"/>
                      <w:szCs w:val="18"/>
                    </w:rPr>
                    <w:drawing>
                      <wp:inline distT="0" distB="0" distL="0" distR="0" wp14:anchorId="46A801EC" wp14:editId="365EA728">
                        <wp:extent cx="5401310" cy="2881630"/>
                        <wp:effectExtent l="0" t="0" r="8890" b="0"/>
                        <wp:docPr id="37" name="Picture 37" descr="This figure shows the growth in real per-capita expenditure on community ambulatory and residential mental healthcare and public hospital mental healthcare from 2000-01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01310" cy="2881630"/>
                                </a:xfrm>
                                <a:prstGeom prst="rect">
                                  <a:avLst/>
                                </a:prstGeom>
                                <a:noFill/>
                                <a:ln>
                                  <a:noFill/>
                                </a:ln>
                              </pic:spPr>
                            </pic:pic>
                          </a:graphicData>
                        </a:graphic>
                      </wp:inline>
                    </w:drawing>
                  </w:r>
                </w:p>
              </w:tc>
            </w:tr>
          </w:tbl>
          <w:p w14:paraId="5FE4E9B9" w14:textId="77777777" w:rsidR="009C6940" w:rsidRDefault="009C6940" w:rsidP="009C6940">
            <w:pPr>
              <w:pStyle w:val="Figure"/>
            </w:pPr>
          </w:p>
        </w:tc>
      </w:tr>
      <w:tr w:rsidR="009C6940" w:rsidRPr="00176D3F" w14:paraId="4700D427" w14:textId="77777777" w:rsidTr="009C6940">
        <w:tc>
          <w:tcPr>
            <w:tcW w:w="5000" w:type="pct"/>
            <w:tcBorders>
              <w:top w:val="nil"/>
              <w:left w:val="nil"/>
              <w:bottom w:val="nil"/>
              <w:right w:val="nil"/>
            </w:tcBorders>
            <w:shd w:val="clear" w:color="auto" w:fill="auto"/>
          </w:tcPr>
          <w:p w14:paraId="25519D00" w14:textId="77777777" w:rsidR="009C6940" w:rsidRPr="00176D3F" w:rsidRDefault="009C6940" w:rsidP="009C6940">
            <w:pPr>
              <w:pStyle w:val="Note"/>
            </w:pPr>
            <w:r>
              <w:rPr>
                <w:rStyle w:val="NoteLabel"/>
              </w:rPr>
              <w:t>a</w:t>
            </w:r>
            <w:r>
              <w:t xml:space="preserve"> Public hospital mental healthcare includes public psychiatric hospitals and specialised wards or wards in public acute hospitals.</w:t>
            </w:r>
          </w:p>
        </w:tc>
      </w:tr>
      <w:tr w:rsidR="009C6940" w:rsidRPr="00176D3F" w14:paraId="407F501D" w14:textId="77777777" w:rsidTr="009C6940">
        <w:tc>
          <w:tcPr>
            <w:tcW w:w="5000" w:type="pct"/>
            <w:tcBorders>
              <w:top w:val="nil"/>
              <w:left w:val="nil"/>
              <w:bottom w:val="nil"/>
              <w:right w:val="nil"/>
            </w:tcBorders>
            <w:shd w:val="clear" w:color="auto" w:fill="auto"/>
          </w:tcPr>
          <w:p w14:paraId="05D7BD21" w14:textId="77777777" w:rsidR="009C6940" w:rsidRPr="00176D3F" w:rsidRDefault="009C6940" w:rsidP="009C6940">
            <w:pPr>
              <w:pStyle w:val="Source"/>
            </w:pPr>
            <w:r>
              <w:rPr>
                <w:i/>
              </w:rPr>
              <w:t>S</w:t>
            </w:r>
            <w:r w:rsidRPr="00784A05">
              <w:rPr>
                <w:i/>
              </w:rPr>
              <w:t>ource</w:t>
            </w:r>
            <w:r w:rsidRPr="00176D3F">
              <w:t xml:space="preserve">: </w:t>
            </w:r>
            <w:r>
              <w:t>AIHW </w:t>
            </w:r>
            <w:r w:rsidRPr="004E5F06">
              <w:rPr>
                <w:rFonts w:cs="Arial"/>
              </w:rPr>
              <w:t>(2020a)</w:t>
            </w:r>
            <w:r>
              <w:t>.</w:t>
            </w:r>
          </w:p>
        </w:tc>
      </w:tr>
      <w:tr w:rsidR="009C6940" w14:paraId="4E8D1CE7" w14:textId="77777777" w:rsidTr="009C6940">
        <w:tc>
          <w:tcPr>
            <w:tcW w:w="5000" w:type="pct"/>
            <w:tcBorders>
              <w:top w:val="nil"/>
              <w:left w:val="nil"/>
              <w:bottom w:val="single" w:sz="6" w:space="0" w:color="78A22F"/>
              <w:right w:val="nil"/>
            </w:tcBorders>
            <w:shd w:val="clear" w:color="auto" w:fill="auto"/>
          </w:tcPr>
          <w:p w14:paraId="6F313A0E" w14:textId="77777777" w:rsidR="009C6940" w:rsidRDefault="009C6940" w:rsidP="009C6940">
            <w:pPr>
              <w:pStyle w:val="Figurespace"/>
            </w:pPr>
          </w:p>
        </w:tc>
      </w:tr>
      <w:tr w:rsidR="009C6940" w:rsidRPr="000863A5" w14:paraId="450AA0D7" w14:textId="77777777" w:rsidTr="009C6940">
        <w:tc>
          <w:tcPr>
            <w:tcW w:w="5000" w:type="pct"/>
            <w:tcBorders>
              <w:top w:val="single" w:sz="6" w:space="0" w:color="78A22F"/>
              <w:left w:val="nil"/>
              <w:bottom w:val="nil"/>
              <w:right w:val="nil"/>
            </w:tcBorders>
          </w:tcPr>
          <w:p w14:paraId="169AA077" w14:textId="77777777" w:rsidR="009C6940" w:rsidRPr="00626D32" w:rsidRDefault="009C6940" w:rsidP="009C6940">
            <w:pPr>
              <w:pStyle w:val="BoxSpaceBelow"/>
            </w:pPr>
          </w:p>
        </w:tc>
      </w:tr>
    </w:tbl>
    <w:p w14:paraId="43C92701" w14:textId="77777777" w:rsidR="009C6940" w:rsidRDefault="009C6940" w:rsidP="009C6940">
      <w:pPr>
        <w:pStyle w:val="BodyText"/>
      </w:pPr>
      <w:r>
        <w:t>Empirical evidence of the impact of the funding cap is scant. Growth in expenditure on community ambulatory mental healthcare rose and growth in expenditure on hospital</w:t>
      </w:r>
      <w:r>
        <w:noBreakHyphen/>
        <w:t>based mental healthcare declined in 2017</w:t>
      </w:r>
      <w:r>
        <w:noBreakHyphen/>
        <w:t>18 (figure G.4), which is consistent with the cap having some impact, but it would be unwise to draw conclusions from only one year of data.</w:t>
      </w:r>
    </w:p>
    <w:p w14:paraId="16EA3578" w14:textId="77777777" w:rsidR="009C6940" w:rsidRDefault="009C6940" w:rsidP="009C6940">
      <w:pPr>
        <w:pStyle w:val="BodyText"/>
      </w:pPr>
      <w:r>
        <w:t xml:space="preserve">The NHRA has also had other effects. As NHRA transfers are linked to growth in State and Territory Government mental healthcare costs, the NHRA (as interpreted by the Independent Hospital Pricing Authority) necessarily specifies the scope of State and Territory mental healthcare services that are eligible for Australian Government subsidies (box G.8). </w:t>
      </w:r>
    </w:p>
    <w:p w14:paraId="321209D9" w14:textId="77777777" w:rsidR="009C6940" w:rsidRDefault="009C6940" w:rsidP="009C6940">
      <w:pPr>
        <w:pStyle w:val="BodyText"/>
      </w:pPr>
      <w:r>
        <w:t>There is an incentive for State and Territory Governments to preference in</w:t>
      </w:r>
      <w:r>
        <w:noBreakHyphen/>
        <w:t>scope services ahead of services that are not in scope. Since its introduction, the NHRA has provided comprehensive coverage of hospital</w:t>
      </w:r>
      <w:r>
        <w:noBreakHyphen/>
        <w:t>based mental healthcare, but not community</w:t>
      </w:r>
      <w:r>
        <w:noBreakHyphen/>
        <w:t xml:space="preserve">based services. </w:t>
      </w:r>
    </w:p>
    <w:p w14:paraId="791087B8" w14:textId="77777777" w:rsidR="009C6940" w:rsidRDefault="009C6940" w:rsidP="009C6940">
      <w:pPr>
        <w:pStyle w:val="ListBullet"/>
      </w:pPr>
      <w:r>
        <w:t>Some community ambulatory mental healthcare services were not originally funded under the NHRA, but have since been brought within its scope. Older persons’ community mental health services and child and adolescent community mental healthcare services were deemed in</w:t>
      </w:r>
      <w:r>
        <w:noBreakHyphen/>
        <w:t>scope from 2014</w:t>
      </w:r>
      <w:r>
        <w:noBreakHyphen/>
        <w:t>15 and 2019</w:t>
      </w:r>
      <w:r>
        <w:noBreakHyphen/>
        <w:t xml:space="preserve">20, respectively (box G.8). All community ambulatory mental healthcare services now appear to be within scope, as Queensland Health indicated that all of its </w:t>
      </w:r>
      <w:r w:rsidRPr="001F3E3C">
        <w:t xml:space="preserve">clinical </w:t>
      </w:r>
      <w:r>
        <w:t>mental healthcare services</w:t>
      </w:r>
      <w:r w:rsidRPr="001F3E3C">
        <w:t xml:space="preserve"> </w:t>
      </w:r>
      <w:r>
        <w:t xml:space="preserve">now </w:t>
      </w:r>
      <w:r w:rsidRPr="001F3E3C">
        <w:t>fall within the scope of the N</w:t>
      </w:r>
      <w:r>
        <w:t xml:space="preserve">HRA (pers. comm., 2 September 2019), and </w:t>
      </w:r>
      <w:r>
        <w:lastRenderedPageBreak/>
        <w:t>the Independent Hospital Pricing Authority has not received any further requests from State and Territory Governments to bring additional mental healthcare services within scope (Independent Hospital Pricing Authority, pers. comm., 28 August 2019).</w:t>
      </w:r>
    </w:p>
    <w:p w14:paraId="0A339F66" w14:textId="77777777" w:rsidR="009C6940" w:rsidRDefault="009C6940" w:rsidP="009C6940">
      <w:pPr>
        <w:pStyle w:val="ListBullet"/>
      </w:pPr>
      <w:r>
        <w:t xml:space="preserve">More generally, innovative approaches to service delivery and the funding of primary care and general counselling do not fall within the scope of the NHRA </w:t>
      </w:r>
      <w:r w:rsidRPr="00EB68A9">
        <w:rPr>
          <w:szCs w:val="24"/>
        </w:rPr>
        <w:t>(PC 2017b)</w:t>
      </w:r>
      <w:r>
        <w:t>.</w:t>
      </w:r>
    </w:p>
    <w:p w14:paraId="7976C1C6" w14:textId="77777777" w:rsidR="009C6940" w:rsidRDefault="009C6940" w:rsidP="009C6940">
      <w:pPr>
        <w:pStyle w:val="ListBullet"/>
      </w:pPr>
      <w:r>
        <w:t>Psychosocial supports commissioned by State and Territory Governments are out of the scope of the NHRA (box G.8).</w:t>
      </w:r>
    </w:p>
    <w:p w14:paraId="5BF4D23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B2A9F58" w14:textId="77777777" w:rsidTr="009C6940">
        <w:trPr>
          <w:tblHeader/>
        </w:trPr>
        <w:tc>
          <w:tcPr>
            <w:tcW w:w="5000" w:type="pct"/>
            <w:tcBorders>
              <w:top w:val="single" w:sz="6" w:space="0" w:color="78A22F"/>
              <w:left w:val="nil"/>
              <w:bottom w:val="nil"/>
              <w:right w:val="nil"/>
            </w:tcBorders>
            <w:shd w:val="clear" w:color="auto" w:fill="F2F2F2"/>
          </w:tcPr>
          <w:p w14:paraId="5A30BF60" w14:textId="77777777" w:rsidR="009C6940" w:rsidRDefault="009C6940" w:rsidP="009C6940">
            <w:pPr>
              <w:pStyle w:val="BoxTitle"/>
            </w:pPr>
            <w:r w:rsidRPr="00EF7769">
              <w:rPr>
                <w:b w:val="0"/>
              </w:rPr>
              <w:t xml:space="preserve">Box </w:t>
            </w:r>
            <w:r>
              <w:rPr>
                <w:b w:val="0"/>
              </w:rPr>
              <w:t>G.</w:t>
            </w:r>
            <w:r>
              <w:rPr>
                <w:b w:val="0"/>
                <w:noProof/>
              </w:rPr>
              <w:t>8</w:t>
            </w:r>
            <w:r>
              <w:tab/>
            </w:r>
            <w:r w:rsidRPr="00AE55D7">
              <w:t xml:space="preserve">Scope of </w:t>
            </w:r>
            <w:r>
              <w:t>mental healthcare services</w:t>
            </w:r>
            <w:r w:rsidRPr="00AE55D7">
              <w:t xml:space="preserve"> funded under the National Health Reform Agreement</w:t>
            </w:r>
          </w:p>
        </w:tc>
      </w:tr>
      <w:tr w:rsidR="009C6940" w14:paraId="5FB15C31" w14:textId="77777777" w:rsidTr="009C6940">
        <w:tc>
          <w:tcPr>
            <w:tcW w:w="5000" w:type="pct"/>
            <w:tcBorders>
              <w:top w:val="nil"/>
              <w:left w:val="nil"/>
              <w:bottom w:val="nil"/>
              <w:right w:val="nil"/>
            </w:tcBorders>
            <w:shd w:val="clear" w:color="auto" w:fill="F2F2F2"/>
          </w:tcPr>
          <w:p w14:paraId="4D2FA1CC" w14:textId="77777777" w:rsidR="009C6940" w:rsidRDefault="009C6940" w:rsidP="009C6940">
            <w:pPr>
              <w:pStyle w:val="Box"/>
            </w:pPr>
            <w:r>
              <w:t>The Independent Hospital Pricing Authority is tasked with interpreting the National Health Reform Agreement to determine which State and Territory Government mental healthcare services fall within the scope of the agreement.</w:t>
            </w:r>
          </w:p>
          <w:p w14:paraId="375EFD1B" w14:textId="77777777" w:rsidR="009C6940" w:rsidRDefault="009C6940" w:rsidP="009C6940">
            <w:pPr>
              <w:pStyle w:val="Box"/>
            </w:pPr>
            <w:r>
              <w:t>Admitted mental healthcare has been deemed to be within the scope of the agreement from the outset, as have f</w:t>
            </w:r>
            <w:r w:rsidRPr="00A40DAB">
              <w:t>orensic mental health inpatient services</w:t>
            </w:r>
            <w:r>
              <w:t xml:space="preserve"> provided that they are recorded as within the scope of the </w:t>
            </w:r>
            <w:r w:rsidRPr="00A40DAB">
              <w:t>2010 Public Hospitals Establishment Collection</w:t>
            </w:r>
            <w:r>
              <w:t xml:space="preserve">. </w:t>
            </w:r>
          </w:p>
          <w:p w14:paraId="5220C129" w14:textId="77777777" w:rsidR="009C6940" w:rsidRDefault="009C6940" w:rsidP="009C6940">
            <w:pPr>
              <w:pStyle w:val="Box"/>
            </w:pPr>
            <w:r>
              <w:t>Over time, the agreement’s scope has expanded to include community mental healthcare services. The following community mental healthcare services have been within scope since at least 2013</w:t>
            </w:r>
            <w:r>
              <w:noBreakHyphen/>
              <w:t>14:</w:t>
            </w:r>
          </w:p>
          <w:p w14:paraId="4D9F1F41" w14:textId="77777777" w:rsidR="009C6940" w:rsidRDefault="009C6940" w:rsidP="009C6940">
            <w:pPr>
              <w:pStyle w:val="BoxListBullet"/>
            </w:pPr>
            <w:r>
              <w:t>Adult integrated community mental health services</w:t>
            </w:r>
          </w:p>
          <w:p w14:paraId="6C7EE6E3" w14:textId="77777777" w:rsidR="009C6940" w:rsidRDefault="009C6940" w:rsidP="009C6940">
            <w:pPr>
              <w:pStyle w:val="BoxListBullet"/>
            </w:pPr>
            <w:r>
              <w:t>Crisis assessment and treatment (including telephone</w:t>
            </w:r>
            <w:r>
              <w:noBreakHyphen/>
              <w:t>based services)</w:t>
            </w:r>
          </w:p>
          <w:p w14:paraId="5B6C9058" w14:textId="77777777" w:rsidR="009C6940" w:rsidRDefault="009C6940" w:rsidP="009C6940">
            <w:pPr>
              <w:pStyle w:val="BoxListBullet"/>
            </w:pPr>
            <w:r>
              <w:t>Dual diagnosis services for patients with comorbid conditions</w:t>
            </w:r>
          </w:p>
          <w:p w14:paraId="6EEA5FCD" w14:textId="77777777" w:rsidR="009C6940" w:rsidRDefault="009C6940" w:rsidP="009C6940">
            <w:pPr>
              <w:pStyle w:val="BoxListBullet"/>
            </w:pPr>
            <w:r>
              <w:t>Home and community</w:t>
            </w:r>
            <w:r>
              <w:noBreakHyphen/>
              <w:t>based eating disorders programs</w:t>
            </w:r>
          </w:p>
          <w:p w14:paraId="306A2187" w14:textId="77777777" w:rsidR="009C6940" w:rsidRDefault="009C6940" w:rsidP="009C6940">
            <w:pPr>
              <w:pStyle w:val="BoxListBullet"/>
            </w:pPr>
            <w:r>
              <w:t>Mental health hospital avoidance programs</w:t>
            </w:r>
          </w:p>
          <w:p w14:paraId="7294FACD" w14:textId="77777777" w:rsidR="009C6940" w:rsidRDefault="009C6940" w:rsidP="009C6940">
            <w:pPr>
              <w:pStyle w:val="BoxListBullet"/>
            </w:pPr>
            <w:r>
              <w:t>Mobile support and treatment services</w:t>
            </w:r>
          </w:p>
          <w:p w14:paraId="5866849B" w14:textId="77777777" w:rsidR="009C6940" w:rsidRDefault="009C6940" w:rsidP="009C6940">
            <w:pPr>
              <w:pStyle w:val="BoxListBullet"/>
            </w:pPr>
            <w:r>
              <w:t>Perinatal infant mental health services</w:t>
            </w:r>
          </w:p>
          <w:p w14:paraId="6FFA0B24" w14:textId="77777777" w:rsidR="009C6940" w:rsidRDefault="009C6940" w:rsidP="009C6940">
            <w:pPr>
              <w:pStyle w:val="BoxListBullet"/>
            </w:pPr>
            <w:r>
              <w:t>Step</w:t>
            </w:r>
            <w:r>
              <w:noBreakHyphen/>
              <w:t>up step</w:t>
            </w:r>
            <w:r>
              <w:noBreakHyphen/>
              <w:t>down services</w:t>
            </w:r>
          </w:p>
          <w:p w14:paraId="668A664D" w14:textId="77777777" w:rsidR="009C6940" w:rsidRPr="00E57A54" w:rsidRDefault="009C6940" w:rsidP="009C6940">
            <w:pPr>
              <w:pStyle w:val="BoxListBullet"/>
            </w:pPr>
            <w:r>
              <w:t>Telephone triage services.</w:t>
            </w:r>
          </w:p>
          <w:p w14:paraId="66838C7C" w14:textId="77777777" w:rsidR="009C6940" w:rsidRDefault="009C6940" w:rsidP="009C6940">
            <w:pPr>
              <w:pStyle w:val="Box"/>
            </w:pPr>
            <w:r>
              <w:t>In 2014</w:t>
            </w:r>
            <w:r>
              <w:noBreakHyphen/>
              <w:t>15, older persons’ community mental health services became eligible for funding, as did child and adolescent community mental health services in 2019</w:t>
            </w:r>
            <w:r>
              <w:noBreakHyphen/>
              <w:t>20.</w:t>
            </w:r>
          </w:p>
        </w:tc>
      </w:tr>
      <w:tr w:rsidR="009C6940" w14:paraId="2C387CD9" w14:textId="77777777" w:rsidTr="009C6940">
        <w:tc>
          <w:tcPr>
            <w:tcW w:w="5000" w:type="pct"/>
            <w:tcBorders>
              <w:top w:val="nil"/>
              <w:left w:val="nil"/>
              <w:bottom w:val="nil"/>
              <w:right w:val="nil"/>
            </w:tcBorders>
            <w:shd w:val="clear" w:color="auto" w:fill="F2F2F2"/>
          </w:tcPr>
          <w:p w14:paraId="322ABA43" w14:textId="77777777" w:rsidR="009C6940" w:rsidRPr="00AE55D7" w:rsidRDefault="009C6940" w:rsidP="009C6940">
            <w:pPr>
              <w:pStyle w:val="BoxSource"/>
            </w:pPr>
            <w:r>
              <w:rPr>
                <w:i/>
              </w:rPr>
              <w:t>Source</w:t>
            </w:r>
            <w:r>
              <w:t>: Independent Hospital Pricing Authority Pricing Framework for Australian Public Hospital Services (various issues).</w:t>
            </w:r>
          </w:p>
        </w:tc>
      </w:tr>
      <w:tr w:rsidR="009C6940" w14:paraId="26361D43" w14:textId="77777777" w:rsidTr="009C6940">
        <w:tc>
          <w:tcPr>
            <w:tcW w:w="5000" w:type="pct"/>
            <w:tcBorders>
              <w:top w:val="nil"/>
              <w:left w:val="nil"/>
              <w:bottom w:val="single" w:sz="6" w:space="0" w:color="78A22F"/>
              <w:right w:val="nil"/>
            </w:tcBorders>
            <w:shd w:val="clear" w:color="auto" w:fill="F2F2F2"/>
          </w:tcPr>
          <w:p w14:paraId="0E1A68E0" w14:textId="77777777" w:rsidR="009C6940" w:rsidRDefault="009C6940" w:rsidP="009C6940">
            <w:pPr>
              <w:pStyle w:val="Box"/>
              <w:spacing w:before="0" w:line="120" w:lineRule="exact"/>
            </w:pPr>
          </w:p>
        </w:tc>
      </w:tr>
      <w:tr w:rsidR="009C6940" w:rsidRPr="000863A5" w14:paraId="6CA42C17" w14:textId="77777777" w:rsidTr="009C6940">
        <w:tc>
          <w:tcPr>
            <w:tcW w:w="5000" w:type="pct"/>
            <w:tcBorders>
              <w:top w:val="single" w:sz="6" w:space="0" w:color="78A22F"/>
              <w:left w:val="nil"/>
              <w:bottom w:val="nil"/>
              <w:right w:val="nil"/>
            </w:tcBorders>
          </w:tcPr>
          <w:p w14:paraId="050D5C8C" w14:textId="77777777" w:rsidR="009C6940" w:rsidRPr="00626D32" w:rsidRDefault="009C6940" w:rsidP="009C6940">
            <w:pPr>
              <w:pStyle w:val="BoxSpaceBelow"/>
            </w:pPr>
          </w:p>
        </w:tc>
      </w:tr>
    </w:tbl>
    <w:p w14:paraId="713C6843" w14:textId="77777777" w:rsidR="009C6940" w:rsidRDefault="009C6940" w:rsidP="009C6940">
      <w:pPr>
        <w:pStyle w:val="Heading3"/>
        <w:spacing w:before="480"/>
      </w:pPr>
      <w:r>
        <w:t>Changes to the National Health Reform Agreement are not feasible in the short term</w:t>
      </w:r>
    </w:p>
    <w:p w14:paraId="3578C08F" w14:textId="77777777" w:rsidR="009C6940" w:rsidRDefault="009C6940" w:rsidP="009C6940">
      <w:pPr>
        <w:pStyle w:val="BodyText"/>
      </w:pPr>
      <w:r>
        <w:t xml:space="preserve">Given these shortcomings, the Inquiry draft report contemplated recommending that mental health funding be excised from the NHRA and provided to State and Territory Governments on a block funding basis under a new intergovernmental agreement. Doing so would remove the distortions outlined above. However, changes to the NHRA seem unlikely for at least </w:t>
      </w:r>
      <w:r>
        <w:lastRenderedPageBreak/>
        <w:t>five years. The NHRA is due to expire on 31 June 2020, and a 2020–25 agreement that maintains the existing funding parameters is expected to take effect from 1 July 2020 (box G.7).</w:t>
      </w:r>
    </w:p>
    <w:p w14:paraId="74800F47" w14:textId="77777777" w:rsidR="009C6940" w:rsidRDefault="009C6940" w:rsidP="009C6940">
      <w:pPr>
        <w:pStyle w:val="BodyText"/>
      </w:pPr>
      <w:r>
        <w:t>Instead, chapter 23 recommends other reforms to reduce these biases.</w:t>
      </w:r>
    </w:p>
    <w:p w14:paraId="6FD7151F" w14:textId="77777777" w:rsidR="009C6940" w:rsidRDefault="009C6940" w:rsidP="009C6940">
      <w:pPr>
        <w:pStyle w:val="ListBullet"/>
      </w:pPr>
      <w:r>
        <w:t>Extending activity-based funding to community ambulatory mental healthcare, which is primarily to drive greater productivity at community ambulatory mental healthcare services but would also reduce LHNs’ incentives to preference hospital</w:t>
      </w:r>
      <w:r>
        <w:noBreakHyphen/>
        <w:t>based care ahead of community ambulatory mental healthcare.</w:t>
      </w:r>
    </w:p>
    <w:p w14:paraId="295229B1" w14:textId="77777777" w:rsidR="009C6940" w:rsidRDefault="009C6940" w:rsidP="009C6940">
      <w:pPr>
        <w:pStyle w:val="ListBullet"/>
      </w:pPr>
      <w:r>
        <w:t>Establishing a National Mental Health and Suicide Prevention Agreement to govern Australian Government transfers to State and Territory Governments for clinical mental healthcare and psychosocial supports that are additional to the NHRA transfers. The National Mental Health and Suicide Prevention Agreement should clearly set out funding commitments by both levels of government and require that these new transfers are not channelled toward acute hospital beds.</w:t>
      </w:r>
    </w:p>
    <w:p w14:paraId="501646A3" w14:textId="77777777" w:rsidR="009C6940" w:rsidRDefault="009C6940" w:rsidP="009C6940">
      <w:pPr>
        <w:pStyle w:val="Heading2"/>
      </w:pPr>
      <w:r>
        <w:t>G.</w:t>
      </w:r>
      <w:r>
        <w:rPr>
          <w:noProof/>
        </w:rPr>
        <w:t>4</w:t>
      </w:r>
      <w:r>
        <w:tab/>
        <w:t>Current approach to managing split government roles</w:t>
      </w:r>
    </w:p>
    <w:p w14:paraId="01A0C52B" w14:textId="77777777" w:rsidR="009C6940" w:rsidRDefault="009C6940" w:rsidP="009C6940">
      <w:pPr>
        <w:pStyle w:val="BodyText"/>
      </w:pPr>
      <w:r>
        <w:t>As noted throughout this appendix, the Australian Government and State and Territory Governments share responsibility for clinical mental healthcare and psychosocial supports. The current split in responsibilities contributes to the missing middle, as it does not allow either level of government to be fully held responsible for the problem. The Australian Government funds primary mental healthcare and State and Territory Governments provide specialised mental healthcare in public hospital, community ambulatory and residential settings. Both levels of government fund psychosocial supports outside of the National Disability Insurance Scheme (NDIS).</w:t>
      </w:r>
    </w:p>
    <w:p w14:paraId="0FB8AFF5" w14:textId="77777777" w:rsidR="009C6940" w:rsidRDefault="009C6940" w:rsidP="009C6940">
      <w:pPr>
        <w:pStyle w:val="BodyText"/>
      </w:pPr>
      <w:r>
        <w:t xml:space="preserve">The experience of participants to this Inquiry and other stakeholders supports the proposition that a lack of clarity in government roles has exacerbated the missing middle. </w:t>
      </w:r>
    </w:p>
    <w:p w14:paraId="3B42F95C" w14:textId="77777777" w:rsidR="009C6940" w:rsidRDefault="009C6940" w:rsidP="009C6940">
      <w:pPr>
        <w:pStyle w:val="ListBullet"/>
      </w:pPr>
      <w:r w:rsidRPr="00AE58B1">
        <w:t>The Primary H</w:t>
      </w:r>
      <w:r>
        <w:t>ealth Network Cooperative (sub. 377, p. </w:t>
      </w:r>
      <w:r w:rsidRPr="00AE58B1">
        <w:t xml:space="preserve">15) noted that </w:t>
      </w:r>
      <w:r>
        <w:t>consumers missing out on the services they need because of the missing middle</w:t>
      </w:r>
      <w:r w:rsidRPr="00AE58B1">
        <w:t xml:space="preserve"> ‘are at risk of falling through the silos and divides of our health system’</w:t>
      </w:r>
      <w:r>
        <w:t>.</w:t>
      </w:r>
    </w:p>
    <w:p w14:paraId="13651BF9" w14:textId="77777777" w:rsidR="009C6940" w:rsidRDefault="009C6940" w:rsidP="009C6940">
      <w:pPr>
        <w:pStyle w:val="ListBullet"/>
      </w:pPr>
      <w:r w:rsidRPr="00E33A0F">
        <w:t>Rosenberg </w:t>
      </w:r>
      <w:r w:rsidRPr="00290981">
        <w:rPr>
          <w:szCs w:val="24"/>
        </w:rPr>
        <w:t>(2015, p. 1)</w:t>
      </w:r>
      <w:r>
        <w:t xml:space="preserve"> attributed the problem to neither level of government clearly having ownership of it:</w:t>
      </w:r>
    </w:p>
    <w:p w14:paraId="28EEDDA6" w14:textId="77777777" w:rsidR="009C6940" w:rsidRDefault="009C6940" w:rsidP="009C6940">
      <w:pPr>
        <w:pStyle w:val="Quote"/>
      </w:pPr>
      <w:r>
        <w:t>It is widely accepted that on closing the asylums, Australia failed to invest in an alternative model of community mental health care. This means that for people seeking mental health assistance, there are few alternatives between the GP’s surgery and the hospital emergency department.</w:t>
      </w:r>
    </w:p>
    <w:p w14:paraId="6EB9FA00" w14:textId="77777777" w:rsidR="009C6940" w:rsidRDefault="009C6940" w:rsidP="009C6940">
      <w:pPr>
        <w:pStyle w:val="Quote"/>
      </w:pPr>
      <w:r>
        <w:t>These alternatives reflect the financial demarcation between the federal government, which pays for primary care, and the states and territories, which manage hospitals. Nobody currently ‘owns’ or has responsibility for community mental health services.</w:t>
      </w:r>
    </w:p>
    <w:p w14:paraId="6FB8C3E3" w14:textId="77777777" w:rsidR="009C6940" w:rsidRDefault="009C6940" w:rsidP="009C6940">
      <w:pPr>
        <w:pStyle w:val="ListBullet"/>
      </w:pPr>
      <w:r>
        <w:lastRenderedPageBreak/>
        <w:t>Transforming Australia’s Mental Health Service Systems (sub. 919, p. 16) said:</w:t>
      </w:r>
    </w:p>
    <w:p w14:paraId="1E3FDF44" w14:textId="77777777" w:rsidR="009C6940" w:rsidRDefault="009C6940" w:rsidP="009C6940">
      <w:pPr>
        <w:pStyle w:val="Quote"/>
      </w:pPr>
      <w:r w:rsidRPr="005A6FCE">
        <w:t>The lack of clarity of roles and planning for integration has given us the missing middle, between highly constrained state services and the fee for service single practitioner market with all its distortions and perverse incentives.</w:t>
      </w:r>
    </w:p>
    <w:p w14:paraId="1364FAAA" w14:textId="77777777" w:rsidR="009C6940" w:rsidRDefault="009C6940" w:rsidP="009C6940">
      <w:pPr>
        <w:pStyle w:val="ListBullet"/>
      </w:pPr>
      <w:r>
        <w:t>The Grattan Institute (sub. 816, p. 8) said:</w:t>
      </w:r>
    </w:p>
    <w:p w14:paraId="23F0FFC3" w14:textId="77777777" w:rsidR="009C6940" w:rsidRPr="009B63A9" w:rsidRDefault="009C6940" w:rsidP="009C6940">
      <w:pPr>
        <w:pStyle w:val="Quote"/>
      </w:pPr>
      <w:r>
        <w:t>The disjunction between Commonwealth Medicare</w:t>
      </w:r>
      <w:r>
        <w:noBreakHyphen/>
        <w:t>funded out</w:t>
      </w:r>
      <w:r>
        <w:noBreakHyphen/>
        <w:t>of</w:t>
      </w:r>
      <w:r>
        <w:noBreakHyphen/>
        <w:t>hospital services and state inpatient</w:t>
      </w:r>
      <w:r>
        <w:noBreakHyphen/>
        <w:t>oriented systems creates a yawning gap for people who need intensive community support but not inpatient care: the missing middle.</w:t>
      </w:r>
    </w:p>
    <w:p w14:paraId="6F909190" w14:textId="77777777" w:rsidR="009C6940" w:rsidRDefault="009C6940" w:rsidP="009C6940">
      <w:pPr>
        <w:pStyle w:val="BodyText"/>
      </w:pPr>
      <w:r>
        <w:t>More broadly, participants submitted that the divide in government roles has fragmented service delivery by limiting integration between services (box G.9).</w:t>
      </w:r>
    </w:p>
    <w:p w14:paraId="182D2438" w14:textId="77777777" w:rsidR="009C6940" w:rsidRDefault="009C6940" w:rsidP="009C6940">
      <w:pPr>
        <w:pStyle w:val="Heading3"/>
      </w:pPr>
      <w:r>
        <w:t>Efforts by governments to clarify roles and integrate services</w:t>
      </w:r>
    </w:p>
    <w:p w14:paraId="16D34932" w14:textId="77777777" w:rsidR="009C6940" w:rsidRDefault="009C6940" w:rsidP="009C6940">
      <w:pPr>
        <w:pStyle w:val="BodyText"/>
      </w:pPr>
      <w:r>
        <w:t>The major intergovernmental agreements that lay out responsibilities for healthcare and disability supports do not satisfactorily clarify responsibility for mental healthcare and psychosocial supports.</w:t>
      </w:r>
    </w:p>
    <w:p w14:paraId="42ABB644" w14:textId="77777777" w:rsidR="009C6940" w:rsidRDefault="009C6940" w:rsidP="009C6940">
      <w:pPr>
        <w:pStyle w:val="ListBullet"/>
      </w:pPr>
      <w:r w:rsidRPr="0055078D">
        <w:rPr>
          <w:i/>
        </w:rPr>
        <w:t>Clinical mental healthcare</w:t>
      </w:r>
      <w:r>
        <w:t xml:space="preserve"> — the </w:t>
      </w:r>
      <w:r w:rsidRPr="0055078D">
        <w:t>National Healthcare Agreement</w:t>
      </w:r>
      <w:r>
        <w:t xml:space="preserve"> defines mental health services as a shared responsibility to be jointly funded </w:t>
      </w:r>
      <w:r w:rsidRPr="00857993">
        <w:rPr>
          <w:szCs w:val="24"/>
        </w:rPr>
        <w:t>(COAG 2012)</w:t>
      </w:r>
      <w:r>
        <w:t xml:space="preserve">, while the </w:t>
      </w:r>
      <w:r w:rsidRPr="0055078D">
        <w:t>National Health Reform Agreement</w:t>
      </w:r>
      <w:r w:rsidRPr="005D59C9">
        <w:t xml:space="preserve"> </w:t>
      </w:r>
      <w:r>
        <w:t>(subject to the Independent Hospital Pricing Authority’s interpretation) defines the scope of State and Territory</w:t>
      </w:r>
      <w:r>
        <w:noBreakHyphen/>
        <w:t>provided public mental healthcare that is eligible for Australian Government co</w:t>
      </w:r>
      <w:r>
        <w:noBreakHyphen/>
        <w:t xml:space="preserve">funding (as previously discussed), but does not clearly lay out which mental health services the Australian Government is responsible for providing </w:t>
      </w:r>
      <w:r w:rsidRPr="00857993">
        <w:rPr>
          <w:szCs w:val="24"/>
        </w:rPr>
        <w:t>(COAG 2011)</w:t>
      </w:r>
      <w:r>
        <w:t>.</w:t>
      </w:r>
    </w:p>
    <w:p w14:paraId="507C23E5" w14:textId="77777777" w:rsidR="009C6940" w:rsidRDefault="009C6940" w:rsidP="009C6940">
      <w:pPr>
        <w:pStyle w:val="ListBullet"/>
      </w:pPr>
      <w:r w:rsidRPr="0055078D">
        <w:rPr>
          <w:i/>
        </w:rPr>
        <w:t>Psychosocial supports outside of the NDIS</w:t>
      </w:r>
      <w:r w:rsidRPr="002A4731">
        <w:rPr>
          <w:i/>
        </w:rPr>
        <w:t xml:space="preserve"> </w:t>
      </w:r>
      <w:r>
        <w:t xml:space="preserve">— the bilateral agreements between the Australian Government and State and Territory Governments accompanying the introduction of the NDIS prioritise continuity of support for existing recipients of psychosocial support who were not eligible for the NDIS </w:t>
      </w:r>
      <w:r w:rsidRPr="00AF74FD">
        <w:rPr>
          <w:szCs w:val="24"/>
        </w:rPr>
        <w:t>(PC 2017a)</w:t>
      </w:r>
      <w:r>
        <w:t xml:space="preserve">. While continuity of support is important, it does not assist with clarifying responsibility for providing services to the substantial number of people who need psychosocial support but do not currently receive it. And the </w:t>
      </w:r>
      <w:r w:rsidRPr="0055078D">
        <w:t>National Disability Agreement</w:t>
      </w:r>
      <w:r>
        <w:rPr>
          <w:i/>
        </w:rPr>
        <w:t xml:space="preserve"> </w:t>
      </w:r>
      <w:r>
        <w:t xml:space="preserve">does not clarify responsibility for psychosocial supports outside of the NDIS </w:t>
      </w:r>
      <w:r w:rsidRPr="004E5F06">
        <w:rPr>
          <w:szCs w:val="24"/>
        </w:rPr>
        <w:t>(PC 2019)</w:t>
      </w:r>
      <w:r>
        <w:t>.</w:t>
      </w:r>
    </w:p>
    <w:p w14:paraId="4579F630" w14:textId="77777777" w:rsidR="009C6940" w:rsidRDefault="009C6940" w:rsidP="009C6940">
      <w:pPr>
        <w:pStyle w:val="BodyText"/>
      </w:pPr>
      <w:r>
        <w:t xml:space="preserve">Priority Area One of the </w:t>
      </w:r>
      <w:r w:rsidRPr="0055078D">
        <w:t>Fifth National Mental Health and Suicide Prevention Plan</w:t>
      </w:r>
      <w:r w:rsidRPr="005D59C9">
        <w:t xml:space="preserve"> </w:t>
      </w:r>
      <w:r w:rsidRPr="00402E07">
        <w:rPr>
          <w:szCs w:val="24"/>
        </w:rPr>
        <w:t>(COAG Health Council 2017)</w:t>
      </w:r>
      <w:r>
        <w:t xml:space="preserve"> (hereafter the ‘Fifth Plan approach’) amounts to a more substantive attempt by all governments to clarifying government roles and integrate services.</w:t>
      </w:r>
      <w:r>
        <w:rPr>
          <w:rStyle w:val="FootnoteReference"/>
        </w:rPr>
        <w:footnoteReference w:id="10"/>
      </w:r>
      <w:r>
        <w:t xml:space="preserve"> While it does not set out which level of government should deliver which type of service, it tasks co</w:t>
      </w:r>
      <w:r>
        <w:noBreakHyphen/>
        <w:t>located PHNs and LHNs (hereafter ‘PHN–LHN groupings’) with agreeing to a division of responsibilities and means of integrating services on a region</w:t>
      </w:r>
      <w:r>
        <w:noBreakHyphen/>
        <w:t>by</w:t>
      </w:r>
      <w:r>
        <w:noBreakHyphen/>
        <w:t xml:space="preserve">region basis by </w:t>
      </w:r>
      <w:r>
        <w:lastRenderedPageBreak/>
        <w:t>undertaking joint regional planning, jointly commissioning services, and establishing care and referral pathways underpinned by shared clinical governance arrangements and data sharing protocols.</w:t>
      </w:r>
    </w:p>
    <w:p w14:paraId="72E65BC9"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DED2C74" w14:textId="77777777" w:rsidTr="009C6940">
        <w:trPr>
          <w:tblHeader/>
        </w:trPr>
        <w:tc>
          <w:tcPr>
            <w:tcW w:w="5000" w:type="pct"/>
            <w:tcBorders>
              <w:top w:val="single" w:sz="6" w:space="0" w:color="78A22F"/>
              <w:left w:val="nil"/>
              <w:bottom w:val="nil"/>
              <w:right w:val="nil"/>
            </w:tcBorders>
            <w:shd w:val="clear" w:color="auto" w:fill="F2F2F2"/>
          </w:tcPr>
          <w:p w14:paraId="0A5C31BF" w14:textId="77777777" w:rsidR="009C6940" w:rsidRDefault="009C6940" w:rsidP="009C6940">
            <w:pPr>
              <w:pStyle w:val="BoxTitle"/>
            </w:pPr>
            <w:r>
              <w:rPr>
                <w:b w:val="0"/>
              </w:rPr>
              <w:t>Box G.</w:t>
            </w:r>
            <w:r>
              <w:rPr>
                <w:b w:val="0"/>
                <w:noProof/>
              </w:rPr>
              <w:t>9</w:t>
            </w:r>
            <w:r>
              <w:tab/>
              <w:t>Participants’ views on the federal divide in mental health services</w:t>
            </w:r>
          </w:p>
        </w:tc>
      </w:tr>
      <w:tr w:rsidR="009C6940" w14:paraId="4102789E" w14:textId="77777777" w:rsidTr="009C6940">
        <w:tc>
          <w:tcPr>
            <w:tcW w:w="5000" w:type="pct"/>
            <w:tcBorders>
              <w:top w:val="nil"/>
              <w:left w:val="nil"/>
              <w:bottom w:val="nil"/>
              <w:right w:val="nil"/>
            </w:tcBorders>
            <w:shd w:val="clear" w:color="auto" w:fill="F2F2F2"/>
          </w:tcPr>
          <w:p w14:paraId="5ECF1D3B" w14:textId="77777777" w:rsidR="009C6940" w:rsidRDefault="009C6940" w:rsidP="009C6940">
            <w:pPr>
              <w:pStyle w:val="BoxQuote"/>
              <w:ind w:left="0"/>
            </w:pPr>
            <w:r>
              <w:t>There are at least four vastly different mental health systems operating in parallel, rarely in concert. These are the public and private hospital system, community and primary mental health systems and the NDIS. At each level of care patients and carers experience deep frustration at the lack of interface between services; for example, between the public and private tertiary hospital system, between the tertiary system and community care and between the NDIS and all other forms of support. Fragmentation of the mental health system is fundamentally driven by siloed funding models and is particularly marked between the public and private sectors. Further fragmentation is introduced by the establishment of PHNs as commissioning bodies, with variable readiness and lack of joint commissioning approaches particularly with local health districts (LHDs) or private hospitals and continued inadequate funding across the sector. (CHA, sub. 463, p. 4)</w:t>
            </w:r>
          </w:p>
          <w:p w14:paraId="4AA13806" w14:textId="77777777" w:rsidR="009C6940" w:rsidRDefault="009C6940" w:rsidP="009C6940">
            <w:pPr>
              <w:pStyle w:val="BoxQuote"/>
              <w:ind w:left="0"/>
            </w:pPr>
            <w:r>
              <w:t>The Australian Government and some state governments have recently introduced a number of mental health initiatives separately or in parallel that have added complexity to an already fragmented healthcare system. (PHN Cooperative, sub. 377, p. 11)</w:t>
            </w:r>
          </w:p>
          <w:p w14:paraId="25EF24FC" w14:textId="77777777" w:rsidR="009C6940" w:rsidRDefault="009C6940" w:rsidP="009C6940">
            <w:pPr>
              <w:pStyle w:val="BoxQuote"/>
              <w:ind w:left="0"/>
            </w:pPr>
            <w:r>
              <w:t>The complexity of Commonwealth/state relations acts as a barrier to designing good care for people with mental illness. The Australian mental health system is currently fragmented, with poor integration between public, private and non</w:t>
            </w:r>
            <w:r>
              <w:noBreakHyphen/>
              <w:t xml:space="preserve">government organisations. The current funding of mental health where the Commonwealth, State and Territory Governments all have responsibility for mental health creates an environment of cost shifting and blame and fragmentation of governance and reform. It is an environment that is difficult for clinicians to navigate, let alone consumers and families when they are unwell. </w:t>
            </w:r>
            <w:r w:rsidRPr="00F71C98">
              <w:t>(</w:t>
            </w:r>
            <w:r>
              <w:t>CAHS, sub. </w:t>
            </w:r>
            <w:r w:rsidRPr="00F71C98">
              <w:t>255</w:t>
            </w:r>
            <w:r>
              <w:t>, p</w:t>
            </w:r>
            <w:r>
              <w:rPr>
                <w:sz w:val="20"/>
              </w:rPr>
              <w:t> 1</w:t>
            </w:r>
            <w:r w:rsidRPr="00F71C98">
              <w:t>)</w:t>
            </w:r>
          </w:p>
          <w:p w14:paraId="626A931D" w14:textId="77777777" w:rsidR="009C6940" w:rsidRDefault="009C6940" w:rsidP="009C6940">
            <w:pPr>
              <w:pStyle w:val="BoxQuote"/>
              <w:ind w:left="0"/>
            </w:pPr>
            <w:r>
              <w:t>One of the main factors that has impeded past reform efforts is the lack of cohesion between service responses provided by the State and Commonwealth governments. Service responses are often developed in isolation, leading to a service system that can be fragmented and lacking a whole</w:t>
            </w:r>
            <w:r>
              <w:noBreakHyphen/>
              <w:t>of</w:t>
            </w:r>
            <w:r>
              <w:noBreakHyphen/>
              <w:t>government direction/vision. (Merri Health, sub. 120, p. 2)</w:t>
            </w:r>
          </w:p>
          <w:p w14:paraId="2D9AA8E3" w14:textId="77777777" w:rsidR="009C6940" w:rsidRDefault="009C6940" w:rsidP="009C6940">
            <w:pPr>
              <w:pStyle w:val="BoxQuote"/>
              <w:ind w:left="0"/>
            </w:pPr>
            <w:r>
              <w:t>In Australia, one of the main issues around the management of mental health</w:t>
            </w:r>
            <w:r>
              <w:noBreakHyphen/>
              <w:t>related issues is the fragmentation of the system at all levels (especially the divide between the state/territory and federal). The [Royal Australian College of General Practitioners] highlights the significant shifting of responsibilities between state</w:t>
            </w:r>
            <w:r>
              <w:noBreakHyphen/>
              <w:t>funded or territory</w:t>
            </w:r>
            <w:r>
              <w:noBreakHyphen/>
              <w:t>funded mental health services and federally funded initiatives such as general practice incentives and Primary Health Networks (PHNs). This divide between state/territory and federal funding means that real mental health reform will continue to fail. Mental health care practitioners and patients often experience significant confusion because of a lack of system knowledge. (RACGP, sub. 386, p. 13)</w:t>
            </w:r>
          </w:p>
          <w:p w14:paraId="214DCEC7" w14:textId="77777777" w:rsidR="009C6940" w:rsidRPr="004628D5" w:rsidRDefault="009C6940" w:rsidP="009C6940">
            <w:pPr>
              <w:pStyle w:val="BoxQuote"/>
              <w:ind w:left="0"/>
              <w:rPr>
                <w:rStyle w:val="DraftingNote"/>
                <w:b w:val="0"/>
                <w:color w:val="auto"/>
                <w:sz w:val="18"/>
                <w:u w:val="none"/>
              </w:rPr>
            </w:pPr>
            <w:r w:rsidRPr="00252195">
              <w:t>The mental health sector is complex and fragmented, with multiple providers and siloed funding streams. Variability exists in both state government funded services and the federally funded Better Access program. Mental health care provision in the community is provided by general practice, Primary Health Networks, community health organisations, state hospital care, Headspace, the National Disability Insurance Scheme (NDIS) and aspects of private care, all contributing to fragmentation of the mental health system. Fragmentation results in limited consumer understanding of the services provided by these sources. Consumers and carers experience poor care and unmet needs due to overlaps, insufficiencies, poor planning and lack of coordination of services. (</w:t>
            </w:r>
            <w:r>
              <w:t xml:space="preserve">GPMHSC, </w:t>
            </w:r>
            <w:r w:rsidRPr="00252195">
              <w:t>sub.</w:t>
            </w:r>
            <w:r>
              <w:t> </w:t>
            </w:r>
            <w:r w:rsidRPr="00252195">
              <w:t>395</w:t>
            </w:r>
            <w:r>
              <w:t>, p. 4</w:t>
            </w:r>
            <w:r w:rsidRPr="00252195">
              <w:t>)</w:t>
            </w:r>
          </w:p>
        </w:tc>
      </w:tr>
      <w:tr w:rsidR="009C6940" w14:paraId="474F4B74" w14:textId="77777777" w:rsidTr="009C6940">
        <w:tc>
          <w:tcPr>
            <w:tcW w:w="5000" w:type="pct"/>
            <w:tcBorders>
              <w:top w:val="nil"/>
              <w:left w:val="nil"/>
              <w:bottom w:val="single" w:sz="6" w:space="0" w:color="78A22F"/>
              <w:right w:val="nil"/>
            </w:tcBorders>
            <w:shd w:val="clear" w:color="auto" w:fill="F2F2F2"/>
          </w:tcPr>
          <w:p w14:paraId="16DA1473" w14:textId="77777777" w:rsidR="009C6940" w:rsidRDefault="009C6940" w:rsidP="009C6940">
            <w:pPr>
              <w:pStyle w:val="Box"/>
              <w:spacing w:before="0" w:line="120" w:lineRule="exact"/>
            </w:pPr>
          </w:p>
        </w:tc>
      </w:tr>
      <w:tr w:rsidR="009C6940" w:rsidRPr="000863A5" w14:paraId="71316297" w14:textId="77777777" w:rsidTr="009C6940">
        <w:tc>
          <w:tcPr>
            <w:tcW w:w="5000" w:type="pct"/>
            <w:tcBorders>
              <w:top w:val="single" w:sz="6" w:space="0" w:color="78A22F"/>
              <w:left w:val="nil"/>
              <w:bottom w:val="nil"/>
              <w:right w:val="nil"/>
            </w:tcBorders>
          </w:tcPr>
          <w:p w14:paraId="480E8C83" w14:textId="77777777" w:rsidR="009C6940" w:rsidRPr="00626D32" w:rsidRDefault="009C6940" w:rsidP="009C6940">
            <w:pPr>
              <w:pStyle w:val="BoxSpaceBelow"/>
            </w:pPr>
          </w:p>
        </w:tc>
      </w:tr>
    </w:tbl>
    <w:p w14:paraId="0EA0355E" w14:textId="77777777" w:rsidR="009C6940" w:rsidRDefault="009C6940" w:rsidP="009C6940">
      <w:pPr>
        <w:pStyle w:val="BodyText"/>
        <w:pageBreakBefore/>
      </w:pPr>
      <w:r>
        <w:lastRenderedPageBreak/>
        <w:t>Unfortunately, it is not yet possible to gauge how successful the Fifth Plan approach will be at clarifying government roles and integrating services, as its most important aspect — PHN–LHN groupings producing ‘comprehensive’ joint regional plans — is not expected to be completed until mid</w:t>
      </w:r>
      <w:r>
        <w:noBreakHyphen/>
        <w:t xml:space="preserve">2022 </w:t>
      </w:r>
      <w:r w:rsidRPr="00437498">
        <w:rPr>
          <w:szCs w:val="24"/>
        </w:rPr>
        <w:t>(Integrated Regional Planning Working Group 2018b)</w:t>
      </w:r>
      <w:r>
        <w:t>.</w:t>
      </w:r>
    </w:p>
    <w:p w14:paraId="332C0A07" w14:textId="77777777" w:rsidR="009C6940" w:rsidRDefault="009C6940" w:rsidP="009C6940">
      <w:pPr>
        <w:pStyle w:val="BodyText"/>
      </w:pPr>
      <w:r>
        <w:t>Indicators of the progress made so far are mixed.</w:t>
      </w:r>
    </w:p>
    <w:p w14:paraId="3B896ED5" w14:textId="77777777" w:rsidR="009C6940" w:rsidRDefault="009C6940" w:rsidP="009C6940">
      <w:pPr>
        <w:pStyle w:val="ListBullet"/>
      </w:pPr>
      <w:r>
        <w:t>The National Mental Health Commission’s (NMHC’s) progress report for 2017</w:t>
      </w:r>
      <w:r>
        <w:noBreakHyphen/>
        <w:t>18 was largely positive (table G.1), although lacking in detail. The NMHC’s 2018</w:t>
      </w:r>
      <w:r>
        <w:noBreakHyphen/>
        <w:t>19 progress report has not been published.</w:t>
      </w:r>
    </w:p>
    <w:p w14:paraId="226DB560" w14:textId="77777777" w:rsidR="009C6940" w:rsidRDefault="009C6940" w:rsidP="009C6940">
      <w:pPr>
        <w:pStyle w:val="ListBullet"/>
      </w:pPr>
      <w:r>
        <w:t>Our consultations indicated that some PHN–LHN groupings were working well together, while others were not. In some instances, cooperation appears (at best) superficial with details of effective cooperation lacking.</w:t>
      </w:r>
    </w:p>
    <w:p w14:paraId="65D3EF1A" w14:textId="77777777" w:rsidR="009C6940" w:rsidRPr="00290981" w:rsidRDefault="009C6940" w:rsidP="009C6940">
      <w:pPr>
        <w:pStyle w:val="ListBullet"/>
        <w:rPr>
          <w:rStyle w:val="BodyTextChar"/>
        </w:rPr>
      </w:pPr>
      <w:r>
        <w:t xml:space="preserve">Some participants expressed frustration with the Fifth Plan approach. The Royal Australian and New </w:t>
      </w:r>
      <w:r w:rsidRPr="00290981">
        <w:rPr>
          <w:rStyle w:val="BodyTextChar"/>
        </w:rPr>
        <w:t>Zealand College of Psychiatrists (Sydney transcript, p 23) said:</w:t>
      </w:r>
    </w:p>
    <w:p w14:paraId="0E88A060" w14:textId="77777777" w:rsidR="009C6940" w:rsidRDefault="009C6940" w:rsidP="009C6940">
      <w:pPr>
        <w:pStyle w:val="Quote"/>
      </w:pPr>
      <w:r w:rsidRPr="0047048A">
        <w:t>So, I think this has been a sore on the side forever, since the firs</w:t>
      </w:r>
      <w:r>
        <w:t xml:space="preserve">t national mental health plan. </w:t>
      </w:r>
      <w:r w:rsidRPr="0047048A">
        <w:t>The last plan went some way towards joint planning, joint commissioning,</w:t>
      </w:r>
      <w:r>
        <w:t xml:space="preserve"> and eventually joint funding. </w:t>
      </w:r>
      <w:r w:rsidRPr="0047048A">
        <w:t>So we're now three years down from that plan, and although we've got some joint planning, we have limited joint commissioning and</w:t>
      </w:r>
      <w:r>
        <w:t xml:space="preserve"> we have no real joint funding.</w:t>
      </w:r>
      <w:r w:rsidRPr="0047048A">
        <w:t xml:space="preserve"> So the question is, yes, that's a great ambition, but wh</w:t>
      </w:r>
      <w:r>
        <w:t>en would that ever be achieved?</w:t>
      </w:r>
      <w:r w:rsidRPr="0047048A">
        <w:t xml:space="preserve"> I think that's the issue.</w:t>
      </w:r>
    </w:p>
    <w:p w14:paraId="2A7D33E1" w14:textId="77777777" w:rsidR="009C6940" w:rsidRDefault="009C6940" w:rsidP="009C6940">
      <w:pPr>
        <w:pStyle w:val="ListBullet"/>
        <w:numPr>
          <w:ilvl w:val="0"/>
          <w:numId w:val="0"/>
        </w:numPr>
        <w:ind w:left="340"/>
      </w:pPr>
      <w:r>
        <w:t>And the ACT Government (sub. 1241, p. 17) said:</w:t>
      </w:r>
    </w:p>
    <w:p w14:paraId="203C10A3" w14:textId="77777777" w:rsidR="009C6940" w:rsidRPr="00AF3ADD" w:rsidRDefault="009C6940" w:rsidP="009C6940">
      <w:pPr>
        <w:pStyle w:val="Quote"/>
      </w:pPr>
      <w:r w:rsidRPr="00AF3ADD">
        <w:t>It is noted that there are currently both overlap and gaps across the service system and while there is a move towards joint planning and co</w:t>
      </w:r>
      <w:r>
        <w:noBreakHyphen/>
      </w:r>
      <w:r w:rsidRPr="00AF3ADD">
        <w:t>commissioning, it is time consuming for all parties</w:t>
      </w:r>
      <w:r>
        <w:t>.</w:t>
      </w:r>
    </w:p>
    <w:p w14:paraId="3B570526" w14:textId="77777777" w:rsidR="009C6940" w:rsidRDefault="009C6940" w:rsidP="009C6940">
      <w:pPr>
        <w:pStyle w:val="ListBullet"/>
      </w:pPr>
      <w:r>
        <w:t>Some PHNs provided the Productivity Commission with examples of where they had worked cooperatively with LHNs (box. G.10). These each appear promising.</w:t>
      </w:r>
    </w:p>
    <w:p w14:paraId="146D44AB"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254BB1F1" w14:textId="77777777" w:rsidTr="009C6940">
        <w:trPr>
          <w:tblHeader/>
        </w:trPr>
        <w:tc>
          <w:tcPr>
            <w:tcW w:w="5000" w:type="pct"/>
            <w:tcBorders>
              <w:top w:val="single" w:sz="6" w:space="0" w:color="78A22F"/>
              <w:left w:val="nil"/>
              <w:bottom w:val="nil"/>
              <w:right w:val="nil"/>
            </w:tcBorders>
            <w:shd w:val="clear" w:color="auto" w:fill="auto"/>
          </w:tcPr>
          <w:p w14:paraId="3EF020FF" w14:textId="77777777" w:rsidR="009C6940" w:rsidRDefault="009C6940" w:rsidP="009C6940">
            <w:pPr>
              <w:pStyle w:val="TableTitle"/>
            </w:pPr>
            <w:r>
              <w:rPr>
                <w:b w:val="0"/>
              </w:rPr>
              <w:t>Table G.</w:t>
            </w:r>
            <w:r>
              <w:rPr>
                <w:b w:val="0"/>
                <w:noProof/>
              </w:rPr>
              <w:t>1</w:t>
            </w:r>
            <w:r>
              <w:tab/>
              <w:t>Progress of actions toward Priority Area One of the Fifth Plan</w:t>
            </w:r>
          </w:p>
          <w:p w14:paraId="1D2EBE6A" w14:textId="77777777" w:rsidR="009C6940" w:rsidRPr="00784A05" w:rsidRDefault="009C6940" w:rsidP="009C6940">
            <w:pPr>
              <w:pStyle w:val="Subtitle"/>
            </w:pPr>
            <w:r>
              <w:t>Selected actions from the Fifth National Mental Health and Suicide Prevention Plan 2017</w:t>
            </w:r>
            <w:r>
              <w:noBreakHyphen/>
              <w:t>18 Progress Report</w:t>
            </w:r>
          </w:p>
        </w:tc>
      </w:tr>
      <w:tr w:rsidR="009C6940" w14:paraId="2FAEA183"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68"/>
              <w:gridCol w:w="1947"/>
              <w:gridCol w:w="1965"/>
              <w:gridCol w:w="1025"/>
            </w:tblGrid>
            <w:tr w:rsidR="009C6940" w14:paraId="493DE0C2" w14:textId="77777777" w:rsidTr="009C6940">
              <w:trPr>
                <w:tblHeader/>
              </w:trPr>
              <w:tc>
                <w:tcPr>
                  <w:tcW w:w="2098" w:type="pct"/>
                  <w:tcBorders>
                    <w:top w:val="single" w:sz="6" w:space="0" w:color="BFBFBF"/>
                    <w:bottom w:val="single" w:sz="6" w:space="0" w:color="BFBFBF"/>
                  </w:tcBorders>
                  <w:shd w:val="clear" w:color="auto" w:fill="auto"/>
                  <w:tcMar>
                    <w:top w:w="28" w:type="dxa"/>
                  </w:tcMar>
                </w:tcPr>
                <w:p w14:paraId="63F61E53" w14:textId="77777777" w:rsidR="009C6940" w:rsidRDefault="009C6940" w:rsidP="009C6940">
                  <w:pPr>
                    <w:pStyle w:val="TableColumnHeading"/>
                    <w:jc w:val="left"/>
                  </w:pPr>
                  <w:r>
                    <w:t>Action</w:t>
                  </w:r>
                </w:p>
              </w:tc>
              <w:tc>
                <w:tcPr>
                  <w:tcW w:w="1145" w:type="pct"/>
                  <w:tcBorders>
                    <w:top w:val="single" w:sz="6" w:space="0" w:color="BFBFBF"/>
                    <w:bottom w:val="single" w:sz="6" w:space="0" w:color="BFBFBF"/>
                  </w:tcBorders>
                </w:tcPr>
                <w:p w14:paraId="73F643B2" w14:textId="77777777" w:rsidR="009C6940" w:rsidRDefault="009C6940" w:rsidP="009C6940">
                  <w:pPr>
                    <w:pStyle w:val="TableColumnHeading"/>
                    <w:jc w:val="left"/>
                  </w:pPr>
                  <w:r>
                    <w:t>PHN progress</w:t>
                  </w:r>
                </w:p>
              </w:tc>
              <w:tc>
                <w:tcPr>
                  <w:tcW w:w="1155" w:type="pct"/>
                  <w:tcBorders>
                    <w:top w:val="single" w:sz="6" w:space="0" w:color="BFBFBF"/>
                    <w:bottom w:val="single" w:sz="6" w:space="0" w:color="BFBFBF"/>
                  </w:tcBorders>
                  <w:shd w:val="clear" w:color="auto" w:fill="auto"/>
                  <w:tcMar>
                    <w:top w:w="28" w:type="dxa"/>
                  </w:tcMar>
                </w:tcPr>
                <w:p w14:paraId="498FF2EF" w14:textId="77777777" w:rsidR="009C6940" w:rsidRDefault="009C6940" w:rsidP="009C6940">
                  <w:pPr>
                    <w:pStyle w:val="TableColumnHeading"/>
                    <w:jc w:val="left"/>
                  </w:pPr>
                  <w:r>
                    <w:t>State/Territory Government progress</w:t>
                  </w:r>
                </w:p>
              </w:tc>
              <w:tc>
                <w:tcPr>
                  <w:tcW w:w="603" w:type="pct"/>
                  <w:tcBorders>
                    <w:top w:val="single" w:sz="6" w:space="0" w:color="BFBFBF"/>
                    <w:bottom w:val="single" w:sz="6" w:space="0" w:color="BFBFBF"/>
                  </w:tcBorders>
                  <w:shd w:val="clear" w:color="auto" w:fill="auto"/>
                  <w:tcMar>
                    <w:top w:w="28" w:type="dxa"/>
                  </w:tcMar>
                </w:tcPr>
                <w:p w14:paraId="32678AA0" w14:textId="77777777" w:rsidR="009C6940" w:rsidRDefault="009C6940" w:rsidP="009C6940">
                  <w:pPr>
                    <w:pStyle w:val="TableColumnHeading"/>
                    <w:ind w:right="28"/>
                    <w:jc w:val="left"/>
                  </w:pPr>
                  <w:r>
                    <w:t>Australian Government progress</w:t>
                  </w:r>
                </w:p>
              </w:tc>
            </w:tr>
            <w:tr w:rsidR="009C6940" w:rsidRPr="0036349F" w14:paraId="08301827" w14:textId="77777777" w:rsidTr="009C6940">
              <w:tc>
                <w:tcPr>
                  <w:tcW w:w="2098" w:type="pct"/>
                  <w:shd w:val="clear" w:color="auto" w:fill="F2F2F2" w:themeFill="background1" w:themeFillShade="F2"/>
                </w:tcPr>
                <w:p w14:paraId="65E45B00" w14:textId="77777777" w:rsidR="009C6940" w:rsidRPr="0036349F" w:rsidRDefault="009C6940" w:rsidP="009C6940">
                  <w:pPr>
                    <w:pStyle w:val="TableBodyText"/>
                    <w:spacing w:before="40"/>
                    <w:jc w:val="left"/>
                  </w:pPr>
                  <w:r w:rsidRPr="0036349F">
                    <w:t>1.1b — Development of joint regional mental</w:t>
                  </w:r>
                  <w:r>
                    <w:t xml:space="preserve"> </w:t>
                  </w:r>
                  <w:r w:rsidRPr="0036349F">
                    <w:t>health and suicide prevention plans</w:t>
                  </w:r>
                </w:p>
              </w:tc>
              <w:tc>
                <w:tcPr>
                  <w:tcW w:w="1145" w:type="pct"/>
                  <w:shd w:val="clear" w:color="auto" w:fill="F2F2F2" w:themeFill="background1" w:themeFillShade="F2"/>
                </w:tcPr>
                <w:p w14:paraId="0483F7C1" w14:textId="77777777" w:rsidR="009C6940" w:rsidRPr="0036349F" w:rsidRDefault="009C6940" w:rsidP="009C6940">
                  <w:pPr>
                    <w:pStyle w:val="TableBodyText"/>
                    <w:spacing w:before="40"/>
                    <w:jc w:val="left"/>
                  </w:pPr>
                  <w:r w:rsidRPr="0036349F">
                    <w:t>3 PHNs ahead of schedule, 3 PHNs behind schedule, 20 PHNs on track</w:t>
                  </w:r>
                </w:p>
              </w:tc>
              <w:tc>
                <w:tcPr>
                  <w:tcW w:w="1155" w:type="pct"/>
                  <w:shd w:val="clear" w:color="auto" w:fill="F2F2F2" w:themeFill="background1" w:themeFillShade="F2"/>
                </w:tcPr>
                <w:p w14:paraId="55C4580A" w14:textId="77777777" w:rsidR="009C6940" w:rsidRPr="0036349F" w:rsidRDefault="009C6940" w:rsidP="009C6940">
                  <w:pPr>
                    <w:pStyle w:val="TableBodyText"/>
                    <w:spacing w:before="40"/>
                    <w:jc w:val="left"/>
                  </w:pPr>
                  <w:r>
                    <w:t>1 State/Territory behind schedule, all others on track.</w:t>
                  </w:r>
                </w:p>
              </w:tc>
              <w:tc>
                <w:tcPr>
                  <w:tcW w:w="603" w:type="pct"/>
                  <w:shd w:val="clear" w:color="auto" w:fill="F2F2F2" w:themeFill="background1" w:themeFillShade="F2"/>
                </w:tcPr>
                <w:p w14:paraId="687268EC" w14:textId="77777777" w:rsidR="009C6940" w:rsidRPr="0036349F" w:rsidRDefault="009C6940" w:rsidP="009C6940">
                  <w:pPr>
                    <w:pStyle w:val="TableBodyText"/>
                    <w:spacing w:before="40"/>
                    <w:jc w:val="left"/>
                  </w:pPr>
                  <w:r>
                    <w:t>On track.</w:t>
                  </w:r>
                </w:p>
              </w:tc>
            </w:tr>
            <w:tr w:rsidR="009C6940" w14:paraId="7D6B3D67" w14:textId="77777777" w:rsidTr="009C6940">
              <w:tc>
                <w:tcPr>
                  <w:tcW w:w="2098" w:type="pct"/>
                </w:tcPr>
                <w:p w14:paraId="381B51A8" w14:textId="77777777" w:rsidR="009C6940" w:rsidRDefault="009C6940" w:rsidP="009C6940">
                  <w:pPr>
                    <w:pStyle w:val="TableBodyText"/>
                    <w:jc w:val="left"/>
                  </w:pPr>
                  <w:r>
                    <w:t>1.1c — Public release of joint regional mental health and suicide prevention plans</w:t>
                  </w:r>
                </w:p>
              </w:tc>
              <w:tc>
                <w:tcPr>
                  <w:tcW w:w="1145" w:type="pct"/>
                </w:tcPr>
                <w:p w14:paraId="0B186A6F" w14:textId="77777777" w:rsidR="009C6940" w:rsidRDefault="009C6940" w:rsidP="009C6940">
                  <w:pPr>
                    <w:pStyle w:val="TableBodyText"/>
                    <w:jc w:val="left"/>
                  </w:pPr>
                  <w:r>
                    <w:t>2 PHNs ahead of schedule, 8 PHNs behind schedule, 17 PHNs on track.</w:t>
                  </w:r>
                </w:p>
              </w:tc>
              <w:tc>
                <w:tcPr>
                  <w:tcW w:w="1155" w:type="pct"/>
                </w:tcPr>
                <w:p w14:paraId="42B7D3FB" w14:textId="77777777" w:rsidR="009C6940" w:rsidRDefault="009C6940" w:rsidP="009C6940">
                  <w:pPr>
                    <w:pStyle w:val="TableBodyText"/>
                    <w:jc w:val="left"/>
                  </w:pPr>
                  <w:r>
                    <w:t>1 State/Territory behind schedule, all others on track.</w:t>
                  </w:r>
                </w:p>
              </w:tc>
              <w:tc>
                <w:tcPr>
                  <w:tcW w:w="603" w:type="pct"/>
                </w:tcPr>
                <w:p w14:paraId="214C0BBE" w14:textId="77777777" w:rsidR="009C6940" w:rsidRDefault="009C6940" w:rsidP="009C6940">
                  <w:pPr>
                    <w:pStyle w:val="TableBodyText"/>
                    <w:ind w:right="28"/>
                    <w:jc w:val="left"/>
                  </w:pPr>
                  <w:r>
                    <w:t>On track.</w:t>
                  </w:r>
                </w:p>
              </w:tc>
            </w:tr>
            <w:tr w:rsidR="009C6940" w14:paraId="594A016C" w14:textId="77777777" w:rsidTr="009C6940">
              <w:tc>
                <w:tcPr>
                  <w:tcW w:w="2098" w:type="pct"/>
                  <w:shd w:val="clear" w:color="auto" w:fill="F2F2F2" w:themeFill="background1" w:themeFillShade="F2"/>
                </w:tcPr>
                <w:p w14:paraId="161FA044" w14:textId="77777777" w:rsidR="009C6940" w:rsidRDefault="009C6940" w:rsidP="009C6940">
                  <w:pPr>
                    <w:pStyle w:val="TableBodyText"/>
                    <w:jc w:val="left"/>
                  </w:pPr>
                  <w:r>
                    <w:t>2.2 — Engaging with the local community, including consumers and carers, community managed organisations, Aboriginal Community Controlled Health Services, National Disability Insurance Scheme providers, the National Disability Insurance Agency, private providers and social service agencies</w:t>
                  </w:r>
                </w:p>
              </w:tc>
              <w:tc>
                <w:tcPr>
                  <w:tcW w:w="1145" w:type="pct"/>
                  <w:shd w:val="clear" w:color="auto" w:fill="F2F2F2" w:themeFill="background1" w:themeFillShade="F2"/>
                </w:tcPr>
                <w:p w14:paraId="56541051" w14:textId="77777777" w:rsidR="009C6940" w:rsidRDefault="009C6940" w:rsidP="009C6940">
                  <w:pPr>
                    <w:pStyle w:val="TableBodyText"/>
                    <w:jc w:val="left"/>
                  </w:pPr>
                  <w:r>
                    <w:t>2 PHNs complete, 4 PHNs behind schedule, 21 PHNs on track</w:t>
                  </w:r>
                </w:p>
              </w:tc>
              <w:tc>
                <w:tcPr>
                  <w:tcW w:w="1155" w:type="pct"/>
                  <w:shd w:val="clear" w:color="auto" w:fill="F2F2F2" w:themeFill="background1" w:themeFillShade="F2"/>
                </w:tcPr>
                <w:p w14:paraId="7202D56E" w14:textId="77777777" w:rsidR="009C6940" w:rsidRDefault="009C6940" w:rsidP="009C6940">
                  <w:pPr>
                    <w:pStyle w:val="TableBodyText"/>
                    <w:jc w:val="left"/>
                  </w:pPr>
                  <w:r>
                    <w:t>1 State/Territory behind schedule, all others on track.</w:t>
                  </w:r>
                </w:p>
              </w:tc>
              <w:tc>
                <w:tcPr>
                  <w:tcW w:w="603" w:type="pct"/>
                  <w:shd w:val="clear" w:color="auto" w:fill="F2F2F2" w:themeFill="background1" w:themeFillShade="F2"/>
                </w:tcPr>
                <w:p w14:paraId="71C2CD47" w14:textId="77777777" w:rsidR="009C6940" w:rsidRDefault="009C6940" w:rsidP="009C6940">
                  <w:pPr>
                    <w:pStyle w:val="TableBodyText"/>
                    <w:ind w:right="28"/>
                    <w:jc w:val="left"/>
                  </w:pPr>
                  <w:r>
                    <w:t>On track.</w:t>
                  </w:r>
                </w:p>
              </w:tc>
            </w:tr>
            <w:tr w:rsidR="009C6940" w14:paraId="5C36BAE0" w14:textId="77777777" w:rsidTr="009C6940">
              <w:tc>
                <w:tcPr>
                  <w:tcW w:w="2098" w:type="pct"/>
                  <w:shd w:val="clear" w:color="auto" w:fill="auto"/>
                </w:tcPr>
                <w:p w14:paraId="072563FB" w14:textId="77777777" w:rsidR="009C6940" w:rsidRDefault="009C6940" w:rsidP="009C6940">
                  <w:pPr>
                    <w:pStyle w:val="TableBodyText"/>
                    <w:jc w:val="left"/>
                  </w:pPr>
                  <w:r>
                    <w:t>2.3a — Primary Health Networks (PHNs) and Local Hospital Networks (LHNs) work towards data sharing to map regional service provision and identify areas of duplication, inefficiency and service gaps</w:t>
                  </w:r>
                </w:p>
              </w:tc>
              <w:tc>
                <w:tcPr>
                  <w:tcW w:w="1145" w:type="pct"/>
                </w:tcPr>
                <w:p w14:paraId="40793C32" w14:textId="77777777" w:rsidR="009C6940" w:rsidRDefault="009C6940" w:rsidP="009C6940">
                  <w:pPr>
                    <w:pStyle w:val="TableBodyText"/>
                    <w:jc w:val="left"/>
                  </w:pPr>
                  <w:r>
                    <w:t>5 PHNs ahead of schedule, 3 Behind schedule, 20 PHNs on track.</w:t>
                  </w:r>
                </w:p>
              </w:tc>
              <w:tc>
                <w:tcPr>
                  <w:tcW w:w="1155" w:type="pct"/>
                  <w:shd w:val="clear" w:color="auto" w:fill="auto"/>
                </w:tcPr>
                <w:p w14:paraId="060723DB" w14:textId="77777777" w:rsidR="009C6940" w:rsidRDefault="009C6940" w:rsidP="009C6940">
                  <w:pPr>
                    <w:pStyle w:val="TableBodyText"/>
                    <w:jc w:val="left"/>
                  </w:pPr>
                  <w:r>
                    <w:t>1 State/Territory behind schedule, all others on track.</w:t>
                  </w:r>
                </w:p>
              </w:tc>
              <w:tc>
                <w:tcPr>
                  <w:tcW w:w="603" w:type="pct"/>
                  <w:shd w:val="clear" w:color="auto" w:fill="auto"/>
                </w:tcPr>
                <w:p w14:paraId="5AF74C4B" w14:textId="77777777" w:rsidR="009C6940" w:rsidRDefault="009C6940" w:rsidP="009C6940">
                  <w:pPr>
                    <w:pStyle w:val="TableBodyText"/>
                    <w:ind w:right="28"/>
                    <w:jc w:val="left"/>
                  </w:pPr>
                  <w:r>
                    <w:t>—</w:t>
                  </w:r>
                </w:p>
              </w:tc>
            </w:tr>
            <w:tr w:rsidR="009C6940" w14:paraId="200316A5" w14:textId="77777777" w:rsidTr="009C6940">
              <w:tc>
                <w:tcPr>
                  <w:tcW w:w="2098" w:type="pct"/>
                  <w:shd w:val="clear" w:color="auto" w:fill="F2F2F2" w:themeFill="background1" w:themeFillShade="F2"/>
                </w:tcPr>
                <w:p w14:paraId="3AAC1737" w14:textId="77777777" w:rsidR="009C6940" w:rsidRDefault="009C6940" w:rsidP="009C6940">
                  <w:pPr>
                    <w:pStyle w:val="TableBodyText"/>
                    <w:jc w:val="left"/>
                  </w:pPr>
                  <w:r>
                    <w:t>2.3b — PHNs and LHNs utilise the National Mental Health Service Planning Framework and other planning tools to facilitate regional needs assessment and planning</w:t>
                  </w:r>
                </w:p>
              </w:tc>
              <w:tc>
                <w:tcPr>
                  <w:tcW w:w="1145" w:type="pct"/>
                  <w:shd w:val="clear" w:color="auto" w:fill="F2F2F2" w:themeFill="background1" w:themeFillShade="F2"/>
                </w:tcPr>
                <w:p w14:paraId="77036BC6" w14:textId="77777777" w:rsidR="009C6940" w:rsidRDefault="009C6940" w:rsidP="009C6940">
                  <w:pPr>
                    <w:pStyle w:val="TableBodyText"/>
                    <w:jc w:val="left"/>
                  </w:pPr>
                  <w:r>
                    <w:t>3 PHNs complete, 1 PHN ahead of schedule, 4 behind schedule, 20 on track.</w:t>
                  </w:r>
                </w:p>
              </w:tc>
              <w:tc>
                <w:tcPr>
                  <w:tcW w:w="1155" w:type="pct"/>
                  <w:shd w:val="clear" w:color="auto" w:fill="F2F2F2" w:themeFill="background1" w:themeFillShade="F2"/>
                </w:tcPr>
                <w:p w14:paraId="594A801E" w14:textId="77777777" w:rsidR="009C6940" w:rsidRDefault="009C6940" w:rsidP="009C6940">
                  <w:pPr>
                    <w:pStyle w:val="TableBodyText"/>
                    <w:jc w:val="left"/>
                  </w:pPr>
                  <w:r>
                    <w:t>1 State/Territory behind schedule, all others on track.</w:t>
                  </w:r>
                </w:p>
              </w:tc>
              <w:tc>
                <w:tcPr>
                  <w:tcW w:w="603" w:type="pct"/>
                  <w:shd w:val="clear" w:color="auto" w:fill="F2F2F2" w:themeFill="background1" w:themeFillShade="F2"/>
                </w:tcPr>
                <w:p w14:paraId="1A21DC09" w14:textId="77777777" w:rsidR="009C6940" w:rsidRDefault="009C6940" w:rsidP="009C6940">
                  <w:pPr>
                    <w:pStyle w:val="TableBodyText"/>
                    <w:ind w:right="28"/>
                    <w:jc w:val="left"/>
                  </w:pPr>
                  <w:r>
                    <w:t>—</w:t>
                  </w:r>
                </w:p>
              </w:tc>
            </w:tr>
            <w:tr w:rsidR="009C6940" w14:paraId="16FCC980" w14:textId="77777777" w:rsidTr="009C6940">
              <w:tc>
                <w:tcPr>
                  <w:tcW w:w="2098" w:type="pct"/>
                  <w:shd w:val="clear" w:color="auto" w:fill="auto"/>
                </w:tcPr>
                <w:p w14:paraId="31887575" w14:textId="77777777" w:rsidR="009C6940" w:rsidRDefault="009C6940" w:rsidP="009C6940">
                  <w:pPr>
                    <w:pStyle w:val="TableBodyText"/>
                    <w:jc w:val="left"/>
                  </w:pPr>
                  <w:r>
                    <w:t>2.5 — Develop</w:t>
                  </w:r>
                  <w:r w:rsidRPr="002C5DFF">
                    <w:t xml:space="preserve"> joint, single regional mental health and suicide prevention plans and commissioning services according to those plans.</w:t>
                  </w:r>
                </w:p>
              </w:tc>
              <w:tc>
                <w:tcPr>
                  <w:tcW w:w="1145" w:type="pct"/>
                </w:tcPr>
                <w:p w14:paraId="5B0EE836" w14:textId="77777777" w:rsidR="009C6940" w:rsidRDefault="009C6940" w:rsidP="009C6940">
                  <w:pPr>
                    <w:pStyle w:val="TableBodyText"/>
                    <w:jc w:val="left"/>
                  </w:pPr>
                  <w:r>
                    <w:t>1 PHN ahead of schedule, 7 behind schedule, 20 on track</w:t>
                  </w:r>
                </w:p>
              </w:tc>
              <w:tc>
                <w:tcPr>
                  <w:tcW w:w="1155" w:type="pct"/>
                  <w:shd w:val="clear" w:color="auto" w:fill="auto"/>
                </w:tcPr>
                <w:p w14:paraId="65EF503B" w14:textId="77777777" w:rsidR="009C6940" w:rsidRPr="002C5DFF" w:rsidRDefault="009C6940" w:rsidP="009C6940">
                  <w:pPr>
                    <w:pStyle w:val="TableBodyText"/>
                    <w:jc w:val="left"/>
                  </w:pPr>
                  <w:r>
                    <w:t>1 State/Territory behind schedule, all others on track.</w:t>
                  </w:r>
                </w:p>
              </w:tc>
              <w:tc>
                <w:tcPr>
                  <w:tcW w:w="603" w:type="pct"/>
                  <w:shd w:val="clear" w:color="auto" w:fill="auto"/>
                </w:tcPr>
                <w:p w14:paraId="28E5E7DD" w14:textId="77777777" w:rsidR="009C6940" w:rsidRDefault="009C6940" w:rsidP="009C6940">
                  <w:pPr>
                    <w:pStyle w:val="TableBodyText"/>
                    <w:ind w:right="28"/>
                    <w:jc w:val="left"/>
                  </w:pPr>
                  <w:r>
                    <w:t>—</w:t>
                  </w:r>
                </w:p>
              </w:tc>
            </w:tr>
            <w:tr w:rsidR="009C6940" w14:paraId="11AEC185" w14:textId="77777777" w:rsidTr="009C6940">
              <w:tc>
                <w:tcPr>
                  <w:tcW w:w="2098" w:type="pct"/>
                  <w:shd w:val="clear" w:color="auto" w:fill="F2F2F2" w:themeFill="background1" w:themeFillShade="F2"/>
                </w:tcPr>
                <w:p w14:paraId="7ACB0086" w14:textId="77777777" w:rsidR="009C6940" w:rsidRDefault="009C6940" w:rsidP="009C6940">
                  <w:pPr>
                    <w:pStyle w:val="TableBodyText"/>
                    <w:jc w:val="left"/>
                  </w:pPr>
                  <w:r>
                    <w:t xml:space="preserve">2.7 — </w:t>
                  </w:r>
                  <w:r w:rsidRPr="002C5DFF">
                    <w:t>Developing region</w:t>
                  </w:r>
                  <w:r>
                    <w:noBreakHyphen/>
                  </w:r>
                  <w:r w:rsidRPr="002C5DFF">
                    <w:t>wide multi</w:t>
                  </w:r>
                  <w:r>
                    <w:noBreakHyphen/>
                  </w:r>
                  <w:r w:rsidRPr="002C5DFF">
                    <w:t>agency agreements, shared care pathways, triage protocols and information</w:t>
                  </w:r>
                  <w:r>
                    <w:noBreakHyphen/>
                  </w:r>
                  <w:r w:rsidRPr="002C5DFF">
                    <w:t>sharing protocols to improve integration and assist consumers and carers to navigate the system.</w:t>
                  </w:r>
                </w:p>
              </w:tc>
              <w:tc>
                <w:tcPr>
                  <w:tcW w:w="1145" w:type="pct"/>
                  <w:shd w:val="clear" w:color="auto" w:fill="F2F2F2" w:themeFill="background1" w:themeFillShade="F2"/>
                </w:tcPr>
                <w:p w14:paraId="58E00A64" w14:textId="77777777" w:rsidR="009C6940" w:rsidRDefault="009C6940" w:rsidP="009C6940">
                  <w:pPr>
                    <w:pStyle w:val="TableBodyText"/>
                    <w:jc w:val="left"/>
                  </w:pPr>
                  <w:r>
                    <w:t>5 PHNs behind schedule, 22 PHNs on track</w:t>
                  </w:r>
                </w:p>
              </w:tc>
              <w:tc>
                <w:tcPr>
                  <w:tcW w:w="1155" w:type="pct"/>
                  <w:shd w:val="clear" w:color="auto" w:fill="F2F2F2" w:themeFill="background1" w:themeFillShade="F2"/>
                </w:tcPr>
                <w:p w14:paraId="25FB85F5" w14:textId="77777777" w:rsidR="009C6940" w:rsidRDefault="009C6940" w:rsidP="009C6940">
                  <w:pPr>
                    <w:pStyle w:val="TableBodyText"/>
                    <w:jc w:val="left"/>
                  </w:pPr>
                  <w:r>
                    <w:t>1 State/Territory behind schedule, all others on track.</w:t>
                  </w:r>
                </w:p>
              </w:tc>
              <w:tc>
                <w:tcPr>
                  <w:tcW w:w="603" w:type="pct"/>
                  <w:shd w:val="clear" w:color="auto" w:fill="F2F2F2" w:themeFill="background1" w:themeFillShade="F2"/>
                </w:tcPr>
                <w:p w14:paraId="3D4EC37F" w14:textId="77777777" w:rsidR="009C6940" w:rsidRDefault="009C6940" w:rsidP="009C6940">
                  <w:pPr>
                    <w:pStyle w:val="TableBodyText"/>
                    <w:ind w:right="28"/>
                    <w:jc w:val="left"/>
                  </w:pPr>
                  <w:r>
                    <w:t>—</w:t>
                  </w:r>
                </w:p>
              </w:tc>
            </w:tr>
            <w:tr w:rsidR="009C6940" w14:paraId="009A1A7A" w14:textId="77777777" w:rsidTr="009C6940">
              <w:tc>
                <w:tcPr>
                  <w:tcW w:w="2098" w:type="pct"/>
                  <w:shd w:val="clear" w:color="auto" w:fill="auto"/>
                </w:tcPr>
                <w:p w14:paraId="7842D1BF" w14:textId="77777777" w:rsidR="009C6940" w:rsidRDefault="009C6940" w:rsidP="009C6940">
                  <w:pPr>
                    <w:pStyle w:val="TableBodyText"/>
                    <w:jc w:val="left"/>
                  </w:pPr>
                  <w:r>
                    <w:t>2.8 — Developing shared clinical governance mechanisms to allow for agreed care pathways, referral mechanism, quality processes and review of adverse events.</w:t>
                  </w:r>
                </w:p>
              </w:tc>
              <w:tc>
                <w:tcPr>
                  <w:tcW w:w="1145" w:type="pct"/>
                </w:tcPr>
                <w:p w14:paraId="367582B3" w14:textId="77777777" w:rsidR="009C6940" w:rsidRDefault="009C6940" w:rsidP="009C6940">
                  <w:pPr>
                    <w:pStyle w:val="TableBodyText"/>
                    <w:jc w:val="left"/>
                  </w:pPr>
                  <w:r>
                    <w:t>8 PHNs behind schedule, 20 PHNs on track.</w:t>
                  </w:r>
                </w:p>
              </w:tc>
              <w:tc>
                <w:tcPr>
                  <w:tcW w:w="1155" w:type="pct"/>
                  <w:shd w:val="clear" w:color="auto" w:fill="auto"/>
                </w:tcPr>
                <w:p w14:paraId="5523DFAC" w14:textId="77777777" w:rsidR="009C6940" w:rsidRDefault="009C6940" w:rsidP="009C6940">
                  <w:pPr>
                    <w:pStyle w:val="TableBodyText"/>
                    <w:jc w:val="left"/>
                  </w:pPr>
                  <w:r>
                    <w:t>1 State/Territory behind schedule, all others on track.</w:t>
                  </w:r>
                </w:p>
              </w:tc>
              <w:tc>
                <w:tcPr>
                  <w:tcW w:w="603" w:type="pct"/>
                  <w:shd w:val="clear" w:color="auto" w:fill="auto"/>
                </w:tcPr>
                <w:p w14:paraId="5C48B0BC" w14:textId="77777777" w:rsidR="009C6940" w:rsidRDefault="009C6940" w:rsidP="009C6940">
                  <w:pPr>
                    <w:pStyle w:val="TableBodyText"/>
                    <w:ind w:right="28"/>
                    <w:jc w:val="left"/>
                  </w:pPr>
                  <w:r>
                    <w:t>—</w:t>
                  </w:r>
                </w:p>
                <w:p w14:paraId="6BB101AC" w14:textId="77777777" w:rsidR="009C6940" w:rsidRPr="00292ACA" w:rsidRDefault="009C6940" w:rsidP="009C6940">
                  <w:pPr>
                    <w:pStyle w:val="BodyText"/>
                  </w:pPr>
                </w:p>
              </w:tc>
            </w:tr>
          </w:tbl>
          <w:p w14:paraId="32F65884" w14:textId="77777777" w:rsidR="009C6940" w:rsidRDefault="009C6940" w:rsidP="009C6940">
            <w:pPr>
              <w:pStyle w:val="Box"/>
            </w:pPr>
          </w:p>
        </w:tc>
      </w:tr>
      <w:tr w:rsidR="009C6940" w14:paraId="42F90326" w14:textId="77777777" w:rsidTr="009C6940">
        <w:tc>
          <w:tcPr>
            <w:tcW w:w="5000" w:type="pct"/>
            <w:tcBorders>
              <w:top w:val="nil"/>
              <w:left w:val="nil"/>
              <w:bottom w:val="nil"/>
              <w:right w:val="nil"/>
            </w:tcBorders>
            <w:shd w:val="clear" w:color="auto" w:fill="auto"/>
          </w:tcPr>
          <w:p w14:paraId="5976F099" w14:textId="77777777" w:rsidR="009C6940" w:rsidRPr="00161E38" w:rsidRDefault="009C6940" w:rsidP="009C6940">
            <w:pPr>
              <w:pStyle w:val="Source"/>
            </w:pPr>
            <w:r>
              <w:rPr>
                <w:i/>
              </w:rPr>
              <w:t>Source</w:t>
            </w:r>
            <w:r>
              <w:t>: NMHC </w:t>
            </w:r>
            <w:r w:rsidRPr="00402E07">
              <w:rPr>
                <w:rFonts w:cs="Arial"/>
              </w:rPr>
              <w:t>(2018)</w:t>
            </w:r>
            <w:r>
              <w:t>.</w:t>
            </w:r>
          </w:p>
        </w:tc>
      </w:tr>
      <w:tr w:rsidR="009C6940" w14:paraId="5997D89F" w14:textId="77777777" w:rsidTr="009C6940">
        <w:tc>
          <w:tcPr>
            <w:tcW w:w="5000" w:type="pct"/>
            <w:tcBorders>
              <w:top w:val="nil"/>
              <w:left w:val="nil"/>
              <w:bottom w:val="single" w:sz="6" w:space="0" w:color="78A22F"/>
              <w:right w:val="nil"/>
            </w:tcBorders>
            <w:shd w:val="clear" w:color="auto" w:fill="auto"/>
          </w:tcPr>
          <w:p w14:paraId="65FA97A1" w14:textId="77777777" w:rsidR="009C6940" w:rsidRDefault="009C6940" w:rsidP="009C6940">
            <w:pPr>
              <w:pStyle w:val="Box"/>
              <w:spacing w:before="0" w:line="120" w:lineRule="exact"/>
            </w:pPr>
          </w:p>
        </w:tc>
      </w:tr>
      <w:tr w:rsidR="009C6940" w:rsidRPr="000863A5" w14:paraId="08504305" w14:textId="77777777" w:rsidTr="009C6940">
        <w:tc>
          <w:tcPr>
            <w:tcW w:w="5000" w:type="pct"/>
            <w:tcBorders>
              <w:top w:val="single" w:sz="6" w:space="0" w:color="78A22F"/>
              <w:left w:val="nil"/>
              <w:bottom w:val="nil"/>
              <w:right w:val="nil"/>
            </w:tcBorders>
          </w:tcPr>
          <w:p w14:paraId="315E4380" w14:textId="77777777" w:rsidR="009C6940" w:rsidRPr="00626D32" w:rsidRDefault="009C6940" w:rsidP="009C6940">
            <w:pPr>
              <w:pStyle w:val="BoxSpaceBelow"/>
            </w:pPr>
          </w:p>
        </w:tc>
      </w:tr>
    </w:tbl>
    <w:p w14:paraId="0A27CF2B"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441A3A8" w14:textId="77777777" w:rsidTr="009C6940">
        <w:trPr>
          <w:tblHeader/>
        </w:trPr>
        <w:tc>
          <w:tcPr>
            <w:tcW w:w="5000" w:type="pct"/>
            <w:tcBorders>
              <w:top w:val="single" w:sz="6" w:space="0" w:color="78A22F"/>
              <w:left w:val="nil"/>
              <w:bottom w:val="nil"/>
              <w:right w:val="nil"/>
            </w:tcBorders>
            <w:shd w:val="clear" w:color="auto" w:fill="F2F2F2"/>
          </w:tcPr>
          <w:p w14:paraId="34434883" w14:textId="77777777" w:rsidR="009C6940" w:rsidRDefault="009C6940" w:rsidP="009C6940">
            <w:pPr>
              <w:pStyle w:val="BoxTitle"/>
            </w:pPr>
            <w:r>
              <w:rPr>
                <w:b w:val="0"/>
              </w:rPr>
              <w:t>Box G.</w:t>
            </w:r>
            <w:r>
              <w:rPr>
                <w:b w:val="0"/>
                <w:noProof/>
              </w:rPr>
              <w:t>10</w:t>
            </w:r>
            <w:r>
              <w:tab/>
              <w:t>Selected examples of PHN–LHN cooperation</w:t>
            </w:r>
          </w:p>
        </w:tc>
      </w:tr>
      <w:tr w:rsidR="009C6940" w14:paraId="1B4E839D" w14:textId="77777777" w:rsidTr="009C6940">
        <w:tc>
          <w:tcPr>
            <w:tcW w:w="5000" w:type="pct"/>
            <w:tcBorders>
              <w:top w:val="nil"/>
              <w:left w:val="nil"/>
              <w:bottom w:val="nil"/>
              <w:right w:val="nil"/>
            </w:tcBorders>
            <w:shd w:val="clear" w:color="auto" w:fill="F2F2F2"/>
          </w:tcPr>
          <w:p w14:paraId="3530243F" w14:textId="77777777" w:rsidR="009C6940" w:rsidRDefault="009C6940" w:rsidP="009C6940">
            <w:pPr>
              <w:pStyle w:val="BoxListBullet"/>
            </w:pPr>
            <w:r>
              <w:t>The Brisbane North Primary Health Network (PHN) and Metro North Health and Hospital Service (its neighbouring Local Hospital Network) have created a ‘neutral space’ where separate parts of the health system can come together (the Health Alliance) and a shared governance mechanism (the Joint Board Committee) with rotating membership to progress shared goals (MNHHS, Brisbane North PHN, MSHHS and Brisbane South PHN, sub. 874).</w:t>
            </w:r>
          </w:p>
          <w:p w14:paraId="12EB51EB" w14:textId="77777777" w:rsidR="009C6940" w:rsidRDefault="009C6940" w:rsidP="009C6940">
            <w:pPr>
              <w:pStyle w:val="BoxListBullet"/>
            </w:pPr>
            <w:r>
              <w:t xml:space="preserve">The </w:t>
            </w:r>
            <w:r w:rsidRPr="004C45D7">
              <w:t>Women’s and Children’s Hospital Network, Department of Human Services and Adelaide PHN</w:t>
            </w:r>
            <w:r>
              <w:t xml:space="preserve"> funded an evidence</w:t>
            </w:r>
            <w:r>
              <w:noBreakHyphen/>
              <w:t>based therapy program for mothers with borderline personality disorder (PHN Cooperative, sub. 850).</w:t>
            </w:r>
          </w:p>
          <w:p w14:paraId="68B24D5B" w14:textId="77777777" w:rsidR="009C6940" w:rsidRPr="004C45D7" w:rsidRDefault="009C6940" w:rsidP="009C6940">
            <w:pPr>
              <w:pStyle w:val="BoxListBullet"/>
            </w:pPr>
            <w:r>
              <w:t xml:space="preserve">The Hunter New England Central Coast PHN and </w:t>
            </w:r>
            <w:r w:rsidRPr="004C45D7">
              <w:t>Hunter New England and Central Coast Local Health Districts</w:t>
            </w:r>
            <w:r>
              <w:t xml:space="preserve"> (its neighbouring LHNs) both committed resources toward a dynamic simulation modelling for suicide prevention process to inform future commissioning of suicide prevention services. The same grouping also collaboratively commissioned a program to provide assertive outreach and linkage to primary care for people with complex psychosocial needs (PHN Cooperative, sub. 850).</w:t>
            </w:r>
          </w:p>
        </w:tc>
      </w:tr>
      <w:tr w:rsidR="009C6940" w14:paraId="7C699E73" w14:textId="77777777" w:rsidTr="009C6940">
        <w:tc>
          <w:tcPr>
            <w:tcW w:w="5000" w:type="pct"/>
            <w:tcBorders>
              <w:top w:val="nil"/>
              <w:left w:val="nil"/>
              <w:bottom w:val="single" w:sz="6" w:space="0" w:color="78A22F"/>
              <w:right w:val="nil"/>
            </w:tcBorders>
            <w:shd w:val="clear" w:color="auto" w:fill="F2F2F2"/>
          </w:tcPr>
          <w:p w14:paraId="2E1BD290" w14:textId="77777777" w:rsidR="009C6940" w:rsidRDefault="009C6940" w:rsidP="009C6940">
            <w:pPr>
              <w:pStyle w:val="Box"/>
              <w:spacing w:before="0" w:line="120" w:lineRule="exact"/>
            </w:pPr>
          </w:p>
        </w:tc>
      </w:tr>
      <w:tr w:rsidR="009C6940" w:rsidRPr="000863A5" w14:paraId="798C0E12" w14:textId="77777777" w:rsidTr="009C6940">
        <w:tc>
          <w:tcPr>
            <w:tcW w:w="5000" w:type="pct"/>
            <w:tcBorders>
              <w:top w:val="single" w:sz="6" w:space="0" w:color="78A22F"/>
              <w:left w:val="nil"/>
              <w:bottom w:val="nil"/>
              <w:right w:val="nil"/>
            </w:tcBorders>
          </w:tcPr>
          <w:p w14:paraId="7AF08E32" w14:textId="77777777" w:rsidR="009C6940" w:rsidRPr="00626D32" w:rsidRDefault="009C6940" w:rsidP="009C6940">
            <w:pPr>
              <w:pStyle w:val="BoxSpaceBelow"/>
            </w:pPr>
          </w:p>
        </w:tc>
      </w:tr>
    </w:tbl>
    <w:p w14:paraId="0D04B6C3" w14:textId="77777777" w:rsidR="009C6940" w:rsidRPr="00CB4AA8" w:rsidRDefault="009C6940" w:rsidP="009C6940">
      <w:pPr>
        <w:pStyle w:val="BodyText"/>
      </w:pPr>
      <w:r>
        <w:t>Instead of drawing sharp conclusions about its success on the basis of this limited evidence, we have examined the fundamentals of the Fifth Plan approach — its potential strengths (regionalism) and weaknesses (misaligned incentives of PHNs and LHNs) and the effectiveness of how it is being pursued.</w:t>
      </w:r>
    </w:p>
    <w:p w14:paraId="08E411D0" w14:textId="77777777" w:rsidR="009C6940" w:rsidRDefault="009C6940" w:rsidP="009C6940">
      <w:pPr>
        <w:pStyle w:val="Heading3"/>
        <w:spacing w:before="480"/>
      </w:pPr>
      <w:r>
        <w:t>A regional strategy is a sound foundation</w:t>
      </w:r>
    </w:p>
    <w:p w14:paraId="308C0A2B" w14:textId="77777777" w:rsidR="009C6940" w:rsidRDefault="009C6940" w:rsidP="009C6940">
      <w:pPr>
        <w:pStyle w:val="BodyText"/>
        <w:spacing w:before="200"/>
      </w:pPr>
      <w:r>
        <w:t>Regionalism is at the core of the Fifth Plan approach. Effectively, the Fifth Plan approach seeks to clarify PHN and LHN roles and integrate PHN</w:t>
      </w:r>
      <w:r>
        <w:noBreakHyphen/>
        <w:t>commissioned and LHN</w:t>
      </w:r>
      <w:r>
        <w:noBreakHyphen/>
        <w:t>provided services on a region</w:t>
      </w:r>
      <w:r>
        <w:noBreakHyphen/>
        <w:t>by</w:t>
      </w:r>
      <w:r>
        <w:noBreakHyphen/>
        <w:t>region basis, which allows for some regional variation in government roles and promotes regional approaches to integrating services across levels of government.</w:t>
      </w:r>
    </w:p>
    <w:p w14:paraId="076ED08B" w14:textId="77777777" w:rsidR="009C6940" w:rsidRDefault="009C6940" w:rsidP="009C6940">
      <w:pPr>
        <w:pStyle w:val="BodyText"/>
        <w:spacing w:before="200"/>
      </w:pPr>
      <w:r>
        <w:t xml:space="preserve">A regional approach to clarifying roles and integrating services seems the most likely to succeed, for three reasons: </w:t>
      </w:r>
    </w:p>
    <w:p w14:paraId="41430B76" w14:textId="77777777" w:rsidR="009C6940" w:rsidRDefault="009C6940" w:rsidP="009C6940">
      <w:pPr>
        <w:pStyle w:val="ListBullet"/>
      </w:pPr>
      <w:r>
        <w:t xml:space="preserve">Government roles are </w:t>
      </w:r>
      <w:r w:rsidRPr="00554FE6">
        <w:rPr>
          <w:i/>
        </w:rPr>
        <w:t>not</w:t>
      </w:r>
      <w:r>
        <w:t xml:space="preserve"> currently uniform across Australia. Australian Government funding for mainstream mental healthcare services is mostly via MBS rebates, which flow disproportionately to wealthier urban areas (section G.2). And while PHN funding counteracts these inequities, it only partially cancels out the differences when regional differences are taken into consideration (section G.2). As a result, the Australian Government share of total mental healthcare funding varies between States/Territories, from as high as 24% in Victoria to as low as 16% in Western Australia (figure G.5) — and this obscures regional differences within States/Territories.</w:t>
      </w:r>
    </w:p>
    <w:p w14:paraId="441B72BA" w14:textId="77777777" w:rsidR="009C6940" w:rsidRDefault="009C6940" w:rsidP="009C6940">
      <w:pPr>
        <w:pStyle w:val="ListBullet"/>
      </w:pPr>
      <w:r>
        <w:t>Regional differences suggest the ‘optimal’ service mix will differ between regions. A rigid approach to clarifying roles risks locking in a uniform service mix.</w:t>
      </w:r>
    </w:p>
    <w:p w14:paraId="6C0D20A2" w14:textId="77777777" w:rsidR="009C6940" w:rsidRDefault="009C6940" w:rsidP="009C6940">
      <w:pPr>
        <w:pStyle w:val="ListBullet"/>
      </w:pPr>
      <w:r>
        <w:t xml:space="preserve">Effective integration requires, among other things, personal relationships that can only be formed at the regional level </w:t>
      </w:r>
      <w:r w:rsidRPr="00BC1BA0">
        <w:rPr>
          <w:szCs w:val="24"/>
        </w:rPr>
        <w:t>(PC 2017b)</w:t>
      </w:r>
      <w:r>
        <w:t>.</w:t>
      </w:r>
    </w:p>
    <w:p w14:paraId="4EA9E99A"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2F4BFA9" w14:textId="77777777" w:rsidTr="009C6940">
        <w:trPr>
          <w:tblHeader/>
        </w:trPr>
        <w:tc>
          <w:tcPr>
            <w:tcW w:w="5000" w:type="pct"/>
            <w:tcBorders>
              <w:top w:val="single" w:sz="6" w:space="0" w:color="78A22F"/>
              <w:left w:val="nil"/>
              <w:bottom w:val="nil"/>
              <w:right w:val="nil"/>
            </w:tcBorders>
            <w:shd w:val="clear" w:color="auto" w:fill="auto"/>
          </w:tcPr>
          <w:p w14:paraId="6773916F" w14:textId="77777777" w:rsidR="009C6940" w:rsidRPr="000F12C3" w:rsidRDefault="009C6940" w:rsidP="009C6940">
            <w:pPr>
              <w:pStyle w:val="FigureTitle"/>
              <w:rPr>
                <w:rStyle w:val="NoteLabel"/>
              </w:rPr>
            </w:pPr>
            <w:r w:rsidRPr="00784A05">
              <w:rPr>
                <w:b w:val="0"/>
              </w:rPr>
              <w:t xml:space="preserve">Figure </w:t>
            </w:r>
            <w:r>
              <w:rPr>
                <w:b w:val="0"/>
              </w:rPr>
              <w:t>G.</w:t>
            </w:r>
            <w:r>
              <w:rPr>
                <w:b w:val="0"/>
                <w:noProof/>
              </w:rPr>
              <w:t>5</w:t>
            </w:r>
            <w:r>
              <w:tab/>
              <w:t>Medicare and PHN share of total mental healthcare expenditure</w:t>
            </w:r>
            <w:r w:rsidRPr="000F12C3">
              <w:rPr>
                <w:rStyle w:val="NoteLabel"/>
                <w:b/>
              </w:rPr>
              <w:t>a</w:t>
            </w:r>
          </w:p>
          <w:p w14:paraId="579F3D05" w14:textId="77777777" w:rsidR="009C6940" w:rsidRPr="00176D3F" w:rsidRDefault="009C6940" w:rsidP="009C6940">
            <w:pPr>
              <w:pStyle w:val="Subtitle"/>
            </w:pPr>
            <w:r>
              <w:t>2017</w:t>
            </w:r>
            <w:r>
              <w:noBreakHyphen/>
              <w:t>18</w:t>
            </w:r>
          </w:p>
        </w:tc>
      </w:tr>
      <w:tr w:rsidR="009C6940" w14:paraId="74572B17"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B1465D" w14:paraId="340EDF28" w14:textId="77777777" w:rsidTr="009C6940">
              <w:trPr>
                <w:tblHeader/>
                <w:jc w:val="center"/>
              </w:trPr>
              <w:tc>
                <w:tcPr>
                  <w:tcW w:w="5000" w:type="pct"/>
                  <w:tcBorders>
                    <w:top w:val="nil"/>
                    <w:bottom w:val="nil"/>
                  </w:tcBorders>
                </w:tcPr>
                <w:p w14:paraId="52697DE0" w14:textId="77777777" w:rsidR="009C6940" w:rsidRPr="00B1465D" w:rsidRDefault="009C6940" w:rsidP="009C6940">
                  <w:pPr>
                    <w:pStyle w:val="Figure"/>
                    <w:spacing w:before="60" w:after="60"/>
                    <w:rPr>
                      <w:rFonts w:ascii="Arial" w:hAnsi="Arial" w:cs="Arial"/>
                      <w:sz w:val="18"/>
                      <w:szCs w:val="18"/>
                    </w:rPr>
                  </w:pPr>
                  <w:r w:rsidRPr="00E13AB0">
                    <w:rPr>
                      <w:rFonts w:ascii="Arial" w:hAnsi="Arial" w:cs="Arial"/>
                      <w:noProof/>
                      <w:sz w:val="18"/>
                      <w:szCs w:val="18"/>
                    </w:rPr>
                    <w:drawing>
                      <wp:inline distT="0" distB="0" distL="0" distR="0" wp14:anchorId="683F7D00" wp14:editId="66AB502D">
                        <wp:extent cx="5402580" cy="2879725"/>
                        <wp:effectExtent l="0" t="0" r="7620" b="0"/>
                        <wp:docPr id="38" name="Picture 38" descr="This figure shows the share of total mental healthcare expenditure attributable to Medicare Benefits Schedule rebates and the PHN Mental Health Care Flexible Funding Pool in each State and Territory in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402580" cy="2879725"/>
                                </a:xfrm>
                                <a:prstGeom prst="rect">
                                  <a:avLst/>
                                </a:prstGeom>
                                <a:noFill/>
                                <a:ln>
                                  <a:noFill/>
                                </a:ln>
                              </pic:spPr>
                            </pic:pic>
                          </a:graphicData>
                        </a:graphic>
                      </wp:inline>
                    </w:drawing>
                  </w:r>
                </w:p>
              </w:tc>
            </w:tr>
          </w:tbl>
          <w:p w14:paraId="3993C0C5" w14:textId="77777777" w:rsidR="009C6940" w:rsidRDefault="009C6940" w:rsidP="009C6940">
            <w:pPr>
              <w:pStyle w:val="Figure"/>
            </w:pPr>
          </w:p>
        </w:tc>
      </w:tr>
      <w:tr w:rsidR="009C6940" w:rsidRPr="00176D3F" w14:paraId="29EC84A0" w14:textId="77777777" w:rsidTr="009C6940">
        <w:tc>
          <w:tcPr>
            <w:tcW w:w="5000" w:type="pct"/>
            <w:tcBorders>
              <w:top w:val="nil"/>
              <w:left w:val="nil"/>
              <w:bottom w:val="nil"/>
              <w:right w:val="nil"/>
            </w:tcBorders>
            <w:shd w:val="clear" w:color="auto" w:fill="auto"/>
          </w:tcPr>
          <w:p w14:paraId="4F1D1647" w14:textId="77777777" w:rsidR="009C6940" w:rsidRPr="000F12C3" w:rsidRDefault="009C6940" w:rsidP="009C6940">
            <w:pPr>
              <w:pStyle w:val="Note"/>
            </w:pPr>
            <w:r>
              <w:rPr>
                <w:rStyle w:val="NoteLabel"/>
              </w:rPr>
              <w:t>a</w:t>
            </w:r>
            <w:r>
              <w:t> </w:t>
            </w:r>
            <w:r w:rsidRPr="009C1DAD">
              <w:rPr>
                <w:spacing w:val="-2"/>
              </w:rPr>
              <w:t>‘Total mental healthcare funding’ here comprises State and Territory Government expenditure on specialised mental health services (inclusive of Australian Government contributions); MBS rebates to GPs (mental health items only), psychiatrists and allied mental health professionals; and the PHN Mental Health Care Flexible Funding Pool.</w:t>
            </w:r>
          </w:p>
        </w:tc>
      </w:tr>
      <w:tr w:rsidR="009C6940" w:rsidRPr="00176D3F" w14:paraId="70A7DBF2" w14:textId="77777777" w:rsidTr="009C6940">
        <w:tc>
          <w:tcPr>
            <w:tcW w:w="5000" w:type="pct"/>
            <w:tcBorders>
              <w:top w:val="nil"/>
              <w:left w:val="nil"/>
              <w:bottom w:val="nil"/>
              <w:right w:val="nil"/>
            </w:tcBorders>
            <w:shd w:val="clear" w:color="auto" w:fill="auto"/>
          </w:tcPr>
          <w:p w14:paraId="71A8B800" w14:textId="77777777" w:rsidR="009C6940" w:rsidRPr="00176D3F" w:rsidRDefault="009C6940" w:rsidP="009C6940">
            <w:pPr>
              <w:pStyle w:val="Source"/>
            </w:pPr>
            <w:r>
              <w:rPr>
                <w:i/>
              </w:rPr>
              <w:t>S</w:t>
            </w:r>
            <w:r w:rsidRPr="00784A05">
              <w:rPr>
                <w:i/>
              </w:rPr>
              <w:t>ource</w:t>
            </w:r>
            <w:r w:rsidRPr="00176D3F">
              <w:t>:</w:t>
            </w:r>
            <w:r>
              <w:t xml:space="preserve"> AIHW </w:t>
            </w:r>
            <w:r w:rsidRPr="004E5F06">
              <w:rPr>
                <w:rFonts w:cs="Arial"/>
              </w:rPr>
              <w:t>(2020a)</w:t>
            </w:r>
            <w:r>
              <w:t>; unpublished data supplied by the Australian Government Department of Health.</w:t>
            </w:r>
          </w:p>
        </w:tc>
      </w:tr>
      <w:tr w:rsidR="009C6940" w14:paraId="10CB402F" w14:textId="77777777" w:rsidTr="009C6940">
        <w:tc>
          <w:tcPr>
            <w:tcW w:w="5000" w:type="pct"/>
            <w:tcBorders>
              <w:top w:val="nil"/>
              <w:left w:val="nil"/>
              <w:bottom w:val="single" w:sz="6" w:space="0" w:color="78A22F"/>
              <w:right w:val="nil"/>
            </w:tcBorders>
            <w:shd w:val="clear" w:color="auto" w:fill="auto"/>
          </w:tcPr>
          <w:p w14:paraId="72ADCE2B" w14:textId="77777777" w:rsidR="009C6940" w:rsidRDefault="009C6940" w:rsidP="009C6940">
            <w:pPr>
              <w:pStyle w:val="Figurespace"/>
            </w:pPr>
          </w:p>
        </w:tc>
      </w:tr>
      <w:tr w:rsidR="009C6940" w:rsidRPr="000863A5" w14:paraId="5ED86790" w14:textId="77777777" w:rsidTr="009C6940">
        <w:tc>
          <w:tcPr>
            <w:tcW w:w="5000" w:type="pct"/>
            <w:tcBorders>
              <w:top w:val="single" w:sz="6" w:space="0" w:color="78A22F"/>
              <w:left w:val="nil"/>
              <w:bottom w:val="nil"/>
              <w:right w:val="nil"/>
            </w:tcBorders>
          </w:tcPr>
          <w:p w14:paraId="606A0897" w14:textId="77777777" w:rsidR="009C6940" w:rsidRPr="00626D32" w:rsidRDefault="009C6940" w:rsidP="009C6940">
            <w:pPr>
              <w:pStyle w:val="BoxSpaceBelow"/>
            </w:pPr>
          </w:p>
        </w:tc>
      </w:tr>
    </w:tbl>
    <w:p w14:paraId="2F09EFEE" w14:textId="77777777" w:rsidR="009C6940" w:rsidRDefault="009C6940" w:rsidP="009C6940">
      <w:pPr>
        <w:pStyle w:val="BodyText"/>
      </w:pPr>
      <w:r>
        <w:t>This conclusion comes with two important provisos:</w:t>
      </w:r>
    </w:p>
    <w:p w14:paraId="2B465787" w14:textId="77777777" w:rsidR="009C6940" w:rsidRDefault="009C6940" w:rsidP="009C6940">
      <w:pPr>
        <w:pStyle w:val="ListBullet"/>
      </w:pPr>
      <w:r>
        <w:t>Regional</w:t>
      </w:r>
      <w:r>
        <w:noBreakHyphen/>
        <w:t>level role clarification does not subsume the need for national</w:t>
      </w:r>
      <w:r>
        <w:noBreakHyphen/>
        <w:t>level role clarification (which, as noted previously, is not adequate at present). Rather, national</w:t>
      </w:r>
      <w:r>
        <w:noBreakHyphen/>
        <w:t>level role clarification should set expectations about the types of services that each level of government is responsible for funding (whether via PHNs, LHNs, MBS rebates or other means), and PHN–LHN groupings should then take this allocation of roles at a national level as a starting point to clarify roles at a more granular level via joint regional planning.</w:t>
      </w:r>
    </w:p>
    <w:p w14:paraId="44989642" w14:textId="77777777" w:rsidR="009C6940" w:rsidRDefault="009C6940" w:rsidP="009C6940">
      <w:pPr>
        <w:pStyle w:val="ListBullet"/>
      </w:pPr>
      <w:r>
        <w:t>Regional</w:t>
      </w:r>
      <w:r>
        <w:noBreakHyphen/>
        <w:t xml:space="preserve">level role clarification is necessary </w:t>
      </w:r>
      <w:r w:rsidRPr="007061AC">
        <w:rPr>
          <w:i/>
        </w:rPr>
        <w:t>only</w:t>
      </w:r>
      <w:r>
        <w:t xml:space="preserve"> if responsibility for commissioning mental health services remains split across levels of government. If a single level of government were to take full responsibility for commissioning mental health services, then national</w:t>
      </w:r>
      <w:r>
        <w:noBreakHyphen/>
        <w:t>level role clarification would suffice (although regional commissioning would remain preferable for the reasons outlined in box G.4). We discuss the potential for placing all commissioning responsibilities with a single agency (a Regional Commissioning Authority) in section G.5 and chapter 23.</w:t>
      </w:r>
    </w:p>
    <w:p w14:paraId="2CC92F01" w14:textId="77777777" w:rsidR="009C6940" w:rsidRDefault="009C6940" w:rsidP="009C6940">
      <w:pPr>
        <w:pStyle w:val="Heading3"/>
      </w:pPr>
      <w:r>
        <w:lastRenderedPageBreak/>
        <w:t>Existing incentives undermine the scope for PHN–LHN cooperation</w:t>
      </w:r>
    </w:p>
    <w:p w14:paraId="3D1D08B6" w14:textId="77777777" w:rsidR="009C6940" w:rsidRDefault="009C6940" w:rsidP="009C6940">
      <w:pPr>
        <w:pStyle w:val="BodyText"/>
      </w:pPr>
      <w:r>
        <w:t xml:space="preserve">The Fifth Plan approach requires </w:t>
      </w:r>
      <w:r w:rsidRPr="00C77F5D">
        <w:t>cooperation</w:t>
      </w:r>
      <w:r>
        <w:t xml:space="preserve"> between PHNs and LHNs. Cooperation is common, and there is no underlying reason why cooperation between PHNs and LHNs could not integrate mental health services and allocate resources to better meet consumer needs.</w:t>
      </w:r>
    </w:p>
    <w:p w14:paraId="1DE415AC" w14:textId="77777777" w:rsidR="009C6940" w:rsidRDefault="009C6940" w:rsidP="009C6940">
      <w:pPr>
        <w:pStyle w:val="BodyText"/>
      </w:pPr>
      <w:r>
        <w:t>However, cooperation will only be an effective strategy where it is mutually beneficial to the relevant parties. A primary concern with the Fifth Plan approach is that neither PHNs nor LHNs face strong financial incentives to work together in a cooperative manner.</w:t>
      </w:r>
    </w:p>
    <w:p w14:paraId="52201C02" w14:textId="77777777" w:rsidR="009C6940" w:rsidRDefault="009C6940" w:rsidP="009C6940">
      <w:pPr>
        <w:pStyle w:val="BodyText"/>
      </w:pPr>
      <w:r>
        <w:t>Consider the incentives of PHNs. As set out in chapter 12, there likely would be savings to the mental health budget by better servicing the missing middle. But these savings would likely come in the form of reduced demands on acute mental healthcare and non</w:t>
      </w:r>
      <w:r>
        <w:noBreakHyphen/>
        <w:t xml:space="preserve">health services, neither of which are captured by the PHNs. Moreover, the ability of the Australian Government to direct the PHNs to ‘internalise’ these potential savings appears limited. Reducing ‘potentially preventable hospitalisations’ is an objective in the PHN Program Performance and Quality Framework </w:t>
      </w:r>
      <w:r w:rsidRPr="00402E07">
        <w:rPr>
          <w:szCs w:val="24"/>
        </w:rPr>
        <w:t>(DoH 2018)</w:t>
      </w:r>
      <w:r>
        <w:t>, but there is no measure for potentially preventable mental illness</w:t>
      </w:r>
      <w:r>
        <w:noBreakHyphen/>
        <w:t xml:space="preserve">related hospitalisations </w:t>
      </w:r>
      <w:r w:rsidRPr="00402E07">
        <w:rPr>
          <w:szCs w:val="24"/>
        </w:rPr>
        <w:t>(AIHW 2018)</w:t>
      </w:r>
      <w:r>
        <w:t xml:space="preserve">. And while the general PHN Grant Program Guidelines note that an objective of establishing PHNs is to ‘help patients to avoid having to go to emergency departments or being admitted to hospital for conditions that can be effectively managed outside of hospitals’ </w:t>
      </w:r>
      <w:r w:rsidRPr="00906F80">
        <w:rPr>
          <w:szCs w:val="24"/>
        </w:rPr>
        <w:t>(DoH 2016a)</w:t>
      </w:r>
      <w:r>
        <w:t>, the Mental Health Care Flexible Funding Pool Guidance Documentation mentions hospital avoidance only in the context of c</w:t>
      </w:r>
      <w:r w:rsidRPr="004A0902">
        <w:t>linical care and coordination delivered by mental health nurses</w:t>
      </w:r>
      <w:r>
        <w:t>, and only in passing.</w:t>
      </w:r>
    </w:p>
    <w:p w14:paraId="34DF5F3B" w14:textId="77777777" w:rsidR="009C6940" w:rsidRDefault="009C6940" w:rsidP="009C6940">
      <w:pPr>
        <w:pStyle w:val="BodyText"/>
      </w:pPr>
      <w:r>
        <w:t>On the LHN side — and as already discussed in section G.3 — activity</w:t>
      </w:r>
      <w:r>
        <w:noBreakHyphen/>
        <w:t>based funding for public hospital</w:t>
      </w:r>
      <w:r>
        <w:noBreakHyphen/>
        <w:t>based mental healthcare limits incentives to seek to service the missing middle. Coordinating with PHNs runs counter to this.</w:t>
      </w:r>
    </w:p>
    <w:p w14:paraId="7855207D" w14:textId="77777777" w:rsidR="009C6940" w:rsidRDefault="009C6940" w:rsidP="009C6940">
      <w:pPr>
        <w:pStyle w:val="Heading3"/>
      </w:pPr>
      <w:r>
        <w:t>Supporting policy settings are inadequate</w:t>
      </w:r>
    </w:p>
    <w:p w14:paraId="74CC553E" w14:textId="77777777" w:rsidR="009C6940" w:rsidRPr="00CD65C2" w:rsidRDefault="009C6940" w:rsidP="009C6940">
      <w:pPr>
        <w:pStyle w:val="BodyText"/>
      </w:pPr>
      <w:r>
        <w:t>Given the current incentives that PHNs and LHNs face, well</w:t>
      </w:r>
      <w:r>
        <w:noBreakHyphen/>
        <w:t>designed regulation and strong oversight is likely to be necessary to drive PHNs and LHNs to cooperate. These are not in place at this time.</w:t>
      </w:r>
    </w:p>
    <w:p w14:paraId="5DEF12D9" w14:textId="77777777" w:rsidR="009C6940" w:rsidRDefault="009C6940" w:rsidP="009C6940">
      <w:pPr>
        <w:pStyle w:val="Heading4"/>
      </w:pPr>
      <w:r>
        <w:t>Joint regional planning is critical, but is not adequately mandated</w:t>
      </w:r>
    </w:p>
    <w:p w14:paraId="37B2FB41" w14:textId="77777777" w:rsidR="009C6940" w:rsidRDefault="009C6940" w:rsidP="009C6940">
      <w:pPr>
        <w:pStyle w:val="BodyText"/>
      </w:pPr>
      <w:r>
        <w:t>Ideally, cooperative arrangements would see PHN–LHN groupings allocate resources and share information as though each grouping were a single organisation holding a single mental health budget and singularly responsible for providing/commissioning mental healthcare. To drive such behaviour, governments must clearly specify verifiable activities required of PHNs and LHNs that require them to behave in this way, while not being so prescriptive as to undermine the benefits offered by regionalism.</w:t>
      </w:r>
    </w:p>
    <w:p w14:paraId="685DC015" w14:textId="77777777" w:rsidR="009C6940" w:rsidRPr="009C1DAD" w:rsidRDefault="009C6940" w:rsidP="009C6940">
      <w:pPr>
        <w:pStyle w:val="BodyText"/>
        <w:rPr>
          <w:spacing w:val="-2"/>
        </w:rPr>
      </w:pPr>
      <w:r w:rsidRPr="009C1DAD">
        <w:rPr>
          <w:spacing w:val="-2"/>
        </w:rPr>
        <w:lastRenderedPageBreak/>
        <w:t xml:space="preserve">The activities required of PHN–LHN groupings under the Fifth Plan approach (box G.11) </w:t>
      </w:r>
      <w:r w:rsidRPr="009C1DAD">
        <w:rPr>
          <w:i/>
          <w:spacing w:val="-2"/>
        </w:rPr>
        <w:t>could</w:t>
      </w:r>
      <w:r w:rsidRPr="009C1DAD">
        <w:rPr>
          <w:spacing w:val="-2"/>
        </w:rPr>
        <w:t xml:space="preserve"> be used to require groupings to behave in this way. In particular, activities 2.1–2.5 require each PHN–LHN grouping to jointly develop a regional mental health and suicide prevention plan and align their commissioning/service provision processes with this plan. The development of these plans </w:t>
      </w:r>
      <w:r w:rsidRPr="009C1DAD">
        <w:rPr>
          <w:i/>
          <w:spacing w:val="-2"/>
        </w:rPr>
        <w:t>could</w:t>
      </w:r>
      <w:r w:rsidRPr="009C1DAD">
        <w:rPr>
          <w:spacing w:val="-2"/>
        </w:rPr>
        <w:t xml:space="preserve"> serve as objectively verifiable evidence that PHN–LHN groupings have cooperated with one another, and the plans </w:t>
      </w:r>
      <w:r w:rsidRPr="009C1DAD">
        <w:rPr>
          <w:i/>
          <w:spacing w:val="-2"/>
        </w:rPr>
        <w:t>could</w:t>
      </w:r>
      <w:r w:rsidRPr="009C1DAD">
        <w:rPr>
          <w:spacing w:val="-2"/>
        </w:rPr>
        <w:t xml:space="preserve"> be used to hold PHN–LHN groupings accountable for their future resourcing allocations. And the requirement is not unduly prescriptive, as joint region planning is a necessary input to successful cooperation.</w:t>
      </w:r>
    </w:p>
    <w:p w14:paraId="6F9ECCCD"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C521AA2" w14:textId="77777777" w:rsidTr="009C6940">
        <w:trPr>
          <w:tblHeader/>
        </w:trPr>
        <w:tc>
          <w:tcPr>
            <w:tcW w:w="5000" w:type="pct"/>
            <w:tcBorders>
              <w:top w:val="single" w:sz="6" w:space="0" w:color="78A22F"/>
              <w:left w:val="nil"/>
              <w:bottom w:val="nil"/>
              <w:right w:val="nil"/>
            </w:tcBorders>
            <w:shd w:val="clear" w:color="auto" w:fill="F2F2F2"/>
          </w:tcPr>
          <w:p w14:paraId="3A23D93F" w14:textId="77777777" w:rsidR="009C6940" w:rsidRDefault="009C6940" w:rsidP="009C6940">
            <w:pPr>
              <w:pStyle w:val="BoxTitle"/>
            </w:pPr>
            <w:r>
              <w:rPr>
                <w:b w:val="0"/>
              </w:rPr>
              <w:t>Box G.</w:t>
            </w:r>
            <w:r>
              <w:rPr>
                <w:b w:val="0"/>
                <w:noProof/>
              </w:rPr>
              <w:t>11</w:t>
            </w:r>
            <w:r>
              <w:tab/>
              <w:t>Cooperative activities required of PHNs and LHNs</w:t>
            </w:r>
          </w:p>
        </w:tc>
      </w:tr>
      <w:tr w:rsidR="009C6940" w14:paraId="413F1794" w14:textId="77777777" w:rsidTr="009C6940">
        <w:tc>
          <w:tcPr>
            <w:tcW w:w="5000" w:type="pct"/>
            <w:tcBorders>
              <w:top w:val="nil"/>
              <w:left w:val="nil"/>
              <w:bottom w:val="nil"/>
              <w:right w:val="nil"/>
            </w:tcBorders>
            <w:shd w:val="clear" w:color="auto" w:fill="F2F2F2"/>
          </w:tcPr>
          <w:p w14:paraId="44D47D09" w14:textId="77777777" w:rsidR="009C6940" w:rsidRDefault="009C6940" w:rsidP="009C6940">
            <w:pPr>
              <w:pStyle w:val="Box"/>
            </w:pPr>
            <w:r>
              <w:t>Priority Area One of the Fifth Plan sets out that following actions that PHNs and LHNs must undertake.</w:t>
            </w:r>
          </w:p>
          <w:p w14:paraId="26CDA75A" w14:textId="77777777" w:rsidR="009C6940" w:rsidRDefault="009C6940" w:rsidP="009C6940">
            <w:pPr>
              <w:pStyle w:val="BoxListBullet"/>
            </w:pPr>
            <w:r>
              <w:t>Utilise existing agreements between governments for regional governance and planning arrangements (activity 2.1) — commencing early 2018.</w:t>
            </w:r>
          </w:p>
          <w:p w14:paraId="3A99DC72" w14:textId="77777777" w:rsidR="009C6940" w:rsidRDefault="009C6940" w:rsidP="009C6940">
            <w:pPr>
              <w:pStyle w:val="BoxListBullet"/>
            </w:pPr>
            <w:r>
              <w:t>Engage with the local community, including consumers and carers, community</w:t>
            </w:r>
            <w:r>
              <w:noBreakHyphen/>
              <w:t>managed organisations, ACCHSs, National Disability Insurance Scheme providers, the National Disability Insurance Agency, private providers and social service agencies (activity 2.2) — commencing early 2018.</w:t>
            </w:r>
          </w:p>
          <w:p w14:paraId="3BAAD675" w14:textId="77777777" w:rsidR="009C6940" w:rsidRDefault="009C6940" w:rsidP="009C6940">
            <w:pPr>
              <w:pStyle w:val="BoxListBullet"/>
            </w:pPr>
            <w:r>
              <w:t>Undertake joint regional mental health needs assessments to identify gaps, duplication and inefficiencies to make better use of existing resources and improve sustainability (activity 2.3) — progressively from June 2018.</w:t>
            </w:r>
          </w:p>
          <w:p w14:paraId="23F22690" w14:textId="77777777" w:rsidR="009C6940" w:rsidRDefault="009C6940" w:rsidP="009C6940">
            <w:pPr>
              <w:pStyle w:val="BoxListBullet"/>
            </w:pPr>
            <w:r>
              <w:t>Examine innovative funding models, such as joint commissioning of services and fund pooling for packages of care and support, to create the right incentives to focus on prevention, early intervention and recovery (activity 2.4) — commencing mid</w:t>
            </w:r>
            <w:r>
              <w:noBreakHyphen/>
              <w:t>2020.</w:t>
            </w:r>
          </w:p>
          <w:p w14:paraId="1BBE36E9" w14:textId="77777777" w:rsidR="009C6940" w:rsidRDefault="009C6940" w:rsidP="009C6940">
            <w:pPr>
              <w:pStyle w:val="BoxListBullet"/>
            </w:pPr>
            <w:r>
              <w:t>Develop joint regional mental health and suicide prevention plans and commission services according to those plans (activity 2.5) — foundation plans due mid</w:t>
            </w:r>
            <w:r>
              <w:noBreakHyphen/>
              <w:t>2020, comprehensive plans due mid</w:t>
            </w:r>
            <w:r>
              <w:noBreakHyphen/>
              <w:t>2022.</w:t>
            </w:r>
          </w:p>
          <w:p w14:paraId="6B4D3EE4" w14:textId="77777777" w:rsidR="009C6940" w:rsidRDefault="009C6940" w:rsidP="009C6940">
            <w:pPr>
              <w:pStyle w:val="BoxListBullet"/>
            </w:pPr>
            <w:r>
              <w:t>Identify and harness opportunities for digital mental health to improve integration (activity 2.6) — completed mid</w:t>
            </w:r>
            <w:r>
              <w:noBreakHyphen/>
              <w:t>2020.</w:t>
            </w:r>
          </w:p>
          <w:p w14:paraId="0D729E27" w14:textId="77777777" w:rsidR="009C6940" w:rsidRDefault="009C6940" w:rsidP="009C6940">
            <w:pPr>
              <w:pStyle w:val="BoxListBullet"/>
            </w:pPr>
            <w:r>
              <w:t>Develop region</w:t>
            </w:r>
            <w:r>
              <w:noBreakHyphen/>
              <w:t>wide multi</w:t>
            </w:r>
            <w:r>
              <w:noBreakHyphen/>
              <w:t>agency agreements, shared care pathways, triage protocols and information</w:t>
            </w:r>
            <w:r>
              <w:noBreakHyphen/>
              <w:t>sharing protocols to improve integration and assist consumers and carers to navigate the system (activity 2.7) — completed mid</w:t>
            </w:r>
            <w:r>
              <w:noBreakHyphen/>
              <w:t>2021.</w:t>
            </w:r>
          </w:p>
          <w:p w14:paraId="0129F23F" w14:textId="77777777" w:rsidR="009C6940" w:rsidRDefault="009C6940" w:rsidP="009C6940">
            <w:pPr>
              <w:pStyle w:val="BoxListBullet"/>
            </w:pPr>
            <w:r>
              <w:t>Develop shared clinical governance mechanisms to allow for agreed care pathways, referral mechanisms, quality processes and review of adverse events (activity 2.8) — completed mid</w:t>
            </w:r>
            <w:r>
              <w:noBreakHyphen/>
              <w:t>2021.</w:t>
            </w:r>
          </w:p>
        </w:tc>
      </w:tr>
      <w:tr w:rsidR="009C6940" w14:paraId="222968E9" w14:textId="77777777" w:rsidTr="009C6940">
        <w:tc>
          <w:tcPr>
            <w:tcW w:w="5000" w:type="pct"/>
            <w:tcBorders>
              <w:top w:val="nil"/>
              <w:left w:val="nil"/>
              <w:bottom w:val="nil"/>
              <w:right w:val="nil"/>
            </w:tcBorders>
            <w:shd w:val="clear" w:color="auto" w:fill="F2F2F2"/>
          </w:tcPr>
          <w:p w14:paraId="2C78678D" w14:textId="77777777" w:rsidR="009C6940" w:rsidRDefault="009C6940" w:rsidP="009C6940">
            <w:pPr>
              <w:pStyle w:val="BoxSource"/>
            </w:pPr>
            <w:r>
              <w:rPr>
                <w:i/>
              </w:rPr>
              <w:t>Source</w:t>
            </w:r>
            <w:r>
              <w:t>: COAG Health Council </w:t>
            </w:r>
            <w:r w:rsidRPr="004B6F30">
              <w:rPr>
                <w:rFonts w:cs="Arial"/>
              </w:rPr>
              <w:t>(2017)</w:t>
            </w:r>
            <w:r>
              <w:t>; NMHC </w:t>
            </w:r>
            <w:r w:rsidRPr="009D6927">
              <w:rPr>
                <w:rFonts w:cs="Arial"/>
              </w:rPr>
              <w:t>(2018)</w:t>
            </w:r>
            <w:r>
              <w:t>.</w:t>
            </w:r>
          </w:p>
        </w:tc>
      </w:tr>
      <w:tr w:rsidR="009C6940" w14:paraId="0D133749" w14:textId="77777777" w:rsidTr="009C6940">
        <w:tc>
          <w:tcPr>
            <w:tcW w:w="5000" w:type="pct"/>
            <w:tcBorders>
              <w:top w:val="nil"/>
              <w:left w:val="nil"/>
              <w:bottom w:val="single" w:sz="6" w:space="0" w:color="78A22F"/>
              <w:right w:val="nil"/>
            </w:tcBorders>
            <w:shd w:val="clear" w:color="auto" w:fill="F2F2F2"/>
          </w:tcPr>
          <w:p w14:paraId="29AA8092" w14:textId="77777777" w:rsidR="009C6940" w:rsidRDefault="009C6940" w:rsidP="009C6940">
            <w:pPr>
              <w:pStyle w:val="Box"/>
              <w:spacing w:before="0" w:line="120" w:lineRule="exact"/>
            </w:pPr>
          </w:p>
        </w:tc>
      </w:tr>
      <w:tr w:rsidR="009C6940" w:rsidRPr="000863A5" w14:paraId="721109C8" w14:textId="77777777" w:rsidTr="009C6940">
        <w:tc>
          <w:tcPr>
            <w:tcW w:w="5000" w:type="pct"/>
            <w:tcBorders>
              <w:top w:val="single" w:sz="6" w:space="0" w:color="78A22F"/>
              <w:left w:val="nil"/>
              <w:bottom w:val="nil"/>
              <w:right w:val="nil"/>
            </w:tcBorders>
          </w:tcPr>
          <w:p w14:paraId="353CA19E" w14:textId="77777777" w:rsidR="009C6940" w:rsidRPr="00626D32" w:rsidRDefault="009C6940" w:rsidP="009C6940">
            <w:pPr>
              <w:pStyle w:val="BoxSpaceBelow"/>
            </w:pPr>
          </w:p>
        </w:tc>
      </w:tr>
    </w:tbl>
    <w:p w14:paraId="12B12044" w14:textId="77777777" w:rsidR="009C6940" w:rsidRDefault="009C6940" w:rsidP="009C6940">
      <w:pPr>
        <w:pStyle w:val="BodyText"/>
        <w:rPr>
          <w:spacing w:val="-4"/>
        </w:rPr>
      </w:pPr>
    </w:p>
    <w:p w14:paraId="302F85AE" w14:textId="77777777" w:rsidR="009C6940" w:rsidRDefault="009C6940" w:rsidP="009C6940">
      <w:pPr>
        <w:pStyle w:val="BodyText"/>
        <w:rPr>
          <w:spacing w:val="-4"/>
        </w:rPr>
      </w:pPr>
    </w:p>
    <w:p w14:paraId="2A2827CC" w14:textId="77777777" w:rsidR="009C6940" w:rsidRDefault="009C6940" w:rsidP="009C6940">
      <w:pPr>
        <w:pStyle w:val="BodyText"/>
        <w:rPr>
          <w:spacing w:val="-4"/>
        </w:rPr>
      </w:pPr>
    </w:p>
    <w:p w14:paraId="618B90CD" w14:textId="77777777" w:rsidR="009C6940" w:rsidRPr="009C1DAD" w:rsidRDefault="009C6940" w:rsidP="009C6940">
      <w:pPr>
        <w:pStyle w:val="BodyText"/>
        <w:rPr>
          <w:spacing w:val="-4"/>
        </w:rPr>
      </w:pPr>
      <w:r w:rsidRPr="009C1DAD">
        <w:rPr>
          <w:spacing w:val="-4"/>
        </w:rPr>
        <w:lastRenderedPageBreak/>
        <w:t xml:space="preserve">However, guidelines for joint regional plans developed subsequent to the Fifth Plan do not require PHN–LHN groupings to develop plans that would have sufficient detail to guide regional cooperation. The guidelines grant ‘significant flexibility, variation and innovation’ </w:t>
      </w:r>
      <w:r w:rsidRPr="009C1DAD">
        <w:rPr>
          <w:spacing w:val="-4"/>
          <w:szCs w:val="24"/>
        </w:rPr>
        <w:t>(Integrated Regional Planning Working Group 2018b, p. 14)</w:t>
      </w:r>
      <w:r w:rsidRPr="009C1DAD">
        <w:rPr>
          <w:spacing w:val="-4"/>
        </w:rPr>
        <w:t xml:space="preserve"> in relation to, among other things:</w:t>
      </w:r>
    </w:p>
    <w:p w14:paraId="423F048E" w14:textId="77777777" w:rsidR="009C6940" w:rsidRDefault="009C6940" w:rsidP="009C6940">
      <w:pPr>
        <w:pStyle w:val="ListBullet"/>
        <w:keepNext/>
      </w:pPr>
      <w:r>
        <w:t>the format, structure and length of the plans</w:t>
      </w:r>
    </w:p>
    <w:p w14:paraId="069E8DA3" w14:textId="77777777" w:rsidR="009C6940" w:rsidRDefault="009C6940" w:rsidP="009C6940">
      <w:pPr>
        <w:pStyle w:val="ListBullet"/>
      </w:pPr>
      <w:r>
        <w:t>whether the regional plan is endorsed by other local stakeholders</w:t>
      </w:r>
    </w:p>
    <w:p w14:paraId="0BAC55B9" w14:textId="77777777" w:rsidR="009C6940" w:rsidRDefault="009C6940" w:rsidP="009C6940">
      <w:pPr>
        <w:pStyle w:val="ListBullet"/>
      </w:pPr>
      <w:r>
        <w:t>whether detailed joint service mapping, planning and development is undertaken to inform the plan or is an agreed action over the life of the plan.</w:t>
      </w:r>
    </w:p>
    <w:p w14:paraId="6D6153D3" w14:textId="77777777" w:rsidR="009C6940" w:rsidRDefault="009C6940" w:rsidP="009C6940">
      <w:pPr>
        <w:pStyle w:val="BodyText"/>
        <w:spacing w:before="200"/>
      </w:pPr>
      <w:r>
        <w:t>Further, PHN–LHN groupings are not expected to obtain approval from either the Australian Government or State/Territory Governments for their joint regional plans. Given the current incentives that PHNs and LHNs face, these weak governance processes create a risk that some PHN–LHN groupings will produce plans of little substance.</w:t>
      </w:r>
    </w:p>
    <w:p w14:paraId="49D9B9A4" w14:textId="77777777" w:rsidR="009C6940" w:rsidRDefault="009C6940" w:rsidP="009C6940">
      <w:pPr>
        <w:pStyle w:val="BodyText"/>
        <w:spacing w:before="200"/>
      </w:pPr>
      <w:r>
        <w:t>There appears to be no intention for either the Australian Government or State/Territory Governments to use the joint regional plans to hold PHN–LHN groupings to account. Even if a PHN–LHN grouping does produce a high</w:t>
      </w:r>
      <w:r>
        <w:noBreakHyphen/>
        <w:t>quality plan, the incentives for each party to stick to that plan are not strong. LHNs may commit to providing more community ambulatory mental healthcare at the outset, and receive (block) funding to support this, but will still face incentives to direct consumers toward activity</w:t>
      </w:r>
      <w:r>
        <w:noBreakHyphen/>
        <w:t>funded hospitals. PHNs may commit to integrating their services tightly with LHN services, but may subsequently find it easier to fall back into their traditional primary care sphere of influence.</w:t>
      </w:r>
    </w:p>
    <w:p w14:paraId="40B3A950" w14:textId="77777777" w:rsidR="009C6940" w:rsidRDefault="009C6940" w:rsidP="009C6940">
      <w:pPr>
        <w:pStyle w:val="BodyText"/>
        <w:spacing w:before="200"/>
      </w:pPr>
      <w:r>
        <w:t xml:space="preserve">The guidelines also </w:t>
      </w:r>
      <w:r w:rsidRPr="00A049A6">
        <w:t>fall short of ensuring adequate consumer and carer input</w:t>
      </w:r>
      <w:r>
        <w:t xml:space="preserve">. </w:t>
      </w:r>
      <w:r w:rsidRPr="00113F6E">
        <w:t xml:space="preserve">PHN–LHN groupings are expected to develop a ‘consultation plan’ that includes (among other things) a strategy for engaging with consumers and carers, but they are not required to publish these plans </w:t>
      </w:r>
      <w:r w:rsidRPr="004B6F30">
        <w:rPr>
          <w:szCs w:val="24"/>
        </w:rPr>
        <w:t>(Integrated Regional Planning Working Group 2018a)</w:t>
      </w:r>
      <w:r w:rsidRPr="00A95DF8">
        <w:t xml:space="preserve">. And there are no formal requirements on how planning processes should engage with consumers and carers, or whether they should </w:t>
      </w:r>
      <w:r>
        <w:t>endorse joint regional plans.</w:t>
      </w:r>
    </w:p>
    <w:p w14:paraId="477328A5" w14:textId="77777777" w:rsidR="009C6940" w:rsidRDefault="009C6940" w:rsidP="009C6940">
      <w:pPr>
        <w:pStyle w:val="Heading4"/>
      </w:pPr>
      <w:r>
        <w:t>Monitoring and reporting lacks independence and detail</w:t>
      </w:r>
    </w:p>
    <w:p w14:paraId="27EB1FD4" w14:textId="77777777" w:rsidR="009C6940" w:rsidRDefault="009C6940" w:rsidP="009C6940">
      <w:pPr>
        <w:pStyle w:val="BodyText"/>
        <w:spacing w:before="200"/>
      </w:pPr>
      <w:r>
        <w:t xml:space="preserve">The National Mental Health Commission (NMHC) is responsible for monitoring and reporting on the implementation of the Fifth Plan approach. To do so, it mostly draws on surveys of PHNs and State and Territory Governments about the degree to which they have implemented the actions of the Fifth Plan approach </w:t>
      </w:r>
      <w:r w:rsidRPr="00704903">
        <w:rPr>
          <w:szCs w:val="24"/>
        </w:rPr>
        <w:t>(NMHC 2018)</w:t>
      </w:r>
      <w:r>
        <w:t>.</w:t>
      </w:r>
    </w:p>
    <w:p w14:paraId="0230D259" w14:textId="77777777" w:rsidR="009C6940" w:rsidRDefault="009C6940" w:rsidP="009C6940">
      <w:pPr>
        <w:pStyle w:val="BodyText"/>
        <w:spacing w:before="200"/>
      </w:pPr>
      <w:r>
        <w:t>We have two concerns with this approach:</w:t>
      </w:r>
    </w:p>
    <w:p w14:paraId="26025B01" w14:textId="77777777" w:rsidR="009C6940" w:rsidRDefault="009C6940" w:rsidP="009C6940">
      <w:pPr>
        <w:pStyle w:val="ListBullet"/>
      </w:pPr>
      <w:r>
        <w:t>The NMHC is an executive agency of the Australian Government Department of Health (chapter 22), so some stakeholders would not perceive it as independent.</w:t>
      </w:r>
    </w:p>
    <w:p w14:paraId="4369F175" w14:textId="77777777" w:rsidR="009C6940" w:rsidRPr="009C1DAD" w:rsidRDefault="009C6940" w:rsidP="009C6940">
      <w:pPr>
        <w:pStyle w:val="ListBullet"/>
        <w:rPr>
          <w:spacing w:val="-4"/>
        </w:rPr>
      </w:pPr>
      <w:r w:rsidRPr="009C1DAD">
        <w:rPr>
          <w:spacing w:val="-4"/>
        </w:rPr>
        <w:t xml:space="preserve">The reporting is often subjective — it is based on the perceptions of PHNs and government agencies at both levels of government about progress made toward the activities laid out in box G.11. There have been comparatively fewer attempts to use objective data to examine the impacts that cooperation between PHNs and LHNs is having, such by reporting gap </w:t>
      </w:r>
      <w:r w:rsidRPr="009C1DAD">
        <w:rPr>
          <w:spacing w:val="-4"/>
        </w:rPr>
        <w:lastRenderedPageBreak/>
        <w:t>analyses using National Mental Health Service Planning Framework benchmarks (chapter 24) and comparing actual service delivery with planned commitments. As regards the latter point, existing guidelines for joint regional planning are too vague to give hope that joint regional plans (as currently conceived) could feed into such analysis.</w:t>
      </w:r>
    </w:p>
    <w:p w14:paraId="5260F9E8" w14:textId="77777777" w:rsidR="009C6940" w:rsidRDefault="009C6940" w:rsidP="009C6940">
      <w:pPr>
        <w:pStyle w:val="Heading4"/>
      </w:pPr>
      <w:r>
        <w:t>Psychosocial supports need more attention</w:t>
      </w:r>
    </w:p>
    <w:p w14:paraId="6D602267" w14:textId="77777777" w:rsidR="009C6940" w:rsidRDefault="009C6940" w:rsidP="009C6940">
      <w:pPr>
        <w:pStyle w:val="BodyText"/>
      </w:pPr>
      <w:r>
        <w:t>The Fifth Plan approach is healthcare</w:t>
      </w:r>
      <w:r>
        <w:noBreakHyphen/>
        <w:t>centric. While it acknowledges the importance of non</w:t>
      </w:r>
      <w:r>
        <w:noBreakHyphen/>
        <w:t>health sectors, its focus is on the integration of primary and specialist mental healthcare.</w:t>
      </w:r>
    </w:p>
    <w:p w14:paraId="1C14C38E" w14:textId="77777777" w:rsidR="009C6940" w:rsidRDefault="009C6940" w:rsidP="009C6940">
      <w:pPr>
        <w:pStyle w:val="BodyText"/>
      </w:pPr>
      <w:r>
        <w:t xml:space="preserve">This means that, with regard to psychosocial supports outside of the NDIS, it has become quickly outdated. Since its introduction, the Australian Government has devolved its residual psychosocial support programs outside of the NDIS to the PHNs (chapter 17). And LHNs in some states (for example, New South Wales) also commission psychosocial supports </w:t>
      </w:r>
      <w:r w:rsidRPr="00E85A28">
        <w:rPr>
          <w:szCs w:val="24"/>
        </w:rPr>
        <w:t>(Coordinare et al. 2018)</w:t>
      </w:r>
      <w:r>
        <w:t>.</w:t>
      </w:r>
    </w:p>
    <w:p w14:paraId="639ED50F" w14:textId="77777777" w:rsidR="009C6940" w:rsidRDefault="009C6940" w:rsidP="009C6940">
      <w:pPr>
        <w:pStyle w:val="BodyText"/>
        <w:spacing w:before="200"/>
      </w:pPr>
      <w:r>
        <w:t>Integration of Australian Government and State and Territory Government psychosocial support programs outside of the NDIS may have deteriorated in recent times. The Australian Government’s National Psychosocial Support program — a funding boost to psychosocial supports — offered an opportunity to clarify federal responsibilities. Instead, both tiers of government increased funding to psychosocial supports, but did so in an uncoordinated way. On this point, Mental Health Australia (sub. 544, p. 7) said:</w:t>
      </w:r>
    </w:p>
    <w:p w14:paraId="5F607C4F" w14:textId="77777777" w:rsidR="009C6940" w:rsidRDefault="009C6940" w:rsidP="009C6940">
      <w:pPr>
        <w:pStyle w:val="Quote"/>
      </w:pPr>
      <w:r>
        <w:t>The commissioning service model was intended to be developed in collaboration by the Australian Government, state and territory governments and PHNs in an attempt to ensure it is flexible and attributable to all involved parties. The approach to date has, however, followed a similar uncoordinated path, with the Commonwealth funding PHNs to address the diminishing Partners in Recovery (PIR) and Personal Helpers and Mentors Service (PHaMs) programs and some states and territory governments selecting programs that were already being delivered and committing some new and some already allocated funding through them. This is an example of an unintended consequence resulting from inadequate Commonwealth and state negotiations in relation to significant social services reform.</w:t>
      </w:r>
    </w:p>
    <w:p w14:paraId="138DD711" w14:textId="77777777" w:rsidR="009C6940" w:rsidRDefault="009C6940" w:rsidP="009C6940">
      <w:pPr>
        <w:pStyle w:val="BodyText"/>
      </w:pPr>
      <w:r>
        <w:t xml:space="preserve">Joint regional planning guidelines </w:t>
      </w:r>
      <w:r w:rsidRPr="00217486">
        <w:rPr>
          <w:i/>
        </w:rPr>
        <w:t>do</w:t>
      </w:r>
      <w:r>
        <w:t xml:space="preserve"> mention that: ‘Governments </w:t>
      </w:r>
      <w:r w:rsidRPr="00217486">
        <w:t>expect that joint regional planning by LHNs and PHNs will support the planned implementation and coordination of psychosocial support services for people with severe mental illness and associated psychosocial impairment who are not more appropriately supported through the NDIS</w:t>
      </w:r>
      <w:r>
        <w:t xml:space="preserve">’ </w:t>
      </w:r>
      <w:r w:rsidRPr="004B6F30">
        <w:rPr>
          <w:szCs w:val="24"/>
        </w:rPr>
        <w:t>(Integrated Regional Planning Working Group 2018b, p. 38)</w:t>
      </w:r>
      <w:r w:rsidRPr="00217486">
        <w:t>.</w:t>
      </w:r>
      <w:r>
        <w:t xml:space="preserve"> But, consistent with the shortcomings of expectations of joint regional planning discussed above, precisely what is expected of PHN–LHN groupings in this regard has not been made clear.</w:t>
      </w:r>
    </w:p>
    <w:p w14:paraId="43805E06" w14:textId="77777777" w:rsidR="009C6940" w:rsidRDefault="009C6940" w:rsidP="009C6940">
      <w:pPr>
        <w:pStyle w:val="Heading2"/>
      </w:pPr>
      <w:r>
        <w:t>G.</w:t>
      </w:r>
      <w:r>
        <w:rPr>
          <w:noProof/>
        </w:rPr>
        <w:t>5</w:t>
      </w:r>
      <w:r>
        <w:tab/>
        <w:t>To renovate or rebuild the system?</w:t>
      </w:r>
    </w:p>
    <w:p w14:paraId="2EA3E486" w14:textId="77777777" w:rsidR="009C6940" w:rsidRDefault="009C6940" w:rsidP="009C6940">
      <w:pPr>
        <w:pStyle w:val="BodyText"/>
      </w:pPr>
      <w:r>
        <w:t xml:space="preserve">In recognition of the need to clarify government roles for mental healthcare and psychosocial supports, the draft Inquiry report proposed two options for reform to commissioning </w:t>
      </w:r>
      <w:r>
        <w:lastRenderedPageBreak/>
        <w:t>arrangements, termed ‘Renovate’ and ‘Rebuild’. Box G.12 provides a recap of these options, including how they would integrate with other reforms to funding arrangements that were proposed in the draft Inquiry report.</w:t>
      </w:r>
    </w:p>
    <w:p w14:paraId="6082A21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B3D5DA4" w14:textId="77777777" w:rsidTr="009C6940">
        <w:trPr>
          <w:tblHeader/>
        </w:trPr>
        <w:tc>
          <w:tcPr>
            <w:tcW w:w="5000" w:type="pct"/>
            <w:tcBorders>
              <w:top w:val="single" w:sz="6" w:space="0" w:color="78A22F"/>
              <w:left w:val="nil"/>
              <w:bottom w:val="nil"/>
              <w:right w:val="nil"/>
            </w:tcBorders>
            <w:shd w:val="clear" w:color="auto" w:fill="F2F2F2"/>
          </w:tcPr>
          <w:p w14:paraId="0E9091FD" w14:textId="77777777" w:rsidR="009C6940" w:rsidRDefault="009C6940" w:rsidP="009C6940">
            <w:pPr>
              <w:pStyle w:val="BoxTitle"/>
            </w:pPr>
            <w:r>
              <w:rPr>
                <w:b w:val="0"/>
              </w:rPr>
              <w:t>Box G.</w:t>
            </w:r>
            <w:r>
              <w:rPr>
                <w:b w:val="0"/>
                <w:noProof/>
              </w:rPr>
              <w:t>12</w:t>
            </w:r>
            <w:r>
              <w:tab/>
              <w:t>Two models in the Inquiry draft report: Renovate and Rebuild</w:t>
            </w:r>
          </w:p>
        </w:tc>
      </w:tr>
      <w:tr w:rsidR="009C6940" w14:paraId="5507C6CD" w14:textId="77777777" w:rsidTr="009C6940">
        <w:tc>
          <w:tcPr>
            <w:tcW w:w="5000" w:type="pct"/>
            <w:tcBorders>
              <w:top w:val="nil"/>
              <w:left w:val="nil"/>
              <w:bottom w:val="nil"/>
              <w:right w:val="nil"/>
            </w:tcBorders>
            <w:shd w:val="clear" w:color="auto" w:fill="F2F2F2"/>
          </w:tcPr>
          <w:p w14:paraId="5C3E4866" w14:textId="77777777" w:rsidR="009C6940" w:rsidRDefault="009C6940" w:rsidP="009C6940">
            <w:pPr>
              <w:pStyle w:val="BoxHeading1"/>
            </w:pPr>
            <w:r>
              <w:t>Renovate</w:t>
            </w:r>
          </w:p>
          <w:p w14:paraId="5C6C5981" w14:textId="77777777" w:rsidR="009C6940" w:rsidRDefault="009C6940" w:rsidP="009C6940">
            <w:pPr>
              <w:pStyle w:val="Box"/>
            </w:pPr>
            <w:r>
              <w:t>Renovate sought to rationalise psychosocial support funding, integrate the accounting of Medicare Benefits Schedule (MBS) rebates for allied mental healthcare with Primary Health Network (PHN) funds, and embraced PHN–Local Hospital Network (LHN) cooperation as a mechanism to coordinate mental health services funded by both levels of government.</w:t>
            </w:r>
          </w:p>
          <w:p w14:paraId="43B28BA5" w14:textId="77777777" w:rsidR="009C6940" w:rsidRDefault="009C6940" w:rsidP="009C6940">
            <w:pPr>
              <w:pStyle w:val="BoxListBullet"/>
            </w:pPr>
            <w:r>
              <w:t>State and Territory Governments would take on sole responsibility for commissioning psychosocial supports outside of the National Disability Insurance Scheme, supported by additional Australian Government funding.</w:t>
            </w:r>
          </w:p>
          <w:p w14:paraId="33A4145B" w14:textId="77777777" w:rsidR="009C6940" w:rsidRDefault="009C6940" w:rsidP="009C6940">
            <w:pPr>
              <w:pStyle w:val="BoxListBullet"/>
            </w:pPr>
            <w:r>
              <w:t>PHN mental health funds and MBS rebates for allied mental healthcare would be drawn from fixed/capitated regional pools, with PHNs free to co</w:t>
            </w:r>
            <w:r>
              <w:noBreakHyphen/>
              <w:t>fund MBS</w:t>
            </w:r>
            <w:r>
              <w:noBreakHyphen/>
              <w:t>rebated allied mental healthcare as they see fit.</w:t>
            </w:r>
          </w:p>
          <w:p w14:paraId="38ADB19D" w14:textId="77777777" w:rsidR="009C6940" w:rsidRDefault="009C6940" w:rsidP="009C6940">
            <w:pPr>
              <w:pStyle w:val="BoxListBullet"/>
            </w:pPr>
            <w:r>
              <w:t xml:space="preserve">Responsibilities for clinical mental healthcare services would remain largely unchanged. Renovate would continue the current approach of supporting PHNs and LHNs to work cooperatively to create a unified mental health system, as set out in the first priority area of the Fifth National Mental Health and Suicide Prevention Plan </w:t>
            </w:r>
            <w:r w:rsidRPr="00610D39">
              <w:rPr>
                <w:rFonts w:cs="Arial"/>
                <w:szCs w:val="24"/>
              </w:rPr>
              <w:t>(COAG Health Council 2017)</w:t>
            </w:r>
            <w:r>
              <w:t>.</w:t>
            </w:r>
          </w:p>
          <w:p w14:paraId="7A83A39B" w14:textId="77777777" w:rsidR="009C6940" w:rsidRDefault="009C6940" w:rsidP="009C6940">
            <w:pPr>
              <w:pStyle w:val="BoxHeading1"/>
            </w:pPr>
            <w:r>
              <w:t xml:space="preserve">Funding flows under the </w:t>
            </w:r>
            <w:r w:rsidRPr="00F60BFF">
              <w:t>Renovate model</w:t>
            </w:r>
            <w:r>
              <w:t xml:space="preserve"> (proposed in the Inquiry draft report)</w:t>
            </w:r>
          </w:p>
          <w:p w14:paraId="27286DC4" w14:textId="77777777" w:rsidR="009C6940" w:rsidRPr="00F60BFF" w:rsidRDefault="009C6940" w:rsidP="009C6940">
            <w:pPr>
              <w:pStyle w:val="Box"/>
              <w:jc w:val="center"/>
            </w:pPr>
            <w:r w:rsidRPr="004642C8">
              <w:rPr>
                <w:noProof/>
              </w:rPr>
              <w:drawing>
                <wp:inline distT="0" distB="0" distL="0" distR="0" wp14:anchorId="552FACC2" wp14:editId="21036339">
                  <wp:extent cx="5364000" cy="3508765"/>
                  <wp:effectExtent l="0" t="0" r="0" b="0"/>
                  <wp:docPr id="39" name="Picture 39" descr="This box contains two figures. The first shows funding flows under the Renovate model as proposed in the draft Inquiry report. The second shows funding flows under the Rebuild model as proposed in the draft Inqui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64000" cy="3508765"/>
                          </a:xfrm>
                          <a:prstGeom prst="rect">
                            <a:avLst/>
                          </a:prstGeom>
                          <a:noFill/>
                          <a:ln>
                            <a:noFill/>
                          </a:ln>
                        </pic:spPr>
                      </pic:pic>
                    </a:graphicData>
                  </a:graphic>
                </wp:inline>
              </w:drawing>
            </w:r>
          </w:p>
        </w:tc>
      </w:tr>
      <w:tr w:rsidR="009C6940" w14:paraId="2EFD8AEA" w14:textId="77777777" w:rsidTr="009C6940">
        <w:tc>
          <w:tcPr>
            <w:tcW w:w="5000" w:type="pct"/>
            <w:tcBorders>
              <w:top w:val="nil"/>
              <w:left w:val="nil"/>
              <w:bottom w:val="nil"/>
              <w:right w:val="nil"/>
            </w:tcBorders>
            <w:shd w:val="clear" w:color="auto" w:fill="F2F2F2"/>
          </w:tcPr>
          <w:p w14:paraId="26629512" w14:textId="77777777" w:rsidR="009C6940" w:rsidRDefault="009C6940" w:rsidP="009C6940">
            <w:pPr>
              <w:pStyle w:val="Continued"/>
            </w:pPr>
            <w:r>
              <w:t>(continued next page)</w:t>
            </w:r>
          </w:p>
        </w:tc>
      </w:tr>
      <w:tr w:rsidR="009C6940" w14:paraId="1DDB0555" w14:textId="77777777" w:rsidTr="009C6940">
        <w:tc>
          <w:tcPr>
            <w:tcW w:w="5000" w:type="pct"/>
            <w:tcBorders>
              <w:top w:val="nil"/>
              <w:left w:val="nil"/>
              <w:bottom w:val="single" w:sz="6" w:space="0" w:color="78A22F"/>
              <w:right w:val="nil"/>
            </w:tcBorders>
            <w:shd w:val="clear" w:color="auto" w:fill="F2F2F2"/>
          </w:tcPr>
          <w:p w14:paraId="4FC6EF66" w14:textId="77777777" w:rsidR="009C6940" w:rsidRDefault="009C6940" w:rsidP="009C6940">
            <w:pPr>
              <w:pStyle w:val="Box"/>
              <w:spacing w:before="0" w:line="120" w:lineRule="exact"/>
            </w:pPr>
          </w:p>
        </w:tc>
      </w:tr>
      <w:tr w:rsidR="009C6940" w:rsidRPr="000863A5" w14:paraId="19CDE427" w14:textId="77777777" w:rsidTr="009C6940">
        <w:tc>
          <w:tcPr>
            <w:tcW w:w="5000" w:type="pct"/>
            <w:tcBorders>
              <w:top w:val="single" w:sz="6" w:space="0" w:color="78A22F"/>
              <w:left w:val="nil"/>
              <w:bottom w:val="nil"/>
              <w:right w:val="nil"/>
            </w:tcBorders>
          </w:tcPr>
          <w:p w14:paraId="76684938" w14:textId="77777777" w:rsidR="009C6940" w:rsidRPr="00626D32" w:rsidRDefault="009C6940" w:rsidP="009C6940">
            <w:pPr>
              <w:pStyle w:val="BoxSpaceBelow"/>
            </w:pPr>
          </w:p>
        </w:tc>
      </w:tr>
    </w:tbl>
    <w:p w14:paraId="0AB67AEC"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4DC06A0" w14:textId="77777777" w:rsidTr="009C6940">
        <w:trPr>
          <w:tblHeader/>
        </w:trPr>
        <w:tc>
          <w:tcPr>
            <w:tcW w:w="5000" w:type="pct"/>
            <w:tcBorders>
              <w:top w:val="single" w:sz="6" w:space="0" w:color="78A22F"/>
              <w:left w:val="nil"/>
              <w:bottom w:val="nil"/>
              <w:right w:val="nil"/>
            </w:tcBorders>
            <w:shd w:val="clear" w:color="auto" w:fill="F2F2F2"/>
          </w:tcPr>
          <w:p w14:paraId="15965F8B" w14:textId="77777777" w:rsidR="009C6940" w:rsidRPr="00132BDD" w:rsidRDefault="009C6940" w:rsidP="009C6940">
            <w:pPr>
              <w:pStyle w:val="BoxTitle"/>
            </w:pPr>
            <w:r>
              <w:rPr>
                <w:b w:val="0"/>
              </w:rPr>
              <w:t>Box G.12</w:t>
            </w:r>
            <w:r>
              <w:tab/>
            </w:r>
            <w:r w:rsidRPr="00132BDD">
              <w:rPr>
                <w:rStyle w:val="Continuedintitle"/>
              </w:rPr>
              <w:t>(continued)</w:t>
            </w:r>
          </w:p>
        </w:tc>
      </w:tr>
      <w:tr w:rsidR="009C6940" w14:paraId="77CD2462" w14:textId="77777777" w:rsidTr="009C6940">
        <w:tc>
          <w:tcPr>
            <w:tcW w:w="5000" w:type="pct"/>
            <w:tcBorders>
              <w:top w:val="nil"/>
              <w:left w:val="nil"/>
              <w:bottom w:val="nil"/>
              <w:right w:val="nil"/>
            </w:tcBorders>
            <w:shd w:val="clear" w:color="auto" w:fill="F2F2F2"/>
          </w:tcPr>
          <w:p w14:paraId="47F70BA1" w14:textId="77777777" w:rsidR="009C6940" w:rsidRDefault="009C6940" w:rsidP="009C6940">
            <w:pPr>
              <w:pStyle w:val="BoxHeading1"/>
            </w:pPr>
            <w:r>
              <w:t>Rebuild</w:t>
            </w:r>
          </w:p>
          <w:p w14:paraId="6B8601B8" w14:textId="77777777" w:rsidR="009C6940" w:rsidRPr="00A7163A" w:rsidRDefault="009C6940" w:rsidP="009C6940">
            <w:pPr>
              <w:pStyle w:val="Box"/>
            </w:pPr>
            <w:r>
              <w:t>Rebuild — a more significant change — would place responsibility for all mental health service commissioning with a single agency in each region and integrate the accounting of MBS rebates for allied mental healthcare with these agencies’ funding pools.</w:t>
            </w:r>
          </w:p>
          <w:p w14:paraId="0EFCCEB5" w14:textId="77777777" w:rsidR="009C6940" w:rsidRDefault="009C6940" w:rsidP="009C6940">
            <w:pPr>
              <w:pStyle w:val="BoxListBullet"/>
            </w:pPr>
            <w:r>
              <w:t>Under Rebuild (as proposed in the draft report) (figure below), State and Territory Governments would establish ‘Regional Commissioning Authorities’ (RCAs) that commission:</w:t>
            </w:r>
          </w:p>
          <w:p w14:paraId="1392A7BC" w14:textId="77777777" w:rsidR="009C6940" w:rsidRDefault="009C6940" w:rsidP="009C6940">
            <w:pPr>
              <w:pStyle w:val="BoxListBullet2"/>
            </w:pPr>
            <w:r w:rsidRPr="003C5EFE">
              <w:t>all</w:t>
            </w:r>
            <w:r>
              <w:t xml:space="preserve"> mental healthcare (that is, mental healthcare currently commissioned by PHNs, and State and Territory Government health departments), excepting MBS</w:t>
            </w:r>
            <w:r>
              <w:noBreakHyphen/>
              <w:t>rebated mental healthcare (GPs, allied mental health and psychiatry)</w:t>
            </w:r>
          </w:p>
          <w:p w14:paraId="7C3990B0" w14:textId="77777777" w:rsidR="009C6940" w:rsidRDefault="009C6940" w:rsidP="009C6940">
            <w:pPr>
              <w:pStyle w:val="BoxListBullet2"/>
            </w:pPr>
            <w:r>
              <w:t>all psychosocial supports outside of the National Disability Insurance Scheme.</w:t>
            </w:r>
          </w:p>
          <w:p w14:paraId="4770B562" w14:textId="77777777" w:rsidR="009C6940" w:rsidRDefault="009C6940" w:rsidP="009C6940">
            <w:pPr>
              <w:pStyle w:val="BoxListBullet"/>
            </w:pPr>
            <w:r>
              <w:t xml:space="preserve">Each region would a have </w:t>
            </w:r>
            <w:r w:rsidRPr="003C5EFE">
              <w:t>fixed/capitated</w:t>
            </w:r>
            <w:r w:rsidRPr="00923CBC">
              <w:t xml:space="preserve"> </w:t>
            </w:r>
            <w:r>
              <w:t>mental health funding pool comprising pooled Australian Government, and State and Territory Government funds (MBS rebates for GPs and psychiatrists would sit outside this pool). To give effect to this, the Australian Government would transfer a needs</w:t>
            </w:r>
            <w:r>
              <w:noBreakHyphen/>
              <w:t xml:space="preserve">based block of funds to each RCA, but deduct from this transfer the volume of MBS rebates for allied mental healthcare billed in that RCA’s catchment. </w:t>
            </w:r>
          </w:p>
          <w:p w14:paraId="49EB5DC6" w14:textId="77777777" w:rsidR="009C6940" w:rsidRDefault="009C6940" w:rsidP="009C6940">
            <w:pPr>
              <w:pStyle w:val="BoxHeading1"/>
            </w:pPr>
            <w:r>
              <w:t>Funding flows under the Rebuild model (proposed in the Inquiry draft report)</w:t>
            </w:r>
          </w:p>
          <w:p w14:paraId="6579415B" w14:textId="77777777" w:rsidR="009C6940" w:rsidRDefault="009C6940" w:rsidP="009C6940">
            <w:pPr>
              <w:pStyle w:val="Box"/>
              <w:spacing w:after="120"/>
              <w:jc w:val="center"/>
            </w:pPr>
            <w:r w:rsidRPr="004642C8">
              <w:rPr>
                <w:rFonts w:cs="Arial"/>
                <w:noProof/>
                <w:sz w:val="18"/>
                <w:szCs w:val="18"/>
              </w:rPr>
              <w:drawing>
                <wp:inline distT="0" distB="0" distL="0" distR="0" wp14:anchorId="1A0245E5" wp14:editId="644020E8">
                  <wp:extent cx="5220000" cy="4076776"/>
                  <wp:effectExtent l="0" t="0" r="0" b="0"/>
                  <wp:docPr id="40" name="Picture 40" descr="This box contains two figures. The first shows funding flows under the Renovate model as proposed in the draft Inquiry report. The second shows funding flows under the Rebuild model as proposed in the draft Inqui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220000" cy="4076776"/>
                          </a:xfrm>
                          <a:prstGeom prst="rect">
                            <a:avLst/>
                          </a:prstGeom>
                          <a:noFill/>
                          <a:ln>
                            <a:noFill/>
                          </a:ln>
                        </pic:spPr>
                      </pic:pic>
                    </a:graphicData>
                  </a:graphic>
                </wp:inline>
              </w:drawing>
            </w:r>
          </w:p>
        </w:tc>
      </w:tr>
      <w:tr w:rsidR="009C6940" w14:paraId="7118994D" w14:textId="77777777" w:rsidTr="009C6940">
        <w:tc>
          <w:tcPr>
            <w:tcW w:w="5000" w:type="pct"/>
            <w:tcBorders>
              <w:top w:val="nil"/>
              <w:left w:val="nil"/>
              <w:bottom w:val="single" w:sz="6" w:space="0" w:color="78A22F"/>
              <w:right w:val="nil"/>
            </w:tcBorders>
            <w:shd w:val="clear" w:color="auto" w:fill="F2F2F2"/>
          </w:tcPr>
          <w:p w14:paraId="13F9CC20" w14:textId="77777777" w:rsidR="009C6940" w:rsidRDefault="009C6940" w:rsidP="009C6940">
            <w:pPr>
              <w:pStyle w:val="Box"/>
              <w:spacing w:before="0" w:line="120" w:lineRule="exact"/>
            </w:pPr>
          </w:p>
        </w:tc>
      </w:tr>
      <w:tr w:rsidR="009C6940" w:rsidRPr="000863A5" w14:paraId="30749910" w14:textId="77777777" w:rsidTr="009C6940">
        <w:tc>
          <w:tcPr>
            <w:tcW w:w="5000" w:type="pct"/>
            <w:tcBorders>
              <w:top w:val="single" w:sz="6" w:space="0" w:color="78A22F"/>
              <w:left w:val="nil"/>
              <w:bottom w:val="nil"/>
              <w:right w:val="nil"/>
            </w:tcBorders>
          </w:tcPr>
          <w:p w14:paraId="57BE0938" w14:textId="77777777" w:rsidR="009C6940" w:rsidRPr="00626D32" w:rsidRDefault="009C6940" w:rsidP="009C6940">
            <w:pPr>
              <w:pStyle w:val="BoxSpaceBelow"/>
            </w:pPr>
          </w:p>
        </w:tc>
      </w:tr>
    </w:tbl>
    <w:p w14:paraId="0420CDFD" w14:textId="77777777" w:rsidR="009C6940" w:rsidRDefault="009C6940" w:rsidP="009C6940">
      <w:pPr>
        <w:pStyle w:val="BodyText"/>
        <w:pageBreakBefore/>
      </w:pPr>
      <w:r>
        <w:lastRenderedPageBreak/>
        <w:t>Feedback following the draft report exposed both benefits and limitations of each approach. Consequently, this report recommends a third option that combines elements of both Renovate and Rebuild (chapter 23). This section summarises the further analysis that underpins this third option.</w:t>
      </w:r>
    </w:p>
    <w:p w14:paraId="798B07D9" w14:textId="77777777" w:rsidR="009C6940" w:rsidRDefault="009C6940" w:rsidP="009C6940">
      <w:pPr>
        <w:pStyle w:val="Heading3"/>
      </w:pPr>
      <w:r>
        <w:t>Rebuild resolves structural shortcomings</w:t>
      </w:r>
    </w:p>
    <w:p w14:paraId="65B8FEB9" w14:textId="77777777" w:rsidR="009C6940" w:rsidRDefault="009C6940" w:rsidP="009C6940">
      <w:pPr>
        <w:pStyle w:val="BodyText"/>
      </w:pPr>
      <w:r>
        <w:t>Rebuild would better clarify roles and reduce funding distortions than would Renovate. This is for two reasons.</w:t>
      </w:r>
    </w:p>
    <w:p w14:paraId="0510F8D2" w14:textId="77777777" w:rsidR="009C6940" w:rsidRDefault="009C6940" w:rsidP="009C6940">
      <w:pPr>
        <w:pStyle w:val="BodyText"/>
        <w:rPr>
          <w:spacing w:val="-2"/>
        </w:rPr>
      </w:pPr>
      <w:r w:rsidRPr="00673CBB">
        <w:t xml:space="preserve">First, Rebuild would assign clearer responsibilities </w:t>
      </w:r>
      <w:r w:rsidRPr="00673CBB">
        <w:rPr>
          <w:spacing w:val="-2"/>
        </w:rPr>
        <w:t xml:space="preserve">for mental health service provision (especially to the missing middle) by assigning </w:t>
      </w:r>
      <w:r>
        <w:rPr>
          <w:spacing w:val="-2"/>
        </w:rPr>
        <w:t xml:space="preserve">all </w:t>
      </w:r>
      <w:r w:rsidRPr="00673CBB">
        <w:rPr>
          <w:spacing w:val="-2"/>
        </w:rPr>
        <w:t>commissioning to a single agency</w:t>
      </w:r>
      <w:r>
        <w:rPr>
          <w:spacing w:val="-2"/>
        </w:rPr>
        <w:t xml:space="preserve"> in each region — a Regional Commissioning Authority (RCA)</w:t>
      </w:r>
      <w:r w:rsidRPr="00673CBB">
        <w:rPr>
          <w:spacing w:val="-2"/>
        </w:rPr>
        <w:t>. Many participants and commentators agreed</w:t>
      </w:r>
      <w:r>
        <w:rPr>
          <w:spacing w:val="-2"/>
        </w:rPr>
        <w:t xml:space="preserve"> on the importance of establishing clear responsibilities</w:t>
      </w:r>
      <w:r w:rsidRPr="00673CBB">
        <w:rPr>
          <w:spacing w:val="-2"/>
        </w:rPr>
        <w:t>,</w:t>
      </w:r>
      <w:r w:rsidRPr="004D5932">
        <w:rPr>
          <w:rStyle w:val="FootnoteReference"/>
          <w:spacing w:val="-2"/>
        </w:rPr>
        <w:footnoteReference w:id="11"/>
      </w:r>
      <w:r w:rsidRPr="00673CBB">
        <w:rPr>
          <w:spacing w:val="-2"/>
        </w:rPr>
        <w:t xml:space="preserve"> including some State an</w:t>
      </w:r>
      <w:r>
        <w:rPr>
          <w:spacing w:val="-2"/>
        </w:rPr>
        <w:t>d Territory Governments (box G.13</w:t>
      </w:r>
      <w:r w:rsidRPr="00673CBB">
        <w:rPr>
          <w:spacing w:val="-2"/>
        </w:rPr>
        <w:t xml:space="preserve">). </w:t>
      </w:r>
      <w:r w:rsidRPr="00673CBB">
        <w:t>By contrast</w:t>
      </w:r>
      <w:r>
        <w:rPr>
          <w:spacing w:val="-2"/>
        </w:rPr>
        <w:t>, u</w:t>
      </w:r>
      <w:r w:rsidRPr="00673CBB">
        <w:rPr>
          <w:spacing w:val="-2"/>
        </w:rPr>
        <w:t>nder Renovate, responsibility for commissioning would remain spread across both tiers of government.</w:t>
      </w:r>
    </w:p>
    <w:p w14:paraId="77263C32" w14:textId="77777777" w:rsidR="009C6940" w:rsidRDefault="009C6940" w:rsidP="009C6940">
      <w:pPr>
        <w:pStyle w:val="BodyText"/>
      </w:pPr>
      <w:r w:rsidRPr="002C676C">
        <w:t xml:space="preserve">Second, Rebuild would </w:t>
      </w:r>
      <w:r>
        <w:t>be more likely to reduce</w:t>
      </w:r>
      <w:r w:rsidRPr="002C676C">
        <w:t xml:space="preserve"> </w:t>
      </w:r>
      <w:r>
        <w:t xml:space="preserve">the existing </w:t>
      </w:r>
      <w:r w:rsidRPr="002C676C">
        <w:t xml:space="preserve">distortions </w:t>
      </w:r>
      <w:r>
        <w:t>that</w:t>
      </w:r>
      <w:r w:rsidRPr="002C676C">
        <w:t xml:space="preserve"> incentivise relative overinvestment in hospital</w:t>
      </w:r>
      <w:r>
        <w:noBreakHyphen/>
      </w:r>
      <w:r w:rsidRPr="002C676C">
        <w:t>based care and M</w:t>
      </w:r>
      <w:r>
        <w:t xml:space="preserve">edicare </w:t>
      </w:r>
      <w:r w:rsidRPr="002C676C">
        <w:t>B</w:t>
      </w:r>
      <w:r>
        <w:t xml:space="preserve">enefits </w:t>
      </w:r>
      <w:r w:rsidRPr="002C676C">
        <w:t>S</w:t>
      </w:r>
      <w:r>
        <w:t>chedule</w:t>
      </w:r>
      <w:r>
        <w:noBreakHyphen/>
      </w:r>
      <w:r w:rsidRPr="002C676C">
        <w:t>rebated</w:t>
      </w:r>
      <w:r>
        <w:t xml:space="preserve"> (MBS</w:t>
      </w:r>
      <w:r>
        <w:noBreakHyphen/>
        <w:t>rebated)</w:t>
      </w:r>
      <w:r w:rsidRPr="002C676C">
        <w:t xml:space="preserve"> services (section</w:t>
      </w:r>
      <w:r>
        <w:t>s G.2 and G.3</w:t>
      </w:r>
      <w:r w:rsidRPr="002C676C">
        <w:t xml:space="preserve">) than would Renovate. It </w:t>
      </w:r>
      <w:r>
        <w:t>would</w:t>
      </w:r>
      <w:r w:rsidRPr="002C676C">
        <w:t xml:space="preserve"> establish, for each RCA catchment, a fixed/capitated needs</w:t>
      </w:r>
      <w:r>
        <w:noBreakHyphen/>
      </w:r>
      <w:r w:rsidRPr="002C676C">
        <w:t>based mental health funding pool from which nearly all mental health services would be funded</w:t>
      </w:r>
      <w:r>
        <w:t xml:space="preserve"> — thus neutralising the scope for cost shifting between levels of government</w:t>
      </w:r>
      <w:r w:rsidRPr="002C676C">
        <w:t xml:space="preserve">. Under Renovate, however, incentives would remain for State/Territory </w:t>
      </w:r>
      <w:r>
        <w:t>Government health department</w:t>
      </w:r>
      <w:r w:rsidRPr="002C676C">
        <w:t>s to shift costs to MBS</w:t>
      </w:r>
      <w:r>
        <w:noBreakHyphen/>
      </w:r>
      <w:r w:rsidRPr="002C676C">
        <w:t>rebated care (as these would remain funded from outside their budgets)</w:t>
      </w:r>
      <w:r>
        <w:t>.</w:t>
      </w:r>
    </w:p>
    <w:p w14:paraId="10E034F1"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C50E9D2" w14:textId="77777777" w:rsidTr="009C6940">
        <w:trPr>
          <w:tblHeader/>
        </w:trPr>
        <w:tc>
          <w:tcPr>
            <w:tcW w:w="5000" w:type="pct"/>
            <w:tcBorders>
              <w:top w:val="single" w:sz="6" w:space="0" w:color="78A22F"/>
              <w:left w:val="nil"/>
              <w:bottom w:val="nil"/>
              <w:right w:val="nil"/>
            </w:tcBorders>
            <w:shd w:val="clear" w:color="auto" w:fill="F2F2F2"/>
          </w:tcPr>
          <w:p w14:paraId="045BAEE3" w14:textId="77777777" w:rsidR="009C6940" w:rsidRDefault="009C6940" w:rsidP="009C6940">
            <w:pPr>
              <w:pStyle w:val="BoxTitle"/>
            </w:pPr>
            <w:r>
              <w:rPr>
                <w:b w:val="0"/>
              </w:rPr>
              <w:t>Box G.</w:t>
            </w:r>
            <w:r>
              <w:rPr>
                <w:b w:val="0"/>
                <w:noProof/>
              </w:rPr>
              <w:t>13</w:t>
            </w:r>
            <w:r>
              <w:tab/>
              <w:t>State and Territory Government views on the two models</w:t>
            </w:r>
          </w:p>
        </w:tc>
      </w:tr>
      <w:tr w:rsidR="009C6940" w14:paraId="21CBAD35" w14:textId="77777777" w:rsidTr="009C6940">
        <w:tc>
          <w:tcPr>
            <w:tcW w:w="5000" w:type="pct"/>
            <w:tcBorders>
              <w:top w:val="nil"/>
              <w:left w:val="nil"/>
              <w:bottom w:val="nil"/>
              <w:right w:val="nil"/>
            </w:tcBorders>
            <w:shd w:val="clear" w:color="auto" w:fill="F2F2F2"/>
          </w:tcPr>
          <w:p w14:paraId="5726EF56" w14:textId="77777777" w:rsidR="009C6940" w:rsidRPr="00E91641" w:rsidRDefault="009C6940" w:rsidP="009C6940">
            <w:pPr>
              <w:pStyle w:val="Box"/>
            </w:pPr>
            <w:r w:rsidRPr="00E91641">
              <w:t>The New South Wales Government (sub. 1243) did not support either model because both would see mental healthcare continue to be funded via the Medicare Benefits Schedule, but leaned toward Renovate. It raised concerns that Rebuild would silo physical and mental healthcare.</w:t>
            </w:r>
          </w:p>
          <w:p w14:paraId="0BB88C1D" w14:textId="77777777" w:rsidR="009C6940" w:rsidRPr="00E91641" w:rsidRDefault="009C6940" w:rsidP="009C6940">
            <w:pPr>
              <w:pStyle w:val="Box"/>
            </w:pPr>
            <w:r w:rsidRPr="00E91641">
              <w:t>The Victorian Government did not comment in detail as it did not wish to pre</w:t>
            </w:r>
            <w:r w:rsidRPr="00E91641">
              <w:noBreakHyphen/>
              <w:t>empt the recommendations of its ongoing Mental Health Royal Commission. It acknowledged that Rebuild could ‘support better collaboration between different levels of government’ (sub. 1228, p. 17), but raised high</w:t>
            </w:r>
            <w:r w:rsidRPr="00E91641">
              <w:noBreakHyphen/>
              <w:t>level concerns about a separation of physical and mental health.</w:t>
            </w:r>
          </w:p>
          <w:p w14:paraId="41E3EE28" w14:textId="77777777" w:rsidR="009C6940" w:rsidRPr="00E91641" w:rsidRDefault="009C6940" w:rsidP="009C6940">
            <w:pPr>
              <w:pStyle w:val="Box"/>
            </w:pPr>
            <w:r w:rsidRPr="00E91641">
              <w:t>The West</w:t>
            </w:r>
            <w:r>
              <w:t>ern</w:t>
            </w:r>
            <w:r w:rsidRPr="00E91641">
              <w:t xml:space="preserve"> Australian Government (sub. 1227, attachment) supported Rebuild in</w:t>
            </w:r>
            <w:r w:rsidRPr="00E91641">
              <w:noBreakHyphen/>
              <w:t>principle, and suggested that it could pilot the model with its mental health commission acting as a State</w:t>
            </w:r>
            <w:r w:rsidRPr="00E91641">
              <w:noBreakHyphen/>
              <w:t>wide Regional Commissioning Authority (RCA).</w:t>
            </w:r>
          </w:p>
          <w:p w14:paraId="60344228" w14:textId="77777777" w:rsidR="009C6940" w:rsidRPr="00E91641" w:rsidRDefault="009C6940" w:rsidP="009C6940">
            <w:pPr>
              <w:pStyle w:val="Box"/>
            </w:pPr>
            <w:r w:rsidRPr="00E91641">
              <w:t>The South Australian Government (sub. 692, p. 6) did not comment substantially, other than to urge consideration of any unintended consequences of creating RCAs.</w:t>
            </w:r>
          </w:p>
          <w:p w14:paraId="4FDAD943" w14:textId="77777777" w:rsidR="009C6940" w:rsidRPr="00E91641" w:rsidRDefault="009C6940" w:rsidP="009C6940">
            <w:pPr>
              <w:pStyle w:val="Box"/>
            </w:pPr>
            <w:r w:rsidRPr="00E91641">
              <w:t>The Tasmanian Government did not specify a position, but urged flexibility in the design of RCAs. It would ‘welcome a simplified approach to commissioning which recognises that the current situation can result in overlapping agendas and mismatch of need’ (sub. 1242, p. 3).</w:t>
            </w:r>
          </w:p>
          <w:p w14:paraId="19CDCC4A" w14:textId="77777777" w:rsidR="009C6940" w:rsidRPr="00E91641" w:rsidRDefault="009C6940" w:rsidP="009C6940">
            <w:pPr>
              <w:pStyle w:val="Box"/>
            </w:pPr>
            <w:r w:rsidRPr="00E91641">
              <w:t>The ACT Government (sub. 1241, p. 17) supported Rebuild in</w:t>
            </w:r>
            <w:r w:rsidRPr="00E91641">
              <w:noBreakHyphen/>
              <w:t>principle, noting that it ‘reduces the number of funding sources and simplifies commissioning and funding activities to a level that could provide substantial beneficial efficiencies’.</w:t>
            </w:r>
          </w:p>
          <w:p w14:paraId="0722EA69" w14:textId="77777777" w:rsidR="009C6940" w:rsidRPr="00E91641" w:rsidRDefault="009C6940" w:rsidP="009C6940">
            <w:pPr>
              <w:pStyle w:val="Box"/>
            </w:pPr>
            <w:r w:rsidRPr="00E91641">
              <w:t>The Northern Territory Government (sub. 1220, p. 5) said only that Rebuild would ‘need further consideration and investigation prior to implementation in the NT’.</w:t>
            </w:r>
          </w:p>
          <w:p w14:paraId="6187621C" w14:textId="77777777" w:rsidR="009C6940" w:rsidRPr="009C1DAD" w:rsidRDefault="009C6940" w:rsidP="009C6940">
            <w:pPr>
              <w:pStyle w:val="Box"/>
              <w:rPr>
                <w:spacing w:val="-2"/>
              </w:rPr>
            </w:pPr>
            <w:r w:rsidRPr="009C1DAD">
              <w:rPr>
                <w:spacing w:val="-2"/>
              </w:rPr>
              <w:t>The Queensland Government did not submit a response following the release of the Inquiry draft report.</w:t>
            </w:r>
          </w:p>
        </w:tc>
      </w:tr>
      <w:tr w:rsidR="009C6940" w14:paraId="7DEED1BB" w14:textId="77777777" w:rsidTr="009C6940">
        <w:tc>
          <w:tcPr>
            <w:tcW w:w="5000" w:type="pct"/>
            <w:tcBorders>
              <w:top w:val="nil"/>
              <w:left w:val="nil"/>
              <w:bottom w:val="single" w:sz="6" w:space="0" w:color="78A22F"/>
              <w:right w:val="nil"/>
            </w:tcBorders>
            <w:shd w:val="clear" w:color="auto" w:fill="F2F2F2"/>
          </w:tcPr>
          <w:p w14:paraId="1DC08659" w14:textId="77777777" w:rsidR="009C6940" w:rsidRDefault="009C6940" w:rsidP="009C6940">
            <w:pPr>
              <w:pStyle w:val="Box"/>
              <w:spacing w:before="0" w:line="120" w:lineRule="exact"/>
            </w:pPr>
          </w:p>
        </w:tc>
      </w:tr>
      <w:tr w:rsidR="009C6940" w:rsidRPr="000863A5" w14:paraId="2D92CF92" w14:textId="77777777" w:rsidTr="009C6940">
        <w:tc>
          <w:tcPr>
            <w:tcW w:w="5000" w:type="pct"/>
            <w:tcBorders>
              <w:top w:val="single" w:sz="6" w:space="0" w:color="78A22F"/>
              <w:left w:val="nil"/>
              <w:bottom w:val="nil"/>
              <w:right w:val="nil"/>
            </w:tcBorders>
          </w:tcPr>
          <w:p w14:paraId="4DF0E520" w14:textId="77777777" w:rsidR="009C6940" w:rsidRPr="00626D32" w:rsidRDefault="009C6940" w:rsidP="009C6940">
            <w:pPr>
              <w:pStyle w:val="BoxSpaceBelow"/>
            </w:pPr>
          </w:p>
        </w:tc>
      </w:tr>
    </w:tbl>
    <w:p w14:paraId="7431F0CC" w14:textId="77777777" w:rsidR="009C6940" w:rsidRPr="0053001B" w:rsidRDefault="009C6940" w:rsidP="009C6940">
      <w:pPr>
        <w:pStyle w:val="Heading3"/>
      </w:pPr>
      <w:r w:rsidRPr="0053001B">
        <w:t>Rebuild is unlikely to hamper coordinated physical–mental healthcare</w:t>
      </w:r>
    </w:p>
    <w:p w14:paraId="3AEFBD5E" w14:textId="77777777" w:rsidR="009C6940" w:rsidRPr="0053001B" w:rsidRDefault="009C6940" w:rsidP="009C6940">
      <w:pPr>
        <w:pStyle w:val="BodyText"/>
      </w:pPr>
      <w:r w:rsidRPr="0053001B">
        <w:t>Various pa</w:t>
      </w:r>
      <w:r>
        <w:t>rticipants, including the PHNs (box G.14</w:t>
      </w:r>
      <w:r w:rsidRPr="0053001B">
        <w:t>) and some Sta</w:t>
      </w:r>
      <w:r>
        <w:t>te/Territory Governments (box G.13</w:t>
      </w:r>
      <w:r w:rsidRPr="0053001B">
        <w:t>)</w:t>
      </w:r>
      <w:r>
        <w:t>, raised concerns that administering funds via RCAs</w:t>
      </w:r>
      <w:r w:rsidRPr="0053001B">
        <w:t xml:space="preserve"> would weaken coordination between the physical and mental healthcare that consumers with comorbid physical–mental illness rec</w:t>
      </w:r>
      <w:r>
        <w:t>eive</w:t>
      </w:r>
      <w:r w:rsidRPr="0053001B">
        <w:t>. For example:</w:t>
      </w:r>
    </w:p>
    <w:p w14:paraId="1A409159" w14:textId="77777777" w:rsidR="009C6940" w:rsidRPr="0053001B" w:rsidRDefault="009C6940" w:rsidP="009C6940">
      <w:pPr>
        <w:pStyle w:val="ListBullet"/>
      </w:pPr>
      <w:r w:rsidRPr="0053001B">
        <w:t>the Consumers Health Forum of Australia (sub. 646, p. 24)</w:t>
      </w:r>
      <w:r>
        <w:t xml:space="preserve"> </w:t>
      </w:r>
      <w:r w:rsidRPr="0053001B">
        <w:t>highlighted a risk of ‘fragmentation between menta</w:t>
      </w:r>
      <w:r>
        <w:t>l and physical health services’</w:t>
      </w:r>
    </w:p>
    <w:p w14:paraId="3A14C0C6" w14:textId="77777777" w:rsidR="009C6940" w:rsidRPr="0053001B" w:rsidRDefault="009C6940" w:rsidP="009C6940">
      <w:pPr>
        <w:pStyle w:val="ListBullet"/>
      </w:pPr>
      <w:r w:rsidRPr="0053001B">
        <w:t>the Mental Health Coordinating Council</w:t>
      </w:r>
      <w:r>
        <w:t xml:space="preserve"> </w:t>
      </w:r>
      <w:r w:rsidRPr="0053001B">
        <w:t>(sub. 920, p. 23) said ‘establishing separate mental health specific commissioning bodies may impact negatively on systemic capacity to further drive integrated care for pe</w:t>
      </w:r>
      <w:r>
        <w:t>ople with mental health issues’</w:t>
      </w:r>
    </w:p>
    <w:p w14:paraId="493443AC" w14:textId="77777777" w:rsidR="009C6940" w:rsidRPr="0053001B" w:rsidRDefault="009C6940" w:rsidP="009C6940">
      <w:pPr>
        <w:pStyle w:val="ListBullet"/>
      </w:pPr>
      <w:r w:rsidRPr="0053001B">
        <w:t>the PHN Cooperative (sub. 850, p</w:t>
      </w:r>
      <w:r>
        <w:t>p</w:t>
      </w:r>
      <w:r w:rsidRPr="0053001B">
        <w:t>. 10</w:t>
      </w:r>
      <w:r>
        <w:t>–11</w:t>
      </w:r>
      <w:r w:rsidRPr="0053001B">
        <w:t>)</w:t>
      </w:r>
      <w:r>
        <w:t xml:space="preserve"> </w:t>
      </w:r>
      <w:r w:rsidRPr="0053001B">
        <w:t>said that implementing Rebuild could lead to mental health becoming ‘increasingly “siloed” and distanced from the broader health system within which it functions’, and that it ‘signals the delinking of mental health and physical health which would be the antithesis of the principles of integrated care, to which the government has publicly committed, and moves away from meeting the full healthcare needs of individuals and communities’.</w:t>
      </w:r>
    </w:p>
    <w:p w14:paraId="7514EBDB" w14:textId="77777777" w:rsidR="009C6940" w:rsidRPr="0053001B"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53001B" w14:paraId="7BBABAD8" w14:textId="77777777" w:rsidTr="009C6940">
        <w:trPr>
          <w:tblHeader/>
        </w:trPr>
        <w:tc>
          <w:tcPr>
            <w:tcW w:w="5000" w:type="pct"/>
            <w:tcBorders>
              <w:top w:val="single" w:sz="6" w:space="0" w:color="78A22F"/>
              <w:left w:val="nil"/>
              <w:bottom w:val="nil"/>
              <w:right w:val="nil"/>
            </w:tcBorders>
            <w:shd w:val="clear" w:color="auto" w:fill="F2F2F2"/>
          </w:tcPr>
          <w:p w14:paraId="3EA9309D" w14:textId="77777777" w:rsidR="009C6940" w:rsidRPr="0053001B" w:rsidRDefault="009C6940" w:rsidP="009C6940">
            <w:pPr>
              <w:pStyle w:val="BoxTitle"/>
            </w:pPr>
            <w:r w:rsidRPr="0053001B">
              <w:rPr>
                <w:b w:val="0"/>
              </w:rPr>
              <w:t xml:space="preserve">Box </w:t>
            </w:r>
            <w:r>
              <w:rPr>
                <w:b w:val="0"/>
              </w:rPr>
              <w:t>G.</w:t>
            </w:r>
            <w:r>
              <w:rPr>
                <w:b w:val="0"/>
                <w:noProof/>
              </w:rPr>
              <w:t>14</w:t>
            </w:r>
            <w:r w:rsidRPr="0053001B">
              <w:tab/>
              <w:t>PHN views on Renovate vs. Rebuild</w:t>
            </w:r>
          </w:p>
        </w:tc>
      </w:tr>
      <w:tr w:rsidR="009C6940" w:rsidRPr="0053001B" w14:paraId="495078CB" w14:textId="77777777" w:rsidTr="009C6940">
        <w:tc>
          <w:tcPr>
            <w:tcW w:w="5000" w:type="pct"/>
            <w:tcBorders>
              <w:top w:val="nil"/>
              <w:left w:val="nil"/>
              <w:bottom w:val="nil"/>
              <w:right w:val="nil"/>
            </w:tcBorders>
            <w:shd w:val="clear" w:color="auto" w:fill="F2F2F2"/>
          </w:tcPr>
          <w:p w14:paraId="459ED912" w14:textId="77777777" w:rsidR="009C6940" w:rsidRPr="0053001B" w:rsidRDefault="009C6940" w:rsidP="009C6940">
            <w:pPr>
              <w:pStyle w:val="Box"/>
            </w:pPr>
            <w:r w:rsidRPr="0053001B">
              <w:t>Many P</w:t>
            </w:r>
            <w:r>
              <w:t xml:space="preserve">rimary </w:t>
            </w:r>
            <w:r w:rsidRPr="0053001B">
              <w:t>H</w:t>
            </w:r>
            <w:r>
              <w:t xml:space="preserve">ealth </w:t>
            </w:r>
            <w:r w:rsidRPr="0053001B">
              <w:t>N</w:t>
            </w:r>
            <w:r>
              <w:t>etwork</w:t>
            </w:r>
            <w:r w:rsidRPr="0053001B">
              <w:t>s</w:t>
            </w:r>
            <w:r>
              <w:t xml:space="preserve"> (PHNs)</w:t>
            </w:r>
            <w:r w:rsidRPr="0053001B">
              <w:t xml:space="preserve"> (including WA</w:t>
            </w:r>
            <w:r>
              <w:t xml:space="preserve"> </w:t>
            </w:r>
            <w:r w:rsidRPr="0053001B">
              <w:t>P</w:t>
            </w:r>
            <w:r>
              <w:t xml:space="preserve">rimary </w:t>
            </w:r>
            <w:r w:rsidRPr="0053001B">
              <w:t>H</w:t>
            </w:r>
            <w:r>
              <w:t xml:space="preserve">ealth </w:t>
            </w:r>
            <w:r w:rsidRPr="0053001B">
              <w:t>A</w:t>
            </w:r>
            <w:r>
              <w:t>lliance</w:t>
            </w:r>
            <w:r w:rsidRPr="0053001B">
              <w:t>, sub. 722; WentWest</w:t>
            </w:r>
            <w:r>
              <w:t xml:space="preserve"> Limited</w:t>
            </w:r>
            <w:r w:rsidRPr="0053001B">
              <w:t>, sub. 788; Victorian and Tasmanian PHN Alliance, sub. 849; PHN Cooperative, sub.</w:t>
            </w:r>
            <w:r>
              <w:t> </w:t>
            </w:r>
            <w:r w:rsidRPr="0053001B">
              <w:t xml:space="preserve">850; </w:t>
            </w:r>
            <w:r>
              <w:t>COORDINARE</w:t>
            </w:r>
            <w:r w:rsidRPr="0053001B">
              <w:t>, sub. 1194; and Murrumbidgee P</w:t>
            </w:r>
            <w:r>
              <w:t xml:space="preserve">rimary </w:t>
            </w:r>
            <w:r w:rsidRPr="0053001B">
              <w:t>H</w:t>
            </w:r>
            <w:r>
              <w:t xml:space="preserve">ealth </w:t>
            </w:r>
            <w:r w:rsidRPr="0053001B">
              <w:t>N</w:t>
            </w:r>
            <w:r>
              <w:t>etwork</w:t>
            </w:r>
            <w:r w:rsidRPr="0053001B">
              <w:t>, sub</w:t>
            </w:r>
            <w:r>
              <w:t>.</w:t>
            </w:r>
            <w:r w:rsidRPr="0053001B">
              <w:t> 1199) strongly rejected Rebuild, under which they would no longer be responsible for commissioning mental health services.</w:t>
            </w:r>
          </w:p>
          <w:p w14:paraId="79FA50E4" w14:textId="77777777" w:rsidR="009C6940" w:rsidRPr="0053001B" w:rsidRDefault="009C6940" w:rsidP="009C6940">
            <w:pPr>
              <w:pStyle w:val="Box"/>
            </w:pPr>
            <w:r w:rsidRPr="0053001B">
              <w:t>PHN arguments against Rebuild include that it would:</w:t>
            </w:r>
          </w:p>
          <w:p w14:paraId="12FE345D" w14:textId="77777777" w:rsidR="009C6940" w:rsidRPr="0053001B" w:rsidRDefault="009C6940" w:rsidP="009C6940">
            <w:pPr>
              <w:pStyle w:val="BoxListBullet"/>
            </w:pPr>
            <w:r w:rsidRPr="0053001B">
              <w:t>reduce the influence of GPs on mental health commissioning decisions and/or lead to primary care being disregarded (WA</w:t>
            </w:r>
            <w:r>
              <w:t xml:space="preserve"> </w:t>
            </w:r>
            <w:r w:rsidRPr="0053001B">
              <w:t>P</w:t>
            </w:r>
            <w:r>
              <w:t xml:space="preserve">rimary </w:t>
            </w:r>
            <w:r w:rsidRPr="0053001B">
              <w:t>H</w:t>
            </w:r>
            <w:r>
              <w:t xml:space="preserve">ealth </w:t>
            </w:r>
            <w:r w:rsidRPr="0053001B">
              <w:t>A</w:t>
            </w:r>
            <w:r>
              <w:t>lliance</w:t>
            </w:r>
            <w:r w:rsidRPr="0053001B">
              <w:t xml:space="preserve"> sub. 722; PHN Cooperative, sub. 850; C</w:t>
            </w:r>
            <w:r>
              <w:t>OORDINARE</w:t>
            </w:r>
            <w:r w:rsidRPr="0053001B">
              <w:t xml:space="preserve"> sub. 1194)</w:t>
            </w:r>
          </w:p>
          <w:p w14:paraId="3D2B9F3D" w14:textId="77777777" w:rsidR="009C6940" w:rsidRPr="0053001B" w:rsidRDefault="009C6940" w:rsidP="009C6940">
            <w:pPr>
              <w:pStyle w:val="BoxListBullet"/>
            </w:pPr>
            <w:r w:rsidRPr="0053001B">
              <w:t>introduce an extra layer of bureaucracy and cost (PHN Cooperative, sub. 850)</w:t>
            </w:r>
          </w:p>
          <w:p w14:paraId="4D88BDA0" w14:textId="77777777" w:rsidR="009C6940" w:rsidRPr="0053001B" w:rsidRDefault="009C6940" w:rsidP="009C6940">
            <w:pPr>
              <w:pStyle w:val="BoxListBullet"/>
            </w:pPr>
            <w:r w:rsidRPr="0053001B">
              <w:t>disru</w:t>
            </w:r>
            <w:r>
              <w:t>pt the gains made by PHNs (Went</w:t>
            </w:r>
            <w:r w:rsidRPr="0053001B">
              <w:t>West</w:t>
            </w:r>
            <w:r>
              <w:t xml:space="preserve"> Limited</w:t>
            </w:r>
            <w:r w:rsidRPr="0053001B">
              <w:t xml:space="preserve">, sub. 788; </w:t>
            </w:r>
            <w:r>
              <w:t>COORDINARE</w:t>
            </w:r>
            <w:r w:rsidRPr="0053001B">
              <w:t>, sub. 1194)</w:t>
            </w:r>
            <w:r>
              <w:t>.</w:t>
            </w:r>
          </w:p>
          <w:p w14:paraId="11DF947F" w14:textId="77777777" w:rsidR="009C6940" w:rsidRPr="0053001B" w:rsidRDefault="009C6940" w:rsidP="009C6940">
            <w:pPr>
              <w:pStyle w:val="Box"/>
            </w:pPr>
            <w:r w:rsidRPr="0053001B">
              <w:t>The PHNs proposed a variant on Renovate, termed ‘Repurpose’. It would involve PHNs taking on sole responsibility for commissioning psychosocial supports (which sat with State and Territory Governments under Renovate), but is otherwise very similar to Renovate.</w:t>
            </w:r>
          </w:p>
        </w:tc>
      </w:tr>
      <w:tr w:rsidR="009C6940" w:rsidRPr="0053001B" w14:paraId="685B0417" w14:textId="77777777" w:rsidTr="009C6940">
        <w:tc>
          <w:tcPr>
            <w:tcW w:w="5000" w:type="pct"/>
            <w:tcBorders>
              <w:top w:val="nil"/>
              <w:left w:val="nil"/>
              <w:bottom w:val="single" w:sz="6" w:space="0" w:color="78A22F"/>
              <w:right w:val="nil"/>
            </w:tcBorders>
            <w:shd w:val="clear" w:color="auto" w:fill="F2F2F2"/>
          </w:tcPr>
          <w:p w14:paraId="2F36E77A" w14:textId="77777777" w:rsidR="009C6940" w:rsidRPr="0053001B" w:rsidRDefault="009C6940" w:rsidP="009C6940">
            <w:pPr>
              <w:pStyle w:val="Box"/>
              <w:spacing w:before="0" w:line="120" w:lineRule="exact"/>
            </w:pPr>
          </w:p>
        </w:tc>
      </w:tr>
      <w:tr w:rsidR="009C6940" w:rsidRPr="0053001B" w14:paraId="7D581A4B" w14:textId="77777777" w:rsidTr="009C6940">
        <w:tc>
          <w:tcPr>
            <w:tcW w:w="5000" w:type="pct"/>
            <w:tcBorders>
              <w:top w:val="single" w:sz="6" w:space="0" w:color="78A22F"/>
              <w:left w:val="nil"/>
              <w:bottom w:val="nil"/>
              <w:right w:val="nil"/>
            </w:tcBorders>
          </w:tcPr>
          <w:p w14:paraId="06B8DF38" w14:textId="77777777" w:rsidR="009C6940" w:rsidRPr="0053001B" w:rsidRDefault="009C6940" w:rsidP="009C6940">
            <w:pPr>
              <w:pStyle w:val="BoxSpaceBelow"/>
            </w:pPr>
          </w:p>
        </w:tc>
      </w:tr>
    </w:tbl>
    <w:p w14:paraId="37F59CDE" w14:textId="77777777" w:rsidR="009C6940" w:rsidRPr="0053001B" w:rsidRDefault="009C6940" w:rsidP="009C6940">
      <w:pPr>
        <w:pStyle w:val="BodyText"/>
      </w:pPr>
      <w:r w:rsidRPr="0053001B">
        <w:t>These concerns warrant careful consideration given the high rates of comorbid ph</w:t>
      </w:r>
      <w:r>
        <w:t>ysical–mental illness (chapter 14</w:t>
      </w:r>
      <w:r w:rsidRPr="0053001B">
        <w:t xml:space="preserve">). However, </w:t>
      </w:r>
      <w:r>
        <w:t xml:space="preserve">in our view, </w:t>
      </w:r>
      <w:r w:rsidRPr="0053001B">
        <w:t xml:space="preserve">they are </w:t>
      </w:r>
      <w:r>
        <w:t xml:space="preserve">overstated because they conflate coordinated </w:t>
      </w:r>
      <w:r w:rsidRPr="00301AF5">
        <w:rPr>
          <w:i/>
        </w:rPr>
        <w:t>delivery</w:t>
      </w:r>
      <w:r>
        <w:t xml:space="preserve"> of care from a consumer’s perspective with the </w:t>
      </w:r>
      <w:r w:rsidRPr="00301AF5">
        <w:rPr>
          <w:i/>
        </w:rPr>
        <w:t>funding</w:t>
      </w:r>
      <w:r>
        <w:t xml:space="preserve"> of that care. Indeed, these concerns are symptomatic of a system that is ‘funder’ centric and places less emphasis on consumers’ experiences of services</w:t>
      </w:r>
      <w:r w:rsidRPr="0053001B">
        <w:t>.</w:t>
      </w:r>
    </w:p>
    <w:p w14:paraId="648FC098" w14:textId="77777777" w:rsidR="009C6940" w:rsidRPr="0053001B" w:rsidRDefault="009C6940" w:rsidP="009C6940">
      <w:pPr>
        <w:pStyle w:val="BodyText"/>
      </w:pPr>
      <w:r w:rsidRPr="00231851">
        <w:t>Under Rebuild, RCAs</w:t>
      </w:r>
      <w:r w:rsidRPr="0053001B">
        <w:t xml:space="preserve"> </w:t>
      </w:r>
      <w:r>
        <w:t xml:space="preserve">would be </w:t>
      </w:r>
      <w:r w:rsidRPr="0053001B">
        <w:t xml:space="preserve">responsible for </w:t>
      </w:r>
      <w:r>
        <w:t>mental healthcare commissioning</w:t>
      </w:r>
      <w:r w:rsidRPr="0053001B">
        <w:t xml:space="preserve"> and PHNs and State and Territory </w:t>
      </w:r>
      <w:r>
        <w:t>Government health department</w:t>
      </w:r>
      <w:r w:rsidRPr="0053001B">
        <w:t xml:space="preserve">s </w:t>
      </w:r>
      <w:r>
        <w:t xml:space="preserve">would be responsible </w:t>
      </w:r>
      <w:r w:rsidRPr="0053001B">
        <w:t>for physical healthcare</w:t>
      </w:r>
      <w:r>
        <w:t xml:space="preserve"> commissioning</w:t>
      </w:r>
      <w:r w:rsidRPr="0053001B">
        <w:t xml:space="preserve">. </w:t>
      </w:r>
      <w:r>
        <w:t>The</w:t>
      </w:r>
      <w:r w:rsidRPr="0053001B">
        <w:t xml:space="preserve"> issue is whether separating mental and physical healthcare commissioning responsibilities would </w:t>
      </w:r>
      <w:r>
        <w:t>be likely to</w:t>
      </w:r>
      <w:r w:rsidRPr="0053001B">
        <w:t xml:space="preserve"> reduce coordination of physical and mental healthcare </w:t>
      </w:r>
      <w:r>
        <w:t>In part, t</w:t>
      </w:r>
      <w:r w:rsidRPr="0053001B">
        <w:t>his depends on the extent to which, under the curre</w:t>
      </w:r>
      <w:r>
        <w:t>nt arrangements, coordination is</w:t>
      </w:r>
      <w:r w:rsidRPr="0053001B">
        <w:t xml:space="preserve"> contingent on a single funder commissioning both physical and mental healthcare.</w:t>
      </w:r>
      <w:r w:rsidRPr="0053001B">
        <w:rPr>
          <w:rStyle w:val="FootnoteReference"/>
        </w:rPr>
        <w:footnoteReference w:id="12"/>
      </w:r>
    </w:p>
    <w:p w14:paraId="79DC8026" w14:textId="77777777" w:rsidR="009C6940" w:rsidRPr="0053001B" w:rsidRDefault="009C6940" w:rsidP="009C6940">
      <w:pPr>
        <w:pStyle w:val="BodyText"/>
      </w:pPr>
      <w:r w:rsidRPr="0053001B">
        <w:t>There is limited scope for this to be the case for primary healthcare, because the PHNs do not commission much primary physical healthcare (it is overwhelmingly funded via MBS rebates). The bulk of Australian Government funding to PHNs is mental health related (</w:t>
      </w:r>
      <w:r>
        <w:t>62</w:t>
      </w:r>
      <w:r w:rsidRPr="0053001B">
        <w:t>% in 201</w:t>
      </w:r>
      <w:r>
        <w:t>8</w:t>
      </w:r>
      <w:r>
        <w:noBreakHyphen/>
      </w:r>
      <w:r w:rsidRPr="0053001B">
        <w:t>1</w:t>
      </w:r>
      <w:r>
        <w:t>9; figure G.6</w:t>
      </w:r>
      <w:r w:rsidRPr="0053001B">
        <w:t>). Moreover, 6</w:t>
      </w:r>
      <w:r>
        <w:t>7</w:t>
      </w:r>
      <w:r w:rsidRPr="0053001B">
        <w:t>% of the non</w:t>
      </w:r>
      <w:r>
        <w:noBreakHyphen/>
      </w:r>
      <w:r w:rsidRPr="0053001B">
        <w:t>mental health funding (or 2</w:t>
      </w:r>
      <w:r>
        <w:t>6</w:t>
      </w:r>
      <w:r w:rsidRPr="0053001B">
        <w:t xml:space="preserve">% of all funding) </w:t>
      </w:r>
      <w:r>
        <w:t>i</w:t>
      </w:r>
      <w:r w:rsidRPr="0053001B">
        <w:t xml:space="preserve">s ‘core funding’, much of which does not go toward commissioning services. By contrast, only about 8% of total government health expenditure in Australia goes toward mental health services </w:t>
      </w:r>
      <w:r w:rsidRPr="004E5F06">
        <w:rPr>
          <w:szCs w:val="24"/>
        </w:rPr>
        <w:t>(AIHW 2020a)</w:t>
      </w:r>
      <w:r w:rsidRPr="0053001B">
        <w:t>.</w:t>
      </w:r>
      <w:r>
        <w:t xml:space="preserve"> Put differently, this evidence demonstrates that PHNs are themselves almost specialist mental health service commissioners, so transferring their mental health commissioning responsibilities to different specialist mental health service </w:t>
      </w:r>
      <w:r>
        <w:lastRenderedPageBreak/>
        <w:t>commissioners (RCAs) would be closer to a straight transfer of responsibilities between two mental health commissioning bodies rather than an of undermining the coordination of primary physical and mental healthcare.</w:t>
      </w:r>
    </w:p>
    <w:p w14:paraId="1B2D3874" w14:textId="77777777" w:rsidR="009C6940" w:rsidRPr="0053001B"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53001B" w14:paraId="6F64BCE9" w14:textId="77777777" w:rsidTr="009C6940">
        <w:trPr>
          <w:tblHeader/>
        </w:trPr>
        <w:tc>
          <w:tcPr>
            <w:tcW w:w="5000" w:type="pct"/>
            <w:tcBorders>
              <w:top w:val="single" w:sz="6" w:space="0" w:color="78A22F"/>
              <w:left w:val="nil"/>
              <w:bottom w:val="nil"/>
              <w:right w:val="nil"/>
            </w:tcBorders>
            <w:shd w:val="clear" w:color="auto" w:fill="auto"/>
          </w:tcPr>
          <w:p w14:paraId="30DB7D5A" w14:textId="77777777" w:rsidR="009C6940" w:rsidRPr="00E93CDE" w:rsidRDefault="009C6940" w:rsidP="009C6940">
            <w:pPr>
              <w:pStyle w:val="FigureTitle"/>
              <w:rPr>
                <w:rStyle w:val="NoteLabel"/>
              </w:rPr>
            </w:pPr>
            <w:r w:rsidRPr="0053001B">
              <w:rPr>
                <w:b w:val="0"/>
              </w:rPr>
              <w:t xml:space="preserve">Figure </w:t>
            </w:r>
            <w:r>
              <w:rPr>
                <w:b w:val="0"/>
              </w:rPr>
              <w:t>G.</w:t>
            </w:r>
            <w:r>
              <w:rPr>
                <w:b w:val="0"/>
                <w:noProof/>
              </w:rPr>
              <w:t>6</w:t>
            </w:r>
            <w:r w:rsidRPr="0053001B">
              <w:tab/>
              <w:t>Australian Government funding to Primary Health Networks</w:t>
            </w:r>
            <w:r w:rsidRPr="00E93CDE">
              <w:rPr>
                <w:rStyle w:val="NoteLabel"/>
                <w:b/>
              </w:rPr>
              <w:t>a</w:t>
            </w:r>
          </w:p>
        </w:tc>
      </w:tr>
      <w:tr w:rsidR="009C6940" w:rsidRPr="0053001B" w14:paraId="2E8DC486"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53001B" w14:paraId="2DED9A58" w14:textId="77777777" w:rsidTr="009C6940">
              <w:trPr>
                <w:tblHeader/>
                <w:jc w:val="center"/>
              </w:trPr>
              <w:tc>
                <w:tcPr>
                  <w:tcW w:w="5000" w:type="pct"/>
                  <w:tcBorders>
                    <w:top w:val="nil"/>
                    <w:bottom w:val="nil"/>
                  </w:tcBorders>
                </w:tcPr>
                <w:p w14:paraId="06B020F9" w14:textId="77777777" w:rsidR="009C6940" w:rsidRPr="0053001B" w:rsidRDefault="009C6940" w:rsidP="009C6940">
                  <w:pPr>
                    <w:pStyle w:val="Figure"/>
                    <w:spacing w:before="60" w:after="60"/>
                    <w:rPr>
                      <w:rFonts w:ascii="Arial" w:hAnsi="Arial" w:cs="Arial"/>
                      <w:sz w:val="18"/>
                      <w:szCs w:val="18"/>
                    </w:rPr>
                  </w:pPr>
                  <w:r w:rsidRPr="00F92D36">
                    <w:rPr>
                      <w:rFonts w:ascii="Arial" w:hAnsi="Arial" w:cs="Arial"/>
                      <w:noProof/>
                      <w:sz w:val="18"/>
                      <w:szCs w:val="18"/>
                    </w:rPr>
                    <w:drawing>
                      <wp:inline distT="0" distB="0" distL="0" distR="0" wp14:anchorId="0B3B3F66" wp14:editId="7AFBDABB">
                        <wp:extent cx="5404485" cy="3637280"/>
                        <wp:effectExtent l="0" t="0" r="5715" b="1270"/>
                        <wp:docPr id="41" name="Picture 41" descr="This figure shows the components of Australian Government funding to Primary Health Networks from 2015-16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404485" cy="3637280"/>
                                </a:xfrm>
                                <a:prstGeom prst="rect">
                                  <a:avLst/>
                                </a:prstGeom>
                                <a:noFill/>
                                <a:ln>
                                  <a:noFill/>
                                </a:ln>
                              </pic:spPr>
                            </pic:pic>
                          </a:graphicData>
                        </a:graphic>
                      </wp:inline>
                    </w:drawing>
                  </w:r>
                </w:p>
              </w:tc>
            </w:tr>
          </w:tbl>
          <w:p w14:paraId="0F46EA0E" w14:textId="77777777" w:rsidR="009C6940" w:rsidRPr="0053001B" w:rsidRDefault="009C6940" w:rsidP="009C6940">
            <w:pPr>
              <w:pStyle w:val="Figure"/>
            </w:pPr>
          </w:p>
        </w:tc>
      </w:tr>
      <w:tr w:rsidR="009C6940" w:rsidRPr="0053001B" w14:paraId="49409E96" w14:textId="77777777" w:rsidTr="009C6940">
        <w:tc>
          <w:tcPr>
            <w:tcW w:w="5000" w:type="pct"/>
            <w:tcBorders>
              <w:top w:val="nil"/>
              <w:left w:val="nil"/>
              <w:bottom w:val="nil"/>
              <w:right w:val="nil"/>
            </w:tcBorders>
            <w:shd w:val="clear" w:color="auto" w:fill="auto"/>
          </w:tcPr>
          <w:p w14:paraId="0FB90D51" w14:textId="77777777" w:rsidR="009C6940" w:rsidRPr="0053001B" w:rsidRDefault="009C6940" w:rsidP="009C6940">
            <w:pPr>
              <w:pStyle w:val="Note"/>
            </w:pPr>
            <w:r w:rsidRPr="0053001B">
              <w:rPr>
                <w:rStyle w:val="NoteLabel"/>
              </w:rPr>
              <w:t>a</w:t>
            </w:r>
            <w:r>
              <w:t xml:space="preserve"> ‘Psychosocial supports’ includes Partners in Recovery, the National Psychosocial Support Measure and Continuity of Support programs. ‘Mental healthcare’ is the Primary Mental Health Care Flexible Funding Pool. ‘Aboriginal and Torres Strait Islander healthcare’ includes Integrated Team Care and other Indigenous health programs. ‘Core funding’ includes general practice support</w:t>
            </w:r>
            <w:r w:rsidRPr="0053001B">
              <w:t>.</w:t>
            </w:r>
            <w:r>
              <w:t xml:space="preserve"> </w:t>
            </w:r>
          </w:p>
        </w:tc>
      </w:tr>
      <w:tr w:rsidR="009C6940" w:rsidRPr="0053001B" w14:paraId="520526D0" w14:textId="77777777" w:rsidTr="009C6940">
        <w:tc>
          <w:tcPr>
            <w:tcW w:w="5000" w:type="pct"/>
            <w:tcBorders>
              <w:top w:val="nil"/>
              <w:left w:val="nil"/>
              <w:bottom w:val="nil"/>
              <w:right w:val="nil"/>
            </w:tcBorders>
            <w:shd w:val="clear" w:color="auto" w:fill="auto"/>
          </w:tcPr>
          <w:p w14:paraId="4F10C93E" w14:textId="77777777" w:rsidR="009C6940" w:rsidRPr="0053001B" w:rsidRDefault="009C6940" w:rsidP="009C6940">
            <w:pPr>
              <w:pStyle w:val="Source"/>
            </w:pPr>
            <w:r w:rsidRPr="0053001B">
              <w:rPr>
                <w:i/>
              </w:rPr>
              <w:t>Source</w:t>
            </w:r>
            <w:r>
              <w:t>: Unpublished data supplied by the Australian Government Department of Health.</w:t>
            </w:r>
          </w:p>
        </w:tc>
      </w:tr>
      <w:tr w:rsidR="009C6940" w:rsidRPr="0053001B" w14:paraId="13749F9D" w14:textId="77777777" w:rsidTr="009C6940">
        <w:tc>
          <w:tcPr>
            <w:tcW w:w="5000" w:type="pct"/>
            <w:tcBorders>
              <w:top w:val="nil"/>
              <w:left w:val="nil"/>
              <w:bottom w:val="single" w:sz="6" w:space="0" w:color="78A22F"/>
              <w:right w:val="nil"/>
            </w:tcBorders>
            <w:shd w:val="clear" w:color="auto" w:fill="auto"/>
          </w:tcPr>
          <w:p w14:paraId="2AAEEADB" w14:textId="77777777" w:rsidR="009C6940" w:rsidRPr="0053001B" w:rsidRDefault="009C6940" w:rsidP="009C6940">
            <w:pPr>
              <w:pStyle w:val="Figurespace"/>
            </w:pPr>
          </w:p>
        </w:tc>
      </w:tr>
      <w:tr w:rsidR="009C6940" w:rsidRPr="0053001B" w14:paraId="5AF2E414" w14:textId="77777777" w:rsidTr="009C6940">
        <w:tc>
          <w:tcPr>
            <w:tcW w:w="5000" w:type="pct"/>
            <w:tcBorders>
              <w:top w:val="single" w:sz="6" w:space="0" w:color="78A22F"/>
              <w:left w:val="nil"/>
              <w:bottom w:val="nil"/>
              <w:right w:val="nil"/>
            </w:tcBorders>
          </w:tcPr>
          <w:p w14:paraId="7C1C0B85" w14:textId="77777777" w:rsidR="009C6940" w:rsidRPr="0053001B" w:rsidRDefault="009C6940" w:rsidP="009C6940">
            <w:pPr>
              <w:pStyle w:val="BoxSpaceBelow"/>
            </w:pPr>
          </w:p>
        </w:tc>
      </w:tr>
    </w:tbl>
    <w:p w14:paraId="3324A95C" w14:textId="77777777" w:rsidR="009C6940" w:rsidRDefault="009C6940" w:rsidP="009C6940">
      <w:pPr>
        <w:pStyle w:val="BodyText"/>
      </w:pPr>
      <w:r>
        <w:t xml:space="preserve">At the State/Territory level, there currently are single funders (State/Territory Government health departments) </w:t>
      </w:r>
      <w:r w:rsidRPr="0053001B">
        <w:t>commissioning both physical and mental healthcare</w:t>
      </w:r>
      <w:r>
        <w:t xml:space="preserve"> in every State/Territory except Western Australia. Hence, any coordination problem under Rebuild is more likely to arise due to the split of commissioning responsibilities at this level than at the PHN level.</w:t>
      </w:r>
    </w:p>
    <w:p w14:paraId="2081FCF3" w14:textId="77777777" w:rsidR="009C6940" w:rsidRDefault="009C6940" w:rsidP="009C6940">
      <w:pPr>
        <w:pStyle w:val="BodyText"/>
      </w:pPr>
      <w:r>
        <w:t xml:space="preserve">However, recent experience from Western Australia suggests that the separation of physical and mental healthcare commissioning at the State/Territory level need not undermine the coordination of physical and mental healthcare from a consumer perspective. </w:t>
      </w:r>
      <w:r w:rsidRPr="0053001B">
        <w:t>Since 2010, the W</w:t>
      </w:r>
      <w:r>
        <w:t xml:space="preserve">estern </w:t>
      </w:r>
      <w:r w:rsidRPr="0053001B">
        <w:t>A</w:t>
      </w:r>
      <w:r>
        <w:t>ustralian</w:t>
      </w:r>
      <w:r w:rsidRPr="0053001B">
        <w:t xml:space="preserve"> Government has tasked its Department of Health with commissioning physical healthcare from LHNs and its Mental Health Commission with commissioning mental healthcare from LHNs and other mental health services from non</w:t>
      </w:r>
      <w:r>
        <w:noBreakHyphen/>
      </w:r>
      <w:r w:rsidRPr="0053001B">
        <w:t>government providers</w:t>
      </w:r>
      <w:r>
        <w:t xml:space="preserve"> — a practical example of separate physical and mental health </w:t>
      </w:r>
      <w:r>
        <w:lastRenderedPageBreak/>
        <w:t xml:space="preserve">service commissioning. </w:t>
      </w:r>
      <w:r w:rsidRPr="0053001B">
        <w:t xml:space="preserve">There is little to suggest that these arrangements resulted in a lessening of physical–mental healthcare coordination. While two recent reviews </w:t>
      </w:r>
      <w:r w:rsidRPr="0053001B">
        <w:rPr>
          <w:szCs w:val="24"/>
        </w:rPr>
        <w:t>(Chapman et al. 2019; OAGWA 2019)</w:t>
      </w:r>
      <w:r w:rsidRPr="0053001B">
        <w:t xml:space="preserve"> </w:t>
      </w:r>
      <w:r>
        <w:t>were highly critical</w:t>
      </w:r>
      <w:r w:rsidRPr="0053001B">
        <w:t xml:space="preserve"> of the W</w:t>
      </w:r>
      <w:r>
        <w:t xml:space="preserve">estern </w:t>
      </w:r>
      <w:r w:rsidRPr="0053001B">
        <w:t>A</w:t>
      </w:r>
      <w:r>
        <w:t>ustralian</w:t>
      </w:r>
      <w:r w:rsidRPr="0053001B">
        <w:t xml:space="preserve"> arrangements, both primarily critiqued the lack of clarity in, and duplication of, the roles and responsibilities of the W</w:t>
      </w:r>
      <w:r>
        <w:t>estern Australian</w:t>
      </w:r>
      <w:r w:rsidRPr="0053001B">
        <w:t xml:space="preserve"> Mental Health Commission and the W</w:t>
      </w:r>
      <w:r>
        <w:t xml:space="preserve">estern </w:t>
      </w:r>
      <w:r w:rsidRPr="0053001B">
        <w:t>A</w:t>
      </w:r>
      <w:r>
        <w:t>ustralian</w:t>
      </w:r>
      <w:r w:rsidRPr="0053001B">
        <w:t xml:space="preserve"> Department of Health for various aspects of the funding and delivery of </w:t>
      </w:r>
      <w:r w:rsidRPr="0053001B">
        <w:rPr>
          <w:i/>
        </w:rPr>
        <w:t>mental health</w:t>
      </w:r>
      <w:r>
        <w:t xml:space="preserve"> services alone.</w:t>
      </w:r>
    </w:p>
    <w:p w14:paraId="35D1B78A" w14:textId="77777777" w:rsidR="009C6940" w:rsidRDefault="009C6940" w:rsidP="009C6940">
      <w:pPr>
        <w:pStyle w:val="BodyText"/>
      </w:pPr>
      <w:r w:rsidRPr="0053001B">
        <w:t>The findings and recommendations of these reviews</w:t>
      </w:r>
      <w:r>
        <w:t xml:space="preserve"> do, however,</w:t>
      </w:r>
      <w:r w:rsidRPr="0053001B">
        <w:t xml:space="preserve"> </w:t>
      </w:r>
      <w:r>
        <w:t>provide</w:t>
      </w:r>
      <w:r w:rsidRPr="0053001B">
        <w:t xml:space="preserve"> important learnings for any future attempt to establish RCAs</w:t>
      </w:r>
      <w:r>
        <w:t xml:space="preserve"> that we have incorporated into our recommendations (chapter 23).</w:t>
      </w:r>
    </w:p>
    <w:p w14:paraId="497B0AFD" w14:textId="77777777" w:rsidR="009C6940" w:rsidRPr="00217E88" w:rsidRDefault="009C6940" w:rsidP="009C6940">
      <w:pPr>
        <w:pStyle w:val="Heading3"/>
      </w:pPr>
      <w:r w:rsidRPr="0053001B">
        <w:t xml:space="preserve">An immediate </w:t>
      </w:r>
      <w:r w:rsidRPr="00217E88">
        <w:t xml:space="preserve">and wholesale transition to </w:t>
      </w:r>
      <w:r>
        <w:t xml:space="preserve">Regional Commissioning Authorities </w:t>
      </w:r>
      <w:r w:rsidRPr="00217E88">
        <w:t>is not justified</w:t>
      </w:r>
    </w:p>
    <w:p w14:paraId="10616E4B" w14:textId="77777777" w:rsidR="009C6940" w:rsidRDefault="009C6940" w:rsidP="009C6940">
      <w:pPr>
        <w:pStyle w:val="BodyText"/>
      </w:pPr>
      <w:r>
        <w:t>While moving to RCAs, as outlined in the Rebuild option presented in the draft report, would eliminate many of the existing undesirable incentives that hinder regional coordination in mental health</w:t>
      </w:r>
      <w:r w:rsidRPr="00217E88">
        <w:t>, an immediate and wholesale transiti</w:t>
      </w:r>
      <w:r>
        <w:t>on to a RCAs in every region of Australia cannot be justified at present.</w:t>
      </w:r>
    </w:p>
    <w:p w14:paraId="04D0F9AF" w14:textId="77777777" w:rsidR="009C6940" w:rsidRDefault="009C6940" w:rsidP="009C6940">
      <w:pPr>
        <w:pStyle w:val="ListBullet"/>
      </w:pPr>
      <w:r>
        <w:t>The implementation of RCAs would undoubtedly prove more disruptive in some parts of Australia than either maintaining or improving on the current cooperative arrangements between PHNs and LHNs.</w:t>
      </w:r>
    </w:p>
    <w:p w14:paraId="60075828" w14:textId="77777777" w:rsidR="009C6940" w:rsidRPr="009C1DAD" w:rsidRDefault="009C6940" w:rsidP="009C6940">
      <w:pPr>
        <w:pStyle w:val="ListBullet"/>
        <w:rPr>
          <w:spacing w:val="-2"/>
        </w:rPr>
      </w:pPr>
      <w:r w:rsidRPr="009C1DAD">
        <w:rPr>
          <w:spacing w:val="-2"/>
        </w:rPr>
        <w:t>The long</w:t>
      </w:r>
      <w:r w:rsidRPr="009C1DAD">
        <w:rPr>
          <w:spacing w:val="-2"/>
        </w:rPr>
        <w:noBreakHyphen/>
        <w:t>term benefits of having RCAs relative to cooperative arrangements between PHNs and LHNs depend heavily on whether or not these cooperative arrangements can be improved. Moreover, while the Productivity Commission has concerns about the prospects of PHN–LHN cooperation — at least for some parts of Australia — no concrete determination of its prospects can yet be made as most PHN–LHN groupings are yet to commence critical milestones — examining co</w:t>
      </w:r>
      <w:r w:rsidRPr="009C1DAD">
        <w:rPr>
          <w:spacing w:val="-2"/>
        </w:rPr>
        <w:noBreakHyphen/>
        <w:t>commissioning approaches (from mid</w:t>
      </w:r>
      <w:r w:rsidRPr="009C1DAD">
        <w:rPr>
          <w:spacing w:val="-2"/>
        </w:rPr>
        <w:noBreakHyphen/>
        <w:t>2020) and producing comprehensive joint regional plans (by mid</w:t>
      </w:r>
      <w:r w:rsidRPr="009C1DAD">
        <w:rPr>
          <w:spacing w:val="-2"/>
        </w:rPr>
        <w:noBreakHyphen/>
        <w:t xml:space="preserve">2022) (section G.4). </w:t>
      </w:r>
    </w:p>
    <w:p w14:paraId="14CDEF78" w14:textId="77777777" w:rsidR="009C6940" w:rsidRPr="00774807" w:rsidRDefault="009C6940" w:rsidP="009C6940">
      <w:pPr>
        <w:pStyle w:val="BodyText"/>
      </w:pPr>
      <w:r w:rsidRPr="00774807">
        <w:t xml:space="preserve">As such, </w:t>
      </w:r>
      <w:r>
        <w:t>the Productivity Commission considers that a better approach is to allow for individual States and Territories to take bespoke approaches. PHN–LHN cooperation should be strengthened through reforms to improve oversight and strengthen joint regional planning. However, individual States and Territories should be able to, at any time, choose to move to RCAs. For example, if a State or Territory either considers that PHN–LHN cooperation is unlikely to be successful even with these reforms or, if after implementing the reforms they consider that cooperation is not delivering a person</w:t>
      </w:r>
      <w:r>
        <w:noBreakHyphen/>
        <w:t>centred mental health system, that State or Territory can work with the Australian Government to implement regional commissioning of mental health services through RCAs.</w:t>
      </w:r>
    </w:p>
    <w:p w14:paraId="3B688884" w14:textId="77777777" w:rsidR="009C6940" w:rsidRDefault="009C6940" w:rsidP="009C6940">
      <w:pPr>
        <w:pStyle w:val="Heading2"/>
      </w:pPr>
      <w:r>
        <w:lastRenderedPageBreak/>
        <w:t>G.</w:t>
      </w:r>
      <w:r>
        <w:rPr>
          <w:noProof/>
        </w:rPr>
        <w:t>6</w:t>
      </w:r>
      <w:r>
        <w:tab/>
        <w:t>Additional considerations underpinning chapter 23 reforms</w:t>
      </w:r>
    </w:p>
    <w:p w14:paraId="3449F317" w14:textId="77777777" w:rsidR="009C6940" w:rsidRDefault="009C6940" w:rsidP="009C6940">
      <w:pPr>
        <w:pStyle w:val="BodyText"/>
        <w:keepNext/>
      </w:pPr>
      <w:r>
        <w:t>This section provides additional detail on three reforms proposed in chapter 23:</w:t>
      </w:r>
    </w:p>
    <w:p w14:paraId="13FF899B" w14:textId="77777777" w:rsidR="009C6940" w:rsidRDefault="009C6940" w:rsidP="009C6940">
      <w:pPr>
        <w:pStyle w:val="ListBullet"/>
      </w:pPr>
      <w:r>
        <w:t>The case for developing a National Mental Health and Suicide Prevention Agreement.</w:t>
      </w:r>
    </w:p>
    <w:p w14:paraId="4D4EC764" w14:textId="77777777" w:rsidR="009C6940" w:rsidRDefault="009C6940" w:rsidP="009C6940">
      <w:pPr>
        <w:pStyle w:val="ListBullet"/>
      </w:pPr>
      <w:r>
        <w:t>Considerations underpinning proposed RCA governance arrangements.</w:t>
      </w:r>
    </w:p>
    <w:p w14:paraId="62441720" w14:textId="77777777" w:rsidR="009C6940" w:rsidRDefault="009C6940" w:rsidP="009C6940">
      <w:pPr>
        <w:pStyle w:val="ListBullet"/>
      </w:pPr>
      <w:r>
        <w:t>The proposed method for determining the allocation of Mental Health Care Flexible Funding Pool funds to PHNs (and RCAs).</w:t>
      </w:r>
    </w:p>
    <w:p w14:paraId="6938119F" w14:textId="77777777" w:rsidR="009C6940" w:rsidRPr="009C1DAD" w:rsidRDefault="009C6940" w:rsidP="009C6940">
      <w:pPr>
        <w:pStyle w:val="Heading3"/>
        <w:rPr>
          <w:rFonts w:ascii="Arial Bold" w:hAnsi="Arial Bold"/>
          <w:spacing w:val="-6"/>
        </w:rPr>
      </w:pPr>
      <w:r w:rsidRPr="009C1DAD">
        <w:rPr>
          <w:rFonts w:ascii="Arial Bold" w:hAnsi="Arial Bold"/>
          <w:spacing w:val="-6"/>
        </w:rPr>
        <w:t>The case for a National Mental Health and Suicide Prevention Agreement</w:t>
      </w:r>
    </w:p>
    <w:p w14:paraId="2708E94A" w14:textId="77777777" w:rsidR="009C6940" w:rsidRDefault="009C6940" w:rsidP="009C6940">
      <w:pPr>
        <w:pStyle w:val="BodyText"/>
      </w:pPr>
      <w:r>
        <w:t>Chapter 23 argues that it is necessary secure the agreement of all governments to:</w:t>
      </w:r>
    </w:p>
    <w:p w14:paraId="1BEA7E46" w14:textId="77777777" w:rsidR="009C6940" w:rsidRDefault="009C6940" w:rsidP="009C6940">
      <w:pPr>
        <w:pStyle w:val="ListBullet"/>
      </w:pPr>
      <w:r>
        <w:t>recast the NMHC as an interjurisdictional statutory authority;</w:t>
      </w:r>
    </w:p>
    <w:p w14:paraId="0DFAF45C" w14:textId="77777777" w:rsidR="009C6940" w:rsidRDefault="009C6940" w:rsidP="009C6940">
      <w:pPr>
        <w:pStyle w:val="ListBullet"/>
      </w:pPr>
      <w:r>
        <w:t>clarify government responsibilities for mental healthcare, psychosocial supports, mental health carer supports and suicide prevention services; and</w:t>
      </w:r>
    </w:p>
    <w:p w14:paraId="6F7D3859" w14:textId="77777777" w:rsidR="009C6940" w:rsidRDefault="009C6940" w:rsidP="009C6940">
      <w:pPr>
        <w:pStyle w:val="ListBullet"/>
      </w:pPr>
      <w:r>
        <w:t>administer additional Australian Government financial transfers to State and Territory Governments to both support the transfer of responsibility for psychosocial supports to State and Territory Governments and to assist with filling the sizeable gaps in State and Territory Government provision of clinical mental healthcare and psychosocial supports.</w:t>
      </w:r>
    </w:p>
    <w:p w14:paraId="31E7A0C0" w14:textId="77777777" w:rsidR="009C6940" w:rsidRPr="009C1DAD" w:rsidRDefault="009C6940" w:rsidP="009C6940">
      <w:pPr>
        <w:pStyle w:val="BodyText"/>
        <w:rPr>
          <w:spacing w:val="-4"/>
        </w:rPr>
      </w:pPr>
      <w:r w:rsidRPr="009C1DAD">
        <w:rPr>
          <w:spacing w:val="-4"/>
        </w:rPr>
        <w:t>The Productivity Commission’s view is that such agreement is best sought via a new Intergovernmental Agreement — a National Mental Health and Suicide Prevention Agreement. This is because the alternatives of a) modifying existing agreements, or b) negotiating a range of new smaller agreements are less suited to achieving the changes necessary.</w:t>
      </w:r>
    </w:p>
    <w:p w14:paraId="1E0EA751" w14:textId="77777777" w:rsidR="009C6940" w:rsidRDefault="009C6940" w:rsidP="009C6940">
      <w:pPr>
        <w:pStyle w:val="BodyText"/>
      </w:pPr>
      <w:r>
        <w:t>The nature and scale of the relevant recommendations in this Inquiry rules out option a).</w:t>
      </w:r>
    </w:p>
    <w:p w14:paraId="33357F6E" w14:textId="77777777" w:rsidR="009C6940" w:rsidRDefault="009C6940" w:rsidP="009C6940">
      <w:pPr>
        <w:pStyle w:val="ListBullet"/>
      </w:pPr>
      <w:r>
        <w:t>Transferring responsibility for non</w:t>
      </w:r>
      <w:r>
        <w:noBreakHyphen/>
        <w:t xml:space="preserve">NDIS psychosocial supports from the Australian Government to State and Territory Governments (recommendation 23) would necessitate a corresponding transfer of funds. While these changes could (and should) be reflected in the </w:t>
      </w:r>
      <w:r w:rsidRPr="0055078D">
        <w:t>National Disability Agreement</w:t>
      </w:r>
      <w:r>
        <w:t>, the transfer of funds to support them would need another authorising agreement.</w:t>
      </w:r>
      <w:r>
        <w:rPr>
          <w:rStyle w:val="FootnoteReference"/>
        </w:rPr>
        <w:footnoteReference w:id="13"/>
      </w:r>
    </w:p>
    <w:p w14:paraId="266670DC" w14:textId="77777777" w:rsidR="009C6940" w:rsidRDefault="009C6940" w:rsidP="009C6940">
      <w:pPr>
        <w:pStyle w:val="ListBullet"/>
      </w:pPr>
      <w:r>
        <w:t>The significant increases to State and Territory Government expenditure on mental healthcare and psychosocial supports recommended by this Inquiry (about $1.2</w:t>
      </w:r>
      <w:r>
        <w:noBreakHyphen/>
        <w:t xml:space="preserve">1.9 billion per annum (chapter 23)) would also necessitate additional transfers from the Australian Government to State and Territory Governments, as the Australian Government’s has access to more efficient tax bases (with the exception of </w:t>
      </w:r>
      <w:r>
        <w:lastRenderedPageBreak/>
        <w:t xml:space="preserve">State/Territory land taxes and municipal rates) and greater scope to raise additional tax revenues </w:t>
      </w:r>
      <w:r w:rsidRPr="001D753A">
        <w:rPr>
          <w:szCs w:val="24"/>
        </w:rPr>
        <w:t>(PC 2011)</w:t>
      </w:r>
      <w:r>
        <w:t xml:space="preserve">. Again, these transfers would require an authorising agreement. As noted above, the </w:t>
      </w:r>
      <w:r w:rsidRPr="00934A0C">
        <w:t>National Disability Agreement</w:t>
      </w:r>
      <w:r w:rsidRPr="00A21F97">
        <w:rPr>
          <w:i/>
        </w:rPr>
        <w:t xml:space="preserve"> </w:t>
      </w:r>
      <w:r>
        <w:t xml:space="preserve">is unsuited to governing the transfer of additional funds for psychosocial supports. Meanwhile, a renegotiation of the </w:t>
      </w:r>
      <w:r w:rsidRPr="0055078D">
        <w:t>NHRA</w:t>
      </w:r>
      <w:r>
        <w:t xml:space="preserve"> (which provides intergovernmental transfers to support mental healthcare) seems unlikely and the mechanism it uses to determine transfers is unsuited to incentivising additional investment where it is most needed (section G.3).</w:t>
      </w:r>
    </w:p>
    <w:p w14:paraId="43046FDA" w14:textId="77777777" w:rsidR="009C6940" w:rsidRDefault="009C6940" w:rsidP="009C6940">
      <w:pPr>
        <w:pStyle w:val="ListBullet"/>
      </w:pPr>
      <w:r>
        <w:t>It would be desirable for all jurisdictions to consent to the NMHC becoming an interjurisdictional statutory authority that could evaluate State and Territory Government mental health programs (recommendation 22) and more thoroughly monitor and report on PHN–LHN cooperation (recommendation 23). This requires a new agreement.</w:t>
      </w:r>
    </w:p>
    <w:p w14:paraId="1C43E66C" w14:textId="77777777" w:rsidR="009C6940" w:rsidRDefault="009C6940" w:rsidP="009C6940">
      <w:pPr>
        <w:pStyle w:val="ListBullet"/>
      </w:pPr>
      <w:r>
        <w:t>All governments should formally commit to establishing RCAs on a State</w:t>
      </w:r>
      <w:r>
        <w:noBreakHyphen/>
        <w:t>by</w:t>
      </w:r>
      <w:r>
        <w:noBreakHyphen/>
        <w:t>State basis if PHN–LHN cooperation is lacking (recommendation 23). This also requires a new agreement.</w:t>
      </w:r>
    </w:p>
    <w:p w14:paraId="73EB8A1C" w14:textId="77777777" w:rsidR="009C6940" w:rsidRDefault="009C6940" w:rsidP="009C6940">
      <w:pPr>
        <w:pStyle w:val="BodyText"/>
      </w:pPr>
      <w:r>
        <w:t>Option b) (negotiating a range of smaller agreements) is also not advised. Although governments could potentially negotiate a series of smaller agreements, administering tightly interlinked reforms through separate agreements risks creating inconsistencies. For example, it would not be desirable to specify the role of the NMHC in monitoring and reporting on PHN–LHN cooperation (recommendation 23) separately from its role as an evaluation body and its broader interjurisdictional reporting remit (recommendation 22).</w:t>
      </w:r>
    </w:p>
    <w:p w14:paraId="2E1E3BF3" w14:textId="77777777" w:rsidR="009C6940" w:rsidRDefault="009C6940" w:rsidP="009C6940">
      <w:pPr>
        <w:pStyle w:val="BodyText"/>
      </w:pPr>
      <w:r>
        <w:t>Moreover, combining the reforms under a single agreement would enable the Australian Government to leverage the offer of additional funding to seek reforms to governance, monitoring, reporting and evaluation that State and Territory Governments would otherwise have little incentive to pursue. Several Inquiry participants noted that past reforms without commensurate funding commitments have failed (</w:t>
      </w:r>
      <w:r w:rsidRPr="002F0EEE">
        <w:t>Queensland Advocacy Incorporated, sub. 116</w:t>
      </w:r>
      <w:r>
        <w:t xml:space="preserve">; </w:t>
      </w:r>
      <w:r w:rsidRPr="002F0EEE">
        <w:t>Community Mental Health Australia, sub. 449</w:t>
      </w:r>
      <w:r>
        <w:t>).</w:t>
      </w:r>
    </w:p>
    <w:p w14:paraId="58EEA2C8" w14:textId="77777777" w:rsidR="009C6940" w:rsidRDefault="009C6940" w:rsidP="009C6940">
      <w:pPr>
        <w:pStyle w:val="BodyText"/>
      </w:pPr>
      <w:r>
        <w:t>Hence, negotiating a single new comprehensive agreement is preferred. The Australian, State and Territory Governments should develop a single national agreement to govern funding transfers, specify government roles and responsibilities and set out the new role for the NMHC — a National Mental Health and Suicide Prevention Agreement. The proposal in the Inquiry draft report for such an Intergovernmental Agreement received overwhelming support from participants.</w:t>
      </w:r>
      <w:r>
        <w:rPr>
          <w:rStyle w:val="FootnoteReference"/>
        </w:rPr>
        <w:footnoteReference w:id="14"/>
      </w:r>
    </w:p>
    <w:p w14:paraId="55E7B3C3" w14:textId="77777777" w:rsidR="009C6940" w:rsidRPr="00BF1300" w:rsidRDefault="009C6940" w:rsidP="009C6940">
      <w:pPr>
        <w:pStyle w:val="Heading3"/>
      </w:pPr>
      <w:r>
        <w:lastRenderedPageBreak/>
        <w:t>Governance of Regional Commissioning Authorities</w:t>
      </w:r>
    </w:p>
    <w:p w14:paraId="34E82944" w14:textId="77777777" w:rsidR="009C6940" w:rsidRDefault="009C6940" w:rsidP="009C6940">
      <w:pPr>
        <w:pStyle w:val="BodyText"/>
      </w:pPr>
      <w:r>
        <w:t>Where RCAs are established, chapter 23 noted that they should be separate entities at arms’ length from Ministerial control. The Productivity Commission considered three options to reach this conclusion:</w:t>
      </w:r>
    </w:p>
    <w:p w14:paraId="4983DEFC" w14:textId="77777777" w:rsidR="009C6940" w:rsidRDefault="009C6940" w:rsidP="009C6940">
      <w:pPr>
        <w:pStyle w:val="ListBullet"/>
      </w:pPr>
      <w:r>
        <w:t>Establishing RCAs within LHNs. This option is not preferred, as conflicts of interest would arise when RCAs commission services from LHNs. Grow Australia (sub. 847, p. 16) summarised this point well:</w:t>
      </w:r>
    </w:p>
    <w:p w14:paraId="630E35BF" w14:textId="77777777" w:rsidR="009C6940" w:rsidRDefault="009C6940" w:rsidP="009C6940">
      <w:pPr>
        <w:pStyle w:val="Quote"/>
      </w:pPr>
      <w:r>
        <w:t>… if Regional Commissioning Authorities are just LHNs/LHDs/HHSs in disguise, that will be a backward step. These bodies are already conflicted because they operate as both funders and providers (unlike PHNs), hence we have seen no significant shift in funding patterns away from acute services (which LHNs fund and operate) to community based services which keep people out of hospital.</w:t>
      </w:r>
    </w:p>
    <w:p w14:paraId="3330D62D" w14:textId="77777777" w:rsidR="009C6940" w:rsidRDefault="009C6940" w:rsidP="009C6940">
      <w:pPr>
        <w:pStyle w:val="ListBullet"/>
      </w:pPr>
      <w:r>
        <w:t xml:space="preserve">Establishing RCAs within State/Territory Government health departments. This could assuage concerns about RCAs undermining the integration of physical and mental healthcare (although such concerns are overstated; section G.5), and generate administrative cost savings if RCAs and health departments are able to share staff. But some participants highlighted </w:t>
      </w:r>
      <w:r w:rsidRPr="00CD5745">
        <w:t>that</w:t>
      </w:r>
      <w:r>
        <w:t>,</w:t>
      </w:r>
      <w:r w:rsidRPr="00CD5745">
        <w:t xml:space="preserve"> for cultural reasons</w:t>
      </w:r>
      <w:r>
        <w:t>,</w:t>
      </w:r>
      <w:r w:rsidRPr="00CD5745">
        <w:t xml:space="preserve"> health departments tend to prioritise acute hospital services ahead of community</w:t>
      </w:r>
      <w:r>
        <w:noBreakHyphen/>
      </w:r>
      <w:r w:rsidRPr="00CD5745">
        <w:t>based mental healthcare.</w:t>
      </w:r>
    </w:p>
    <w:p w14:paraId="73954480" w14:textId="77777777" w:rsidR="009C6940" w:rsidRDefault="009C6940" w:rsidP="009C6940">
      <w:pPr>
        <w:pStyle w:val="Quote"/>
      </w:pPr>
      <w:r>
        <w:t>Historically our experience has been that state entities are very focused on their own ‘clinical’ services and bed</w:t>
      </w:r>
      <w:r>
        <w:noBreakHyphen/>
        <w:t>based hospital services, and less interested in the role that community</w:t>
      </w:r>
      <w:r>
        <w:noBreakHyphen/>
        <w:t>based mental health services play. (Aftercare, sub. 835, p. 8)</w:t>
      </w:r>
    </w:p>
    <w:p w14:paraId="4071DFA1" w14:textId="77777777" w:rsidR="009C6940" w:rsidRPr="00CF4517" w:rsidRDefault="009C6940" w:rsidP="009C6940">
      <w:pPr>
        <w:pStyle w:val="Quote"/>
      </w:pPr>
      <w:r>
        <w:t>The acute nature of hospital services, their higher political profile, and the generally higher status of their staff, conspire to make it easier for hospitals to attract funding and for their needs to be seen as more urgent and more important. They are often able to gain additional funding at the expense of community services. (Grattan Institute, sub. 816, pp. 10–11)</w:t>
      </w:r>
    </w:p>
    <w:p w14:paraId="6B9D0A83" w14:textId="77777777" w:rsidR="009C6940" w:rsidRDefault="009C6940" w:rsidP="009C6940">
      <w:pPr>
        <w:pStyle w:val="ListBullet"/>
        <w:numPr>
          <w:ilvl w:val="0"/>
          <w:numId w:val="0"/>
        </w:numPr>
        <w:ind w:left="340"/>
      </w:pPr>
      <w:r>
        <w:t>Hence, this option is not preferred.</w:t>
      </w:r>
    </w:p>
    <w:p w14:paraId="02A93A6E" w14:textId="77777777" w:rsidR="009C6940" w:rsidRDefault="009C6940" w:rsidP="009C6940">
      <w:pPr>
        <w:pStyle w:val="ListBullet"/>
      </w:pPr>
      <w:r>
        <w:t>Establishing RCAs as separate entities at arms’ length from Ministerial control. This would counter health departments’ cultural preferences for acute care. It would also remove the potential for political influence on RCA decision</w:t>
      </w:r>
      <w:r>
        <w:noBreakHyphen/>
        <w:t>making (TAMHSS, sub. 919). For these reasons, this option is preferred.</w:t>
      </w:r>
    </w:p>
    <w:p w14:paraId="313344BC" w14:textId="77777777" w:rsidR="009C6940" w:rsidRPr="00D5461F" w:rsidRDefault="009C6940" w:rsidP="009C6940">
      <w:pPr>
        <w:pStyle w:val="BodyText"/>
      </w:pPr>
      <w:r w:rsidRPr="00D5461F">
        <w:t>Chapter 23 also proposed that RCAs should be governed by skills</w:t>
      </w:r>
      <w:r w:rsidRPr="00D5461F">
        <w:noBreakHyphen/>
        <w:t xml:space="preserve">based boards with lived experience representation. These boards would be supported by diverse advisory councils. </w:t>
      </w:r>
    </w:p>
    <w:p w14:paraId="16E0B1AD" w14:textId="77777777" w:rsidR="009C6940" w:rsidRDefault="009C6940" w:rsidP="009C6940">
      <w:pPr>
        <w:pStyle w:val="BodyText"/>
      </w:pPr>
      <w:r>
        <w:t>Several participants suggested modifications to these arrangements.</w:t>
      </w:r>
    </w:p>
    <w:p w14:paraId="450CE801" w14:textId="77777777" w:rsidR="009C6940" w:rsidRPr="009C1DAD" w:rsidRDefault="009C6940" w:rsidP="009C6940">
      <w:pPr>
        <w:pStyle w:val="BodyText"/>
        <w:rPr>
          <w:spacing w:val="-2"/>
        </w:rPr>
      </w:pPr>
      <w:r w:rsidRPr="009C1DAD">
        <w:rPr>
          <w:spacing w:val="-2"/>
        </w:rPr>
        <w:t xml:space="preserve">Some participants called for Australian Government representation in RCAs. The Consortium of Australian Psychiatrists and Psychologists (sub. 882, p. 34) suggested that the boards of RCAs ought to ‘have proportionate representation of Commonwealth and State governments based on funding provided by these respective tiers of government’. Relatedly, Aftercare (sub. 835) suggested that RCAs should be interjurisdictional bodies. The Productivity Commission is concerned that such arrangements would allow for blame shifting to occur. By </w:t>
      </w:r>
      <w:r w:rsidRPr="009C1DAD">
        <w:rPr>
          <w:spacing w:val="-2"/>
        </w:rPr>
        <w:lastRenderedPageBreak/>
        <w:t xml:space="preserve">contrast, establishing RCAs as State/Territory Government entities allows State/Territory Governments to be held </w:t>
      </w:r>
      <w:r w:rsidRPr="009C1DAD">
        <w:rPr>
          <w:i/>
          <w:spacing w:val="-2"/>
        </w:rPr>
        <w:t>solely</w:t>
      </w:r>
      <w:r w:rsidRPr="009C1DAD">
        <w:rPr>
          <w:spacing w:val="-2"/>
        </w:rPr>
        <w:t xml:space="preserve"> responsible for how funds are allocated.</w:t>
      </w:r>
    </w:p>
    <w:p w14:paraId="1B2D4402" w14:textId="77777777" w:rsidR="009C6940" w:rsidRDefault="009C6940" w:rsidP="009C6940">
      <w:pPr>
        <w:pStyle w:val="BodyText"/>
      </w:pPr>
      <w:r>
        <w:t>Other participants called for greater representation of Aboriginal and Torres Strait Islander people in RCA governance. The National Aboriginal Community Controlled Health Organisation (sub. 1226, p. 18) suggested that RCAs should be required to ‘</w:t>
      </w:r>
      <w:r w:rsidRPr="00A10A7F">
        <w:t xml:space="preserve">establish Aboriginal and Torres Strait Islander governance groups with majority Indigenous membership including </w:t>
      </w:r>
      <w:r>
        <w:t>[</w:t>
      </w:r>
      <w:r w:rsidRPr="00A10A7F">
        <w:t>A</w:t>
      </w:r>
      <w:r>
        <w:t xml:space="preserve">boriginal </w:t>
      </w:r>
      <w:r w:rsidRPr="00A10A7F">
        <w:t>C</w:t>
      </w:r>
      <w:r>
        <w:t xml:space="preserve">ommunity </w:t>
      </w:r>
      <w:r w:rsidRPr="00A10A7F">
        <w:t>C</w:t>
      </w:r>
      <w:r>
        <w:t xml:space="preserve">ontrolled </w:t>
      </w:r>
      <w:r w:rsidRPr="00A10A7F">
        <w:t>H</w:t>
      </w:r>
      <w:r>
        <w:t xml:space="preserve">ealth </w:t>
      </w:r>
      <w:r w:rsidRPr="00A10A7F">
        <w:t>O</w:t>
      </w:r>
      <w:r>
        <w:t>rganisation</w:t>
      </w:r>
      <w:r w:rsidRPr="00A10A7F">
        <w:t>s</w:t>
      </w:r>
      <w:r>
        <w:t>],</w:t>
      </w:r>
      <w:r w:rsidRPr="00A10A7F">
        <w:t xml:space="preserve"> and decision</w:t>
      </w:r>
      <w:r>
        <w:noBreakHyphen/>
      </w:r>
      <w:r w:rsidRPr="00A10A7F">
        <w:t>making powers including consultation and agreement on funding decisions</w:t>
      </w:r>
      <w:r>
        <w:t xml:space="preserve">’. And the </w:t>
      </w:r>
      <w:r w:rsidRPr="00052ECE">
        <w:t>Centre of Best Practice in Aboriginal and Torres Strait Islander Suicide Prevention</w:t>
      </w:r>
      <w:r>
        <w:t xml:space="preserve"> and </w:t>
      </w:r>
      <w:r w:rsidRPr="00052ECE">
        <w:t xml:space="preserve">National Aboriginal and Torres Strait Islander Leadership in Mental Health </w:t>
      </w:r>
      <w:r>
        <w:t>(sub. </w:t>
      </w:r>
      <w:r w:rsidRPr="00FA4C09">
        <w:t>1217</w:t>
      </w:r>
      <w:r>
        <w:t>) suggested that each RCA’s board should include at least one Aboriginal or Torres Strait Islander person.</w:t>
      </w:r>
    </w:p>
    <w:p w14:paraId="3296CBCE" w14:textId="77777777" w:rsidR="009C6940" w:rsidRDefault="009C6940" w:rsidP="009C6940">
      <w:pPr>
        <w:pStyle w:val="BodyText"/>
      </w:pPr>
      <w:r>
        <w:t>Greater community control over Aboriginal and Torres Strait Islander mental health service delivery is essential. The primary way to achieve this would be to ensure that ACCHSs remain preferred providers of the Aboriginal and Torres Strait Islander suicide prevention and mental health services that were funded by PHNs prior to the establishment of RCAs (recommendation 23).</w:t>
      </w:r>
    </w:p>
    <w:p w14:paraId="5E1577D3" w14:textId="77777777" w:rsidR="009C6940" w:rsidRDefault="009C6940" w:rsidP="009C6940">
      <w:pPr>
        <w:pStyle w:val="Heading3"/>
      </w:pPr>
      <w:r>
        <w:t>Recommended Primary Health Network/Regional Commissioning Authority funding allocation model</w:t>
      </w:r>
    </w:p>
    <w:p w14:paraId="78A2B942" w14:textId="77777777" w:rsidR="009C6940" w:rsidRDefault="009C6940" w:rsidP="009C6940">
      <w:pPr>
        <w:pStyle w:val="BodyText"/>
      </w:pPr>
      <w:r>
        <w:t>Chapter 23 sets out that the Australian Government Department of Health should reform the way it determines the amount of Mental Health Care Flexible Funding Pool funds that each PHN/RCA receives. The detailed mechanics of the recommended funding allocation model are set out in figure G.7 and box G.15.</w:t>
      </w:r>
    </w:p>
    <w:p w14:paraId="15AA107D" w14:textId="77777777" w:rsidR="009C6940" w:rsidRDefault="009C6940" w:rsidP="009C6940">
      <w:pPr>
        <w:pStyle w:val="BodyText"/>
      </w:pPr>
      <w:r>
        <w:t>Several other considerations informed the development of the funding allocation model.</w:t>
      </w:r>
    </w:p>
    <w:p w14:paraId="38475A76" w14:textId="77777777" w:rsidR="009C6940" w:rsidRDefault="009C6940" w:rsidP="009C6940">
      <w:pPr>
        <w:pStyle w:val="ListBullet"/>
      </w:pPr>
      <w:r w:rsidRPr="00BD004E">
        <w:rPr>
          <w:i/>
        </w:rPr>
        <w:t>MBS</w:t>
      </w:r>
      <w:r>
        <w:rPr>
          <w:i/>
        </w:rPr>
        <w:noBreakHyphen/>
        <w:t>rebated services included in funding allocation model</w:t>
      </w:r>
      <w:r w:rsidRPr="00BD004E">
        <w:rPr>
          <w:i/>
        </w:rPr>
        <w:t>.</w:t>
      </w:r>
      <w:r>
        <w:t xml:space="preserve"> The draft Inquiry report proposed that only allied mental health MBS</w:t>
      </w:r>
      <w:r>
        <w:noBreakHyphen/>
        <w:t>rebated services ought to be included in the funding allocation model, on the grounds that they are most clearly substitutes for PHN</w:t>
      </w:r>
      <w:r>
        <w:noBreakHyphen/>
        <w:t>commissioned services (box. G.3). We have now expanded this scope to include psychiatry MBS</w:t>
      </w:r>
      <w:r>
        <w:noBreakHyphen/>
        <w:t>rebated services, both because this would promote greater geographic equity and because some substitution between psychiatry MBS</w:t>
      </w:r>
      <w:r>
        <w:noBreakHyphen/>
        <w:t>rebated services and PHN</w:t>
      </w:r>
      <w:r>
        <w:noBreakHyphen/>
        <w:t>commissioned services is probable. However, it remains our view that the case for including allied mental health MBS rebates in the process is stronger than is the case for including psychiatry MBS rebates.</w:t>
      </w:r>
    </w:p>
    <w:p w14:paraId="24662C8C" w14:textId="77777777" w:rsidR="009C6940" w:rsidRDefault="009C6940" w:rsidP="009C6940">
      <w:pPr>
        <w:pStyle w:val="ListBullet"/>
      </w:pPr>
      <w:r w:rsidRPr="00BD004E">
        <w:rPr>
          <w:i/>
        </w:rPr>
        <w:t xml:space="preserve">Digital mental health services included in </w:t>
      </w:r>
      <w:r>
        <w:rPr>
          <w:i/>
        </w:rPr>
        <w:t>funding allocation model</w:t>
      </w:r>
      <w:r w:rsidRPr="00BD004E">
        <w:rPr>
          <w:i/>
        </w:rPr>
        <w:t>.</w:t>
      </w:r>
      <w:r>
        <w:t xml:space="preserve"> Chapter 10 recommends an expansion of digital mental health services (recommendation 10). We do not favour including the funding to these services in the funding allocation model. There is no strong equity case for doing so, as online services do not typically suffer the same regional inequities in access as do face</w:t>
      </w:r>
      <w:r>
        <w:noBreakHyphen/>
        <w:t>to</w:t>
      </w:r>
      <w:r>
        <w:noBreakHyphen/>
        <w:t xml:space="preserve">face therapies. And doing so would be unlikely to significantly change PHN’s/RCA’s commissioning decisions, as digital </w:t>
      </w:r>
      <w:r>
        <w:lastRenderedPageBreak/>
        <w:t>mental health services are cost effective low intensity treatments (hence, PHNs/RCAs would be unlikely to seek to commission other services in preference to them).</w:t>
      </w:r>
    </w:p>
    <w:p w14:paraId="7EC7BBDD" w14:textId="77777777" w:rsidR="009C6940" w:rsidRDefault="009C6940" w:rsidP="009C6940">
      <w:pPr>
        <w:pStyle w:val="ListBullet"/>
      </w:pPr>
      <w:r w:rsidRPr="00BD004E">
        <w:rPr>
          <w:i/>
        </w:rPr>
        <w:t xml:space="preserve">The lag between </w:t>
      </w:r>
      <w:r>
        <w:rPr>
          <w:i/>
        </w:rPr>
        <w:t xml:space="preserve">when </w:t>
      </w:r>
      <w:r w:rsidRPr="00BD004E">
        <w:rPr>
          <w:i/>
        </w:rPr>
        <w:t xml:space="preserve">an MBS item </w:t>
      </w:r>
      <w:r>
        <w:rPr>
          <w:i/>
        </w:rPr>
        <w:t xml:space="preserve">is </w:t>
      </w:r>
      <w:r w:rsidRPr="00BD004E">
        <w:rPr>
          <w:i/>
        </w:rPr>
        <w:t xml:space="preserve">billed and a deduction </w:t>
      </w:r>
      <w:r>
        <w:rPr>
          <w:i/>
        </w:rPr>
        <w:t xml:space="preserve">is made </w:t>
      </w:r>
      <w:r w:rsidRPr="00BD004E">
        <w:rPr>
          <w:i/>
        </w:rPr>
        <w:t>to the corresponding PHN’s/RCA’s budget.</w:t>
      </w:r>
      <w:r>
        <w:t xml:space="preserve"> There is a trade</w:t>
      </w:r>
      <w:r>
        <w:noBreakHyphen/>
        <w:t>off here. A shorter delay would more strongly reduce PHN/RCA incentives to shift costs to the MBS and better allow PHNs/RCAs to pursue new models of care that might result in higher commissioned expenditure and lower MBS expenditure. Meanwhile, a longer delay would guarantee greater certainty of funding for PHNs/RCAs. We have recommended a three year delay, but only because this aligns with the time horizon over which PHNs/RCAs are currently granted funding certainty (Hunt 2019). We now do not favour the ‘real time’ reconciliation that the draft Inquiry report contemplated, as this could create significant uncertainty for PHNs/RCAs.</w:t>
      </w:r>
    </w:p>
    <w:p w14:paraId="4F7F18A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DCA0EBA" w14:textId="77777777" w:rsidTr="009C6940">
        <w:trPr>
          <w:tblHeader/>
        </w:trPr>
        <w:tc>
          <w:tcPr>
            <w:tcW w:w="5000" w:type="pct"/>
            <w:tcBorders>
              <w:top w:val="single" w:sz="6" w:space="0" w:color="78A22F"/>
              <w:left w:val="nil"/>
              <w:bottom w:val="nil"/>
              <w:right w:val="nil"/>
            </w:tcBorders>
            <w:shd w:val="clear" w:color="auto" w:fill="auto"/>
          </w:tcPr>
          <w:p w14:paraId="59E192D0" w14:textId="77777777" w:rsidR="009C6940" w:rsidRPr="00176D3F" w:rsidRDefault="009C6940" w:rsidP="009C6940">
            <w:pPr>
              <w:pStyle w:val="FigureTitle"/>
            </w:pPr>
            <w:r w:rsidRPr="00784A05">
              <w:rPr>
                <w:b w:val="0"/>
              </w:rPr>
              <w:t xml:space="preserve">Figure </w:t>
            </w:r>
            <w:r>
              <w:rPr>
                <w:b w:val="0"/>
              </w:rPr>
              <w:t>G.</w:t>
            </w:r>
            <w:r>
              <w:rPr>
                <w:b w:val="0"/>
                <w:noProof/>
              </w:rPr>
              <w:t>7</w:t>
            </w:r>
            <w:r>
              <w:tab/>
            </w:r>
            <w:r w:rsidRPr="00872D20">
              <w:t>Proposed process for determining PHN</w:t>
            </w:r>
            <w:r>
              <w:t>/RCA</w:t>
            </w:r>
            <w:r w:rsidRPr="00872D20">
              <w:t xml:space="preserve"> Mental Health </w:t>
            </w:r>
            <w:r>
              <w:t xml:space="preserve">Care </w:t>
            </w:r>
            <w:r w:rsidRPr="00872D20">
              <w:t>Flexible Funding Pool</w:t>
            </w:r>
            <w:r>
              <w:t xml:space="preserve"> allocations</w:t>
            </w:r>
          </w:p>
        </w:tc>
      </w:tr>
      <w:tr w:rsidR="009C6940" w14:paraId="6B35C077"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2738F6BB" w14:textId="77777777" w:rsidTr="009C6940">
              <w:trPr>
                <w:tblHeader/>
                <w:jc w:val="center"/>
              </w:trPr>
              <w:tc>
                <w:tcPr>
                  <w:tcW w:w="5000" w:type="pct"/>
                  <w:tcBorders>
                    <w:top w:val="nil"/>
                    <w:bottom w:val="nil"/>
                  </w:tcBorders>
                </w:tcPr>
                <w:p w14:paraId="0BA3D542" w14:textId="77777777" w:rsidR="009C6940" w:rsidRPr="00B1465D" w:rsidRDefault="009C6940" w:rsidP="009C6940">
                  <w:pPr>
                    <w:pStyle w:val="Figure"/>
                    <w:spacing w:before="60" w:after="60"/>
                    <w:rPr>
                      <w:rFonts w:ascii="Arial" w:hAnsi="Arial" w:cs="Arial"/>
                      <w:sz w:val="18"/>
                      <w:szCs w:val="18"/>
                    </w:rPr>
                  </w:pPr>
                  <w:r w:rsidRPr="00CD7F7B">
                    <w:rPr>
                      <w:rFonts w:ascii="Arial" w:hAnsi="Arial" w:cs="Arial"/>
                      <w:noProof/>
                      <w:sz w:val="18"/>
                      <w:szCs w:val="18"/>
                    </w:rPr>
                    <w:drawing>
                      <wp:inline distT="0" distB="0" distL="0" distR="0" wp14:anchorId="2B033E5B" wp14:editId="367BFDCE">
                        <wp:extent cx="5334000" cy="4375785"/>
                        <wp:effectExtent l="0" t="0" r="0" b="0"/>
                        <wp:docPr id="42" name="Picture 42" descr="This figure is a flowchart that illustrates the Productivity Commission’s proposed process for determining Primary Health Network/Regional Commissioning Authority Mental Health Care Flexible Funding Pool al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34000" cy="4375785"/>
                                </a:xfrm>
                                <a:prstGeom prst="rect">
                                  <a:avLst/>
                                </a:prstGeom>
                                <a:noFill/>
                                <a:ln>
                                  <a:noFill/>
                                </a:ln>
                              </pic:spPr>
                            </pic:pic>
                          </a:graphicData>
                        </a:graphic>
                      </wp:inline>
                    </w:drawing>
                  </w:r>
                </w:p>
              </w:tc>
            </w:tr>
          </w:tbl>
          <w:p w14:paraId="4F5E2EC9" w14:textId="77777777" w:rsidR="009C6940" w:rsidRDefault="009C6940" w:rsidP="009C6940">
            <w:pPr>
              <w:pStyle w:val="Figure"/>
            </w:pPr>
          </w:p>
        </w:tc>
      </w:tr>
      <w:tr w:rsidR="009C6940" w14:paraId="21DA77FE" w14:textId="77777777" w:rsidTr="009C6940">
        <w:tc>
          <w:tcPr>
            <w:tcW w:w="5000" w:type="pct"/>
            <w:tcBorders>
              <w:top w:val="nil"/>
              <w:left w:val="nil"/>
              <w:bottom w:val="single" w:sz="6" w:space="0" w:color="78A22F"/>
              <w:right w:val="nil"/>
            </w:tcBorders>
            <w:shd w:val="clear" w:color="auto" w:fill="auto"/>
          </w:tcPr>
          <w:p w14:paraId="08258135" w14:textId="77777777" w:rsidR="009C6940" w:rsidRDefault="009C6940" w:rsidP="009C6940">
            <w:pPr>
              <w:pStyle w:val="Figurespace"/>
            </w:pPr>
          </w:p>
        </w:tc>
      </w:tr>
      <w:tr w:rsidR="009C6940" w:rsidRPr="000863A5" w14:paraId="2DEEB1EA" w14:textId="77777777" w:rsidTr="009C6940">
        <w:tc>
          <w:tcPr>
            <w:tcW w:w="5000" w:type="pct"/>
            <w:tcBorders>
              <w:top w:val="single" w:sz="6" w:space="0" w:color="78A22F"/>
              <w:left w:val="nil"/>
              <w:bottom w:val="nil"/>
              <w:right w:val="nil"/>
            </w:tcBorders>
          </w:tcPr>
          <w:p w14:paraId="553A056B" w14:textId="77777777" w:rsidR="009C6940" w:rsidRPr="00626D32" w:rsidRDefault="009C6940" w:rsidP="009C6940">
            <w:pPr>
              <w:pStyle w:val="BoxSpaceBelow"/>
            </w:pPr>
          </w:p>
        </w:tc>
      </w:tr>
    </w:tbl>
    <w:p w14:paraId="392C21E5"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017694B" w14:textId="77777777" w:rsidTr="009C6940">
        <w:trPr>
          <w:tblHeader/>
        </w:trPr>
        <w:tc>
          <w:tcPr>
            <w:tcW w:w="5000" w:type="pct"/>
            <w:tcBorders>
              <w:top w:val="single" w:sz="6" w:space="0" w:color="78A22F"/>
              <w:left w:val="nil"/>
              <w:bottom w:val="nil"/>
              <w:right w:val="nil"/>
            </w:tcBorders>
            <w:shd w:val="clear" w:color="auto" w:fill="F2F2F2"/>
          </w:tcPr>
          <w:p w14:paraId="6D1D1765" w14:textId="77777777" w:rsidR="009C6940" w:rsidRDefault="009C6940" w:rsidP="009C6940">
            <w:pPr>
              <w:pStyle w:val="BoxTitle"/>
            </w:pPr>
            <w:r>
              <w:rPr>
                <w:b w:val="0"/>
              </w:rPr>
              <w:t>Box G.</w:t>
            </w:r>
            <w:r>
              <w:rPr>
                <w:b w:val="0"/>
                <w:noProof/>
              </w:rPr>
              <w:t>15</w:t>
            </w:r>
            <w:r>
              <w:tab/>
              <w:t>Recommended</w:t>
            </w:r>
            <w:r w:rsidRPr="00872D20">
              <w:t xml:space="preserve"> process for determining PHN</w:t>
            </w:r>
            <w:r>
              <w:t>/RCA</w:t>
            </w:r>
            <w:r w:rsidRPr="00872D20">
              <w:t xml:space="preserve"> Mental Health </w:t>
            </w:r>
            <w:r>
              <w:t xml:space="preserve">Care </w:t>
            </w:r>
            <w:r w:rsidRPr="00872D20">
              <w:t>Flexible Funding Pool</w:t>
            </w:r>
            <w:r>
              <w:t xml:space="preserve"> allocations</w:t>
            </w:r>
          </w:p>
        </w:tc>
      </w:tr>
      <w:tr w:rsidR="009C6940" w14:paraId="0CBA501C" w14:textId="77777777" w:rsidTr="009C6940">
        <w:tc>
          <w:tcPr>
            <w:tcW w:w="5000" w:type="pct"/>
            <w:tcBorders>
              <w:top w:val="nil"/>
              <w:left w:val="nil"/>
              <w:bottom w:val="nil"/>
              <w:right w:val="nil"/>
            </w:tcBorders>
            <w:shd w:val="clear" w:color="auto" w:fill="F2F2F2"/>
          </w:tcPr>
          <w:p w14:paraId="6D2F0F6D" w14:textId="77777777" w:rsidR="009C6940" w:rsidRDefault="009C6940" w:rsidP="009C6940">
            <w:pPr>
              <w:pStyle w:val="Box"/>
            </w:pPr>
            <w:r>
              <w:t>Let:</w:t>
            </w:r>
          </w:p>
          <w:p w14:paraId="416FB6BE" w14:textId="77777777" w:rsidR="009C6940" w:rsidRDefault="00AB0E42" w:rsidP="009C6940">
            <w:pPr>
              <w:pStyle w:val="BoxListBullet"/>
            </w:pP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 xml:space="preserve">31 </m:t>
                  </m:r>
                </m:sub>
              </m:sSub>
            </m:oMath>
            <w:r w:rsidR="009C6940">
              <w:t xml:space="preserve">such that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=1</m:t>
                  </m:r>
                </m:e>
              </m:nary>
            </m:oMath>
            <w:r w:rsidR="009C6940">
              <w:t xml:space="preserve"> be the Australian Government Department of Health’s determination of the share of total primary mental healthcare funding that the </w:t>
            </w:r>
            <m:oMath>
              <m:r>
                <w:rPr>
                  <w:rFonts w:ascii="Cambria Math" w:hAnsi="Cambria Math"/>
                </w:rPr>
                <m:t>i</m:t>
              </m:r>
            </m:oMath>
            <w:r w:rsidR="009C6940">
              <w:t>th Primary Health Network (PHN) region ought to receive</w:t>
            </w:r>
          </w:p>
          <w:p w14:paraId="75C27175" w14:textId="77777777" w:rsidR="009C6940" w:rsidRDefault="00AB0E42" w:rsidP="009C6940">
            <w:pPr>
              <w:pStyle w:val="BoxListBullet"/>
            </w:pPr>
            <m:oMath>
              <m:sSub>
                <m:sSubPr>
                  <m:ctrlPr>
                    <w:rPr>
                      <w:rFonts w:ascii="Cambria Math" w:hAnsi="Cambria Math"/>
                      <w:i/>
                    </w:rPr>
                  </m:ctrlPr>
                </m:sSubPr>
                <m:e>
                  <m:r>
                    <w:rPr>
                      <w:rFonts w:ascii="Cambria Math" w:hAnsi="Cambria Math"/>
                    </w:rPr>
                    <m:t>MBS</m:t>
                  </m:r>
                </m:e>
                <m:sub>
                  <m:r>
                    <w:rPr>
                      <w:rFonts w:ascii="Cambria Math" w:hAnsi="Cambria Math"/>
                    </w:rPr>
                    <m:t>i,t</m:t>
                  </m:r>
                </m:sub>
              </m:sSub>
            </m:oMath>
            <w:r w:rsidR="009C6940">
              <w:t xml:space="preserve"> be the total MBS rebates for allied mental healthcare and psychiatry billed in the </w:t>
            </w:r>
            <m:oMath>
              <m:r>
                <w:rPr>
                  <w:rFonts w:ascii="Cambria Math" w:hAnsi="Cambria Math"/>
                </w:rPr>
                <m:t>i</m:t>
              </m:r>
            </m:oMath>
            <w:r w:rsidR="009C6940">
              <w:t xml:space="preserve">th PHN’s region in year </w:t>
            </w:r>
            <m:oMath>
              <m:r>
                <w:rPr>
                  <w:rFonts w:ascii="Cambria Math" w:hAnsi="Cambria Math"/>
                </w:rPr>
                <m:t>t</m:t>
              </m:r>
            </m:oMath>
          </w:p>
          <w:p w14:paraId="3F879EEC" w14:textId="77777777" w:rsidR="009C6940" w:rsidRDefault="00AB0E42" w:rsidP="009C6940">
            <w:pPr>
              <w:pStyle w:val="BoxListBullet"/>
            </w:pPr>
            <m:oMath>
              <m:sSub>
                <m:sSubPr>
                  <m:ctrlPr>
                    <w:rPr>
                      <w:rFonts w:ascii="Cambria Math" w:hAnsi="Cambria Math"/>
                      <w:i/>
                    </w:rPr>
                  </m:ctrlPr>
                </m:sSubPr>
                <m:e>
                  <m:r>
                    <w:rPr>
                      <w:rFonts w:ascii="Cambria Math" w:hAnsi="Cambria Math"/>
                    </w:rPr>
                    <m:t>MHCFFP</m:t>
                  </m:r>
                </m:e>
                <m:sub>
                  <m:r>
                    <w:rPr>
                      <w:rFonts w:ascii="Cambria Math" w:hAnsi="Cambria Math"/>
                    </w:rPr>
                    <m:t>i,t</m:t>
                  </m:r>
                </m:sub>
              </m:sSub>
            </m:oMath>
            <w:r w:rsidR="009C6940">
              <w:t xml:space="preserve"> be the total Mental Health Care Flexible Funding Pool funds allocated to the </w:t>
            </w:r>
            <m:oMath>
              <m:r>
                <w:rPr>
                  <w:rFonts w:ascii="Cambria Math" w:hAnsi="Cambria Math"/>
                </w:rPr>
                <m:t>i</m:t>
              </m:r>
            </m:oMath>
            <w:r w:rsidR="009C6940">
              <w:t xml:space="preserve">th PHN in year </w:t>
            </w:r>
            <m:oMath>
              <m:r>
                <w:rPr>
                  <w:rFonts w:ascii="Cambria Math" w:hAnsi="Cambria Math"/>
                </w:rPr>
                <m:t>t</m:t>
              </m:r>
            </m:oMath>
            <w:r w:rsidR="009C6940">
              <w:t>.</w:t>
            </w:r>
          </w:p>
          <w:p w14:paraId="50E8A2AB" w14:textId="77777777" w:rsidR="009C6940" w:rsidRDefault="009C6940" w:rsidP="009C6940">
            <w:pPr>
              <w:pStyle w:val="BoxHeading1"/>
            </w:pPr>
            <w:r>
              <w:t>Stage 1</w:t>
            </w:r>
          </w:p>
          <w:p w14:paraId="07B55949" w14:textId="77777777" w:rsidR="009C6940" w:rsidRDefault="009C6940" w:rsidP="009C6940">
            <w:pPr>
              <w:pStyle w:val="Box"/>
            </w:pPr>
            <w:r>
              <w:t>At the beginning of y</w:t>
            </w:r>
            <w:r w:rsidRPr="00872D20">
              <w:t>ear</w:t>
            </w:r>
            <w:r>
              <w:t> </w:t>
            </w:r>
            <w:r w:rsidRPr="00872D20">
              <w:t>1,</w:t>
            </w:r>
            <w:r>
              <w:t xml:space="preserve"> the Department of Health would </w:t>
            </w:r>
            <w:r w:rsidRPr="00872D20">
              <w:t>announce</w:t>
            </w:r>
            <w:r>
              <w:t xml:space="preserve"> the amount of </w:t>
            </w:r>
            <w:r w:rsidRPr="00A53E7A">
              <w:t xml:space="preserve">total </w:t>
            </w:r>
            <w:r>
              <w:t xml:space="preserve">funding </w:t>
            </w:r>
            <m:oMath>
              <m:r>
                <w:rPr>
                  <w:rFonts w:ascii="Cambria Math" w:hAnsi="Cambria Math"/>
                </w:rPr>
                <m:t>T</m:t>
              </m:r>
            </m:oMath>
            <w:r>
              <w:t xml:space="preserve"> that it intends to allocate to year 1 MBS rebates for mental healthcare (which are unknown at this stage) and the year 4 Mental Health Care Flexible Funding Pool. That is:</w:t>
            </w:r>
          </w:p>
          <w:p w14:paraId="532EECDB" w14:textId="77777777" w:rsidR="009C6940" w:rsidRPr="008756B1" w:rsidRDefault="009C6940" w:rsidP="009C6940">
            <w:pPr>
              <w:pStyle w:val="Box"/>
            </w:pPr>
            <m:oMathPara>
              <m:oMath>
                <m:r>
                  <w:rPr>
                    <w:rFonts w:ascii="Cambria Math" w:hAnsi="Cambria Math"/>
                  </w:rPr>
                  <m:t xml:space="preserve">T=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MBS</m:t>
                        </m:r>
                      </m:e>
                      <m:sub>
                        <m:r>
                          <w:rPr>
                            <w:rFonts w:ascii="Cambria Math" w:hAnsi="Cambria Math"/>
                          </w:rPr>
                          <m:t>i,1</m:t>
                        </m:r>
                      </m:sub>
                    </m:sSub>
                  </m:e>
                </m:nary>
                <m:r>
                  <m:rPr>
                    <m:sty m:val="p"/>
                  </m:rP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MHCFFP</m:t>
                        </m:r>
                      </m:e>
                      <m:sub>
                        <m:r>
                          <w:rPr>
                            <w:rFonts w:ascii="Cambria Math" w:hAnsi="Cambria Math"/>
                          </w:rPr>
                          <m:t>i,4</m:t>
                        </m:r>
                      </m:sub>
                    </m:sSub>
                  </m:e>
                </m:nary>
              </m:oMath>
            </m:oMathPara>
          </w:p>
          <w:p w14:paraId="4A417542" w14:textId="77777777" w:rsidR="009C6940" w:rsidRDefault="009C6940" w:rsidP="009C6940">
            <w:pPr>
              <w:pStyle w:val="Box"/>
            </w:pPr>
            <w:r>
              <w:t xml:space="preserve">The Department of Health would </w:t>
            </w:r>
            <w:r w:rsidRPr="00872D20">
              <w:t xml:space="preserve">also </w:t>
            </w:r>
            <w:r>
              <w:t xml:space="preserve">announce the allocation of the </w:t>
            </w:r>
            <w:r w:rsidRPr="00A53E7A">
              <w:t xml:space="preserve">total </w:t>
            </w:r>
            <w:r>
              <w:t xml:space="preserve">funding </w:t>
            </w:r>
            <m:oMath>
              <m:r>
                <w:rPr>
                  <w:rFonts w:ascii="Cambria Math" w:hAnsi="Cambria Math"/>
                </w:rPr>
                <m:t>T</m:t>
              </m:r>
            </m:oMath>
            <w:r>
              <w:t xml:space="preserve"> </w:t>
            </w:r>
            <w:r w:rsidRPr="00872D20">
              <w:t>among PHNs</w:t>
            </w:r>
            <w:r>
              <w:t xml:space="preserve"> (</w:t>
            </w: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m:t>
              </m:r>
            </m:oMath>
            <w:r>
              <w:t xml:space="preserve">for all </w:t>
            </w:r>
            <m:oMath>
              <m:r>
                <w:rPr>
                  <w:rFonts w:ascii="Cambria Math" w:hAnsi="Cambria Math"/>
                </w:rPr>
                <m:t xml:space="preserve">i) </m:t>
              </m:r>
            </m:oMath>
            <w:r w:rsidRPr="00872D20">
              <w:t xml:space="preserve">by applying the </w:t>
            </w:r>
            <w:r>
              <w:t>determination:</w:t>
            </w:r>
          </w:p>
          <w:p w14:paraId="4C3C4DCD" w14:textId="77777777" w:rsidR="009C6940" w:rsidRDefault="00AB0E42" w:rsidP="009C6940">
            <w:pPr>
              <w:pStyle w:val="Box"/>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oMath>
            </m:oMathPara>
          </w:p>
          <w:p w14:paraId="40818FBC" w14:textId="77777777" w:rsidR="009C6940" w:rsidRDefault="009C6940" w:rsidP="009C6940">
            <w:pPr>
              <w:pStyle w:val="BoxHeading1"/>
            </w:pPr>
            <w:r>
              <w:t>Stage 2</w:t>
            </w:r>
          </w:p>
          <w:p w14:paraId="4573E61B" w14:textId="77777777" w:rsidR="009C6940" w:rsidRPr="00872D20" w:rsidRDefault="009C6940" w:rsidP="009C6940">
            <w:pPr>
              <w:pStyle w:val="Box"/>
            </w:pPr>
            <w:r>
              <w:t>At the beginning of y</w:t>
            </w:r>
            <w:r w:rsidRPr="00872D20">
              <w:t>ear</w:t>
            </w:r>
            <w:r>
              <w:t> </w:t>
            </w:r>
            <w:r w:rsidRPr="00872D20">
              <w:t>2, the D</w:t>
            </w:r>
            <w:r>
              <w:t xml:space="preserve">epartment of Health would </w:t>
            </w:r>
            <w:r w:rsidRPr="00872D20">
              <w:t xml:space="preserve">deduct </w:t>
            </w:r>
            <w:r>
              <w:t xml:space="preserve">year 1 MBS rebates for mental healthcare (which are now known) </w:t>
            </w:r>
            <w:r w:rsidRPr="00872D20">
              <w:t xml:space="preserve">in each PHN’s region from the allocation determined one year prior. The remainder </w:t>
            </w:r>
            <w:r>
              <w:t xml:space="preserve">would </w:t>
            </w:r>
            <w:r w:rsidRPr="00872D20">
              <w:t xml:space="preserve">become each PHN’s </w:t>
            </w:r>
            <w:r>
              <w:t>year </w:t>
            </w:r>
            <w:r w:rsidRPr="00872D20">
              <w:t>4</w:t>
            </w:r>
            <w:r>
              <w:t xml:space="preserve"> </w:t>
            </w:r>
            <w:r w:rsidRPr="00872D20">
              <w:t xml:space="preserve">Mental Health </w:t>
            </w:r>
            <w:r>
              <w:t xml:space="preserve">Care </w:t>
            </w:r>
            <w:r w:rsidRPr="00872D20">
              <w:t>Flexible Funding Pool allocat</w:t>
            </w:r>
            <w:r>
              <w:t>ion:</w:t>
            </w:r>
          </w:p>
          <w:p w14:paraId="0A4F663D" w14:textId="77777777" w:rsidR="009C6940" w:rsidRPr="00E138EA" w:rsidRDefault="00AB0E42" w:rsidP="009C6940">
            <w:pPr>
              <w:pStyle w:val="Box"/>
            </w:pPr>
            <m:oMathPara>
              <m:oMath>
                <m:sSub>
                  <m:sSubPr>
                    <m:ctrlPr>
                      <w:rPr>
                        <w:rFonts w:ascii="Cambria Math" w:hAnsi="Cambria Math"/>
                        <w:i/>
                      </w:rPr>
                    </m:ctrlPr>
                  </m:sSubPr>
                  <m:e>
                    <m:r>
                      <w:rPr>
                        <w:rFonts w:ascii="Cambria Math" w:hAnsi="Cambria Math"/>
                      </w:rPr>
                      <m:t>MHCFFP</m:t>
                    </m:r>
                  </m:e>
                  <m:sub>
                    <m:r>
                      <w:rPr>
                        <w:rFonts w:ascii="Cambria Math" w:hAnsi="Cambria Math"/>
                      </w:rPr>
                      <m:t>i,4</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 xml:space="preserve">T- </m:t>
                </m:r>
                <m:sSub>
                  <m:sSubPr>
                    <m:ctrlPr>
                      <w:rPr>
                        <w:rFonts w:ascii="Cambria Math" w:hAnsi="Cambria Math"/>
                        <w:i/>
                      </w:rPr>
                    </m:ctrlPr>
                  </m:sSubPr>
                  <m:e>
                    <m:r>
                      <w:rPr>
                        <w:rFonts w:ascii="Cambria Math" w:hAnsi="Cambria Math"/>
                      </w:rPr>
                      <m:t>MBS</m:t>
                    </m:r>
                  </m:e>
                  <m:sub>
                    <m:r>
                      <w:rPr>
                        <w:rFonts w:ascii="Cambria Math" w:hAnsi="Cambria Math"/>
                      </w:rPr>
                      <m:t>i,1</m:t>
                    </m:r>
                  </m:sub>
                </m:sSub>
              </m:oMath>
            </m:oMathPara>
          </w:p>
          <w:p w14:paraId="2311F021" w14:textId="77777777" w:rsidR="009C6940" w:rsidRDefault="009C6940" w:rsidP="009C6940">
            <w:pPr>
              <w:pStyle w:val="Box"/>
            </w:pPr>
            <w:r w:rsidRPr="00872D20">
              <w:t xml:space="preserve">This process </w:t>
            </w:r>
            <w:r>
              <w:t>would then</w:t>
            </w:r>
            <w:r w:rsidRPr="00872D20">
              <w:t xml:space="preserve"> repeat</w:t>
            </w:r>
            <w:r>
              <w:t xml:space="preserve"> each year</w:t>
            </w:r>
            <w:r w:rsidRPr="00872D20">
              <w:t>.</w:t>
            </w:r>
          </w:p>
          <w:p w14:paraId="0235DDC9" w14:textId="77777777" w:rsidR="009C6940" w:rsidRDefault="009C6940" w:rsidP="009C6940">
            <w:pPr>
              <w:pStyle w:val="BoxHeading1"/>
            </w:pPr>
            <w:r>
              <w:t>Additional considerations</w:t>
            </w:r>
          </w:p>
          <w:p w14:paraId="678A198C" w14:textId="77777777" w:rsidR="009C6940" w:rsidRDefault="009C6940" w:rsidP="009C6940">
            <w:pPr>
              <w:pStyle w:val="BoxListBullet"/>
            </w:pPr>
            <w:r>
              <w:t>If actual y</w:t>
            </w:r>
            <w:r w:rsidRPr="00872D20">
              <w:t xml:space="preserve">ear 1 MBS rebates for </w:t>
            </w:r>
            <w:r>
              <w:t>mental healthcare</w:t>
            </w:r>
            <w:r w:rsidRPr="00872D20">
              <w:t xml:space="preserve"> </w:t>
            </w:r>
            <w:r>
              <w:t>were</w:t>
            </w:r>
            <w:r w:rsidRPr="00872D20">
              <w:t xml:space="preserve"> substantially higher than expected across Australia, the </w:t>
            </w:r>
            <w:r>
              <w:t>Department of Health</w:t>
            </w:r>
            <w:r w:rsidRPr="00872D20">
              <w:t xml:space="preserve"> </w:t>
            </w:r>
            <w:r>
              <w:t>could</w:t>
            </w:r>
            <w:r w:rsidRPr="00872D20">
              <w:t xml:space="preserve"> </w:t>
            </w:r>
            <w:r>
              <w:t xml:space="preserve">retrospectively increase the total funding </w:t>
            </w:r>
            <m:oMath>
              <m:r>
                <w:rPr>
                  <w:rFonts w:ascii="Cambria Math" w:hAnsi="Cambria Math"/>
                </w:rPr>
                <m:t>T</m:t>
              </m:r>
            </m:oMath>
            <w:r>
              <w:t xml:space="preserve">. In general, </w:t>
            </w:r>
            <m:oMath>
              <m:r>
                <w:rPr>
                  <w:rFonts w:ascii="Cambria Math" w:hAnsi="Cambria Math"/>
                </w:rPr>
                <m:t>T</m:t>
              </m:r>
            </m:oMath>
            <w:r>
              <w:t xml:space="preserve"> should increase over time in line with population growth, inflation, and expected increases in MBS rebates for allied mental healthcare and psychiatry due to increases in the number of MBS-eligible allied mental health professional and psychiatrists.</w:t>
            </w:r>
          </w:p>
          <w:p w14:paraId="3802EC2D" w14:textId="77777777" w:rsidR="009C6940" w:rsidRPr="009C1DAD" w:rsidRDefault="009C6940" w:rsidP="009C6940">
            <w:pPr>
              <w:pStyle w:val="BoxListBullet"/>
              <w:rPr>
                <w:spacing w:val="-2"/>
              </w:rPr>
            </w:pPr>
            <w:r w:rsidRPr="009C1DAD">
              <w:rPr>
                <w:spacing w:val="-2"/>
              </w:rPr>
              <w:t xml:space="preserve">The size of the Mental Health Care Flexible Funding Pool could be insufficient to correct for regional inequities in the distribution of MBS rebates, meaning that this method would suggest a negative Year 4 Mental Health Care Flexible Funding Pool allocation for some PHNs (i.e. if </w:t>
            </w:r>
            <m:oMath>
              <m:r>
                <w:rPr>
                  <w:rFonts w:ascii="Cambria Math" w:hAnsi="Cambria Math"/>
                  <w:spacing w:val="-2"/>
                </w:rPr>
                <m:t xml:space="preserve"> </m:t>
              </m:r>
              <m:sSub>
                <m:sSubPr>
                  <m:ctrlPr>
                    <w:rPr>
                      <w:rFonts w:ascii="Cambria Math" w:hAnsi="Cambria Math"/>
                      <w:i/>
                      <w:spacing w:val="-2"/>
                    </w:rPr>
                  </m:ctrlPr>
                </m:sSubPr>
                <m:e>
                  <m:r>
                    <w:rPr>
                      <w:rFonts w:ascii="Cambria Math" w:hAnsi="Cambria Math"/>
                      <w:spacing w:val="-2"/>
                    </w:rPr>
                    <m:t>MBS</m:t>
                  </m:r>
                </m:e>
                <m:sub>
                  <m:r>
                    <w:rPr>
                      <w:rFonts w:ascii="Cambria Math" w:hAnsi="Cambria Math"/>
                      <w:spacing w:val="-2"/>
                    </w:rPr>
                    <m:t>i,1</m:t>
                  </m:r>
                </m:sub>
              </m:sSub>
              <m:r>
                <w:rPr>
                  <w:rFonts w:ascii="Cambria Math" w:hAnsi="Cambria Math"/>
                  <w:spacing w:val="-2"/>
                </w:rPr>
                <m:t xml:space="preserve">&gt; </m:t>
              </m:r>
              <m:sSub>
                <m:sSubPr>
                  <m:ctrlPr>
                    <w:rPr>
                      <w:rFonts w:ascii="Cambria Math" w:hAnsi="Cambria Math"/>
                      <w:spacing w:val="-2"/>
                    </w:rPr>
                  </m:ctrlPr>
                </m:sSubPr>
                <m:e>
                  <m:r>
                    <w:rPr>
                      <w:rFonts w:ascii="Cambria Math" w:hAnsi="Cambria Math"/>
                      <w:spacing w:val="-2"/>
                    </w:rPr>
                    <m:t>x</m:t>
                  </m:r>
                </m:e>
                <m:sub>
                  <m:r>
                    <w:rPr>
                      <w:rFonts w:ascii="Cambria Math" w:hAnsi="Cambria Math"/>
                      <w:spacing w:val="-2"/>
                    </w:rPr>
                    <m:t>i</m:t>
                  </m:r>
                </m:sub>
              </m:sSub>
              <m:r>
                <w:rPr>
                  <w:rFonts w:ascii="Cambria Math" w:hAnsi="Cambria Math"/>
                  <w:spacing w:val="-2"/>
                </w:rPr>
                <m:t>T</m:t>
              </m:r>
            </m:oMath>
            <w:r w:rsidRPr="009C1DAD">
              <w:rPr>
                <w:spacing w:val="-2"/>
              </w:rPr>
              <w:t xml:space="preserve"> for some </w:t>
            </w:r>
            <m:oMath>
              <m:r>
                <w:rPr>
                  <w:rFonts w:ascii="Cambria Math" w:hAnsi="Cambria Math"/>
                  <w:spacing w:val="-2"/>
                </w:rPr>
                <m:t>i)</m:t>
              </m:r>
            </m:oMath>
            <w:r w:rsidRPr="009C1DAD">
              <w:rPr>
                <w:spacing w:val="-2"/>
              </w:rPr>
              <w:t>. If this is the case, it could be necessary to establish a minimum level of per capita Mental Health Care Flexible Funding Pool funding that each PHN must receive.</w:t>
            </w:r>
          </w:p>
          <w:p w14:paraId="632B3C6F" w14:textId="77777777" w:rsidR="009C6940" w:rsidRPr="003D08C5" w:rsidRDefault="009C6940" w:rsidP="009C6940">
            <w:pPr>
              <w:pStyle w:val="Box"/>
            </w:pPr>
            <w:r>
              <w:t>Note: this assumes that no States/Territories have transitioned to Regional Commissioning Authorities (RCAs). In States and Territories that have transitioned to RCAs, Mental Health Care Flexible Funding Pool funds would be transferred to the corresponding RCA.</w:t>
            </w:r>
          </w:p>
        </w:tc>
      </w:tr>
      <w:tr w:rsidR="009C6940" w14:paraId="2DDC1043" w14:textId="77777777" w:rsidTr="009C6940">
        <w:tc>
          <w:tcPr>
            <w:tcW w:w="5000" w:type="pct"/>
            <w:tcBorders>
              <w:top w:val="nil"/>
              <w:left w:val="nil"/>
              <w:bottom w:val="single" w:sz="6" w:space="0" w:color="78A22F"/>
              <w:right w:val="nil"/>
            </w:tcBorders>
            <w:shd w:val="clear" w:color="auto" w:fill="F2F2F2"/>
          </w:tcPr>
          <w:p w14:paraId="629FF738" w14:textId="77777777" w:rsidR="009C6940" w:rsidRDefault="009C6940" w:rsidP="009C6940">
            <w:pPr>
              <w:pStyle w:val="Box"/>
              <w:spacing w:before="0" w:line="120" w:lineRule="exact"/>
            </w:pPr>
          </w:p>
        </w:tc>
      </w:tr>
      <w:tr w:rsidR="009C6940" w:rsidRPr="000863A5" w14:paraId="404B4C1A" w14:textId="77777777" w:rsidTr="009C6940">
        <w:tc>
          <w:tcPr>
            <w:tcW w:w="5000" w:type="pct"/>
            <w:tcBorders>
              <w:top w:val="single" w:sz="6" w:space="0" w:color="78A22F"/>
              <w:left w:val="nil"/>
              <w:bottom w:val="nil"/>
              <w:right w:val="nil"/>
            </w:tcBorders>
          </w:tcPr>
          <w:p w14:paraId="6E68A9E9" w14:textId="77777777" w:rsidR="009C6940" w:rsidRPr="00626D32" w:rsidRDefault="009C6940" w:rsidP="009C6940">
            <w:pPr>
              <w:pStyle w:val="BoxSpaceBelow"/>
            </w:pPr>
          </w:p>
        </w:tc>
      </w:tr>
    </w:tbl>
    <w:p w14:paraId="23B3500C" w14:textId="77777777" w:rsidR="009C6940" w:rsidRPr="00657060" w:rsidRDefault="009C6940" w:rsidP="0085206F">
      <w:pPr>
        <w:pStyle w:val="Heading1NotTOC"/>
      </w:pPr>
      <w:r w:rsidRPr="00657060">
        <w:lastRenderedPageBreak/>
        <w:t>References</w:t>
      </w:r>
    </w:p>
    <w:p w14:paraId="3112A497" w14:textId="77777777" w:rsidR="009C6940" w:rsidRPr="00387CC3" w:rsidRDefault="009C6940" w:rsidP="009C6940">
      <w:pPr>
        <w:pStyle w:val="Reference"/>
        <w:spacing w:before="100" w:line="260" w:lineRule="atLeast"/>
        <w:rPr>
          <w:spacing w:val="-4"/>
          <w:sz w:val="20"/>
        </w:rPr>
      </w:pPr>
      <w:r w:rsidRPr="00387CC3">
        <w:rPr>
          <w:spacing w:val="-4"/>
          <w:sz w:val="20"/>
        </w:rPr>
        <w:t xml:space="preserve">AIHW (Australian Institute of Health and Welfare) 2018, </w:t>
      </w:r>
      <w:r w:rsidRPr="00387CC3">
        <w:rPr>
          <w:i/>
          <w:iCs/>
          <w:spacing w:val="-4"/>
          <w:sz w:val="20"/>
        </w:rPr>
        <w:t>National Healthcare Agreement: PI 18–Selected potentially preventable hospitalisations, 2018</w:t>
      </w:r>
      <w:r w:rsidRPr="00387CC3">
        <w:rPr>
          <w:spacing w:val="-4"/>
          <w:sz w:val="20"/>
        </w:rPr>
        <w:t>, https://meteor.aihw.gov.au/content/index.phtml/itemId/658499 (accessed 16 May 2019).</w:t>
      </w:r>
    </w:p>
    <w:p w14:paraId="33411298" w14:textId="77777777" w:rsidR="009C6940" w:rsidRPr="00387CC3" w:rsidRDefault="009C6940" w:rsidP="009C6940">
      <w:pPr>
        <w:pStyle w:val="Reference"/>
        <w:spacing w:before="100" w:line="260" w:lineRule="atLeast"/>
        <w:rPr>
          <w:spacing w:val="-4"/>
          <w:sz w:val="20"/>
        </w:rPr>
      </w:pPr>
      <w:r w:rsidRPr="00387CC3">
        <w:rPr>
          <w:spacing w:val="-4"/>
          <w:sz w:val="20"/>
        </w:rPr>
        <w:t xml:space="preserve">——2020a, </w:t>
      </w:r>
      <w:r w:rsidRPr="00387CC3">
        <w:rPr>
          <w:i/>
          <w:iCs/>
          <w:spacing w:val="-4"/>
          <w:sz w:val="20"/>
        </w:rPr>
        <w:t>Mental Health Services in Australia - Expenditure on Mental Health Services 2017-18 Tables</w:t>
      </w:r>
      <w:r w:rsidRPr="00387CC3">
        <w:rPr>
          <w:spacing w:val="-4"/>
          <w:sz w:val="20"/>
        </w:rPr>
        <w:t>, Canberra.</w:t>
      </w:r>
    </w:p>
    <w:p w14:paraId="62730D9C" w14:textId="77777777" w:rsidR="009C6940" w:rsidRPr="00387CC3" w:rsidRDefault="009C6940" w:rsidP="009C6940">
      <w:pPr>
        <w:pStyle w:val="Reference"/>
        <w:spacing w:before="100" w:line="260" w:lineRule="atLeast"/>
        <w:rPr>
          <w:spacing w:val="-4"/>
          <w:sz w:val="20"/>
        </w:rPr>
      </w:pPr>
      <w:r w:rsidRPr="00387CC3">
        <w:rPr>
          <w:spacing w:val="-4"/>
          <w:sz w:val="20"/>
        </w:rPr>
        <w:t xml:space="preserve">——2020b, </w:t>
      </w:r>
      <w:r w:rsidRPr="00387CC3">
        <w:rPr>
          <w:i/>
          <w:iCs/>
          <w:spacing w:val="-4"/>
          <w:sz w:val="20"/>
        </w:rPr>
        <w:t>Mental Health Services in Australia - Specialised Mental Health Care Facilities 2017-18 Tables</w:t>
      </w:r>
      <w:r w:rsidRPr="00387CC3">
        <w:rPr>
          <w:spacing w:val="-4"/>
          <w:sz w:val="20"/>
        </w:rPr>
        <w:t>, Canberra.</w:t>
      </w:r>
    </w:p>
    <w:p w14:paraId="72DE02F1" w14:textId="77777777" w:rsidR="009C6940" w:rsidRPr="00387CC3" w:rsidRDefault="009C6940" w:rsidP="009C6940">
      <w:pPr>
        <w:pStyle w:val="Reference"/>
        <w:spacing w:before="100" w:line="260" w:lineRule="atLeast"/>
        <w:rPr>
          <w:spacing w:val="-4"/>
          <w:sz w:val="20"/>
        </w:rPr>
      </w:pPr>
      <w:r w:rsidRPr="00387CC3">
        <w:rPr>
          <w:spacing w:val="-4"/>
          <w:sz w:val="20"/>
        </w:rPr>
        <w:t xml:space="preserve">Australian Government 2019, </w:t>
      </w:r>
      <w:r w:rsidRPr="00387CC3">
        <w:rPr>
          <w:i/>
          <w:iCs/>
          <w:spacing w:val="-4"/>
          <w:sz w:val="20"/>
        </w:rPr>
        <w:t>Budget Measures: Budget Paper No. 2</w:t>
      </w:r>
      <w:r w:rsidRPr="00387CC3">
        <w:rPr>
          <w:spacing w:val="-4"/>
          <w:sz w:val="20"/>
        </w:rPr>
        <w:t>, Budget 2019-20.</w:t>
      </w:r>
    </w:p>
    <w:p w14:paraId="4A23DF9F" w14:textId="77777777" w:rsidR="009C6940" w:rsidRPr="00387CC3" w:rsidRDefault="009C6940" w:rsidP="009C6940">
      <w:pPr>
        <w:pStyle w:val="Reference"/>
        <w:spacing w:before="100" w:line="260" w:lineRule="atLeast"/>
        <w:rPr>
          <w:spacing w:val="-4"/>
          <w:sz w:val="20"/>
        </w:rPr>
      </w:pPr>
      <w:r w:rsidRPr="00387CC3">
        <w:rPr>
          <w:spacing w:val="-4"/>
          <w:sz w:val="20"/>
        </w:rPr>
        <w:t xml:space="preserve">Bassilios, B., Nicholas, A., Reifels, L., King, K., Fletcher, J., Machlin, A., Ftanou, M., Blashki, G., Burgess, P. and Pirkis, J. 2016, ‘Achievements of the Australian Access to Allied Psychological Services (ATAPS) program: summarising (almost) a decade of key evaluation data’, </w:t>
      </w:r>
      <w:r w:rsidRPr="00387CC3">
        <w:rPr>
          <w:i/>
          <w:iCs/>
          <w:spacing w:val="-4"/>
          <w:sz w:val="20"/>
        </w:rPr>
        <w:t>International Journal of Mental Health Systems</w:t>
      </w:r>
      <w:r w:rsidRPr="00387CC3">
        <w:rPr>
          <w:spacing w:val="-4"/>
          <w:sz w:val="20"/>
        </w:rPr>
        <w:t>, vol. 10, p. 13.</w:t>
      </w:r>
    </w:p>
    <w:p w14:paraId="5D46AB34" w14:textId="77777777" w:rsidR="009C6940" w:rsidRPr="00387CC3" w:rsidRDefault="009C6940" w:rsidP="009C6940">
      <w:pPr>
        <w:pStyle w:val="Reference"/>
        <w:spacing w:before="100" w:line="260" w:lineRule="atLeast"/>
        <w:rPr>
          <w:spacing w:val="-4"/>
          <w:sz w:val="20"/>
        </w:rPr>
      </w:pPr>
      <w:r w:rsidRPr="00387CC3">
        <w:rPr>
          <w:spacing w:val="-4"/>
          <w:sz w:val="20"/>
        </w:rPr>
        <w:t xml:space="preserve">Britt, H. and Miller, G.C. 2009, </w:t>
      </w:r>
      <w:r w:rsidRPr="00387CC3">
        <w:rPr>
          <w:i/>
          <w:iCs/>
          <w:spacing w:val="-4"/>
          <w:sz w:val="20"/>
        </w:rPr>
        <w:t>General Practice in Australia, Health Priorities and Policies 1998 to 2008</w:t>
      </w:r>
      <w:r w:rsidRPr="00387CC3">
        <w:rPr>
          <w:spacing w:val="-4"/>
          <w:sz w:val="20"/>
        </w:rPr>
        <w:t>, A joint report by the University of Sydney and the Australian Institute of Health and Welfare, no. 24.</w:t>
      </w:r>
    </w:p>
    <w:p w14:paraId="7B22DEED" w14:textId="77777777" w:rsidR="009C6940" w:rsidRPr="00387CC3" w:rsidRDefault="009C6940" w:rsidP="009C6940">
      <w:pPr>
        <w:pStyle w:val="Reference"/>
        <w:spacing w:before="100" w:line="260" w:lineRule="atLeast"/>
        <w:rPr>
          <w:spacing w:val="-4"/>
          <w:sz w:val="20"/>
        </w:rPr>
      </w:pPr>
      <w:r w:rsidRPr="00387CC3">
        <w:rPr>
          <w:spacing w:val="-4"/>
          <w:sz w:val="20"/>
        </w:rPr>
        <w:t xml:space="preserve">Chapman, M., Stokes, B., Brown, P., Sara, G. and Doherty, M. 2019, </w:t>
      </w:r>
      <w:r w:rsidRPr="00387CC3">
        <w:rPr>
          <w:i/>
          <w:iCs/>
          <w:spacing w:val="-4"/>
          <w:sz w:val="20"/>
        </w:rPr>
        <w:t>Review of the Clinical Governance of Public Mental Health Services in Western Australia</w:t>
      </w:r>
      <w:r w:rsidRPr="00387CC3">
        <w:rPr>
          <w:spacing w:val="-4"/>
          <w:sz w:val="20"/>
        </w:rPr>
        <w:t>.</w:t>
      </w:r>
    </w:p>
    <w:p w14:paraId="03CF1FAA" w14:textId="77777777" w:rsidR="009C6940" w:rsidRPr="00387CC3" w:rsidRDefault="009C6940" w:rsidP="009C6940">
      <w:pPr>
        <w:pStyle w:val="Reference"/>
        <w:spacing w:before="100" w:line="260" w:lineRule="atLeast"/>
        <w:rPr>
          <w:spacing w:val="-4"/>
          <w:sz w:val="20"/>
        </w:rPr>
      </w:pPr>
      <w:r w:rsidRPr="00387CC3">
        <w:rPr>
          <w:spacing w:val="-4"/>
          <w:sz w:val="20"/>
        </w:rPr>
        <w:t xml:space="preserve">COAG (Council of Australian Governments) 2018, </w:t>
      </w:r>
      <w:r w:rsidRPr="00387CC3">
        <w:rPr>
          <w:i/>
          <w:iCs/>
          <w:spacing w:val="-4"/>
          <w:sz w:val="20"/>
        </w:rPr>
        <w:t>Heads of Agreement between the Commonwealth and the States and Territories on public hospital funding and health reform</w:t>
      </w:r>
      <w:r w:rsidRPr="00387CC3">
        <w:rPr>
          <w:spacing w:val="-4"/>
          <w:sz w:val="20"/>
        </w:rPr>
        <w:t>.</w:t>
      </w:r>
    </w:p>
    <w:p w14:paraId="3BFE7016"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——2011, </w:t>
      </w:r>
      <w:r w:rsidRPr="00387CC3">
        <w:rPr>
          <w:i/>
          <w:iCs/>
          <w:spacing w:val="-4"/>
          <w:sz w:val="20"/>
        </w:rPr>
        <w:t>National Health Reform Agreement</w:t>
      </w:r>
      <w:r w:rsidRPr="00387CC3">
        <w:rPr>
          <w:spacing w:val="-4"/>
          <w:sz w:val="20"/>
        </w:rPr>
        <w:t>, Canberra.</w:t>
      </w:r>
    </w:p>
    <w:p w14:paraId="2B1EBFBB"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——2012, </w:t>
      </w:r>
      <w:r w:rsidRPr="00387CC3">
        <w:rPr>
          <w:i/>
          <w:iCs/>
          <w:spacing w:val="-4"/>
          <w:sz w:val="20"/>
        </w:rPr>
        <w:t>National Healthcare Agreement</w:t>
      </w:r>
      <w:r w:rsidRPr="00387CC3">
        <w:rPr>
          <w:spacing w:val="-4"/>
          <w:sz w:val="20"/>
        </w:rPr>
        <w:t>.</w:t>
      </w:r>
    </w:p>
    <w:p w14:paraId="55AE2433" w14:textId="77777777" w:rsidR="009C6940" w:rsidRPr="00387CC3" w:rsidRDefault="009C6940" w:rsidP="009C6940">
      <w:pPr>
        <w:pStyle w:val="Reference"/>
        <w:spacing w:before="100" w:line="260" w:lineRule="atLeast"/>
        <w:rPr>
          <w:spacing w:val="-4"/>
          <w:sz w:val="20"/>
        </w:rPr>
      </w:pPr>
      <w:r w:rsidRPr="00387CC3">
        <w:rPr>
          <w:spacing w:val="-4"/>
          <w:sz w:val="20"/>
        </w:rPr>
        <w:t xml:space="preserve">COAG Health Council 2017, </w:t>
      </w:r>
      <w:r w:rsidRPr="00387CC3">
        <w:rPr>
          <w:i/>
          <w:iCs/>
          <w:spacing w:val="-4"/>
          <w:sz w:val="20"/>
        </w:rPr>
        <w:t>The Fifth National Mental Health and Suicide Prevention Plan</w:t>
      </w:r>
      <w:r w:rsidRPr="00387CC3">
        <w:rPr>
          <w:spacing w:val="-4"/>
          <w:sz w:val="20"/>
        </w:rPr>
        <w:t>, Canberra.</w:t>
      </w:r>
    </w:p>
    <w:p w14:paraId="14AFAC5F" w14:textId="77777777" w:rsidR="009C6940" w:rsidRPr="00387CC3" w:rsidRDefault="009C6940" w:rsidP="009C6940">
      <w:pPr>
        <w:pStyle w:val="Reference"/>
        <w:spacing w:before="100" w:line="260" w:lineRule="atLeast"/>
        <w:rPr>
          <w:spacing w:val="-4"/>
          <w:sz w:val="20"/>
        </w:rPr>
      </w:pPr>
      <w:r w:rsidRPr="00387CC3">
        <w:rPr>
          <w:spacing w:val="-4"/>
          <w:sz w:val="20"/>
        </w:rPr>
        <w:t xml:space="preserve">Coordinare, South Eastern NSW PHN, Southern NSW LHD and Illawarra Shoalhaven LHD 2018, </w:t>
      </w:r>
      <w:r w:rsidRPr="00387CC3">
        <w:rPr>
          <w:i/>
          <w:iCs/>
          <w:spacing w:val="-4"/>
          <w:sz w:val="20"/>
        </w:rPr>
        <w:t>South Eastern New South Wales Regional Mental Health and Suicide Prevention Plan 2018-2023</w:t>
      </w:r>
      <w:r w:rsidRPr="00387CC3">
        <w:rPr>
          <w:spacing w:val="-4"/>
          <w:sz w:val="20"/>
        </w:rPr>
        <w:t>.</w:t>
      </w:r>
    </w:p>
    <w:p w14:paraId="327464F2" w14:textId="77777777" w:rsidR="009C6940" w:rsidRPr="00387CC3" w:rsidRDefault="009C6940" w:rsidP="009C6940">
      <w:pPr>
        <w:pStyle w:val="Reference"/>
        <w:spacing w:before="100" w:line="260" w:lineRule="atLeast"/>
        <w:rPr>
          <w:spacing w:val="-4"/>
          <w:sz w:val="20"/>
        </w:rPr>
      </w:pPr>
      <w:r w:rsidRPr="00387CC3">
        <w:rPr>
          <w:spacing w:val="-4"/>
          <w:sz w:val="20"/>
        </w:rPr>
        <w:t xml:space="preserve">Council on Federal Financial Relations 2019, </w:t>
      </w:r>
      <w:r w:rsidRPr="00387CC3">
        <w:rPr>
          <w:i/>
          <w:iCs/>
          <w:spacing w:val="-4"/>
          <w:sz w:val="20"/>
        </w:rPr>
        <w:t>National Health Reform</w:t>
      </w:r>
      <w:r w:rsidRPr="00387CC3">
        <w:rPr>
          <w:spacing w:val="-4"/>
          <w:sz w:val="20"/>
        </w:rPr>
        <w:t>, http://www.federalfinancialrelations.gov.au/</w:t>
      </w:r>
      <w:r>
        <w:rPr>
          <w:spacing w:val="-4"/>
          <w:sz w:val="20"/>
        </w:rPr>
        <w:br/>
      </w:r>
      <w:r w:rsidRPr="00387CC3">
        <w:rPr>
          <w:spacing w:val="-4"/>
          <w:sz w:val="20"/>
        </w:rPr>
        <w:t>content/national_health_reform.aspx (accessed 10 October 2019).</w:t>
      </w:r>
    </w:p>
    <w:p w14:paraId="365166BD" w14:textId="77777777" w:rsidR="009C6940" w:rsidRPr="00387CC3" w:rsidRDefault="009C6940" w:rsidP="009C6940">
      <w:pPr>
        <w:pStyle w:val="Reference"/>
        <w:spacing w:before="100" w:line="260" w:lineRule="atLeast"/>
        <w:rPr>
          <w:spacing w:val="-4"/>
          <w:sz w:val="20"/>
        </w:rPr>
      </w:pPr>
      <w:r w:rsidRPr="00387CC3">
        <w:rPr>
          <w:spacing w:val="-4"/>
          <w:sz w:val="20"/>
        </w:rPr>
        <w:t xml:space="preserve">DoH (Department of Health) 2015, </w:t>
      </w:r>
      <w:r w:rsidRPr="00387CC3">
        <w:rPr>
          <w:i/>
          <w:iCs/>
          <w:spacing w:val="-4"/>
          <w:sz w:val="20"/>
        </w:rPr>
        <w:t>Australian Government Response to Contributing Lives, Thriving Communities - Review of Mental Health Programmes and Services</w:t>
      </w:r>
      <w:r w:rsidRPr="00387CC3">
        <w:rPr>
          <w:spacing w:val="-4"/>
          <w:sz w:val="20"/>
        </w:rPr>
        <w:t>, Canberra.</w:t>
      </w:r>
    </w:p>
    <w:p w14:paraId="6BDF3DCB"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——2016a, </w:t>
      </w:r>
      <w:r w:rsidRPr="00387CC3">
        <w:rPr>
          <w:i/>
          <w:iCs/>
          <w:spacing w:val="-4"/>
          <w:sz w:val="20"/>
        </w:rPr>
        <w:t>Primary Health Networks Grant Programme Guidelines</w:t>
      </w:r>
      <w:r w:rsidRPr="00387CC3">
        <w:rPr>
          <w:spacing w:val="-4"/>
          <w:sz w:val="20"/>
        </w:rPr>
        <w:t>, Version 1.2.</w:t>
      </w:r>
    </w:p>
    <w:p w14:paraId="6E528C7B"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——2016b, </w:t>
      </w:r>
      <w:r w:rsidRPr="00387CC3">
        <w:rPr>
          <w:i/>
          <w:iCs/>
          <w:spacing w:val="-4"/>
          <w:sz w:val="20"/>
        </w:rPr>
        <w:t>Primary Health Networks (PHNs) and Aboriginal Community Controlled Health Organisations (ACCHOs) - Guiding Principles</w:t>
      </w:r>
      <w:r w:rsidRPr="00387CC3">
        <w:rPr>
          <w:spacing w:val="-4"/>
          <w:sz w:val="20"/>
        </w:rPr>
        <w:t>, Draft as at 16 March 2016.</w:t>
      </w:r>
    </w:p>
    <w:p w14:paraId="6FE42EB6"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——2017, </w:t>
      </w:r>
      <w:r w:rsidRPr="00387CC3">
        <w:rPr>
          <w:i/>
          <w:iCs/>
          <w:spacing w:val="-4"/>
          <w:sz w:val="20"/>
        </w:rPr>
        <w:t>Child and Youth Mental Health Services</w:t>
      </w:r>
      <w:r w:rsidRPr="00387CC3">
        <w:rPr>
          <w:spacing w:val="-4"/>
          <w:sz w:val="20"/>
        </w:rPr>
        <w:t>, PHN Primary Mental Health Care Flexible Funding Pool Implementation Guidance.</w:t>
      </w:r>
    </w:p>
    <w:p w14:paraId="1FE0E8D7"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——2018, </w:t>
      </w:r>
      <w:r w:rsidRPr="00387CC3">
        <w:rPr>
          <w:i/>
          <w:iCs/>
          <w:spacing w:val="-4"/>
          <w:sz w:val="20"/>
        </w:rPr>
        <w:t>PHN Program Performance and Quality Framework</w:t>
      </w:r>
      <w:r w:rsidRPr="00387CC3">
        <w:rPr>
          <w:spacing w:val="-4"/>
          <w:sz w:val="20"/>
        </w:rPr>
        <w:t>.</w:t>
      </w:r>
    </w:p>
    <w:p w14:paraId="1251492A"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——2019a, </w:t>
      </w:r>
      <w:r w:rsidRPr="00387CC3">
        <w:rPr>
          <w:i/>
          <w:iCs/>
          <w:spacing w:val="-4"/>
          <w:sz w:val="20"/>
        </w:rPr>
        <w:t>Aboriginal and Torres Strait Islander Mental Health Services, PHN Primary Mental Health Care Programme Guidance</w:t>
      </w:r>
      <w:r w:rsidRPr="00387CC3">
        <w:rPr>
          <w:spacing w:val="-4"/>
          <w:sz w:val="20"/>
        </w:rPr>
        <w:t>.</w:t>
      </w:r>
    </w:p>
    <w:p w14:paraId="5370878E"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——2019b, </w:t>
      </w:r>
      <w:r w:rsidRPr="00387CC3">
        <w:rPr>
          <w:i/>
          <w:iCs/>
          <w:spacing w:val="-4"/>
          <w:sz w:val="20"/>
        </w:rPr>
        <w:t>National Health Reform Funding</w:t>
      </w:r>
      <w:r w:rsidRPr="00387CC3">
        <w:rPr>
          <w:spacing w:val="-4"/>
          <w:sz w:val="20"/>
        </w:rPr>
        <w:t>, https://www1.health.gov.au/internet/main/publishing.nsf/Content/</w:t>
      </w:r>
      <w:r>
        <w:rPr>
          <w:spacing w:val="-4"/>
          <w:sz w:val="20"/>
        </w:rPr>
        <w:br/>
      </w:r>
      <w:r w:rsidRPr="00387CC3">
        <w:rPr>
          <w:spacing w:val="-4"/>
          <w:sz w:val="20"/>
        </w:rPr>
        <w:t>public-hospitals (accessed 11 February 2020).</w:t>
      </w:r>
    </w:p>
    <w:p w14:paraId="1F0D2E60" w14:textId="77777777" w:rsidR="009C6940" w:rsidRPr="00387CC3" w:rsidRDefault="009C6940" w:rsidP="009C6940">
      <w:pPr>
        <w:pStyle w:val="Reference"/>
        <w:spacing w:before="100" w:line="260" w:lineRule="atLeast"/>
        <w:rPr>
          <w:spacing w:val="-4"/>
          <w:sz w:val="20"/>
        </w:rPr>
      </w:pPr>
      <w:r w:rsidRPr="00387CC3">
        <w:rPr>
          <w:spacing w:val="-4"/>
          <w:sz w:val="20"/>
        </w:rPr>
        <w:lastRenderedPageBreak/>
        <w:t>——</w:t>
      </w:r>
      <w:r>
        <w:rPr>
          <w:spacing w:val="-4"/>
          <w:sz w:val="20"/>
        </w:rPr>
        <w:t> </w:t>
      </w:r>
      <w:r w:rsidRPr="00387CC3">
        <w:rPr>
          <w:spacing w:val="-4"/>
          <w:sz w:val="20"/>
        </w:rPr>
        <w:t xml:space="preserve">2019c, </w:t>
      </w:r>
      <w:r w:rsidRPr="00387CC3">
        <w:rPr>
          <w:i/>
          <w:iCs/>
          <w:spacing w:val="-4"/>
          <w:sz w:val="20"/>
        </w:rPr>
        <w:t>PHN Mental Health Tools and Resources</w:t>
      </w:r>
      <w:r w:rsidRPr="00387CC3">
        <w:rPr>
          <w:spacing w:val="-4"/>
          <w:sz w:val="20"/>
        </w:rPr>
        <w:t>, https://www1.health.gov.au/internet/main/publishing.nsf/</w:t>
      </w:r>
      <w:r>
        <w:rPr>
          <w:spacing w:val="-4"/>
          <w:sz w:val="20"/>
        </w:rPr>
        <w:br/>
      </w:r>
      <w:r w:rsidRPr="00387CC3">
        <w:rPr>
          <w:spacing w:val="-4"/>
          <w:sz w:val="20"/>
        </w:rPr>
        <w:t>Content/PHN-Mental_Tools (accessed 29 May 2020).</w:t>
      </w:r>
    </w:p>
    <w:p w14:paraId="57B8DFE8" w14:textId="77777777" w:rsidR="009C6940" w:rsidRPr="00387CC3" w:rsidRDefault="009C6940" w:rsidP="009C6940">
      <w:pPr>
        <w:pStyle w:val="Reference"/>
        <w:spacing w:before="100" w:line="260" w:lineRule="atLeast"/>
        <w:rPr>
          <w:spacing w:val="-4"/>
          <w:sz w:val="20"/>
        </w:rPr>
      </w:pPr>
      <w:r w:rsidRPr="00387CC3">
        <w:rPr>
          <w:spacing w:val="-4"/>
          <w:sz w:val="20"/>
        </w:rPr>
        <w:t xml:space="preserve">Harrison, C.M., Britt, H.C. and Charles, J. 2012, ‘Better Outcomes or Better Access - which was better for mental health care?’, </w:t>
      </w:r>
      <w:r w:rsidRPr="00387CC3">
        <w:rPr>
          <w:i/>
          <w:iCs/>
          <w:spacing w:val="-4"/>
          <w:sz w:val="20"/>
        </w:rPr>
        <w:t>The Medical Journal of Australia</w:t>
      </w:r>
      <w:r w:rsidRPr="00387CC3">
        <w:rPr>
          <w:spacing w:val="-4"/>
          <w:sz w:val="20"/>
        </w:rPr>
        <w:t>, vol. 197, no. 3, pp. 170–172.</w:t>
      </w:r>
    </w:p>
    <w:p w14:paraId="6A72A89C" w14:textId="77777777" w:rsidR="009C6940" w:rsidRPr="00387CC3" w:rsidRDefault="009C6940" w:rsidP="009C6940">
      <w:pPr>
        <w:pStyle w:val="Reference"/>
        <w:spacing w:before="100" w:line="260" w:lineRule="atLeast"/>
        <w:rPr>
          <w:spacing w:val="-4"/>
          <w:sz w:val="20"/>
        </w:rPr>
      </w:pPr>
      <w:r w:rsidRPr="00387CC3">
        <w:rPr>
          <w:spacing w:val="-4"/>
          <w:sz w:val="20"/>
        </w:rPr>
        <w:t xml:space="preserve">Hilferty, F., Cassells, R., Muir, K., Duncan, A., Christensen, D., Mitrou, F., Gao, G., Mavisakalyan, A., Hafekost, K., Tarverdi, Y., Nguyen, H., Wingrove, C. and Katz, I. 2015, </w:t>
      </w:r>
      <w:r w:rsidRPr="00387CC3">
        <w:rPr>
          <w:i/>
          <w:iCs/>
          <w:spacing w:val="-4"/>
          <w:sz w:val="20"/>
        </w:rPr>
        <w:t>Is headspace making a difference to young people’s lives?</w:t>
      </w:r>
      <w:r w:rsidRPr="00387CC3">
        <w:rPr>
          <w:spacing w:val="-4"/>
          <w:sz w:val="20"/>
        </w:rPr>
        <w:t>, Final Report, SPRC Report 08/2015, Social Policy Research Centre, University of New South Wales, Sydney.</w:t>
      </w:r>
    </w:p>
    <w:p w14:paraId="4BBB6700" w14:textId="77777777" w:rsidR="009C6940" w:rsidRPr="00387CC3" w:rsidRDefault="009C6940" w:rsidP="009C6940">
      <w:pPr>
        <w:pStyle w:val="Reference"/>
        <w:spacing w:before="100" w:line="260" w:lineRule="atLeast"/>
        <w:rPr>
          <w:spacing w:val="-4"/>
          <w:sz w:val="20"/>
        </w:rPr>
      </w:pPr>
      <w:r w:rsidRPr="00387CC3">
        <w:rPr>
          <w:spacing w:val="-4"/>
          <w:sz w:val="20"/>
        </w:rPr>
        <w:t xml:space="preserve">Hunt, G. (Minister for Health) 2019, </w:t>
      </w:r>
      <w:r w:rsidRPr="00387CC3">
        <w:rPr>
          <w:i/>
          <w:iCs/>
          <w:spacing w:val="-4"/>
          <w:sz w:val="20"/>
        </w:rPr>
        <w:t>$1.45 billion to strengthen mental health services and support job security</w:t>
      </w:r>
      <w:r w:rsidRPr="00387CC3">
        <w:rPr>
          <w:spacing w:val="-4"/>
          <w:sz w:val="20"/>
        </w:rPr>
        <w:t>, Media release, Canberra, 16 January.</w:t>
      </w:r>
    </w:p>
    <w:p w14:paraId="6F6B4E47" w14:textId="77777777" w:rsidR="009C6940" w:rsidRPr="00387CC3" w:rsidRDefault="009C6940" w:rsidP="009C6940">
      <w:pPr>
        <w:pStyle w:val="Reference"/>
        <w:spacing w:before="100" w:line="260" w:lineRule="atLeast"/>
        <w:rPr>
          <w:spacing w:val="-4"/>
          <w:sz w:val="20"/>
        </w:rPr>
      </w:pPr>
      <w:r w:rsidRPr="00387CC3">
        <w:rPr>
          <w:spacing w:val="-4"/>
          <w:sz w:val="20"/>
        </w:rPr>
        <w:t xml:space="preserve">IHPA (Independent Hospital Pricing Authority) 2019, </w:t>
      </w:r>
      <w:r w:rsidRPr="00387CC3">
        <w:rPr>
          <w:i/>
          <w:iCs/>
          <w:spacing w:val="-4"/>
          <w:sz w:val="20"/>
        </w:rPr>
        <w:t>National Efficient Price Determination 2019-20</w:t>
      </w:r>
      <w:r w:rsidRPr="00387CC3">
        <w:rPr>
          <w:spacing w:val="-4"/>
          <w:sz w:val="20"/>
        </w:rPr>
        <w:t>.</w:t>
      </w:r>
    </w:p>
    <w:p w14:paraId="02A6ED7C" w14:textId="77777777" w:rsidR="009C6940" w:rsidRPr="00387CC3" w:rsidRDefault="009C6940" w:rsidP="009C6940">
      <w:pPr>
        <w:pStyle w:val="Reference"/>
        <w:spacing w:before="100" w:line="260" w:lineRule="atLeast"/>
        <w:rPr>
          <w:spacing w:val="-4"/>
          <w:sz w:val="20"/>
        </w:rPr>
      </w:pPr>
      <w:r w:rsidRPr="00387CC3">
        <w:rPr>
          <w:spacing w:val="-4"/>
          <w:sz w:val="20"/>
        </w:rPr>
        <w:t xml:space="preserve">Integrated Regional Planning Working Group 2018a, </w:t>
      </w:r>
      <w:r w:rsidRPr="00387CC3">
        <w:rPr>
          <w:i/>
          <w:iCs/>
          <w:spacing w:val="-4"/>
          <w:sz w:val="20"/>
        </w:rPr>
        <w:t>Joint Regional Planning for Integrated Mental Health and Suicide Prevention Services: A Compendium of Resources to assist Local Health Networks (LHNs) and Primary Health Networks (PHNs)</w:t>
      </w:r>
      <w:r w:rsidRPr="00387CC3">
        <w:rPr>
          <w:spacing w:val="-4"/>
          <w:sz w:val="20"/>
        </w:rPr>
        <w:t>, National Mental Health Strategy, COAG Mental Health Principal Committee, Canberra.</w:t>
      </w:r>
    </w:p>
    <w:p w14:paraId="58F172E8" w14:textId="77777777" w:rsidR="009C6940" w:rsidRPr="00387CC3" w:rsidRDefault="009C6940" w:rsidP="009C6940">
      <w:pPr>
        <w:pStyle w:val="Reference"/>
        <w:spacing w:before="100" w:line="260" w:lineRule="atLeast"/>
        <w:rPr>
          <w:spacing w:val="-4"/>
          <w:sz w:val="20"/>
        </w:rPr>
      </w:pPr>
      <w:r w:rsidRPr="00387CC3">
        <w:rPr>
          <w:spacing w:val="-4"/>
          <w:sz w:val="20"/>
        </w:rPr>
        <w:t xml:space="preserve">—— 2018b, </w:t>
      </w:r>
      <w:r w:rsidRPr="00387CC3">
        <w:rPr>
          <w:i/>
          <w:iCs/>
          <w:spacing w:val="-4"/>
          <w:sz w:val="20"/>
        </w:rPr>
        <w:t>Joint Regional Planning for Integrated Mental Health and Suicide Prevention Services: A Guide for Local Health Networks (LHNs) and Primary Health Networks (PHNs)</w:t>
      </w:r>
      <w:r w:rsidRPr="00387CC3">
        <w:rPr>
          <w:spacing w:val="-4"/>
          <w:sz w:val="20"/>
        </w:rPr>
        <w:t>, National Mental Health Strategy, COAG Mental Health Principal Committee.</w:t>
      </w:r>
    </w:p>
    <w:p w14:paraId="41D2055A" w14:textId="77777777" w:rsidR="009C6940" w:rsidRPr="00387CC3" w:rsidRDefault="009C6940" w:rsidP="009C6940">
      <w:pPr>
        <w:pStyle w:val="Reference"/>
        <w:spacing w:before="100" w:line="260" w:lineRule="atLeast"/>
        <w:rPr>
          <w:spacing w:val="-4"/>
          <w:sz w:val="20"/>
        </w:rPr>
      </w:pPr>
      <w:r w:rsidRPr="00387CC3">
        <w:rPr>
          <w:spacing w:val="-4"/>
          <w:sz w:val="20"/>
        </w:rPr>
        <w:t xml:space="preserve">Mackey, P., Boxall, A. and Partel, K. 2014, </w:t>
      </w:r>
      <w:r w:rsidRPr="00387CC3">
        <w:rPr>
          <w:i/>
          <w:iCs/>
          <w:spacing w:val="-4"/>
          <w:sz w:val="20"/>
        </w:rPr>
        <w:t>The relative effectiveness of Aboriginal Community Controlled Health Services compared with mainstream health service</w:t>
      </w:r>
      <w:r w:rsidRPr="00387CC3">
        <w:rPr>
          <w:spacing w:val="-4"/>
          <w:sz w:val="20"/>
        </w:rPr>
        <w:t>, Deeble Institite Evidence Brief, report number 12.</w:t>
      </w:r>
    </w:p>
    <w:p w14:paraId="31241AB9" w14:textId="77777777" w:rsidR="009C6940" w:rsidRPr="00387CC3" w:rsidRDefault="009C6940" w:rsidP="009C6940">
      <w:pPr>
        <w:pStyle w:val="Reference"/>
        <w:spacing w:before="100" w:line="260" w:lineRule="atLeast"/>
        <w:rPr>
          <w:spacing w:val="-4"/>
          <w:sz w:val="20"/>
        </w:rPr>
      </w:pPr>
      <w:r w:rsidRPr="00387CC3">
        <w:rPr>
          <w:spacing w:val="-4"/>
          <w:sz w:val="20"/>
        </w:rPr>
        <w:t xml:space="preserve">Meadows, G.N., Enticott, J.C., Inder, B., Russell, G.M. and Gurr, R. 2015, ‘Better access to mental health care and the failure of the Medicare principle of universality’, </w:t>
      </w:r>
      <w:r w:rsidRPr="00387CC3">
        <w:rPr>
          <w:i/>
          <w:iCs/>
          <w:spacing w:val="-4"/>
          <w:sz w:val="20"/>
        </w:rPr>
        <w:t>Medical Journal of Australia</w:t>
      </w:r>
      <w:r w:rsidRPr="00387CC3">
        <w:rPr>
          <w:spacing w:val="-4"/>
          <w:sz w:val="20"/>
        </w:rPr>
        <w:t>, vol. 202, no. 6, pp. 190–194.</w:t>
      </w:r>
    </w:p>
    <w:p w14:paraId="5121FA8E" w14:textId="77777777" w:rsidR="009C6940" w:rsidRPr="00387CC3" w:rsidRDefault="009C6940" w:rsidP="009C6940">
      <w:pPr>
        <w:pStyle w:val="Reference"/>
        <w:spacing w:before="100" w:line="260" w:lineRule="atLeast"/>
        <w:rPr>
          <w:spacing w:val="-4"/>
          <w:sz w:val="20"/>
        </w:rPr>
      </w:pPr>
      <w:r w:rsidRPr="00387CC3">
        <w:rPr>
          <w:spacing w:val="-4"/>
          <w:sz w:val="20"/>
        </w:rPr>
        <w:t xml:space="preserve">NHFB (National Health Funding Body) 2020, </w:t>
      </w:r>
      <w:r w:rsidRPr="00387CC3">
        <w:rPr>
          <w:i/>
          <w:iCs/>
          <w:spacing w:val="-4"/>
          <w:sz w:val="20"/>
        </w:rPr>
        <w:t>Calculate</w:t>
      </w:r>
      <w:r w:rsidRPr="00387CC3">
        <w:rPr>
          <w:spacing w:val="-4"/>
          <w:sz w:val="20"/>
        </w:rPr>
        <w:t>, https://www.publichospitalfunding.gov.au/public-hospital-funding/calculate (accessed 18 May 2020).</w:t>
      </w:r>
    </w:p>
    <w:p w14:paraId="1F960124" w14:textId="77777777" w:rsidR="009C6940" w:rsidRPr="00387CC3" w:rsidRDefault="009C6940" w:rsidP="009C6940">
      <w:pPr>
        <w:pStyle w:val="Reference"/>
        <w:spacing w:before="100" w:line="260" w:lineRule="atLeast"/>
        <w:rPr>
          <w:spacing w:val="-4"/>
          <w:sz w:val="20"/>
        </w:rPr>
      </w:pPr>
      <w:r w:rsidRPr="00387CC3">
        <w:rPr>
          <w:spacing w:val="-4"/>
          <w:sz w:val="20"/>
        </w:rPr>
        <w:t xml:space="preserve">NMHC (National Mental Health Commission) 2018, </w:t>
      </w:r>
      <w:r w:rsidRPr="00387CC3">
        <w:rPr>
          <w:i/>
          <w:iCs/>
          <w:spacing w:val="-4"/>
          <w:sz w:val="20"/>
        </w:rPr>
        <w:t>Monitoring Mental Health and Suicide Prevention Reform: Fifth National Mental Health and Suicide Prevention Plan Progress Report</w:t>
      </w:r>
      <w:r w:rsidRPr="00387CC3">
        <w:rPr>
          <w:spacing w:val="-4"/>
          <w:sz w:val="20"/>
        </w:rPr>
        <w:t>, Sydney.</w:t>
      </w:r>
    </w:p>
    <w:p w14:paraId="58B6769A" w14:textId="77777777" w:rsidR="009C6940" w:rsidRPr="00387CC3" w:rsidRDefault="009C6940" w:rsidP="009C6940">
      <w:pPr>
        <w:pStyle w:val="Reference"/>
        <w:spacing w:before="100" w:line="260" w:lineRule="atLeast"/>
        <w:rPr>
          <w:spacing w:val="-4"/>
          <w:sz w:val="20"/>
        </w:rPr>
      </w:pPr>
      <w:r w:rsidRPr="00387CC3">
        <w:rPr>
          <w:spacing w:val="-4"/>
          <w:sz w:val="20"/>
        </w:rPr>
        <w:t xml:space="preserve">OAGWA (Office of the Auditor General Western Australia) 2019, </w:t>
      </w:r>
      <w:r w:rsidRPr="00387CC3">
        <w:rPr>
          <w:i/>
          <w:iCs/>
          <w:spacing w:val="-4"/>
          <w:sz w:val="20"/>
        </w:rPr>
        <w:t>Access to State</w:t>
      </w:r>
      <w:r w:rsidRPr="00387CC3">
        <w:rPr>
          <w:i/>
          <w:iCs/>
          <w:spacing w:val="-4"/>
          <w:sz w:val="20"/>
        </w:rPr>
        <w:noBreakHyphen/>
        <w:t>Managed Adult Mental Health Services</w:t>
      </w:r>
      <w:r w:rsidRPr="00387CC3">
        <w:rPr>
          <w:spacing w:val="-4"/>
          <w:sz w:val="20"/>
        </w:rPr>
        <w:t>, Report 4, Perth.</w:t>
      </w:r>
    </w:p>
    <w:p w14:paraId="6AF0D872" w14:textId="77777777" w:rsidR="009C6940" w:rsidRPr="00387CC3" w:rsidRDefault="009C6940" w:rsidP="009C6940">
      <w:pPr>
        <w:pStyle w:val="Reference"/>
        <w:spacing w:before="100" w:line="260" w:lineRule="atLeast"/>
        <w:rPr>
          <w:spacing w:val="-4"/>
          <w:sz w:val="20"/>
        </w:rPr>
      </w:pPr>
      <w:r w:rsidRPr="00387CC3">
        <w:rPr>
          <w:spacing w:val="-4"/>
          <w:sz w:val="20"/>
        </w:rPr>
        <w:t xml:space="preserve">PC (Productivity Commission) 2011, </w:t>
      </w:r>
      <w:r w:rsidRPr="00387CC3">
        <w:rPr>
          <w:i/>
          <w:iCs/>
          <w:spacing w:val="-4"/>
          <w:sz w:val="20"/>
        </w:rPr>
        <w:t>Disability Care and Support</w:t>
      </w:r>
      <w:r w:rsidRPr="00387CC3">
        <w:rPr>
          <w:spacing w:val="-4"/>
          <w:sz w:val="20"/>
        </w:rPr>
        <w:t>, Report no. 54, Canberra.</w:t>
      </w:r>
    </w:p>
    <w:p w14:paraId="34AC79D6"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——2017a, </w:t>
      </w:r>
      <w:r w:rsidRPr="00387CC3">
        <w:rPr>
          <w:i/>
          <w:iCs/>
          <w:spacing w:val="-4"/>
          <w:sz w:val="20"/>
        </w:rPr>
        <w:t>National Disability Insurance Scheme (NDIS) Costs</w:t>
      </w:r>
      <w:r w:rsidRPr="00387CC3">
        <w:rPr>
          <w:spacing w:val="-4"/>
          <w:sz w:val="20"/>
        </w:rPr>
        <w:t>, Study Report, Canberra.</w:t>
      </w:r>
    </w:p>
    <w:p w14:paraId="57CADA49"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——2017b, </w:t>
      </w:r>
      <w:r w:rsidRPr="00387CC3">
        <w:rPr>
          <w:i/>
          <w:iCs/>
          <w:spacing w:val="-4"/>
          <w:sz w:val="20"/>
        </w:rPr>
        <w:t>Shifting the Dial: 5 Year Productivity Review</w:t>
      </w:r>
      <w:r w:rsidRPr="00387CC3">
        <w:rPr>
          <w:spacing w:val="-4"/>
          <w:sz w:val="20"/>
        </w:rPr>
        <w:t>, Report no. 84, Canberra.</w:t>
      </w:r>
    </w:p>
    <w:p w14:paraId="1C2510AB"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——2018, </w:t>
      </w:r>
      <w:r w:rsidRPr="00387CC3">
        <w:rPr>
          <w:i/>
          <w:iCs/>
          <w:spacing w:val="-4"/>
          <w:sz w:val="20"/>
        </w:rPr>
        <w:t>National Disability Agreement Review</w:t>
      </w:r>
      <w:r w:rsidRPr="00387CC3">
        <w:rPr>
          <w:spacing w:val="-4"/>
          <w:sz w:val="20"/>
        </w:rPr>
        <w:t>, Issues Paper, Canberra.</w:t>
      </w:r>
    </w:p>
    <w:p w14:paraId="54FD240C" w14:textId="77777777" w:rsidR="009C6940" w:rsidRPr="00387CC3" w:rsidRDefault="009C6940" w:rsidP="009C6940">
      <w:pPr>
        <w:pStyle w:val="Reference"/>
        <w:spacing w:before="100" w:line="260" w:lineRule="atLeast"/>
        <w:rPr>
          <w:spacing w:val="-4"/>
          <w:sz w:val="20"/>
        </w:rPr>
      </w:pPr>
      <w:r w:rsidRPr="00387CC3">
        <w:rPr>
          <w:spacing w:val="-4"/>
          <w:sz w:val="20"/>
        </w:rPr>
        <w:t xml:space="preserve">——2019, </w:t>
      </w:r>
      <w:r w:rsidRPr="00387CC3">
        <w:rPr>
          <w:i/>
          <w:iCs/>
          <w:spacing w:val="-4"/>
          <w:sz w:val="20"/>
        </w:rPr>
        <w:t>Review of the National Disability Agreement</w:t>
      </w:r>
      <w:r w:rsidRPr="00387CC3">
        <w:rPr>
          <w:spacing w:val="-4"/>
          <w:sz w:val="20"/>
        </w:rPr>
        <w:t>, Study Report, Canberra.</w:t>
      </w:r>
    </w:p>
    <w:p w14:paraId="0E5CB57B" w14:textId="77777777" w:rsidR="009C6940" w:rsidRPr="00387CC3" w:rsidRDefault="009C6940" w:rsidP="009C6940">
      <w:pPr>
        <w:pStyle w:val="Reference"/>
        <w:spacing w:before="100" w:line="260" w:lineRule="atLeast"/>
        <w:rPr>
          <w:spacing w:val="-4"/>
          <w:sz w:val="20"/>
        </w:rPr>
      </w:pPr>
      <w:r w:rsidRPr="00387CC3">
        <w:rPr>
          <w:spacing w:val="-4"/>
          <w:sz w:val="20"/>
        </w:rPr>
        <w:t xml:space="preserve">PHN Advisory Panel on Mental Health 2018, </w:t>
      </w:r>
      <w:r w:rsidRPr="00387CC3">
        <w:rPr>
          <w:i/>
          <w:iCs/>
          <w:spacing w:val="-4"/>
          <w:sz w:val="20"/>
        </w:rPr>
        <w:t>Reform and System Transformation: A Five Year Horizon for PHNs</w:t>
      </w:r>
      <w:r w:rsidRPr="00387CC3">
        <w:rPr>
          <w:spacing w:val="-4"/>
          <w:sz w:val="20"/>
        </w:rPr>
        <w:t>.</w:t>
      </w:r>
    </w:p>
    <w:p w14:paraId="15AAF05A" w14:textId="77777777" w:rsidR="009C6940" w:rsidRPr="00387CC3" w:rsidRDefault="009C6940" w:rsidP="009C6940">
      <w:pPr>
        <w:pStyle w:val="Reference"/>
        <w:spacing w:before="100" w:line="260" w:lineRule="atLeast"/>
        <w:rPr>
          <w:spacing w:val="-4"/>
          <w:sz w:val="20"/>
        </w:rPr>
      </w:pPr>
      <w:r w:rsidRPr="00387CC3">
        <w:rPr>
          <w:spacing w:val="-4"/>
          <w:sz w:val="20"/>
        </w:rPr>
        <w:t xml:space="preserve">PHN Advisory Panel (Primary Health Network Advisory Panel on Mental Health) 2018, </w:t>
      </w:r>
      <w:r w:rsidRPr="00387CC3">
        <w:rPr>
          <w:i/>
          <w:iCs/>
          <w:spacing w:val="-4"/>
          <w:sz w:val="20"/>
        </w:rPr>
        <w:t>Report of the PHN Advisory Panel on Mental Health</w:t>
      </w:r>
      <w:r w:rsidRPr="00387CC3">
        <w:rPr>
          <w:spacing w:val="-4"/>
          <w:sz w:val="20"/>
        </w:rPr>
        <w:t>, Report prepared for the Australian Government Minister of Health, Canberra.</w:t>
      </w:r>
    </w:p>
    <w:p w14:paraId="59D356CE" w14:textId="77777777" w:rsidR="009C6940" w:rsidRPr="00387CC3" w:rsidRDefault="009C6940" w:rsidP="009C6940">
      <w:pPr>
        <w:pStyle w:val="Reference"/>
        <w:spacing w:before="100" w:line="260" w:lineRule="atLeast"/>
        <w:rPr>
          <w:spacing w:val="-4"/>
          <w:sz w:val="20"/>
        </w:rPr>
      </w:pPr>
      <w:r w:rsidRPr="00387CC3">
        <w:rPr>
          <w:spacing w:val="-4"/>
          <w:sz w:val="20"/>
        </w:rPr>
        <w:t xml:space="preserve">Queensland Health 2019, </w:t>
      </w:r>
      <w:r w:rsidRPr="00387CC3">
        <w:rPr>
          <w:i/>
          <w:iCs/>
          <w:spacing w:val="-4"/>
          <w:sz w:val="20"/>
        </w:rPr>
        <w:t>Health Funding Policy and Principles</w:t>
      </w:r>
      <w:r w:rsidRPr="00387CC3">
        <w:rPr>
          <w:spacing w:val="-4"/>
          <w:sz w:val="20"/>
        </w:rPr>
        <w:t>, 2019-20 Financial Year, Version 2.0.</w:t>
      </w:r>
    </w:p>
    <w:p w14:paraId="1BB5F9D3" w14:textId="77777777" w:rsidR="009C6940" w:rsidRPr="00387CC3" w:rsidRDefault="009C6940" w:rsidP="009C6940">
      <w:pPr>
        <w:pStyle w:val="Reference"/>
        <w:spacing w:before="100" w:line="260" w:lineRule="atLeast"/>
        <w:rPr>
          <w:spacing w:val="-4"/>
          <w:sz w:val="20"/>
        </w:rPr>
      </w:pPr>
      <w:r w:rsidRPr="00387CC3">
        <w:rPr>
          <w:spacing w:val="-4"/>
          <w:sz w:val="20"/>
        </w:rPr>
        <w:t xml:space="preserve">Rickwood, D.J., Paraskakis, M., Quin, D., Hobbs, N., Ryall, V., Trethowan, J. and McGorry, P. 2019, ‘Australia’s innovation in youth mental health care: The headspace centre model’, </w:t>
      </w:r>
      <w:r w:rsidRPr="00387CC3">
        <w:rPr>
          <w:i/>
          <w:iCs/>
          <w:spacing w:val="-4"/>
          <w:sz w:val="20"/>
        </w:rPr>
        <w:t>Early Intervention in Psychiatry</w:t>
      </w:r>
      <w:r w:rsidRPr="00387CC3">
        <w:rPr>
          <w:spacing w:val="-4"/>
          <w:sz w:val="20"/>
        </w:rPr>
        <w:t>, vol. 13, no. 1, pp. 159–166.</w:t>
      </w:r>
    </w:p>
    <w:p w14:paraId="2F3DD717" w14:textId="77777777" w:rsidR="009C6940" w:rsidRPr="00387CC3" w:rsidRDefault="009C6940" w:rsidP="009C6940">
      <w:pPr>
        <w:pStyle w:val="Reference"/>
        <w:spacing w:before="100" w:line="260" w:lineRule="atLeast"/>
        <w:rPr>
          <w:spacing w:val="-6"/>
          <w:sz w:val="20"/>
        </w:rPr>
      </w:pPr>
      <w:r w:rsidRPr="00387CC3">
        <w:rPr>
          <w:spacing w:val="-6"/>
          <w:sz w:val="20"/>
        </w:rPr>
        <w:t xml:space="preserve">Rosenberg, S. 2015, ‘From asylums to GP clinics: the missing middle in mental health care’, </w:t>
      </w:r>
      <w:r w:rsidRPr="00387CC3">
        <w:rPr>
          <w:i/>
          <w:iCs/>
          <w:spacing w:val="-6"/>
          <w:sz w:val="20"/>
        </w:rPr>
        <w:t>The Conversation</w:t>
      </w:r>
      <w:r w:rsidRPr="00387CC3">
        <w:rPr>
          <w:spacing w:val="-6"/>
          <w:sz w:val="20"/>
        </w:rPr>
        <w:t>, 15 September.</w:t>
      </w:r>
    </w:p>
    <w:p w14:paraId="7271531C" w14:textId="77777777" w:rsidR="009C6940" w:rsidRPr="00387CC3" w:rsidRDefault="009C6940" w:rsidP="009C6940">
      <w:pPr>
        <w:pStyle w:val="Reference"/>
        <w:spacing w:before="100" w:line="260" w:lineRule="atLeast"/>
        <w:rPr>
          <w:spacing w:val="-4"/>
          <w:sz w:val="20"/>
        </w:rPr>
      </w:pPr>
      <w:r w:rsidRPr="00387CC3">
        <w:rPr>
          <w:spacing w:val="-4"/>
          <w:sz w:val="20"/>
        </w:rPr>
        <w:t xml:space="preserve">SA Health 2018, </w:t>
      </w:r>
      <w:r w:rsidRPr="00387CC3">
        <w:rPr>
          <w:i/>
          <w:iCs/>
          <w:spacing w:val="-4"/>
          <w:sz w:val="20"/>
        </w:rPr>
        <w:t>Casemix Funding for South Australian Public Hospitals</w:t>
      </w:r>
      <w:r w:rsidRPr="00387CC3">
        <w:rPr>
          <w:spacing w:val="-4"/>
          <w:sz w:val="20"/>
        </w:rPr>
        <w:t>, Methodology 2018-19.</w:t>
      </w:r>
    </w:p>
    <w:p w14:paraId="008E5D80" w14:textId="77777777" w:rsidR="009C6940" w:rsidRPr="00387CC3" w:rsidRDefault="009C6940" w:rsidP="009C6940">
      <w:pPr>
        <w:pStyle w:val="Reference"/>
        <w:spacing w:before="100" w:line="260" w:lineRule="atLeast"/>
        <w:rPr>
          <w:spacing w:val="-4"/>
          <w:sz w:val="20"/>
        </w:rPr>
      </w:pPr>
      <w:r w:rsidRPr="00387CC3">
        <w:rPr>
          <w:spacing w:val="-4"/>
          <w:sz w:val="20"/>
        </w:rPr>
        <w:lastRenderedPageBreak/>
        <w:t xml:space="preserve">SCRGSP (Steering Committee for the Review of Government Service Provision) 2020, </w:t>
      </w:r>
      <w:r w:rsidRPr="00387CC3">
        <w:rPr>
          <w:i/>
          <w:iCs/>
          <w:spacing w:val="-4"/>
          <w:sz w:val="20"/>
        </w:rPr>
        <w:t>Report on Government Services 2020 Part E Chapter 13: Mental Health Management</w:t>
      </w:r>
      <w:r w:rsidRPr="00387CC3">
        <w:rPr>
          <w:spacing w:val="-4"/>
          <w:sz w:val="20"/>
        </w:rPr>
        <w:t>, Productivity Commission, Canberra.</w:t>
      </w:r>
    </w:p>
    <w:p w14:paraId="70A5A295" w14:textId="77777777" w:rsidR="009C6940" w:rsidRPr="00387CC3" w:rsidRDefault="009C6940" w:rsidP="009C6940">
      <w:pPr>
        <w:pStyle w:val="Reference"/>
        <w:spacing w:before="100" w:line="260" w:lineRule="atLeast"/>
        <w:rPr>
          <w:spacing w:val="-4"/>
          <w:sz w:val="20"/>
        </w:rPr>
      </w:pPr>
      <w:r w:rsidRPr="00387CC3">
        <w:rPr>
          <w:spacing w:val="-4"/>
          <w:sz w:val="20"/>
        </w:rPr>
        <w:t xml:space="preserve">Tas DoH (Department of Health (Tasmania) 2019, </w:t>
      </w:r>
      <w:r w:rsidRPr="00387CC3">
        <w:rPr>
          <w:i/>
          <w:iCs/>
          <w:spacing w:val="-4"/>
          <w:sz w:val="20"/>
        </w:rPr>
        <w:t>Revised Tasmania Health Service 2019</w:t>
      </w:r>
      <w:r w:rsidRPr="00387CC3">
        <w:rPr>
          <w:i/>
          <w:iCs/>
          <w:spacing w:val="-4"/>
          <w:sz w:val="20"/>
        </w:rPr>
        <w:noBreakHyphen/>
        <w:t>20 Service Plan</w:t>
      </w:r>
      <w:r w:rsidRPr="00387CC3">
        <w:rPr>
          <w:spacing w:val="-4"/>
          <w:sz w:val="20"/>
        </w:rPr>
        <w:t>.</w:t>
      </w:r>
    </w:p>
    <w:p w14:paraId="1D5B18FB" w14:textId="77777777" w:rsidR="009C6940" w:rsidRPr="00387CC3" w:rsidRDefault="009C6940" w:rsidP="009C6940">
      <w:pPr>
        <w:pStyle w:val="Reference"/>
        <w:spacing w:before="100" w:line="260" w:lineRule="atLeast"/>
        <w:rPr>
          <w:spacing w:val="-4"/>
          <w:sz w:val="20"/>
        </w:rPr>
      </w:pPr>
      <w:r w:rsidRPr="00387CC3">
        <w:rPr>
          <w:spacing w:val="-4"/>
          <w:sz w:val="20"/>
        </w:rPr>
        <w:t xml:space="preserve">VIC DHHS (Department of Health and Human Services (Victoria)) 2019, </w:t>
      </w:r>
      <w:r w:rsidRPr="00387CC3">
        <w:rPr>
          <w:i/>
          <w:iCs/>
          <w:spacing w:val="-4"/>
          <w:sz w:val="20"/>
        </w:rPr>
        <w:t>Policy and Funding Guidelines 2019–20</w:t>
      </w:r>
      <w:r w:rsidRPr="00387CC3">
        <w:rPr>
          <w:spacing w:val="-4"/>
          <w:sz w:val="20"/>
        </w:rPr>
        <w:t>, Melbourne.</w:t>
      </w:r>
    </w:p>
    <w:p w14:paraId="4ADA14F2" w14:textId="77777777" w:rsidR="009C6940" w:rsidRPr="00387CC3" w:rsidRDefault="009C6940" w:rsidP="009C6940">
      <w:pPr>
        <w:pStyle w:val="Reference"/>
        <w:spacing w:before="100" w:line="260" w:lineRule="atLeast"/>
        <w:rPr>
          <w:spacing w:val="-4"/>
          <w:sz w:val="20"/>
        </w:rPr>
      </w:pPr>
      <w:r w:rsidRPr="00387CC3">
        <w:rPr>
          <w:spacing w:val="-4"/>
          <w:sz w:val="20"/>
        </w:rPr>
        <w:t xml:space="preserve">WA DoH (Department of Health (WA)) 2017, </w:t>
      </w:r>
      <w:r w:rsidRPr="00387CC3">
        <w:rPr>
          <w:i/>
          <w:iCs/>
          <w:spacing w:val="-4"/>
          <w:sz w:val="20"/>
        </w:rPr>
        <w:t>WA Health Funding and Purchasing Guidelines 2017-18</w:t>
      </w:r>
      <w:r w:rsidRPr="00387CC3">
        <w:rPr>
          <w:spacing w:val="-4"/>
          <w:sz w:val="20"/>
        </w:rPr>
        <w:t>.</w:t>
      </w:r>
    </w:p>
    <w:p w14:paraId="2B6277DC" w14:textId="77777777" w:rsidR="009C6940" w:rsidRPr="00387CC3" w:rsidRDefault="009C6940" w:rsidP="009C6940">
      <w:pPr>
        <w:pStyle w:val="Reference"/>
        <w:spacing w:before="100" w:line="260" w:lineRule="atLeast"/>
        <w:rPr>
          <w:spacing w:val="-4"/>
          <w:sz w:val="20"/>
        </w:rPr>
      </w:pPr>
      <w:r w:rsidRPr="00387CC3">
        <w:rPr>
          <w:spacing w:val="-4"/>
          <w:sz w:val="20"/>
        </w:rPr>
        <w:t xml:space="preserve">Wand, A. 2014, ‘Activity-based funding: implications for mental health services and consultation-liaison psychiatry’, </w:t>
      </w:r>
      <w:r w:rsidRPr="00387CC3">
        <w:rPr>
          <w:i/>
          <w:iCs/>
          <w:spacing w:val="-4"/>
          <w:sz w:val="20"/>
        </w:rPr>
        <w:t>Australasian Psychiatry</w:t>
      </w:r>
      <w:r w:rsidRPr="00387CC3">
        <w:rPr>
          <w:spacing w:val="-4"/>
          <w:sz w:val="20"/>
        </w:rPr>
        <w:t>, vol. 22, no. 3, pp. 272–276.</w:t>
      </w:r>
    </w:p>
    <w:p w14:paraId="7B9CF4A1" w14:textId="77777777" w:rsidR="009C6940" w:rsidRPr="00387CC3" w:rsidRDefault="009C6940" w:rsidP="009C6940">
      <w:pPr>
        <w:pStyle w:val="Reference"/>
        <w:spacing w:before="100" w:line="260" w:lineRule="atLeast"/>
        <w:rPr>
          <w:spacing w:val="-6"/>
          <w:sz w:val="20"/>
        </w:rPr>
      </w:pPr>
      <w:r w:rsidRPr="00387CC3">
        <w:rPr>
          <w:spacing w:val="-6"/>
          <w:sz w:val="20"/>
        </w:rPr>
        <w:t xml:space="preserve">Whiteford, H., Buckingham, W., J., Harris, M.G., Burgess, P.M., Pirkis, J.E., Barendregt, J.J. and Hall, W.D. 2014, ‘Estimating treatment rates for mental disorders in Australia’, </w:t>
      </w:r>
      <w:r w:rsidRPr="00387CC3">
        <w:rPr>
          <w:i/>
          <w:iCs/>
          <w:spacing w:val="-6"/>
          <w:sz w:val="20"/>
        </w:rPr>
        <w:t>Australian Health Review</w:t>
      </w:r>
      <w:r w:rsidRPr="00387CC3">
        <w:rPr>
          <w:spacing w:val="-6"/>
          <w:sz w:val="20"/>
        </w:rPr>
        <w:t>, vol. 38, no. 1, pp. 80–85.</w:t>
      </w:r>
    </w:p>
    <w:p w14:paraId="4F61D027" w14:textId="77777777" w:rsidR="009C6940" w:rsidRDefault="009C6940" w:rsidP="009C6940">
      <w:pPr>
        <w:sectPr w:rsidR="009C6940" w:rsidSect="009C6940">
          <w:headerReference w:type="even" r:id="rId68"/>
          <w:headerReference w:type="default" r:id="rId69"/>
          <w:footerReference w:type="even" r:id="rId70"/>
          <w:footerReference w:type="default" r:id="rId71"/>
          <w:type w:val="oddPage"/>
          <w:pgSz w:w="11907" w:h="16840" w:code="9"/>
          <w:pgMar w:top="1985" w:right="1304" w:bottom="1247" w:left="1814" w:header="1701" w:footer="397" w:gutter="0"/>
          <w:pgNumType w:chapSep="period"/>
          <w:cols w:space="720"/>
          <w:docGrid w:linePitch="326"/>
        </w:sectPr>
      </w:pPr>
    </w:p>
    <w:p w14:paraId="767B582F" w14:textId="77777777" w:rsidR="009C6940" w:rsidRPr="008E6E5B" w:rsidRDefault="009C6940" w:rsidP="0085206F">
      <w:pPr>
        <w:pStyle w:val="Heading1"/>
      </w:pPr>
      <w:r>
        <w:lastRenderedPageBreak/>
        <w:t>H</w:t>
      </w:r>
      <w:r>
        <w:tab/>
        <w:t>Calculating the cost of mental ill‑health and suicide in Australia</w:t>
      </w:r>
    </w:p>
    <w:p w14:paraId="74F2F21D" w14:textId="77777777" w:rsidR="009C6940" w:rsidRPr="008A581F" w:rsidRDefault="009C6940" w:rsidP="009C6940">
      <w:pPr>
        <w:pStyle w:val="BodyText"/>
        <w:rPr>
          <w:spacing w:val="-2"/>
        </w:rPr>
      </w:pPr>
      <w:r w:rsidRPr="008A581F">
        <w:rPr>
          <w:spacing w:val="-2"/>
        </w:rPr>
        <w:t>This appendix provides greater detail on how the Productivity Commission has calculated the cost of mental ill</w:t>
      </w:r>
      <w:r w:rsidRPr="008A581F">
        <w:rPr>
          <w:spacing w:val="-2"/>
        </w:rPr>
        <w:noBreakHyphen/>
        <w:t>health and suicide in Australia (presented in chapters 3 and 9). The aim is to quantify costs in monetary terms, using data from the Australian, State and Territory Governments, survey data, estimates from the literature and our own assessments. Nonetheless, data is limited in some areas. Our aggregate estimate of the cost of mental ill</w:t>
      </w:r>
      <w:r w:rsidRPr="008A581F">
        <w:rPr>
          <w:spacing w:val="-2"/>
        </w:rPr>
        <w:noBreakHyphen/>
        <w:t>health should, therefore, be considered a reasonable and informative estimate, based on the available data. Future attempts to calculate the cost of mental ill</w:t>
      </w:r>
      <w:r w:rsidRPr="008A581F">
        <w:rPr>
          <w:spacing w:val="-2"/>
        </w:rPr>
        <w:noBreakHyphen/>
        <w:t xml:space="preserve">health and suicide in Australia should review the available data sources and endeavour to improve estimation techniques. Future researchers should also provide feedback on possible improvements in data collection. </w:t>
      </w:r>
    </w:p>
    <w:p w14:paraId="273F4A3B" w14:textId="77777777" w:rsidR="009C6940" w:rsidRPr="00B16408" w:rsidRDefault="009C6940" w:rsidP="009C6940">
      <w:pPr>
        <w:pStyle w:val="BodyText"/>
        <w:rPr>
          <w:b/>
        </w:rPr>
      </w:pPr>
      <w:r>
        <w:t xml:space="preserve">There are other costs that cannot be quantified, such as the emotional costs of stigma and lower social participation. These costs are discussed in chapter 3 and throughout the report qualitatively. The lack of quantification of these costs does not diminish their importance. </w:t>
      </w:r>
    </w:p>
    <w:p w14:paraId="420F9179" w14:textId="77777777" w:rsidR="009C6940" w:rsidRPr="008E6E5B" w:rsidRDefault="009C6940" w:rsidP="009C6940">
      <w:pPr>
        <w:keepNext/>
        <w:spacing w:before="600" w:line="400" w:lineRule="exact"/>
        <w:ind w:left="907" w:hanging="907"/>
        <w:outlineLvl w:val="1"/>
        <w:rPr>
          <w:rFonts w:ascii="Arial" w:hAnsi="Arial"/>
          <w:b/>
          <w:sz w:val="32"/>
          <w:szCs w:val="20"/>
        </w:rPr>
      </w:pPr>
      <w:r>
        <w:rPr>
          <w:rFonts w:ascii="Arial" w:hAnsi="Arial"/>
          <w:b/>
          <w:sz w:val="32"/>
          <w:szCs w:val="20"/>
        </w:rPr>
        <w:t>H.</w:t>
      </w:r>
      <w:r>
        <w:rPr>
          <w:rFonts w:ascii="Arial" w:hAnsi="Arial"/>
          <w:b/>
          <w:noProof/>
          <w:sz w:val="32"/>
          <w:szCs w:val="20"/>
        </w:rPr>
        <w:t>1</w:t>
      </w:r>
      <w:r w:rsidRPr="008E6E5B">
        <w:rPr>
          <w:rFonts w:ascii="Arial" w:hAnsi="Arial"/>
          <w:b/>
          <w:sz w:val="32"/>
          <w:szCs w:val="20"/>
        </w:rPr>
        <w:tab/>
        <w:t xml:space="preserve">Mental healthcare </w:t>
      </w:r>
      <w:r>
        <w:rPr>
          <w:rFonts w:ascii="Arial" w:hAnsi="Arial"/>
          <w:b/>
          <w:sz w:val="32"/>
          <w:szCs w:val="20"/>
        </w:rPr>
        <w:t xml:space="preserve">and related </w:t>
      </w:r>
      <w:r w:rsidRPr="008E6E5B">
        <w:rPr>
          <w:rFonts w:ascii="Arial" w:hAnsi="Arial"/>
          <w:b/>
          <w:sz w:val="32"/>
          <w:szCs w:val="20"/>
        </w:rPr>
        <w:t xml:space="preserve">expenditure </w:t>
      </w:r>
    </w:p>
    <w:p w14:paraId="6A4CB934" w14:textId="77777777" w:rsidR="009C6940" w:rsidRPr="008E6E5B" w:rsidRDefault="009C6940" w:rsidP="009C6940">
      <w:pPr>
        <w:keepNext/>
        <w:spacing w:before="280" w:line="320" w:lineRule="exact"/>
        <w:outlineLvl w:val="2"/>
        <w:rPr>
          <w:rFonts w:ascii="Arial" w:hAnsi="Arial"/>
          <w:b/>
          <w:sz w:val="26"/>
          <w:szCs w:val="20"/>
        </w:rPr>
      </w:pPr>
      <w:r w:rsidRPr="008E6E5B">
        <w:rPr>
          <w:rFonts w:ascii="Arial" w:hAnsi="Arial"/>
          <w:b/>
          <w:sz w:val="26"/>
          <w:szCs w:val="20"/>
        </w:rPr>
        <w:t xml:space="preserve">Government expenditure on </w:t>
      </w:r>
      <w:r>
        <w:rPr>
          <w:rFonts w:ascii="Arial" w:hAnsi="Arial"/>
          <w:b/>
          <w:sz w:val="26"/>
          <w:szCs w:val="20"/>
        </w:rPr>
        <w:t xml:space="preserve">mental </w:t>
      </w:r>
      <w:r w:rsidRPr="008E6E5B">
        <w:rPr>
          <w:rFonts w:ascii="Arial" w:hAnsi="Arial"/>
          <w:b/>
          <w:sz w:val="26"/>
          <w:szCs w:val="20"/>
        </w:rPr>
        <w:t>health</w:t>
      </w:r>
      <w:r>
        <w:rPr>
          <w:rFonts w:ascii="Arial" w:hAnsi="Arial"/>
          <w:b/>
          <w:sz w:val="26"/>
          <w:szCs w:val="20"/>
        </w:rPr>
        <w:t xml:space="preserve">-related services </w:t>
      </w:r>
    </w:p>
    <w:p w14:paraId="1C69EF76" w14:textId="77777777" w:rsidR="009C6940" w:rsidRPr="00CA2066" w:rsidRDefault="009C6940" w:rsidP="009C6940">
      <w:pPr>
        <w:pStyle w:val="BodyText"/>
      </w:pPr>
      <w:r w:rsidRPr="00CA2066">
        <w:t xml:space="preserve">Total Australian, State and Territory </w:t>
      </w:r>
      <w:r w:rsidRPr="009F7A4E">
        <w:t xml:space="preserve">Governments direct recurrent expenditure on mental healthcare and related services was estimated to be </w:t>
      </w:r>
      <w:r>
        <w:t xml:space="preserve">about </w:t>
      </w:r>
      <w:r w:rsidRPr="009F7A4E">
        <w:t>$10 billion</w:t>
      </w:r>
      <w:r w:rsidRPr="00CA2066">
        <w:t xml:space="preserve"> in 2018</w:t>
      </w:r>
      <w:r w:rsidRPr="00CA2066">
        <w:noBreakHyphen/>
        <w:t>19 (table </w:t>
      </w:r>
      <w:r>
        <w:t>H.</w:t>
      </w:r>
      <w:r w:rsidRPr="00CA2066">
        <w:t>1). State and Territory Government outlays on specialised mental health services accounts for about two</w:t>
      </w:r>
      <w:r w:rsidRPr="00CA2066">
        <w:noBreakHyphen/>
        <w:t>thirds of this total government expenditure, consisting primarily of expenditure in public hospitals and community healthcare.</w:t>
      </w:r>
      <w:r w:rsidRPr="00483A79">
        <w:rPr>
          <w:rStyle w:val="FootnoteReference"/>
        </w:rPr>
        <w:footnoteReference w:id="15"/>
      </w:r>
    </w:p>
    <w:p w14:paraId="2714471A" w14:textId="77777777" w:rsidR="009C6940" w:rsidRPr="00780667"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8E6E5B" w14:paraId="086D4661" w14:textId="77777777" w:rsidTr="009C6940">
        <w:trPr>
          <w:tblHeader/>
        </w:trPr>
        <w:tc>
          <w:tcPr>
            <w:tcW w:w="5000" w:type="pct"/>
            <w:tcBorders>
              <w:top w:val="single" w:sz="6" w:space="0" w:color="78A22F"/>
              <w:left w:val="nil"/>
              <w:bottom w:val="nil"/>
              <w:right w:val="nil"/>
            </w:tcBorders>
            <w:shd w:val="clear" w:color="auto" w:fill="auto"/>
          </w:tcPr>
          <w:p w14:paraId="4FF883FD" w14:textId="77777777" w:rsidR="009C6940" w:rsidRPr="008E6E5B" w:rsidRDefault="009C6940" w:rsidP="009C6940">
            <w:pPr>
              <w:keepNext/>
              <w:keepLines/>
              <w:spacing w:before="120" w:after="80" w:line="280" w:lineRule="exact"/>
              <w:ind w:left="1474" w:hanging="1474"/>
              <w:rPr>
                <w:rFonts w:ascii="Arial" w:hAnsi="Arial"/>
                <w:b/>
              </w:rPr>
            </w:pPr>
            <w:r w:rsidRPr="008E6E5B">
              <w:rPr>
                <w:rFonts w:ascii="Arial" w:hAnsi="Arial"/>
              </w:rPr>
              <w:t xml:space="preserve">Table </w:t>
            </w:r>
            <w:r>
              <w:rPr>
                <w:rFonts w:ascii="Arial" w:hAnsi="Arial"/>
              </w:rPr>
              <w:t>H.</w:t>
            </w:r>
            <w:r>
              <w:rPr>
                <w:rFonts w:ascii="Arial" w:hAnsi="Arial"/>
                <w:noProof/>
              </w:rPr>
              <w:t>1</w:t>
            </w:r>
            <w:r w:rsidRPr="008E6E5B">
              <w:rPr>
                <w:rFonts w:ascii="Arial" w:hAnsi="Arial"/>
                <w:b/>
              </w:rPr>
              <w:tab/>
              <w:t>Estimated mental healthcare expenditure</w:t>
            </w:r>
          </w:p>
          <w:p w14:paraId="0BEC6F0F" w14:textId="77777777" w:rsidR="009C6940" w:rsidRPr="008E6E5B" w:rsidRDefault="009C6940" w:rsidP="009C6940">
            <w:pPr>
              <w:keepNext/>
              <w:keepLines/>
              <w:spacing w:after="80" w:line="200" w:lineRule="exact"/>
              <w:ind w:left="1474"/>
              <w:rPr>
                <w:rFonts w:ascii="Arial" w:hAnsi="Arial"/>
                <w:sz w:val="20"/>
              </w:rPr>
            </w:pPr>
            <w:r w:rsidRPr="008E6E5B">
              <w:rPr>
                <w:rFonts w:ascii="Arial" w:hAnsi="Arial"/>
                <w:sz w:val="20"/>
              </w:rPr>
              <w:t>2018</w:t>
            </w:r>
            <w:r w:rsidRPr="008E6E5B">
              <w:rPr>
                <w:rFonts w:ascii="Arial" w:hAnsi="Arial"/>
                <w:sz w:val="20"/>
              </w:rPr>
              <w:noBreakHyphen/>
              <w:t>19</w:t>
            </w:r>
            <w:r w:rsidRPr="008E6E5B">
              <w:rPr>
                <w:rFonts w:ascii="Arial" w:hAnsi="Arial"/>
                <w:b/>
                <w:position w:val="6"/>
                <w:sz w:val="18"/>
              </w:rPr>
              <w:t>a</w:t>
            </w:r>
          </w:p>
        </w:tc>
      </w:tr>
      <w:tr w:rsidR="009C6940" w:rsidRPr="008E6E5B" w14:paraId="673C01E6"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528"/>
              <w:gridCol w:w="2977"/>
            </w:tblGrid>
            <w:tr w:rsidR="009C6940" w:rsidRPr="008E6E5B" w14:paraId="3111A272" w14:textId="77777777" w:rsidTr="009C6940">
              <w:trPr>
                <w:tblHeader/>
              </w:trPr>
              <w:tc>
                <w:tcPr>
                  <w:tcW w:w="3250" w:type="pct"/>
                  <w:tcBorders>
                    <w:top w:val="single" w:sz="6" w:space="0" w:color="BFBFBF"/>
                    <w:bottom w:val="single" w:sz="6" w:space="0" w:color="BFBFBF"/>
                  </w:tcBorders>
                  <w:shd w:val="clear" w:color="auto" w:fill="auto"/>
                  <w:tcMar>
                    <w:top w:w="28" w:type="dxa"/>
                  </w:tcMar>
                </w:tcPr>
                <w:p w14:paraId="6331A5FE" w14:textId="77777777" w:rsidR="009C6940" w:rsidRPr="008E6E5B" w:rsidRDefault="009C6940" w:rsidP="009C6940">
                  <w:pPr>
                    <w:keepNext/>
                    <w:keepLines/>
                    <w:spacing w:before="80" w:after="80" w:line="200" w:lineRule="atLeast"/>
                    <w:ind w:left="6" w:right="113"/>
                    <w:rPr>
                      <w:rFonts w:ascii="Arial" w:hAnsi="Arial"/>
                      <w:i/>
                      <w:sz w:val="18"/>
                      <w:szCs w:val="20"/>
                    </w:rPr>
                  </w:pPr>
                </w:p>
              </w:tc>
              <w:tc>
                <w:tcPr>
                  <w:tcW w:w="1750" w:type="pct"/>
                  <w:tcBorders>
                    <w:top w:val="single" w:sz="6" w:space="0" w:color="BFBFBF"/>
                    <w:bottom w:val="single" w:sz="6" w:space="0" w:color="BFBFBF"/>
                  </w:tcBorders>
                  <w:shd w:val="clear" w:color="auto" w:fill="auto"/>
                  <w:tcMar>
                    <w:top w:w="28" w:type="dxa"/>
                  </w:tcMar>
                </w:tcPr>
                <w:p w14:paraId="02B9E84E" w14:textId="77777777" w:rsidR="009C6940" w:rsidRPr="008E6E5B" w:rsidRDefault="009C6940" w:rsidP="009C6940">
                  <w:pPr>
                    <w:keepNext/>
                    <w:keepLines/>
                    <w:spacing w:before="80" w:after="80" w:line="200" w:lineRule="atLeast"/>
                    <w:ind w:left="6" w:right="11"/>
                    <w:jc w:val="right"/>
                    <w:rPr>
                      <w:rFonts w:ascii="Arial" w:hAnsi="Arial"/>
                      <w:i/>
                      <w:sz w:val="18"/>
                      <w:szCs w:val="20"/>
                    </w:rPr>
                  </w:pPr>
                  <w:r w:rsidRPr="008E6E5B">
                    <w:rPr>
                      <w:rFonts w:ascii="Arial" w:hAnsi="Arial"/>
                      <w:i/>
                      <w:sz w:val="18"/>
                      <w:szCs w:val="20"/>
                    </w:rPr>
                    <w:t>$b</w:t>
                  </w:r>
                  <w:r>
                    <w:rPr>
                      <w:rFonts w:ascii="Arial" w:hAnsi="Arial"/>
                      <w:i/>
                      <w:sz w:val="18"/>
                      <w:szCs w:val="20"/>
                    </w:rPr>
                    <w:t>illion</w:t>
                  </w:r>
                </w:p>
              </w:tc>
            </w:tr>
            <w:tr w:rsidR="009C6940" w:rsidRPr="008E6E5B" w14:paraId="5D5F659D" w14:textId="77777777" w:rsidTr="009C6940">
              <w:tc>
                <w:tcPr>
                  <w:tcW w:w="3250" w:type="pct"/>
                  <w:tcBorders>
                    <w:top w:val="single" w:sz="6" w:space="0" w:color="BFBFBF"/>
                  </w:tcBorders>
                  <w:vAlign w:val="bottom"/>
                </w:tcPr>
                <w:p w14:paraId="0C91CC68" w14:textId="77777777" w:rsidR="009C6940" w:rsidRPr="008E6E5B" w:rsidRDefault="009C6940" w:rsidP="009C6940">
                  <w:pPr>
                    <w:keepNext/>
                    <w:keepLines/>
                    <w:spacing w:after="40" w:line="200" w:lineRule="atLeast"/>
                    <w:ind w:right="113"/>
                    <w:rPr>
                      <w:rFonts w:ascii="Arial" w:hAnsi="Arial"/>
                      <w:i/>
                      <w:sz w:val="18"/>
                      <w:szCs w:val="20"/>
                    </w:rPr>
                  </w:pPr>
                  <w:r w:rsidRPr="008E6E5B">
                    <w:rPr>
                      <w:rFonts w:ascii="Arial" w:hAnsi="Arial"/>
                      <w:i/>
                      <w:sz w:val="18"/>
                      <w:szCs w:val="20"/>
                    </w:rPr>
                    <w:t>Australian Government</w:t>
                  </w:r>
                </w:p>
              </w:tc>
              <w:tc>
                <w:tcPr>
                  <w:tcW w:w="1750" w:type="pct"/>
                  <w:tcBorders>
                    <w:top w:val="single" w:sz="6" w:space="0" w:color="BFBFBF"/>
                  </w:tcBorders>
                </w:tcPr>
                <w:p w14:paraId="505B65DB" w14:textId="77777777" w:rsidR="009C6940" w:rsidRPr="008E6E5B" w:rsidRDefault="009C6940" w:rsidP="009C6940">
                  <w:pPr>
                    <w:keepNext/>
                    <w:keepLines/>
                    <w:spacing w:before="40" w:after="40" w:line="200" w:lineRule="atLeast"/>
                    <w:ind w:left="6" w:right="11"/>
                    <w:jc w:val="right"/>
                    <w:rPr>
                      <w:rFonts w:ascii="Arial" w:hAnsi="Arial"/>
                      <w:sz w:val="18"/>
                      <w:szCs w:val="20"/>
                    </w:rPr>
                  </w:pPr>
                </w:p>
              </w:tc>
            </w:tr>
            <w:tr w:rsidR="009C6940" w:rsidRPr="008E6E5B" w14:paraId="2EF64289" w14:textId="77777777" w:rsidTr="003F33B3">
              <w:trPr>
                <w:trHeight w:val="283"/>
              </w:trPr>
              <w:tc>
                <w:tcPr>
                  <w:tcW w:w="3250" w:type="pct"/>
                  <w:vAlign w:val="center"/>
                </w:tcPr>
                <w:p w14:paraId="2FCA16D2" w14:textId="77777777" w:rsidR="009C6940" w:rsidRPr="008E6E5B" w:rsidRDefault="009C6940" w:rsidP="003F33B3">
                  <w:pPr>
                    <w:pStyle w:val="TableBodyText"/>
                    <w:ind w:left="284"/>
                    <w:jc w:val="left"/>
                  </w:pPr>
                  <w:r w:rsidRPr="00766890">
                    <w:t>Medicare Benefits Schedule</w:t>
                  </w:r>
                </w:p>
              </w:tc>
              <w:tc>
                <w:tcPr>
                  <w:tcW w:w="1750" w:type="pct"/>
                  <w:vAlign w:val="center"/>
                </w:tcPr>
                <w:p w14:paraId="76DA4782" w14:textId="77777777" w:rsidR="009C6940" w:rsidRPr="008E6E5B" w:rsidRDefault="009C6940" w:rsidP="003F33B3">
                  <w:pPr>
                    <w:pStyle w:val="TableBodyText"/>
                  </w:pPr>
                  <w:r w:rsidRPr="008E6E5B">
                    <w:t>1.3</w:t>
                  </w:r>
                </w:p>
              </w:tc>
            </w:tr>
            <w:tr w:rsidR="009C6940" w:rsidRPr="008E6E5B" w14:paraId="1F72AB19" w14:textId="77777777" w:rsidTr="003F33B3">
              <w:trPr>
                <w:trHeight w:val="283"/>
              </w:trPr>
              <w:tc>
                <w:tcPr>
                  <w:tcW w:w="3250" w:type="pct"/>
                  <w:vAlign w:val="center"/>
                </w:tcPr>
                <w:p w14:paraId="3863426F" w14:textId="77777777" w:rsidR="009C6940" w:rsidRPr="008E6E5B" w:rsidRDefault="009C6940" w:rsidP="003F33B3">
                  <w:pPr>
                    <w:pStyle w:val="TableBodyText"/>
                    <w:ind w:left="284"/>
                    <w:jc w:val="left"/>
                  </w:pPr>
                  <w:r w:rsidRPr="008E6E5B">
                    <w:t>Pharmaceutical Benefits Scheme</w:t>
                  </w:r>
                </w:p>
              </w:tc>
              <w:tc>
                <w:tcPr>
                  <w:tcW w:w="1750" w:type="pct"/>
                  <w:vAlign w:val="center"/>
                </w:tcPr>
                <w:p w14:paraId="52F86CCC" w14:textId="77777777" w:rsidR="009C6940" w:rsidRPr="008E6E5B" w:rsidRDefault="009C6940" w:rsidP="003F33B3">
                  <w:pPr>
                    <w:pStyle w:val="TableBodyText"/>
                  </w:pPr>
                  <w:r w:rsidRPr="008E6E5B">
                    <w:t>0.5</w:t>
                  </w:r>
                </w:p>
              </w:tc>
            </w:tr>
            <w:tr w:rsidR="009C6940" w:rsidRPr="008E6E5B" w14:paraId="626E83DC" w14:textId="77777777" w:rsidTr="003F33B3">
              <w:trPr>
                <w:trHeight w:val="283"/>
              </w:trPr>
              <w:tc>
                <w:tcPr>
                  <w:tcW w:w="3250" w:type="pct"/>
                  <w:vAlign w:val="center"/>
                </w:tcPr>
                <w:p w14:paraId="0D1AA185" w14:textId="77777777" w:rsidR="009C6940" w:rsidRPr="008E6E5B" w:rsidRDefault="009C6940" w:rsidP="003F33B3">
                  <w:pPr>
                    <w:pStyle w:val="TableBodyText"/>
                    <w:ind w:left="284"/>
                    <w:jc w:val="left"/>
                  </w:pPr>
                  <w:r>
                    <w:t>Mental healthcare</w:t>
                  </w:r>
                  <w:r w:rsidRPr="008E6E5B">
                    <w:rPr>
                      <w:b/>
                      <w:position w:val="6"/>
                    </w:rPr>
                    <w:t>b</w:t>
                  </w:r>
                </w:p>
              </w:tc>
              <w:tc>
                <w:tcPr>
                  <w:tcW w:w="1750" w:type="pct"/>
                  <w:vAlign w:val="center"/>
                </w:tcPr>
                <w:p w14:paraId="51B33113" w14:textId="77777777" w:rsidR="009C6940" w:rsidRPr="008E6E5B" w:rsidRDefault="009C6940" w:rsidP="003F33B3">
                  <w:pPr>
                    <w:pStyle w:val="TableBodyText"/>
                  </w:pPr>
                  <w:r>
                    <w:t>0.5</w:t>
                  </w:r>
                </w:p>
              </w:tc>
            </w:tr>
            <w:tr w:rsidR="009C6940" w:rsidRPr="008E6E5B" w14:paraId="7D216576" w14:textId="77777777" w:rsidTr="003F33B3">
              <w:trPr>
                <w:trHeight w:val="283"/>
              </w:trPr>
              <w:tc>
                <w:tcPr>
                  <w:tcW w:w="3250" w:type="pct"/>
                  <w:vAlign w:val="center"/>
                </w:tcPr>
                <w:p w14:paraId="44C58695" w14:textId="77777777" w:rsidR="009C6940" w:rsidRPr="008E6E5B" w:rsidRDefault="009C6940" w:rsidP="003F33B3">
                  <w:pPr>
                    <w:pStyle w:val="TableBodyText"/>
                    <w:ind w:left="284"/>
                    <w:jc w:val="left"/>
                  </w:pPr>
                  <w:r w:rsidRPr="008E6E5B">
                    <w:t>Alcohol and other drugs services</w:t>
                  </w:r>
                </w:p>
              </w:tc>
              <w:tc>
                <w:tcPr>
                  <w:tcW w:w="1750" w:type="pct"/>
                  <w:vAlign w:val="center"/>
                </w:tcPr>
                <w:p w14:paraId="68C8DF0A" w14:textId="77777777" w:rsidR="009C6940" w:rsidRPr="008E6E5B" w:rsidRDefault="009C6940" w:rsidP="003F33B3">
                  <w:pPr>
                    <w:pStyle w:val="TableBodyText"/>
                  </w:pPr>
                  <w:r w:rsidRPr="008E6E5B">
                    <w:t>0.3</w:t>
                  </w:r>
                </w:p>
              </w:tc>
            </w:tr>
            <w:tr w:rsidR="009C6940" w:rsidRPr="008E6E5B" w14:paraId="4798EA09" w14:textId="77777777" w:rsidTr="003F33B3">
              <w:trPr>
                <w:trHeight w:val="283"/>
              </w:trPr>
              <w:tc>
                <w:tcPr>
                  <w:tcW w:w="3250" w:type="pct"/>
                  <w:vAlign w:val="center"/>
                </w:tcPr>
                <w:p w14:paraId="053E501D" w14:textId="77777777" w:rsidR="009C6940" w:rsidRPr="008E6E5B" w:rsidRDefault="009C6940" w:rsidP="003F33B3">
                  <w:pPr>
                    <w:pStyle w:val="TableBodyText"/>
                    <w:ind w:left="284"/>
                    <w:jc w:val="left"/>
                  </w:pPr>
                  <w:r>
                    <w:t xml:space="preserve">Strategy, research, promotion and prevention </w:t>
                  </w:r>
                </w:p>
              </w:tc>
              <w:tc>
                <w:tcPr>
                  <w:tcW w:w="1750" w:type="pct"/>
                  <w:vAlign w:val="center"/>
                </w:tcPr>
                <w:p w14:paraId="42941FE8" w14:textId="77777777" w:rsidR="009C6940" w:rsidRPr="008E6E5B" w:rsidRDefault="009C6940" w:rsidP="003F33B3">
                  <w:pPr>
                    <w:pStyle w:val="TableBodyText"/>
                  </w:pPr>
                  <w:r>
                    <w:t>0.5</w:t>
                  </w:r>
                </w:p>
              </w:tc>
            </w:tr>
            <w:tr w:rsidR="009C6940" w:rsidRPr="008E6E5B" w14:paraId="35102156" w14:textId="77777777" w:rsidTr="003F33B3">
              <w:trPr>
                <w:trHeight w:val="283"/>
              </w:trPr>
              <w:tc>
                <w:tcPr>
                  <w:tcW w:w="3250" w:type="pct"/>
                  <w:vAlign w:val="center"/>
                </w:tcPr>
                <w:p w14:paraId="5057448B" w14:textId="77777777" w:rsidR="009C6940" w:rsidRPr="008E6E5B" w:rsidRDefault="009C6940" w:rsidP="003F33B3">
                  <w:pPr>
                    <w:pStyle w:val="TableBodyText"/>
                    <w:ind w:left="284"/>
                    <w:jc w:val="left"/>
                    <w:rPr>
                      <w:b/>
                      <w:i/>
                    </w:rPr>
                  </w:pPr>
                  <w:r w:rsidRPr="008E6E5B">
                    <w:rPr>
                      <w:b/>
                      <w:i/>
                    </w:rPr>
                    <w:t>Australian Government total</w:t>
                  </w:r>
                  <w:r w:rsidRPr="00484852">
                    <w:rPr>
                      <w:b/>
                      <w:position w:val="6"/>
                    </w:rPr>
                    <w:t>c</w:t>
                  </w:r>
                </w:p>
              </w:tc>
              <w:tc>
                <w:tcPr>
                  <w:tcW w:w="1750" w:type="pct"/>
                  <w:vAlign w:val="center"/>
                </w:tcPr>
                <w:p w14:paraId="3EED6A34" w14:textId="77777777" w:rsidR="009C6940" w:rsidRPr="008E6E5B" w:rsidRDefault="009C6940" w:rsidP="003F33B3">
                  <w:pPr>
                    <w:pStyle w:val="TableBodyText"/>
                    <w:rPr>
                      <w:b/>
                    </w:rPr>
                  </w:pPr>
                  <w:r w:rsidRPr="008E6E5B">
                    <w:rPr>
                      <w:b/>
                    </w:rPr>
                    <w:t>3.</w:t>
                  </w:r>
                  <w:r>
                    <w:rPr>
                      <w:b/>
                    </w:rPr>
                    <w:t>1</w:t>
                  </w:r>
                </w:p>
              </w:tc>
            </w:tr>
            <w:tr w:rsidR="009C6940" w:rsidRPr="008E6E5B" w14:paraId="406A86A7" w14:textId="77777777" w:rsidTr="009C6940">
              <w:tc>
                <w:tcPr>
                  <w:tcW w:w="3250" w:type="pct"/>
                  <w:vAlign w:val="bottom"/>
                </w:tcPr>
                <w:p w14:paraId="46DBAEEB" w14:textId="77777777" w:rsidR="009C6940" w:rsidRPr="008E6E5B" w:rsidRDefault="009C6940" w:rsidP="009C6940">
                  <w:pPr>
                    <w:keepNext/>
                    <w:keepLines/>
                    <w:spacing w:before="80" w:after="80" w:line="200" w:lineRule="atLeast"/>
                    <w:ind w:left="6" w:right="113"/>
                    <w:rPr>
                      <w:rFonts w:ascii="Arial" w:hAnsi="Arial"/>
                      <w:i/>
                      <w:sz w:val="18"/>
                      <w:szCs w:val="20"/>
                    </w:rPr>
                  </w:pPr>
                  <w:r w:rsidRPr="008E6E5B">
                    <w:rPr>
                      <w:rFonts w:ascii="Arial" w:hAnsi="Arial"/>
                      <w:i/>
                      <w:sz w:val="18"/>
                      <w:szCs w:val="20"/>
                    </w:rPr>
                    <w:t>State and Territory Government</w:t>
                  </w:r>
                </w:p>
              </w:tc>
              <w:tc>
                <w:tcPr>
                  <w:tcW w:w="1750" w:type="pct"/>
                </w:tcPr>
                <w:p w14:paraId="74D23C91" w14:textId="77777777" w:rsidR="009C6940" w:rsidRPr="008E6E5B" w:rsidRDefault="009C6940" w:rsidP="009C6940">
                  <w:pPr>
                    <w:keepNext/>
                    <w:keepLines/>
                    <w:spacing w:before="40" w:after="40" w:line="200" w:lineRule="atLeast"/>
                    <w:ind w:left="6" w:right="11"/>
                    <w:jc w:val="right"/>
                    <w:rPr>
                      <w:rFonts w:ascii="Arial" w:hAnsi="Arial"/>
                      <w:sz w:val="18"/>
                      <w:szCs w:val="20"/>
                    </w:rPr>
                  </w:pPr>
                </w:p>
              </w:tc>
            </w:tr>
            <w:tr w:rsidR="009C6940" w:rsidRPr="008E6E5B" w14:paraId="7F2FB562" w14:textId="77777777" w:rsidTr="003F33B3">
              <w:tc>
                <w:tcPr>
                  <w:tcW w:w="3250" w:type="pct"/>
                  <w:vAlign w:val="center"/>
                </w:tcPr>
                <w:p w14:paraId="51BC97CC" w14:textId="77777777" w:rsidR="009C6940" w:rsidRPr="008E6E5B" w:rsidRDefault="009C6940" w:rsidP="003F33B3">
                  <w:pPr>
                    <w:pStyle w:val="TableBodyText"/>
                    <w:ind w:left="284"/>
                    <w:jc w:val="left"/>
                  </w:pPr>
                  <w:r w:rsidRPr="008E6E5B">
                    <w:t>Public hospitals (admitted patients)</w:t>
                  </w:r>
                </w:p>
              </w:tc>
              <w:tc>
                <w:tcPr>
                  <w:tcW w:w="1750" w:type="pct"/>
                  <w:vAlign w:val="center"/>
                </w:tcPr>
                <w:p w14:paraId="4B1852DD" w14:textId="77777777" w:rsidR="009C6940" w:rsidRPr="008E6E5B" w:rsidRDefault="009C6940" w:rsidP="003F33B3">
                  <w:pPr>
                    <w:pStyle w:val="TableBodyText"/>
                  </w:pPr>
                  <w:r w:rsidRPr="008E6E5B">
                    <w:t>2.7</w:t>
                  </w:r>
                </w:p>
              </w:tc>
            </w:tr>
            <w:tr w:rsidR="009C6940" w:rsidRPr="008E6E5B" w14:paraId="7177C3C1" w14:textId="77777777" w:rsidTr="003F33B3">
              <w:tc>
                <w:tcPr>
                  <w:tcW w:w="3250" w:type="pct"/>
                  <w:vAlign w:val="center"/>
                </w:tcPr>
                <w:p w14:paraId="644E6D48" w14:textId="77777777" w:rsidR="009C6940" w:rsidRPr="008E6E5B" w:rsidRDefault="009C6940" w:rsidP="003F33B3">
                  <w:pPr>
                    <w:pStyle w:val="TableBodyText"/>
                    <w:ind w:left="284"/>
                    <w:jc w:val="left"/>
                  </w:pPr>
                  <w:r w:rsidRPr="008E6E5B">
                    <w:t>Community mental healthcare services</w:t>
                  </w:r>
                </w:p>
              </w:tc>
              <w:tc>
                <w:tcPr>
                  <w:tcW w:w="1750" w:type="pct"/>
                  <w:vAlign w:val="center"/>
                </w:tcPr>
                <w:p w14:paraId="2FC34696" w14:textId="77777777" w:rsidR="009C6940" w:rsidRPr="008E6E5B" w:rsidRDefault="009C6940" w:rsidP="003F33B3">
                  <w:pPr>
                    <w:pStyle w:val="TableBodyText"/>
                  </w:pPr>
                  <w:r w:rsidRPr="008E6E5B">
                    <w:t>2.</w:t>
                  </w:r>
                  <w:r>
                    <w:t>3</w:t>
                  </w:r>
                </w:p>
              </w:tc>
            </w:tr>
            <w:tr w:rsidR="009C6940" w:rsidRPr="008E6E5B" w14:paraId="041242FD" w14:textId="77777777" w:rsidTr="003F33B3">
              <w:tc>
                <w:tcPr>
                  <w:tcW w:w="3250" w:type="pct"/>
                  <w:vAlign w:val="center"/>
                </w:tcPr>
                <w:p w14:paraId="1A9DA619" w14:textId="77777777" w:rsidR="009C6940" w:rsidRPr="008E6E5B" w:rsidRDefault="009C6940" w:rsidP="003F33B3">
                  <w:pPr>
                    <w:pStyle w:val="TableBodyText"/>
                    <w:ind w:left="284"/>
                    <w:jc w:val="left"/>
                  </w:pPr>
                  <w:r w:rsidRPr="008E6E5B">
                    <w:t>Alcohol and other drugs services</w:t>
                  </w:r>
                </w:p>
              </w:tc>
              <w:tc>
                <w:tcPr>
                  <w:tcW w:w="1750" w:type="pct"/>
                  <w:vAlign w:val="center"/>
                </w:tcPr>
                <w:p w14:paraId="2CF9BE9C" w14:textId="77777777" w:rsidR="009C6940" w:rsidRPr="008E6E5B" w:rsidRDefault="009C6940" w:rsidP="003F33B3">
                  <w:pPr>
                    <w:pStyle w:val="TableBodyText"/>
                  </w:pPr>
                  <w:r w:rsidRPr="008E6E5B">
                    <w:t>0.8</w:t>
                  </w:r>
                </w:p>
              </w:tc>
            </w:tr>
            <w:tr w:rsidR="009C6940" w:rsidRPr="008E6E5B" w14:paraId="69BE2CD9" w14:textId="77777777" w:rsidTr="003F33B3">
              <w:tc>
                <w:tcPr>
                  <w:tcW w:w="3250" w:type="pct"/>
                  <w:shd w:val="clear" w:color="auto" w:fill="auto"/>
                  <w:vAlign w:val="center"/>
                </w:tcPr>
                <w:p w14:paraId="4BA08EFE" w14:textId="77777777" w:rsidR="009C6940" w:rsidRPr="008E6E5B" w:rsidRDefault="009C6940" w:rsidP="003F33B3">
                  <w:pPr>
                    <w:pStyle w:val="TableBodyText"/>
                    <w:ind w:left="284"/>
                    <w:jc w:val="left"/>
                  </w:pPr>
                  <w:r w:rsidRPr="008E6E5B">
                    <w:t>Other</w:t>
                  </w:r>
                  <w:r>
                    <w:rPr>
                      <w:b/>
                      <w:position w:val="6"/>
                    </w:rPr>
                    <w:t>d</w:t>
                  </w:r>
                </w:p>
              </w:tc>
              <w:tc>
                <w:tcPr>
                  <w:tcW w:w="1750" w:type="pct"/>
                  <w:shd w:val="clear" w:color="auto" w:fill="auto"/>
                  <w:vAlign w:val="center"/>
                </w:tcPr>
                <w:p w14:paraId="699A911E" w14:textId="77777777" w:rsidR="009C6940" w:rsidRPr="008E6E5B" w:rsidRDefault="009C6940" w:rsidP="003F33B3">
                  <w:pPr>
                    <w:pStyle w:val="TableBodyText"/>
                  </w:pPr>
                  <w:r>
                    <w:t>0.7</w:t>
                  </w:r>
                </w:p>
              </w:tc>
            </w:tr>
            <w:tr w:rsidR="009C6940" w:rsidRPr="008E6E5B" w14:paraId="2BC18A23" w14:textId="77777777" w:rsidTr="009C6940">
              <w:tc>
                <w:tcPr>
                  <w:tcW w:w="3250" w:type="pct"/>
                  <w:shd w:val="clear" w:color="auto" w:fill="auto"/>
                  <w:vAlign w:val="bottom"/>
                </w:tcPr>
                <w:p w14:paraId="3FCB71D3" w14:textId="77777777" w:rsidR="009C6940" w:rsidRPr="003F33B3" w:rsidRDefault="009C6940" w:rsidP="003F33B3">
                  <w:pPr>
                    <w:pStyle w:val="TableBodyText"/>
                    <w:ind w:left="284"/>
                    <w:jc w:val="left"/>
                    <w:rPr>
                      <w:b/>
                    </w:rPr>
                  </w:pPr>
                  <w:r w:rsidRPr="003F33B3">
                    <w:rPr>
                      <w:b/>
                      <w:i/>
                    </w:rPr>
                    <w:t>State and Territory Government total</w:t>
                  </w:r>
                  <w:r w:rsidRPr="003F33B3">
                    <w:rPr>
                      <w:b/>
                      <w:position w:val="6"/>
                    </w:rPr>
                    <w:t>c</w:t>
                  </w:r>
                </w:p>
              </w:tc>
              <w:tc>
                <w:tcPr>
                  <w:tcW w:w="1750" w:type="pct"/>
                  <w:shd w:val="clear" w:color="auto" w:fill="auto"/>
                </w:tcPr>
                <w:p w14:paraId="7ADA8231" w14:textId="77777777" w:rsidR="009C6940" w:rsidRPr="003F33B3" w:rsidRDefault="009C6940" w:rsidP="003F33B3">
                  <w:pPr>
                    <w:pStyle w:val="TableBodyText"/>
                    <w:rPr>
                      <w:b/>
                    </w:rPr>
                  </w:pPr>
                  <w:r w:rsidRPr="003F33B3">
                    <w:rPr>
                      <w:b/>
                    </w:rPr>
                    <w:t>6.6</w:t>
                  </w:r>
                </w:p>
              </w:tc>
            </w:tr>
            <w:tr w:rsidR="009C6940" w:rsidRPr="008E6E5B" w14:paraId="5018CC1C" w14:textId="77777777" w:rsidTr="003F33B3">
              <w:tc>
                <w:tcPr>
                  <w:tcW w:w="3250" w:type="pct"/>
                  <w:shd w:val="clear" w:color="auto" w:fill="auto"/>
                  <w:vAlign w:val="center"/>
                </w:tcPr>
                <w:p w14:paraId="3ADD2FC4" w14:textId="77777777" w:rsidR="009C6940" w:rsidRPr="008E6E5B" w:rsidRDefault="009C6940" w:rsidP="003F33B3">
                  <w:pPr>
                    <w:pStyle w:val="TableBodyText"/>
                    <w:jc w:val="left"/>
                  </w:pPr>
                  <w:r w:rsidRPr="008E6E5B">
                    <w:t>Individual out</w:t>
                  </w:r>
                  <w:r w:rsidRPr="008E6E5B">
                    <w:noBreakHyphen/>
                    <w:t>of</w:t>
                  </w:r>
                  <w:r w:rsidRPr="008E6E5B">
                    <w:noBreakHyphen/>
                    <w:t>pocket expenses</w:t>
                  </w:r>
                  <w:r w:rsidRPr="00484852">
                    <w:rPr>
                      <w:b/>
                      <w:position w:val="6"/>
                    </w:rPr>
                    <w:t>e</w:t>
                  </w:r>
                </w:p>
              </w:tc>
              <w:tc>
                <w:tcPr>
                  <w:tcW w:w="1750" w:type="pct"/>
                  <w:shd w:val="clear" w:color="auto" w:fill="auto"/>
                </w:tcPr>
                <w:p w14:paraId="527E3DE1" w14:textId="77777777" w:rsidR="009C6940" w:rsidRPr="008E6E5B" w:rsidRDefault="009C6940" w:rsidP="003F33B3">
                  <w:pPr>
                    <w:pStyle w:val="TableBodyText"/>
                  </w:pPr>
                  <w:r w:rsidRPr="008E6E5B">
                    <w:t>0.7</w:t>
                  </w:r>
                </w:p>
              </w:tc>
            </w:tr>
            <w:tr w:rsidR="009C6940" w:rsidRPr="008E6E5B" w14:paraId="7429CFEF" w14:textId="77777777" w:rsidTr="003F33B3">
              <w:tc>
                <w:tcPr>
                  <w:tcW w:w="3250" w:type="pct"/>
                  <w:shd w:val="clear" w:color="auto" w:fill="auto"/>
                  <w:vAlign w:val="center"/>
                </w:tcPr>
                <w:p w14:paraId="625B332C" w14:textId="77777777" w:rsidR="009C6940" w:rsidRPr="008E6E5B" w:rsidRDefault="009C6940" w:rsidP="003F33B3">
                  <w:pPr>
                    <w:pStyle w:val="TableBodyText"/>
                    <w:jc w:val="left"/>
                  </w:pPr>
                  <w:r w:rsidRPr="004120DB">
                    <w:t xml:space="preserve">Private </w:t>
                  </w:r>
                  <w:r>
                    <w:t>h</w:t>
                  </w:r>
                  <w:r w:rsidRPr="004120DB">
                    <w:t>ealth insurers</w:t>
                  </w:r>
                  <w:r w:rsidRPr="00484852">
                    <w:rPr>
                      <w:b/>
                      <w:position w:val="6"/>
                    </w:rPr>
                    <w:t>f</w:t>
                  </w:r>
                </w:p>
              </w:tc>
              <w:tc>
                <w:tcPr>
                  <w:tcW w:w="1750" w:type="pct"/>
                  <w:shd w:val="clear" w:color="auto" w:fill="auto"/>
                </w:tcPr>
                <w:p w14:paraId="5FC7197E" w14:textId="77777777" w:rsidR="009C6940" w:rsidRPr="008E6E5B" w:rsidRDefault="009C6940" w:rsidP="003F33B3">
                  <w:pPr>
                    <w:pStyle w:val="TableBodyText"/>
                  </w:pPr>
                  <w:r w:rsidRPr="008E6E5B">
                    <w:t>0.</w:t>
                  </w:r>
                  <w:r>
                    <w:t>6</w:t>
                  </w:r>
                </w:p>
              </w:tc>
            </w:tr>
            <w:tr w:rsidR="009C6940" w:rsidRPr="008E6E5B" w14:paraId="75B404B6" w14:textId="77777777" w:rsidTr="003F33B3">
              <w:tc>
                <w:tcPr>
                  <w:tcW w:w="3250" w:type="pct"/>
                  <w:shd w:val="clear" w:color="auto" w:fill="auto"/>
                  <w:vAlign w:val="center"/>
                </w:tcPr>
                <w:p w14:paraId="031B09E0" w14:textId="77777777" w:rsidR="009C6940" w:rsidRPr="008E6E5B" w:rsidRDefault="009C6940" w:rsidP="003F33B3">
                  <w:pPr>
                    <w:pStyle w:val="TableBodyText"/>
                    <w:jc w:val="left"/>
                  </w:pPr>
                  <w:r w:rsidRPr="008E6E5B">
                    <w:t xml:space="preserve">Workers compensation insurers </w:t>
                  </w:r>
                </w:p>
              </w:tc>
              <w:tc>
                <w:tcPr>
                  <w:tcW w:w="1750" w:type="pct"/>
                  <w:shd w:val="clear" w:color="auto" w:fill="auto"/>
                </w:tcPr>
                <w:p w14:paraId="3F568834" w14:textId="77777777" w:rsidR="009C6940" w:rsidRPr="008E6E5B" w:rsidRDefault="009C6940" w:rsidP="003F33B3">
                  <w:pPr>
                    <w:pStyle w:val="TableBodyText"/>
                  </w:pPr>
                  <w:r>
                    <w:t>0.3</w:t>
                  </w:r>
                </w:p>
              </w:tc>
            </w:tr>
            <w:tr w:rsidR="009C6940" w:rsidRPr="008E6E5B" w14:paraId="6C55C9BB" w14:textId="77777777" w:rsidTr="009C6940">
              <w:tc>
                <w:tcPr>
                  <w:tcW w:w="3250" w:type="pct"/>
                  <w:tcBorders>
                    <w:bottom w:val="single" w:sz="4" w:space="0" w:color="BFBFBF" w:themeColor="background1" w:themeShade="BF"/>
                  </w:tcBorders>
                  <w:shd w:val="clear" w:color="auto" w:fill="auto"/>
                  <w:vAlign w:val="bottom"/>
                </w:tcPr>
                <w:p w14:paraId="1625B873" w14:textId="77777777" w:rsidR="009C6940" w:rsidRPr="008E6E5B" w:rsidRDefault="009C6940" w:rsidP="009C6940">
                  <w:pPr>
                    <w:keepNext/>
                    <w:keepLines/>
                    <w:spacing w:before="80" w:after="80" w:line="200" w:lineRule="atLeast"/>
                    <w:ind w:left="6" w:right="113"/>
                    <w:rPr>
                      <w:rFonts w:ascii="Arial" w:hAnsi="Arial"/>
                      <w:b/>
                      <w:i/>
                      <w:sz w:val="18"/>
                      <w:szCs w:val="20"/>
                    </w:rPr>
                  </w:pPr>
                  <w:r w:rsidRPr="008E6E5B">
                    <w:rPr>
                      <w:rFonts w:ascii="Arial" w:hAnsi="Arial"/>
                      <w:b/>
                      <w:i/>
                      <w:sz w:val="18"/>
                      <w:szCs w:val="20"/>
                    </w:rPr>
                    <w:t>Total</w:t>
                  </w:r>
                </w:p>
              </w:tc>
              <w:tc>
                <w:tcPr>
                  <w:tcW w:w="1750" w:type="pct"/>
                  <w:tcBorders>
                    <w:bottom w:val="single" w:sz="4" w:space="0" w:color="BFBFBF" w:themeColor="background1" w:themeShade="BF"/>
                  </w:tcBorders>
                  <w:shd w:val="clear" w:color="auto" w:fill="auto"/>
                </w:tcPr>
                <w:p w14:paraId="4021D0D8" w14:textId="77777777" w:rsidR="009C6940" w:rsidRPr="008E6E5B" w:rsidRDefault="009C6940" w:rsidP="009C6940">
                  <w:pPr>
                    <w:keepNext/>
                    <w:keepLines/>
                    <w:spacing w:after="40" w:line="200" w:lineRule="atLeast"/>
                    <w:ind w:left="6" w:right="11"/>
                    <w:jc w:val="right"/>
                    <w:rPr>
                      <w:rFonts w:ascii="Arial" w:hAnsi="Arial"/>
                      <w:b/>
                      <w:sz w:val="18"/>
                      <w:szCs w:val="20"/>
                    </w:rPr>
                  </w:pPr>
                  <w:r w:rsidRPr="008E6E5B">
                    <w:rPr>
                      <w:rFonts w:ascii="Arial" w:hAnsi="Arial"/>
                      <w:b/>
                      <w:sz w:val="18"/>
                      <w:szCs w:val="20"/>
                    </w:rPr>
                    <w:t>1</w:t>
                  </w:r>
                  <w:r>
                    <w:rPr>
                      <w:rFonts w:ascii="Arial" w:hAnsi="Arial"/>
                      <w:b/>
                      <w:sz w:val="18"/>
                      <w:szCs w:val="20"/>
                    </w:rPr>
                    <w:t>1</w:t>
                  </w:r>
                  <w:r w:rsidRPr="008E6E5B">
                    <w:rPr>
                      <w:rFonts w:ascii="Arial" w:hAnsi="Arial"/>
                      <w:b/>
                      <w:sz w:val="18"/>
                      <w:szCs w:val="20"/>
                    </w:rPr>
                    <w:t>.</w:t>
                  </w:r>
                  <w:r>
                    <w:rPr>
                      <w:rFonts w:ascii="Arial" w:hAnsi="Arial"/>
                      <w:b/>
                      <w:sz w:val="18"/>
                      <w:szCs w:val="20"/>
                    </w:rPr>
                    <w:t>3</w:t>
                  </w:r>
                </w:p>
              </w:tc>
            </w:tr>
          </w:tbl>
          <w:p w14:paraId="3228EDEA" w14:textId="77777777" w:rsidR="009C6940" w:rsidRPr="008E6E5B" w:rsidRDefault="009C6940" w:rsidP="009C6940">
            <w:pPr>
              <w:keepNext/>
              <w:spacing w:before="120" w:line="260" w:lineRule="atLeast"/>
              <w:jc w:val="both"/>
              <w:rPr>
                <w:rFonts w:ascii="Arial" w:hAnsi="Arial"/>
                <w:sz w:val="20"/>
                <w:szCs w:val="20"/>
              </w:rPr>
            </w:pPr>
          </w:p>
        </w:tc>
      </w:tr>
      <w:tr w:rsidR="009C6940" w:rsidRPr="008E6E5B" w14:paraId="1B8B0619" w14:textId="77777777" w:rsidTr="009C6940">
        <w:tc>
          <w:tcPr>
            <w:tcW w:w="5000" w:type="pct"/>
            <w:tcBorders>
              <w:top w:val="nil"/>
              <w:left w:val="nil"/>
              <w:bottom w:val="nil"/>
              <w:right w:val="nil"/>
            </w:tcBorders>
            <w:shd w:val="clear" w:color="auto" w:fill="auto"/>
          </w:tcPr>
          <w:p w14:paraId="0421B0DF" w14:textId="77777777" w:rsidR="009C6940" w:rsidRPr="008E6E5B" w:rsidRDefault="009C6940" w:rsidP="009C6940">
            <w:pPr>
              <w:pStyle w:val="Note"/>
              <w:rPr>
                <w:i/>
              </w:rPr>
            </w:pPr>
            <w:r>
              <w:rPr>
                <w:b/>
                <w:position w:val="6"/>
              </w:rPr>
              <w:t>a</w:t>
            </w:r>
            <w:r w:rsidRPr="007F49E9">
              <w:t xml:space="preserve"> </w:t>
            </w:r>
            <w:r w:rsidRPr="008A581F">
              <w:rPr>
                <w:spacing w:val="-2"/>
              </w:rPr>
              <w:t>Some expenditure converted to 2018</w:t>
            </w:r>
            <w:r w:rsidRPr="008A581F">
              <w:rPr>
                <w:spacing w:val="-2"/>
              </w:rPr>
              <w:noBreakHyphen/>
              <w:t xml:space="preserve">19 estimates using the health index of the CPI inflator. This indexing does not take into account growth in expenditure due to population growth in programs where funding is uncapped. </w:t>
            </w:r>
            <w:r w:rsidRPr="008A581F">
              <w:rPr>
                <w:b/>
                <w:spacing w:val="-2"/>
                <w:position w:val="6"/>
              </w:rPr>
              <w:t>b</w:t>
            </w:r>
            <w:r w:rsidRPr="008A581F">
              <w:rPr>
                <w:spacing w:val="-2"/>
              </w:rPr>
              <w:t xml:space="preserve"> Includes Department of Health managed national programs and initiatives that are treatment focused and private health insurance premium rebates related to the provision of mental healthcare services. </w:t>
            </w:r>
            <w:r w:rsidRPr="008A581F">
              <w:rPr>
                <w:b/>
                <w:spacing w:val="-2"/>
                <w:position w:val="6"/>
              </w:rPr>
              <w:t>c</w:t>
            </w:r>
            <w:r w:rsidRPr="008A581F">
              <w:rPr>
                <w:spacing w:val="-2"/>
              </w:rPr>
              <w:t xml:space="preserve"> Components do not necessarily sum to the total due to rounding errors </w:t>
            </w:r>
            <w:r w:rsidRPr="008A581F">
              <w:rPr>
                <w:b/>
                <w:spacing w:val="-2"/>
                <w:position w:val="6"/>
              </w:rPr>
              <w:t>d</w:t>
            </w:r>
            <w:r w:rsidRPr="008A581F">
              <w:rPr>
                <w:spacing w:val="-2"/>
              </w:rPr>
              <w:t xml:space="preserve"> Includes grants to non</w:t>
            </w:r>
            <w:r w:rsidRPr="008A581F">
              <w:rPr>
                <w:spacing w:val="-2"/>
              </w:rPr>
              <w:noBreakHyphen/>
              <w:t xml:space="preserve">government organisations. </w:t>
            </w:r>
            <w:r w:rsidRPr="008A581F">
              <w:rPr>
                <w:b/>
                <w:spacing w:val="-2"/>
                <w:position w:val="6"/>
              </w:rPr>
              <w:t>e</w:t>
            </w:r>
            <w:r w:rsidRPr="008A581F">
              <w:rPr>
                <w:spacing w:val="-2"/>
              </w:rPr>
              <w:t xml:space="preserve"> Only includes out</w:t>
            </w:r>
            <w:r w:rsidRPr="008A581F">
              <w:rPr>
                <w:spacing w:val="-2"/>
              </w:rPr>
              <w:noBreakHyphen/>
              <w:t>of</w:t>
            </w:r>
            <w:r w:rsidRPr="008A581F">
              <w:rPr>
                <w:spacing w:val="-2"/>
              </w:rPr>
              <w:noBreakHyphen/>
              <w:t xml:space="preserve">pocket expenses for MBS and PBS items. </w:t>
            </w:r>
            <w:r w:rsidRPr="008A581F">
              <w:rPr>
                <w:rStyle w:val="NoteLabel"/>
                <w:spacing w:val="-2"/>
              </w:rPr>
              <w:t>f</w:t>
            </w:r>
            <w:r w:rsidRPr="008A581F">
              <w:rPr>
                <w:spacing w:val="-2"/>
              </w:rPr>
              <w:t xml:space="preserve"> AIHW have advised that this estimate does include some expenditure by workers compensation insurers but is mostly private health insurers expenditure (AIHW, pers. comm., 23 Apr 2020). Consequently, there may be a small amount of double counting with the private health insurers and workers compensation expenditure estimates.</w:t>
            </w:r>
            <w:r>
              <w:t xml:space="preserve"> </w:t>
            </w:r>
          </w:p>
        </w:tc>
      </w:tr>
      <w:tr w:rsidR="009C6940" w:rsidRPr="008E6E5B" w14:paraId="2129E244" w14:textId="77777777" w:rsidTr="009C6940">
        <w:tc>
          <w:tcPr>
            <w:tcW w:w="5000" w:type="pct"/>
            <w:tcBorders>
              <w:top w:val="nil"/>
              <w:left w:val="nil"/>
              <w:bottom w:val="nil"/>
              <w:right w:val="nil"/>
            </w:tcBorders>
            <w:shd w:val="clear" w:color="auto" w:fill="auto"/>
          </w:tcPr>
          <w:p w14:paraId="3F75B191" w14:textId="77777777" w:rsidR="009C6940" w:rsidRPr="008A581F" w:rsidRDefault="009C6940" w:rsidP="009C6940">
            <w:pPr>
              <w:keepLines/>
              <w:spacing w:before="80" w:line="220" w:lineRule="exact"/>
              <w:jc w:val="both"/>
              <w:rPr>
                <w:rFonts w:ascii="Arial" w:hAnsi="Arial"/>
                <w:spacing w:val="-4"/>
                <w:sz w:val="18"/>
                <w:szCs w:val="20"/>
              </w:rPr>
            </w:pPr>
            <w:r w:rsidRPr="008A581F">
              <w:rPr>
                <w:rFonts w:ascii="Arial" w:hAnsi="Arial"/>
                <w:i/>
                <w:spacing w:val="-4"/>
                <w:sz w:val="18"/>
                <w:szCs w:val="20"/>
              </w:rPr>
              <w:t>Source</w:t>
            </w:r>
            <w:r w:rsidRPr="008A581F">
              <w:rPr>
                <w:rFonts w:ascii="Arial" w:hAnsi="Arial"/>
                <w:spacing w:val="-4"/>
                <w:sz w:val="18"/>
                <w:szCs w:val="20"/>
              </w:rPr>
              <w:t>: Productivity Commission estimates based on</w:t>
            </w:r>
            <w:r w:rsidRPr="008A581F">
              <w:rPr>
                <w:spacing w:val="-4"/>
              </w:rPr>
              <w:t xml:space="preserve"> </w:t>
            </w:r>
            <w:r w:rsidRPr="008A581F">
              <w:rPr>
                <w:rFonts w:ascii="Arial" w:hAnsi="Arial"/>
                <w:spacing w:val="-4"/>
                <w:sz w:val="18"/>
                <w:szCs w:val="20"/>
              </w:rPr>
              <w:t>ABS (</w:t>
            </w:r>
            <w:r w:rsidRPr="008A581F">
              <w:rPr>
                <w:rFonts w:ascii="Arial" w:hAnsi="Arial"/>
                <w:i/>
                <w:spacing w:val="-4"/>
                <w:sz w:val="18"/>
                <w:szCs w:val="20"/>
              </w:rPr>
              <w:t>Consumer Price Index, June</w:t>
            </w:r>
            <w:r w:rsidRPr="008A581F">
              <w:rPr>
                <w:rFonts w:ascii="Arial" w:hAnsi="Arial"/>
                <w:spacing w:val="-4"/>
                <w:sz w:val="18"/>
                <w:szCs w:val="20"/>
              </w:rPr>
              <w:t xml:space="preserve">, Cat. no. 6401.0; </w:t>
            </w:r>
            <w:r w:rsidRPr="008A581F">
              <w:rPr>
                <w:rFonts w:ascii="Arial" w:hAnsi="Arial"/>
                <w:i/>
                <w:spacing w:val="-4"/>
                <w:sz w:val="18"/>
                <w:szCs w:val="20"/>
              </w:rPr>
              <w:t>Microdata: Multi</w:t>
            </w:r>
            <w:r w:rsidRPr="008A581F">
              <w:rPr>
                <w:rFonts w:ascii="Arial" w:hAnsi="Arial"/>
                <w:i/>
                <w:spacing w:val="-4"/>
                <w:sz w:val="18"/>
                <w:szCs w:val="20"/>
              </w:rPr>
              <w:noBreakHyphen/>
              <w:t>Agency Data Integration Project, Australia</w:t>
            </w:r>
            <w:r w:rsidRPr="008A581F">
              <w:rPr>
                <w:rFonts w:ascii="Arial" w:hAnsi="Arial"/>
                <w:spacing w:val="-4"/>
                <w:sz w:val="18"/>
                <w:szCs w:val="20"/>
              </w:rPr>
              <w:t>, Cat. no. 1700.0)</w:t>
            </w:r>
            <w:r w:rsidRPr="008A581F" w:rsidDel="00500651">
              <w:rPr>
                <w:rFonts w:ascii="Arial" w:hAnsi="Arial"/>
                <w:spacing w:val="-4"/>
                <w:sz w:val="18"/>
                <w:szCs w:val="20"/>
              </w:rPr>
              <w:t xml:space="preserve">; </w:t>
            </w:r>
            <w:r w:rsidRPr="008A581F">
              <w:rPr>
                <w:rFonts w:ascii="Arial" w:hAnsi="Arial"/>
                <w:spacing w:val="-4"/>
                <w:sz w:val="18"/>
                <w:szCs w:val="20"/>
              </w:rPr>
              <w:t xml:space="preserve">AIHW </w:t>
            </w:r>
            <w:r w:rsidRPr="008A581F">
              <w:rPr>
                <w:rFonts w:ascii="Arial" w:hAnsi="Arial" w:cs="Arial"/>
                <w:spacing w:val="-4"/>
                <w:sz w:val="18"/>
              </w:rPr>
              <w:t>(2020a)</w:t>
            </w:r>
            <w:r w:rsidRPr="008A581F">
              <w:rPr>
                <w:spacing w:val="-4"/>
              </w:rPr>
              <w:t>;</w:t>
            </w:r>
            <w:r w:rsidRPr="008A581F">
              <w:rPr>
                <w:rFonts w:ascii="Arial" w:hAnsi="Arial"/>
                <w:spacing w:val="-4"/>
                <w:sz w:val="18"/>
                <w:szCs w:val="20"/>
              </w:rPr>
              <w:t xml:space="preserve"> DoH, pers. comm., 23 Sep 2019; Safe Work Australia’s National Data</w:t>
            </w:r>
            <w:r w:rsidRPr="008A581F">
              <w:rPr>
                <w:rFonts w:ascii="Arial" w:hAnsi="Arial"/>
                <w:spacing w:val="-4"/>
                <w:sz w:val="18"/>
                <w:szCs w:val="20"/>
              </w:rPr>
              <w:noBreakHyphen/>
              <w:t>Set for Compensation</w:t>
            </w:r>
            <w:r w:rsidRPr="008A581F">
              <w:rPr>
                <w:rFonts w:ascii="Arial" w:hAnsi="Arial"/>
                <w:spacing w:val="-4"/>
                <w:sz w:val="18"/>
                <w:szCs w:val="20"/>
              </w:rPr>
              <w:noBreakHyphen/>
              <w:t xml:space="preserve">based Statistics; Ritter et al. (2014). </w:t>
            </w:r>
          </w:p>
        </w:tc>
      </w:tr>
      <w:tr w:rsidR="009C6940" w:rsidRPr="008E6E5B" w14:paraId="6F71346B" w14:textId="77777777" w:rsidTr="009C6940">
        <w:tc>
          <w:tcPr>
            <w:tcW w:w="5000" w:type="pct"/>
            <w:tcBorders>
              <w:top w:val="nil"/>
              <w:left w:val="nil"/>
              <w:bottom w:val="single" w:sz="6" w:space="0" w:color="78A22F"/>
              <w:right w:val="nil"/>
            </w:tcBorders>
            <w:shd w:val="clear" w:color="auto" w:fill="auto"/>
          </w:tcPr>
          <w:p w14:paraId="5EDA1555" w14:textId="77777777" w:rsidR="009C6940" w:rsidRPr="008E6E5B" w:rsidRDefault="009C6940" w:rsidP="009C6940">
            <w:pPr>
              <w:keepNext/>
              <w:spacing w:line="120" w:lineRule="exact"/>
              <w:jc w:val="both"/>
              <w:rPr>
                <w:rFonts w:ascii="Arial" w:hAnsi="Arial"/>
                <w:sz w:val="20"/>
                <w:szCs w:val="20"/>
              </w:rPr>
            </w:pPr>
          </w:p>
        </w:tc>
      </w:tr>
      <w:tr w:rsidR="009C6940" w:rsidRPr="008E6E5B" w14:paraId="2209F14E" w14:textId="77777777" w:rsidTr="009C6940">
        <w:tc>
          <w:tcPr>
            <w:tcW w:w="5000" w:type="pct"/>
            <w:tcBorders>
              <w:top w:val="single" w:sz="6" w:space="0" w:color="78A22F"/>
              <w:left w:val="nil"/>
              <w:bottom w:val="nil"/>
              <w:right w:val="nil"/>
            </w:tcBorders>
          </w:tcPr>
          <w:p w14:paraId="64F4E534" w14:textId="77777777" w:rsidR="009C6940" w:rsidRPr="008E6E5B" w:rsidRDefault="009C6940" w:rsidP="009C6940">
            <w:pPr>
              <w:spacing w:before="60" w:after="60" w:line="80" w:lineRule="exact"/>
              <w:jc w:val="both"/>
              <w:rPr>
                <w:rFonts w:ascii="Arial" w:hAnsi="Arial"/>
                <w:sz w:val="14"/>
                <w:szCs w:val="20"/>
              </w:rPr>
            </w:pPr>
          </w:p>
        </w:tc>
      </w:tr>
    </w:tbl>
    <w:p w14:paraId="727B0903" w14:textId="77777777" w:rsidR="009C6940" w:rsidRPr="00CA2066" w:rsidRDefault="009C6940" w:rsidP="009C6940">
      <w:pPr>
        <w:pStyle w:val="BodyText"/>
      </w:pPr>
      <w:r>
        <w:t>T</w:t>
      </w:r>
      <w:r w:rsidRPr="00CA2066">
        <w:t xml:space="preserve">his estimate should be considered conservative as a range of other expenditure </w:t>
      </w:r>
      <w:r>
        <w:t>is</w:t>
      </w:r>
      <w:r w:rsidRPr="00F76191">
        <w:t xml:space="preserve"> not covered</w:t>
      </w:r>
      <w:r>
        <w:t xml:space="preserve"> </w:t>
      </w:r>
      <w:r w:rsidRPr="00CA2066">
        <w:t>(box </w:t>
      </w:r>
      <w:r>
        <w:t>H.</w:t>
      </w:r>
      <w:r w:rsidRPr="00CA2066">
        <w:t xml:space="preserve">1). </w:t>
      </w:r>
      <w:r>
        <w:t>For example, t</w:t>
      </w:r>
      <w:r w:rsidRPr="00CA2066">
        <w:t>here is an under attribution i</w:t>
      </w:r>
      <w:r>
        <w:t>n</w:t>
      </w:r>
      <w:r w:rsidRPr="00CA2066">
        <w:t xml:space="preserve"> the amount assigned to mental health from the Medicare Benefits Schedule</w:t>
      </w:r>
      <w:r>
        <w:t xml:space="preserve"> (MBS)</w:t>
      </w:r>
      <w:r w:rsidRPr="00CA2066">
        <w:t xml:space="preserve">. It is projected that the Australian Government spent approximately </w:t>
      </w:r>
      <w:r w:rsidRPr="009F7A4E">
        <w:t xml:space="preserve">$1.3 billion </w:t>
      </w:r>
      <w:r>
        <w:t>on</w:t>
      </w:r>
      <w:r w:rsidRPr="00CA2066">
        <w:t xml:space="preserve"> </w:t>
      </w:r>
      <w:r>
        <w:t>MBS</w:t>
      </w:r>
      <w:r>
        <w:noBreakHyphen/>
        <w:t>rebated</w:t>
      </w:r>
      <w:r w:rsidRPr="00CA2066">
        <w:t xml:space="preserve"> mental health specific services in 2018</w:t>
      </w:r>
      <w:r w:rsidRPr="00CA2066">
        <w:noBreakHyphen/>
        <w:t>19 (table </w:t>
      </w:r>
      <w:r>
        <w:t>H.</w:t>
      </w:r>
      <w:r w:rsidRPr="00CA2066">
        <w:t xml:space="preserve">1). However, this estimate only captures those </w:t>
      </w:r>
      <w:r>
        <w:t>MBS</w:t>
      </w:r>
      <w:r w:rsidRPr="00CA2066">
        <w:t xml:space="preserve"> numbers associated with mental health. It does not capture mental health services under </w:t>
      </w:r>
      <w:r>
        <w:t>other</w:t>
      </w:r>
      <w:r w:rsidRPr="00CA2066">
        <w:t xml:space="preserve"> </w:t>
      </w:r>
      <w:r>
        <w:t>MBS</w:t>
      </w:r>
      <w:r w:rsidRPr="00CA2066">
        <w:t xml:space="preserve"> items, such as a standard consultation with a </w:t>
      </w:r>
      <w:r>
        <w:t>GP</w:t>
      </w:r>
      <w:r w:rsidRPr="00CA2066">
        <w:t xml:space="preserve"> that deals with mental health </w:t>
      </w:r>
      <w:r>
        <w:t>problems</w:t>
      </w:r>
      <w:r w:rsidRPr="00CA2066">
        <w:t xml:space="preserve">. </w:t>
      </w:r>
      <w:r>
        <w:t xml:space="preserve">The Australian Institute of Health and Welfare (AIHW) </w:t>
      </w:r>
      <w:r w:rsidRPr="007F7BD0">
        <w:rPr>
          <w:szCs w:val="24"/>
        </w:rPr>
        <w:t>(2020b, p. </w:t>
      </w:r>
      <w:r w:rsidRPr="00F30B29">
        <w:rPr>
          <w:szCs w:val="24"/>
        </w:rPr>
        <w:t>1)</w:t>
      </w:r>
      <w:r>
        <w:t xml:space="preserve"> consider the </w:t>
      </w:r>
      <w:r w:rsidRPr="00CA2066">
        <w:t xml:space="preserve">underestimate to be substantial. </w:t>
      </w:r>
    </w:p>
    <w:p w14:paraId="7515A376" w14:textId="77777777" w:rsidR="009C6940" w:rsidRPr="00A96C33" w:rsidRDefault="009C6940" w:rsidP="009C6940">
      <w:pPr>
        <w:pStyle w:val="Quote"/>
      </w:pPr>
      <w:r w:rsidRPr="00A96C33">
        <w:t>It is unclear how many additional people receive GP mental health</w:t>
      </w:r>
      <w:r w:rsidRPr="00A96C33">
        <w:noBreakHyphen/>
        <w:t xml:space="preserve">related care that is billed as a consultation against generic GP MBS [Medicare Benefits Schedule] item numbers; however, the </w:t>
      </w:r>
      <w:r w:rsidRPr="00A96C33">
        <w:lastRenderedPageBreak/>
        <w:t>results of the 2015</w:t>
      </w:r>
      <w:r w:rsidRPr="00A96C33">
        <w:noBreakHyphen/>
        <w:t>16 Bettering the Evaluation and Care of Health (BEACH) survey suggest that this number is likely to be substantial. The BEACH survey estimated that, in 2015</w:t>
      </w:r>
      <w:r w:rsidRPr="00A96C33">
        <w:noBreakHyphen/>
        <w:t>16, 12.4% (18 million encounters or 749.9 encounters per 1,000 population) of all GP encounters were mental</w:t>
      </w:r>
      <w:r w:rsidRPr="00A96C33">
        <w:noBreakHyphen/>
        <w:t>health related. In the same year about 3.2 million (or 135.5 services per 1,000 population) Medicare</w:t>
      </w:r>
      <w:r w:rsidRPr="00A96C33">
        <w:noBreakHyphen/>
        <w:t>subsidised mental health</w:t>
      </w:r>
      <w:r w:rsidRPr="00A96C33">
        <w:noBreakHyphen/>
        <w:t xml:space="preserve">specific services were provided. </w:t>
      </w:r>
    </w:p>
    <w:p w14:paraId="5A2CCAF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ACF9E75" w14:textId="77777777" w:rsidTr="009C6940">
        <w:trPr>
          <w:tblHeader/>
        </w:trPr>
        <w:tc>
          <w:tcPr>
            <w:tcW w:w="5000" w:type="pct"/>
            <w:tcBorders>
              <w:top w:val="single" w:sz="6" w:space="0" w:color="78A22F"/>
              <w:left w:val="nil"/>
              <w:bottom w:val="nil"/>
              <w:right w:val="nil"/>
            </w:tcBorders>
            <w:shd w:val="clear" w:color="auto" w:fill="F2F2F2"/>
          </w:tcPr>
          <w:p w14:paraId="0372811B" w14:textId="77777777" w:rsidR="009C6940" w:rsidRDefault="009C6940" w:rsidP="009C6940">
            <w:pPr>
              <w:pStyle w:val="BoxTitle"/>
            </w:pPr>
            <w:r>
              <w:rPr>
                <w:b w:val="0"/>
              </w:rPr>
              <w:t>Box H.</w:t>
            </w:r>
            <w:r>
              <w:rPr>
                <w:b w:val="0"/>
                <w:noProof/>
              </w:rPr>
              <w:t>1</w:t>
            </w:r>
            <w:r>
              <w:tab/>
              <w:t xml:space="preserve">What is counted in AIHW government expenditure? </w:t>
            </w:r>
          </w:p>
        </w:tc>
      </w:tr>
      <w:tr w:rsidR="009C6940" w14:paraId="76A1C9BE" w14:textId="77777777" w:rsidTr="009C6940">
        <w:tc>
          <w:tcPr>
            <w:tcW w:w="5000" w:type="pct"/>
            <w:tcBorders>
              <w:top w:val="nil"/>
              <w:left w:val="nil"/>
              <w:bottom w:val="nil"/>
              <w:right w:val="nil"/>
            </w:tcBorders>
            <w:shd w:val="clear" w:color="auto" w:fill="F2F2F2"/>
          </w:tcPr>
          <w:p w14:paraId="69FECA70" w14:textId="77777777" w:rsidR="009C6940" w:rsidRPr="00A5716A" w:rsidRDefault="009C6940" w:rsidP="009C6940">
            <w:pPr>
              <w:pStyle w:val="Box"/>
            </w:pPr>
            <w:r w:rsidRPr="00A5716A">
              <w:t>Estimated Australian Government expenditure reported covers only those areas of expenditure that have a clear and identifiable mental health purpose. Broadly, this covers:</w:t>
            </w:r>
          </w:p>
          <w:p w14:paraId="6EA92604" w14:textId="77777777" w:rsidR="009C6940" w:rsidRPr="00A5716A" w:rsidRDefault="009C6940" w:rsidP="009C6940">
            <w:pPr>
              <w:pStyle w:val="BoxListBullet"/>
            </w:pPr>
            <w:r w:rsidRPr="00A5716A">
              <w:t>programs and services principally targeted at providing assessment, treatment, support or other assistance</w:t>
            </w:r>
          </w:p>
          <w:p w14:paraId="6A2466E7" w14:textId="77777777" w:rsidR="009C6940" w:rsidRPr="00A5716A" w:rsidRDefault="009C6940" w:rsidP="009C6940">
            <w:pPr>
              <w:pStyle w:val="BoxListBullet"/>
            </w:pPr>
            <w:r w:rsidRPr="00A5716A">
              <w:t>population</w:t>
            </w:r>
            <w:r>
              <w:noBreakHyphen/>
            </w:r>
            <w:r w:rsidRPr="00A5716A">
              <w:t>level programs that have as their primary aim the prevention of mental illness or the improvement of mental health and wellbeing</w:t>
            </w:r>
          </w:p>
          <w:p w14:paraId="118CAB13" w14:textId="77777777" w:rsidR="009C6940" w:rsidRDefault="009C6940" w:rsidP="009C6940">
            <w:pPr>
              <w:pStyle w:val="BoxListBullet"/>
            </w:pPr>
            <w:r w:rsidRPr="00A5716A">
              <w:t>research with a mental health focus.</w:t>
            </w:r>
          </w:p>
          <w:p w14:paraId="5C8BB4BE" w14:textId="77777777" w:rsidR="009C6940" w:rsidRDefault="009C6940" w:rsidP="009C6940">
            <w:pPr>
              <w:pStyle w:val="Box"/>
            </w:pPr>
            <w:r>
              <w:t xml:space="preserve">Expenditure by specialised mental health services is taken from the </w:t>
            </w:r>
            <w:r w:rsidRPr="006A5EBA">
              <w:t>Mental Health Establishments National Minimum Data Set</w:t>
            </w:r>
            <w:r>
              <w:t xml:space="preserve">. It includes all </w:t>
            </w:r>
            <w:r w:rsidRPr="006A5EBA">
              <w:t>specialised mental health services</w:t>
            </w:r>
            <w:r>
              <w:t xml:space="preserve"> </w:t>
            </w:r>
            <w:r w:rsidRPr="006A5EBA">
              <w:t xml:space="preserve">managed or funded, partially or fully, by </w:t>
            </w:r>
            <w:r>
              <w:t>s</w:t>
            </w:r>
            <w:r w:rsidRPr="006A5EBA">
              <w:t xml:space="preserve">tate or </w:t>
            </w:r>
            <w:r>
              <w:t>t</w:t>
            </w:r>
            <w:r w:rsidRPr="006A5EBA">
              <w:t xml:space="preserve">erritory health authorities. Specialised mental health services are those with the primary function of providing treatment, rehabilitation or community health support targeted towards people with mental </w:t>
            </w:r>
            <w:r>
              <w:t>illness</w:t>
            </w:r>
            <w:r w:rsidRPr="006A5EBA">
              <w:t>. These activities are delivered from a service or facility that is readily identifiable as both specialised and serving a mental healthcare function.</w:t>
            </w:r>
            <w:r>
              <w:t xml:space="preserve"> While expenditure is notionally allocated to State and Territory Governments, some expenditure is funded by the Australian Government. </w:t>
            </w:r>
          </w:p>
        </w:tc>
      </w:tr>
      <w:tr w:rsidR="009C6940" w14:paraId="2C0185FE" w14:textId="77777777" w:rsidTr="009C6940">
        <w:tc>
          <w:tcPr>
            <w:tcW w:w="5000" w:type="pct"/>
            <w:tcBorders>
              <w:top w:val="nil"/>
              <w:left w:val="nil"/>
              <w:bottom w:val="nil"/>
              <w:right w:val="nil"/>
            </w:tcBorders>
            <w:shd w:val="clear" w:color="auto" w:fill="F2F2F2"/>
          </w:tcPr>
          <w:p w14:paraId="37C56D5E" w14:textId="77777777" w:rsidR="009C6940" w:rsidRDefault="009C6940" w:rsidP="009C6940">
            <w:pPr>
              <w:pStyle w:val="BoxSource"/>
            </w:pPr>
            <w:r>
              <w:rPr>
                <w:i/>
              </w:rPr>
              <w:t>Source</w:t>
            </w:r>
            <w:r w:rsidRPr="00526FDB">
              <w:t>:</w:t>
            </w:r>
            <w:r>
              <w:rPr>
                <w:i/>
              </w:rPr>
              <w:t xml:space="preserve"> </w:t>
            </w:r>
            <w:r w:rsidRPr="000967CA">
              <w:t>AIHW</w:t>
            </w:r>
            <w:r>
              <w:rPr>
                <w:i/>
              </w:rPr>
              <w:t xml:space="preserve"> </w:t>
            </w:r>
            <w:r w:rsidRPr="007F7BD0">
              <w:rPr>
                <w:rFonts w:cs="Arial"/>
              </w:rPr>
              <w:t>(2020b)</w:t>
            </w:r>
            <w:r w:rsidRPr="000967CA">
              <w:t>.</w:t>
            </w:r>
          </w:p>
        </w:tc>
      </w:tr>
      <w:tr w:rsidR="009C6940" w14:paraId="6FEE58E4" w14:textId="77777777" w:rsidTr="009C6940">
        <w:tc>
          <w:tcPr>
            <w:tcW w:w="5000" w:type="pct"/>
            <w:tcBorders>
              <w:top w:val="nil"/>
              <w:left w:val="nil"/>
              <w:bottom w:val="single" w:sz="6" w:space="0" w:color="78A22F"/>
              <w:right w:val="nil"/>
            </w:tcBorders>
            <w:shd w:val="clear" w:color="auto" w:fill="F2F2F2"/>
          </w:tcPr>
          <w:p w14:paraId="517E28C1" w14:textId="77777777" w:rsidR="009C6940" w:rsidRDefault="009C6940" w:rsidP="009C6940">
            <w:pPr>
              <w:pStyle w:val="Box"/>
              <w:spacing w:before="0" w:line="120" w:lineRule="exact"/>
            </w:pPr>
          </w:p>
        </w:tc>
      </w:tr>
      <w:tr w:rsidR="009C6940" w:rsidRPr="000863A5" w14:paraId="78B1497C" w14:textId="77777777" w:rsidTr="009C6940">
        <w:tc>
          <w:tcPr>
            <w:tcW w:w="5000" w:type="pct"/>
            <w:tcBorders>
              <w:top w:val="single" w:sz="6" w:space="0" w:color="78A22F"/>
              <w:left w:val="nil"/>
              <w:bottom w:val="nil"/>
              <w:right w:val="nil"/>
            </w:tcBorders>
          </w:tcPr>
          <w:p w14:paraId="25D5086F" w14:textId="77777777" w:rsidR="009C6940" w:rsidRPr="00626D32" w:rsidRDefault="009C6940" w:rsidP="009C6940">
            <w:pPr>
              <w:pStyle w:val="BoxSpaceBelow"/>
            </w:pPr>
          </w:p>
        </w:tc>
      </w:tr>
    </w:tbl>
    <w:p w14:paraId="445D1EF8" w14:textId="77777777" w:rsidR="009C6940" w:rsidRDefault="009C6940" w:rsidP="009C6940">
      <w:pPr>
        <w:pStyle w:val="BodyText"/>
      </w:pPr>
      <w:r>
        <w:t>T</w:t>
      </w:r>
      <w:r w:rsidRPr="008E6E5B">
        <w:t xml:space="preserve">here is also unaccounted expenditure on suicide prevention programs. The Australian </w:t>
      </w:r>
      <w:r w:rsidRPr="004F630D">
        <w:t xml:space="preserve">Government spent over $50 million on suicide prevention under its National Suicide </w:t>
      </w:r>
      <w:r w:rsidRPr="008E6E5B">
        <w:t>Prevention Program in 201</w:t>
      </w:r>
      <w:r>
        <w:t>7</w:t>
      </w:r>
      <w:r>
        <w:noBreakHyphen/>
        <w:t xml:space="preserve">18 </w:t>
      </w:r>
      <w:r w:rsidRPr="003A0F02">
        <w:rPr>
          <w:szCs w:val="24"/>
        </w:rPr>
        <w:t>(AIHW 2020a, table EXP.31)</w:t>
      </w:r>
      <w:r w:rsidRPr="008E6E5B">
        <w:t xml:space="preserve">. State and Territory Governments also provide and fund their own suicide prevention plans and activities, designed to meet local needs. However, data on the expenditure and service activity for these plans are not </w:t>
      </w:r>
      <w:r>
        <w:t>publicly available in a consolidated form for all jurisdictions</w:t>
      </w:r>
      <w:r w:rsidRPr="008E6E5B">
        <w:t xml:space="preserve"> (chapter </w:t>
      </w:r>
      <w:r>
        <w:t>9</w:t>
      </w:r>
      <w:r w:rsidRPr="008E6E5B">
        <w:t xml:space="preserve">). </w:t>
      </w:r>
      <w:r>
        <w:t xml:space="preserve">Nevertheless, the NSW </w:t>
      </w:r>
      <w:r w:rsidRPr="008E6E5B">
        <w:t>Government</w:t>
      </w:r>
      <w:r>
        <w:t xml:space="preserve"> (sub. 551, p. 6) submitted that they had committed $19.7 million in 2019</w:t>
      </w:r>
      <w:r>
        <w:noBreakHyphen/>
        <w:t>20 to support implementation of key suicide prevention initiatives.</w:t>
      </w:r>
    </w:p>
    <w:p w14:paraId="4379F2ED" w14:textId="77777777" w:rsidR="009C6940" w:rsidRDefault="009C6940" w:rsidP="009C6940">
      <w:pPr>
        <w:pStyle w:val="BodyText"/>
      </w:pPr>
      <w:r>
        <w:t>No</w:t>
      </w:r>
      <w:r w:rsidRPr="00090E03">
        <w:t xml:space="preserve"> administrative overheads associated with </w:t>
      </w:r>
      <w:r>
        <w:t>management</w:t>
      </w:r>
      <w:r w:rsidRPr="00090E03">
        <w:t xml:space="preserve"> of the mental health items within the </w:t>
      </w:r>
      <w:r>
        <w:t xml:space="preserve">MBS and Pharmaceutical Benefit Scheme (PBS) are covered in the Australian Government expenditure data </w:t>
      </w:r>
      <w:r w:rsidRPr="007F7BD0">
        <w:rPr>
          <w:szCs w:val="24"/>
        </w:rPr>
        <w:t>(AIHW </w:t>
      </w:r>
      <w:r w:rsidRPr="00F30B29">
        <w:rPr>
          <w:szCs w:val="24"/>
        </w:rPr>
        <w:t>2020b)</w:t>
      </w:r>
      <w:r>
        <w:t xml:space="preserve">. </w:t>
      </w:r>
    </w:p>
    <w:p w14:paraId="386937FA" w14:textId="77777777" w:rsidR="009C6940" w:rsidRDefault="009C6940" w:rsidP="009C6940">
      <w:pPr>
        <w:pStyle w:val="BodyText"/>
      </w:pPr>
      <w:r>
        <w:t xml:space="preserve">To minimise unaccounted expenditure, some estimates are based on research </w:t>
      </w:r>
      <w:r w:rsidRPr="008E6E5B">
        <w:t>literature</w:t>
      </w:r>
      <w:r>
        <w:t xml:space="preserve"> and unpublished sources. For example, n</w:t>
      </w:r>
      <w:r w:rsidRPr="008E6E5B">
        <w:t>ational data collections</w:t>
      </w:r>
      <w:r>
        <w:t xml:space="preserve"> for mental health </w:t>
      </w:r>
      <w:r w:rsidRPr="008E6E5B">
        <w:t>do not include the expenditure of publicly</w:t>
      </w:r>
      <w:r w:rsidRPr="008E6E5B">
        <w:noBreakHyphen/>
        <w:t xml:space="preserve">funded treatment for </w:t>
      </w:r>
      <w:r>
        <w:t xml:space="preserve">substance </w:t>
      </w:r>
      <w:r w:rsidRPr="008E6E5B">
        <w:t xml:space="preserve">use </w:t>
      </w:r>
      <w:r>
        <w:t>disorders</w:t>
      </w:r>
      <w:r w:rsidRPr="008E6E5B">
        <w:t>.</w:t>
      </w:r>
      <w:r>
        <w:t xml:space="preserve"> Nevertheless, b</w:t>
      </w:r>
      <w:r w:rsidRPr="008E6E5B">
        <w:t>ased on the estimates by Ritter</w:t>
      </w:r>
      <w:r>
        <w:t xml:space="preserve"> </w:t>
      </w:r>
      <w:r w:rsidRPr="008E6E5B">
        <w:t>et</w:t>
      </w:r>
      <w:r>
        <w:t xml:space="preserve"> </w:t>
      </w:r>
      <w:r w:rsidRPr="008E6E5B">
        <w:t>al.</w:t>
      </w:r>
      <w:r>
        <w:t xml:space="preserve"> </w:t>
      </w:r>
      <w:r w:rsidRPr="008E6E5B">
        <w:t xml:space="preserve">(2014) and data from the Australian Department of Health, healthcare costs of substance use disorders </w:t>
      </w:r>
      <w:r>
        <w:t xml:space="preserve">are estimated </w:t>
      </w:r>
      <w:r w:rsidRPr="008E6E5B">
        <w:t xml:space="preserve">to </w:t>
      </w:r>
      <w:r w:rsidRPr="00457D9E">
        <w:t>be</w:t>
      </w:r>
      <w:r>
        <w:t xml:space="preserve"> in </w:t>
      </w:r>
      <w:r w:rsidRPr="00CA2066">
        <w:t xml:space="preserve">the order of $1 billion in </w:t>
      </w:r>
      <w:r w:rsidRPr="008E6E5B">
        <w:t>2018</w:t>
      </w:r>
      <w:r>
        <w:noBreakHyphen/>
      </w:r>
      <w:r w:rsidRPr="008E6E5B">
        <w:t>19</w:t>
      </w:r>
      <w:r>
        <w:t xml:space="preserve"> (Productivity Commission estimates)</w:t>
      </w:r>
      <w:r w:rsidRPr="008E6E5B">
        <w:t xml:space="preserve">. </w:t>
      </w:r>
    </w:p>
    <w:p w14:paraId="37954F68" w14:textId="77777777" w:rsidR="009C6940" w:rsidRPr="008E6E5B" w:rsidRDefault="009C6940" w:rsidP="009C6940">
      <w:pPr>
        <w:keepNext/>
        <w:spacing w:before="560" w:line="320" w:lineRule="exact"/>
        <w:outlineLvl w:val="2"/>
        <w:rPr>
          <w:rFonts w:ascii="Arial" w:hAnsi="Arial"/>
          <w:b/>
          <w:sz w:val="26"/>
          <w:szCs w:val="20"/>
        </w:rPr>
      </w:pPr>
      <w:r w:rsidRPr="008E6E5B">
        <w:rPr>
          <w:rFonts w:ascii="Arial" w:hAnsi="Arial"/>
          <w:b/>
          <w:sz w:val="26"/>
          <w:szCs w:val="20"/>
        </w:rPr>
        <w:lastRenderedPageBreak/>
        <w:t>Mental healthcare expenses by non</w:t>
      </w:r>
      <w:r>
        <w:rPr>
          <w:rFonts w:ascii="Arial" w:hAnsi="Arial"/>
          <w:b/>
          <w:sz w:val="26"/>
          <w:szCs w:val="20"/>
        </w:rPr>
        <w:t>-</w:t>
      </w:r>
      <w:r w:rsidRPr="008E6E5B">
        <w:rPr>
          <w:rFonts w:ascii="Arial" w:hAnsi="Arial"/>
          <w:b/>
          <w:sz w:val="26"/>
          <w:szCs w:val="20"/>
        </w:rPr>
        <w:t xml:space="preserve">government parties </w:t>
      </w:r>
    </w:p>
    <w:p w14:paraId="76141D99" w14:textId="77777777" w:rsidR="009C6940" w:rsidRPr="008E6E5B" w:rsidRDefault="009C6940" w:rsidP="009C6940">
      <w:pPr>
        <w:pStyle w:val="Heading4"/>
        <w:spacing w:before="280"/>
      </w:pPr>
      <w:r w:rsidRPr="008E6E5B">
        <w:t>Out</w:t>
      </w:r>
      <w:r>
        <w:t>-</w:t>
      </w:r>
      <w:r w:rsidRPr="008E6E5B">
        <w:t>of</w:t>
      </w:r>
      <w:r>
        <w:t>-</w:t>
      </w:r>
      <w:r w:rsidRPr="008E6E5B">
        <w:t xml:space="preserve">pocket costs to individuals </w:t>
      </w:r>
    </w:p>
    <w:p w14:paraId="7CC06818" w14:textId="77777777" w:rsidR="009C6940" w:rsidRPr="008E6E5B" w:rsidRDefault="009C6940" w:rsidP="009C6940">
      <w:pPr>
        <w:spacing w:before="240" w:line="300" w:lineRule="atLeast"/>
        <w:jc w:val="both"/>
        <w:rPr>
          <w:szCs w:val="20"/>
        </w:rPr>
      </w:pPr>
      <w:r w:rsidRPr="008E6E5B">
        <w:rPr>
          <w:szCs w:val="20"/>
        </w:rPr>
        <w:t>Individuals also incur costs associated with mental healthcare known as out</w:t>
      </w:r>
      <w:r w:rsidRPr="008E6E5B">
        <w:rPr>
          <w:szCs w:val="20"/>
        </w:rPr>
        <w:noBreakHyphen/>
        <w:t>of</w:t>
      </w:r>
      <w:r w:rsidRPr="008E6E5B">
        <w:rPr>
          <w:szCs w:val="20"/>
        </w:rPr>
        <w:noBreakHyphen/>
        <w:t xml:space="preserve">pocket costs. These cost can represent the full cost of a service or a shared payment, over and above any amount paid by the Australian Government or a private health insurance fund. </w:t>
      </w:r>
      <w:r>
        <w:rPr>
          <w:szCs w:val="20"/>
        </w:rPr>
        <w:t>There are many examples of how out</w:t>
      </w:r>
      <w:r>
        <w:rPr>
          <w:szCs w:val="20"/>
        </w:rPr>
        <w:noBreakHyphen/>
        <w:t>of</w:t>
      </w:r>
      <w:r>
        <w:rPr>
          <w:szCs w:val="20"/>
        </w:rPr>
        <w:noBreakHyphen/>
        <w:t>pocket costs can be incurred.</w:t>
      </w:r>
    </w:p>
    <w:p w14:paraId="7C66681C" w14:textId="77777777" w:rsidR="009C6940" w:rsidRPr="002C60CD" w:rsidRDefault="009C6940" w:rsidP="009C6940">
      <w:pPr>
        <w:pStyle w:val="BodyText"/>
      </w:pPr>
      <w:r w:rsidRPr="002C60CD">
        <w:t>Based on administrative data, out</w:t>
      </w:r>
      <w:r w:rsidRPr="002C60CD">
        <w:noBreakHyphen/>
        <w:t>of</w:t>
      </w:r>
      <w:r w:rsidRPr="002C60CD">
        <w:noBreakHyphen/>
        <w:t xml:space="preserve">pocket costs for consultations and medication (that had an associated government </w:t>
      </w:r>
      <w:r>
        <w:t>rebate</w:t>
      </w:r>
      <w:r w:rsidRPr="002C60CD">
        <w:t>) for people with mental ill</w:t>
      </w:r>
      <w:r w:rsidRPr="002C60CD">
        <w:noBreakHyphen/>
        <w:t>health was $0.7 billion in 2018</w:t>
      </w:r>
      <w:r w:rsidRPr="002C60CD">
        <w:noBreakHyphen/>
        <w:t>19 (table </w:t>
      </w:r>
      <w:r>
        <w:t>H.</w:t>
      </w:r>
      <w:r w:rsidRPr="002C60CD">
        <w:t xml:space="preserve">1). Of the mental health services that the Australian Government </w:t>
      </w:r>
      <w:r>
        <w:t>provides rebates for</w:t>
      </w:r>
      <w:r w:rsidRPr="002C60CD">
        <w:t xml:space="preserve"> through the MBS, such as services from a </w:t>
      </w:r>
      <w:r>
        <w:t>GP</w:t>
      </w:r>
      <w:r w:rsidRPr="002C60CD">
        <w:t>, individuals contributed an estimated $0.3 billion in 2018</w:t>
      </w:r>
      <w:r w:rsidRPr="002C60CD">
        <w:noBreakHyphen/>
        <w:t>19</w:t>
      </w:r>
      <w:r>
        <w:t xml:space="preserve"> </w:t>
      </w:r>
      <w:r w:rsidRPr="003A0F02">
        <w:rPr>
          <w:szCs w:val="24"/>
        </w:rPr>
        <w:t>(Productivity Commission estimates based</w:t>
      </w:r>
      <w:r>
        <w:rPr>
          <w:szCs w:val="24"/>
        </w:rPr>
        <w:t xml:space="preserve"> on</w:t>
      </w:r>
      <w:r w:rsidRPr="003A0F02">
        <w:rPr>
          <w:szCs w:val="24"/>
        </w:rPr>
        <w:t xml:space="preserve"> AIHW 2020a)</w:t>
      </w:r>
      <w:r w:rsidRPr="002C60CD">
        <w:t>.</w:t>
      </w:r>
      <w:r w:rsidRPr="00483A79">
        <w:rPr>
          <w:rStyle w:val="FootnoteReference"/>
        </w:rPr>
        <w:footnoteReference w:id="16"/>
      </w:r>
      <w:r w:rsidRPr="002C60CD">
        <w:t xml:space="preserve"> Based on PBS data, the total patient contribution for mental health prescriptions in 2018</w:t>
      </w:r>
      <w:r w:rsidRPr="002C60CD">
        <w:noBreakHyphen/>
        <w:t>19 was $0.4 billion</w:t>
      </w:r>
      <w:r>
        <w:t xml:space="preserve"> (</w:t>
      </w:r>
      <w:r w:rsidRPr="00B53BD5">
        <w:t>Productivity Commission estimates using ABS</w:t>
      </w:r>
      <w:r>
        <w:t> 2018</w:t>
      </w:r>
      <w:r w:rsidRPr="00B53BD5">
        <w:t>)</w:t>
      </w:r>
      <w:r w:rsidRPr="002C60CD">
        <w:t>. Co</w:t>
      </w:r>
      <w:r>
        <w:noBreakHyphen/>
      </w:r>
      <w:r w:rsidRPr="002C60CD">
        <w:t>payments for products and services under the MBS and PBS are just two possible sources of out</w:t>
      </w:r>
      <w:r w:rsidRPr="002C60CD">
        <w:noBreakHyphen/>
        <w:t>of</w:t>
      </w:r>
      <w:r w:rsidRPr="002C60CD">
        <w:noBreakHyphen/>
        <w:t>pocket costs</w:t>
      </w:r>
      <w:r>
        <w:t xml:space="preserve"> (chapter 3)</w:t>
      </w:r>
      <w:r w:rsidRPr="002C60CD">
        <w:t>.</w:t>
      </w:r>
    </w:p>
    <w:p w14:paraId="7FB50310" w14:textId="77777777" w:rsidR="009C6940" w:rsidRDefault="009C6940" w:rsidP="009C6940">
      <w:pPr>
        <w:pStyle w:val="BodyText"/>
      </w:pPr>
      <w:r>
        <w:t>In the draft report, we sought additional sources of data for out</w:t>
      </w:r>
      <w:r>
        <w:noBreakHyphen/>
        <w:t>of</w:t>
      </w:r>
      <w:r>
        <w:noBreakHyphen/>
        <w:t>pocket costs. We appreciate the information that some participants provided on the cost of their programs, how out</w:t>
      </w:r>
      <w:r>
        <w:noBreakHyphen/>
        <w:t>of</w:t>
      </w:r>
      <w:r>
        <w:noBreakHyphen/>
        <w:t xml:space="preserve">pocket costs could be reduced and the barrier they creates in accessing services (for example, </w:t>
      </w:r>
      <w:r w:rsidRPr="009C6E8E">
        <w:t>Independent Private Psychiatrist Group</w:t>
      </w:r>
      <w:r>
        <w:t>,</w:t>
      </w:r>
      <w:r w:rsidRPr="009C6E8E">
        <w:t xml:space="preserve"> sub.</w:t>
      </w:r>
      <w:r>
        <w:t> </w:t>
      </w:r>
      <w:r w:rsidRPr="009C6E8E">
        <w:t>742</w:t>
      </w:r>
      <w:r>
        <w:t xml:space="preserve">; </w:t>
      </w:r>
      <w:r w:rsidRPr="009C6E8E">
        <w:t>Bupa</w:t>
      </w:r>
      <w:r>
        <w:t>,</w:t>
      </w:r>
      <w:r w:rsidRPr="009C6E8E">
        <w:t xml:space="preserve"> sub.</w:t>
      </w:r>
      <w:r>
        <w:t> </w:t>
      </w:r>
      <w:r w:rsidRPr="009C6E8E">
        <w:t>1191</w:t>
      </w:r>
      <w:r>
        <w:t>). However, this information was not sufficient to provide aggregate estimates of existing expenditure beyond out</w:t>
      </w:r>
      <w:r>
        <w:noBreakHyphen/>
        <w:t>of</w:t>
      </w:r>
      <w:r>
        <w:noBreakHyphen/>
        <w:t xml:space="preserve">pocket expenses associated with MBS and PBS expenditure. </w:t>
      </w:r>
    </w:p>
    <w:p w14:paraId="5E43779E" w14:textId="77777777" w:rsidR="009C6940" w:rsidRPr="00A241B0" w:rsidRDefault="009C6940" w:rsidP="009C6940">
      <w:pPr>
        <w:pStyle w:val="BodyText"/>
        <w:rPr>
          <w:b/>
        </w:rPr>
      </w:pPr>
      <w:r>
        <w:t>Future surveys represent a possible source of aggregate out</w:t>
      </w:r>
      <w:r>
        <w:noBreakHyphen/>
        <w:t>of</w:t>
      </w:r>
      <w:r>
        <w:noBreakHyphen/>
        <w:t xml:space="preserve">pocket costs data, particularly the ABS surveys. For example, the ABS is in the process of designing the next Mental Health and Wellbeing survey, which could gather information on costs that consumers incur outside the PBS and MBS, such as private prescriptions, full treatment costs or associated travel and accommodation costs. </w:t>
      </w:r>
    </w:p>
    <w:p w14:paraId="5D50DD83" w14:textId="77777777" w:rsidR="009C6940" w:rsidRPr="008E6E5B" w:rsidRDefault="009C6940" w:rsidP="009C6940">
      <w:pPr>
        <w:keepNext/>
        <w:spacing w:before="480" w:line="320" w:lineRule="exact"/>
        <w:outlineLvl w:val="3"/>
        <w:rPr>
          <w:rFonts w:ascii="Arial" w:hAnsi="Arial"/>
          <w:szCs w:val="20"/>
        </w:rPr>
      </w:pPr>
      <w:r w:rsidRPr="008E6E5B">
        <w:rPr>
          <w:rFonts w:ascii="Arial" w:hAnsi="Arial"/>
          <w:szCs w:val="20"/>
        </w:rPr>
        <w:t>Private insurance costs</w:t>
      </w:r>
    </w:p>
    <w:p w14:paraId="024EC0C3" w14:textId="77777777" w:rsidR="009C6940" w:rsidRPr="008E6E5B" w:rsidRDefault="009C6940" w:rsidP="009C6940">
      <w:pPr>
        <w:pStyle w:val="BodyText"/>
      </w:pPr>
      <w:r w:rsidRPr="008E6E5B">
        <w:t>Private health insurers also fund mental healthcare</w:t>
      </w:r>
      <w:r>
        <w:t xml:space="preserve">, which is estimated to be </w:t>
      </w:r>
      <w:r w:rsidRPr="002C60CD">
        <w:t>approximately $0.6 billion in</w:t>
      </w:r>
      <w:r w:rsidRPr="008E6E5B">
        <w:t xml:space="preserve"> 2018</w:t>
      </w:r>
      <w:r w:rsidRPr="008E6E5B">
        <w:noBreakHyphen/>
        <w:t>19</w:t>
      </w:r>
      <w:r>
        <w:t xml:space="preserve"> dollars</w:t>
      </w:r>
      <w:r w:rsidRPr="008E6E5B">
        <w:t xml:space="preserve"> (table </w:t>
      </w:r>
      <w:r>
        <w:t>H.</w:t>
      </w:r>
      <w:r w:rsidRPr="008E6E5B">
        <w:t>1).</w:t>
      </w:r>
    </w:p>
    <w:p w14:paraId="2245A7F9" w14:textId="77777777" w:rsidR="009C6940" w:rsidRPr="002C60CD" w:rsidRDefault="009C6940" w:rsidP="009C6940">
      <w:pPr>
        <w:pStyle w:val="BodyText"/>
      </w:pPr>
      <w:r w:rsidRPr="002C60CD">
        <w:t>Similarly, workers compensation insurers fund mental healthcare for work</w:t>
      </w:r>
      <w:r>
        <w:noBreakHyphen/>
      </w:r>
      <w:r w:rsidRPr="002C60CD">
        <w:t>related claims (chapter </w:t>
      </w:r>
      <w:r>
        <w:t>7</w:t>
      </w:r>
      <w:r w:rsidRPr="002C60CD">
        <w:t>). According to Safe</w:t>
      </w:r>
      <w:r>
        <w:t xml:space="preserve"> </w:t>
      </w:r>
      <w:r w:rsidRPr="002C60CD">
        <w:t>Work Australia, over 7000</w:t>
      </w:r>
      <w:r>
        <w:t> </w:t>
      </w:r>
      <w:r w:rsidRPr="002C60CD">
        <w:t xml:space="preserve">Australians are compensated for </w:t>
      </w:r>
      <w:r w:rsidRPr="002C60CD">
        <w:lastRenderedPageBreak/>
        <w:t>work</w:t>
      </w:r>
      <w:r w:rsidRPr="002C60CD">
        <w:noBreakHyphen/>
        <w:t>related psychological claims each year, equating to $0.3 billion paid in workers compensation (</w:t>
      </w:r>
      <w:r w:rsidRPr="00E91064">
        <w:t>Safe</w:t>
      </w:r>
      <w:r>
        <w:t xml:space="preserve"> </w:t>
      </w:r>
      <w:r w:rsidRPr="00E91064">
        <w:t>Work Australia’s National Data</w:t>
      </w:r>
      <w:r>
        <w:noBreakHyphen/>
      </w:r>
      <w:r w:rsidRPr="00E91064">
        <w:t>Set for Compensation</w:t>
      </w:r>
      <w:r>
        <w:noBreakHyphen/>
      </w:r>
      <w:r w:rsidRPr="00E91064">
        <w:t>based Statistics</w:t>
      </w:r>
      <w:r>
        <w:t>)</w:t>
      </w:r>
      <w:r w:rsidRPr="002C60CD">
        <w:t>.</w:t>
      </w:r>
    </w:p>
    <w:p w14:paraId="6549B899" w14:textId="77777777" w:rsidR="009C6940" w:rsidRPr="008E6E5B" w:rsidRDefault="009C6940" w:rsidP="009C6940">
      <w:pPr>
        <w:keepNext/>
        <w:spacing w:before="600" w:line="400" w:lineRule="exact"/>
        <w:ind w:left="907" w:hanging="907"/>
        <w:outlineLvl w:val="1"/>
        <w:rPr>
          <w:rFonts w:ascii="Arial" w:hAnsi="Arial"/>
          <w:b/>
          <w:sz w:val="32"/>
          <w:szCs w:val="20"/>
        </w:rPr>
      </w:pPr>
      <w:r>
        <w:rPr>
          <w:rFonts w:ascii="Arial" w:hAnsi="Arial"/>
          <w:b/>
          <w:sz w:val="32"/>
          <w:szCs w:val="20"/>
        </w:rPr>
        <w:t>H.</w:t>
      </w:r>
      <w:r>
        <w:rPr>
          <w:rFonts w:ascii="Arial" w:hAnsi="Arial"/>
          <w:b/>
          <w:noProof/>
          <w:sz w:val="32"/>
          <w:szCs w:val="20"/>
        </w:rPr>
        <w:t>2</w:t>
      </w:r>
      <w:r w:rsidRPr="008E6E5B">
        <w:rPr>
          <w:rFonts w:ascii="Arial" w:hAnsi="Arial"/>
          <w:b/>
          <w:sz w:val="32"/>
          <w:szCs w:val="20"/>
        </w:rPr>
        <w:tab/>
        <w:t xml:space="preserve">Expenditure on other services and supports </w:t>
      </w:r>
    </w:p>
    <w:p w14:paraId="583BBED1" w14:textId="77777777" w:rsidR="009C6940" w:rsidRPr="008E6E5B" w:rsidRDefault="009C6940" w:rsidP="009C6940">
      <w:pPr>
        <w:pStyle w:val="BodyText"/>
      </w:pPr>
      <w:r w:rsidRPr="008E6E5B">
        <w:t>In addition to direct expenditure on mental health</w:t>
      </w:r>
      <w:r>
        <w:t xml:space="preserve">care and </w:t>
      </w:r>
      <w:r w:rsidRPr="008E6E5B">
        <w:t>related</w:t>
      </w:r>
      <w:r>
        <w:t xml:space="preserve"> </w:t>
      </w:r>
      <w:r w:rsidRPr="008E6E5B">
        <w:t xml:space="preserve">services, governments also </w:t>
      </w:r>
      <w:r>
        <w:t>fund</w:t>
      </w:r>
      <w:r w:rsidRPr="008E6E5B">
        <w:t xml:space="preserve"> a range of programs and services that help support people</w:t>
      </w:r>
      <w:r>
        <w:t>.</w:t>
      </w:r>
      <w:r w:rsidRPr="008E6E5B">
        <w:t xml:space="preserve"> However, as only some of these services are used as a direct result of a person’s mental ill</w:t>
      </w:r>
      <w:r>
        <w:t>ness</w:t>
      </w:r>
      <w:r w:rsidRPr="008E6E5B">
        <w:t>, assumptions are necessary to attribute expenditure (box</w:t>
      </w:r>
      <w:r>
        <w:t> H.2).</w:t>
      </w:r>
    </w:p>
    <w:p w14:paraId="07142DB9" w14:textId="77777777" w:rsidR="009C6940" w:rsidRPr="008E6E5B" w:rsidRDefault="009C6940" w:rsidP="009C6940">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8E6E5B" w14:paraId="7FCEFDAA" w14:textId="77777777" w:rsidTr="009C6940">
        <w:trPr>
          <w:tblHeader/>
        </w:trPr>
        <w:tc>
          <w:tcPr>
            <w:tcW w:w="5000" w:type="pct"/>
            <w:tcBorders>
              <w:top w:val="single" w:sz="6" w:space="0" w:color="78A22F"/>
              <w:left w:val="nil"/>
              <w:bottom w:val="nil"/>
              <w:right w:val="nil"/>
            </w:tcBorders>
            <w:shd w:val="clear" w:color="auto" w:fill="F2F2F2"/>
          </w:tcPr>
          <w:p w14:paraId="2C2AC4DC" w14:textId="77777777" w:rsidR="009C6940" w:rsidRPr="008E6E5B" w:rsidRDefault="009C6940" w:rsidP="009C6940">
            <w:pPr>
              <w:keepNext/>
              <w:keepLines/>
              <w:spacing w:before="120" w:line="280" w:lineRule="exact"/>
              <w:ind w:left="1474" w:hanging="1474"/>
              <w:rPr>
                <w:rFonts w:ascii="Arial" w:hAnsi="Arial"/>
                <w:b/>
              </w:rPr>
            </w:pPr>
            <w:r w:rsidRPr="008E6E5B">
              <w:rPr>
                <w:rFonts w:ascii="Arial" w:hAnsi="Arial"/>
              </w:rPr>
              <w:t xml:space="preserve">Box </w:t>
            </w:r>
            <w:r>
              <w:rPr>
                <w:rFonts w:ascii="Arial" w:hAnsi="Arial"/>
              </w:rPr>
              <w:t>H.</w:t>
            </w:r>
            <w:r>
              <w:rPr>
                <w:rFonts w:ascii="Arial" w:hAnsi="Arial"/>
                <w:noProof/>
              </w:rPr>
              <w:t>2</w:t>
            </w:r>
            <w:r w:rsidRPr="008E6E5B">
              <w:rPr>
                <w:rFonts w:ascii="Arial" w:hAnsi="Arial"/>
                <w:b/>
              </w:rPr>
              <w:tab/>
              <w:t>Attributing expenditure on services and supports to mental ill</w:t>
            </w:r>
            <w:r w:rsidRPr="008E6E5B">
              <w:rPr>
                <w:rFonts w:ascii="Arial" w:hAnsi="Arial"/>
                <w:b/>
              </w:rPr>
              <w:noBreakHyphen/>
              <w:t>health</w:t>
            </w:r>
          </w:p>
        </w:tc>
      </w:tr>
      <w:tr w:rsidR="009C6940" w:rsidRPr="008E6E5B" w14:paraId="3B626585" w14:textId="77777777" w:rsidTr="009C6940">
        <w:tc>
          <w:tcPr>
            <w:tcW w:w="5000" w:type="pct"/>
            <w:tcBorders>
              <w:top w:val="nil"/>
              <w:left w:val="nil"/>
              <w:bottom w:val="nil"/>
              <w:right w:val="nil"/>
            </w:tcBorders>
            <w:shd w:val="clear" w:color="auto" w:fill="F2F2F2"/>
          </w:tcPr>
          <w:p w14:paraId="42E6697B" w14:textId="77777777" w:rsidR="009C6940" w:rsidRPr="008E6E5B" w:rsidRDefault="009C6940" w:rsidP="009C6940">
            <w:pPr>
              <w:pStyle w:val="Box"/>
            </w:pPr>
            <w:r w:rsidRPr="008E6E5B">
              <w:t xml:space="preserve">For specialised mental healthcare </w:t>
            </w:r>
            <w:r>
              <w:t xml:space="preserve">and related </w:t>
            </w:r>
            <w:r w:rsidRPr="008E6E5B">
              <w:t>services, all expenditure relates to mental ill</w:t>
            </w:r>
            <w:r w:rsidRPr="008E6E5B">
              <w:noBreakHyphen/>
              <w:t>health. This is less clear for other social services. In most cases, the expenditure on other support services attributable to mental ill</w:t>
            </w:r>
            <w:r w:rsidRPr="008E6E5B">
              <w:noBreakHyphen/>
              <w:t>health would be less than 100%</w:t>
            </w:r>
            <w:r>
              <w:t xml:space="preserve"> of the</w:t>
            </w:r>
            <w:r w:rsidRPr="008E6E5B">
              <w:t xml:space="preserve"> aggregate expenditure. </w:t>
            </w:r>
          </w:p>
          <w:p w14:paraId="1C695DF1" w14:textId="77777777" w:rsidR="009C6940" w:rsidRPr="008E6E5B" w:rsidRDefault="009C6940" w:rsidP="009C6940">
            <w:pPr>
              <w:pStyle w:val="Box"/>
            </w:pPr>
            <w:r w:rsidRPr="008E6E5B">
              <w:t>People using these support services may or may not have mental illness, and for those who do, it may not be the factor motivating them to access the service. For example, some people with mental ill</w:t>
            </w:r>
            <w:r w:rsidRPr="008E6E5B">
              <w:noBreakHyphen/>
              <w:t>health may be accessing public housing primarily because they work in a low income occupation, and therefore are eligible for this service. Whereas other people with mental ill</w:t>
            </w:r>
            <w:r w:rsidRPr="008E6E5B">
              <w:noBreakHyphen/>
              <w:t>health may be accessing public housing because their mental ill</w:t>
            </w:r>
            <w:r w:rsidRPr="008E6E5B">
              <w:noBreakHyphen/>
              <w:t xml:space="preserve">health prevents them from working, which is the direct cause of their low income and eligibility for public housing. </w:t>
            </w:r>
            <w:r>
              <w:t>Ideally, e</w:t>
            </w:r>
            <w:r w:rsidRPr="008E6E5B">
              <w:t>xpenditure from the latter should be included in any estimate of the cost of mental ill</w:t>
            </w:r>
            <w:r w:rsidRPr="008E6E5B">
              <w:noBreakHyphen/>
              <w:t>health, whereas the former should not.</w:t>
            </w:r>
          </w:p>
          <w:p w14:paraId="11459A41" w14:textId="77777777" w:rsidR="009C6940" w:rsidRPr="008E6E5B" w:rsidRDefault="009C6940" w:rsidP="009C6940">
            <w:pPr>
              <w:pStyle w:val="Box"/>
            </w:pPr>
            <w:r w:rsidRPr="008E6E5B">
              <w:t>There are a number of options for attributing expenditure on other sup</w:t>
            </w:r>
            <w:r>
              <w:t>port services to mental ill</w:t>
            </w:r>
            <w:r>
              <w:noBreakHyphen/>
              <w:t>health.</w:t>
            </w:r>
          </w:p>
          <w:p w14:paraId="363B6FD4" w14:textId="77777777" w:rsidR="009C6940" w:rsidRPr="008E6E5B" w:rsidRDefault="009C6940" w:rsidP="009C6940">
            <w:pPr>
              <w:pStyle w:val="BoxListBullet"/>
            </w:pPr>
            <w:r w:rsidRPr="008E6E5B">
              <w:rPr>
                <w:i/>
              </w:rPr>
              <w:t>Use data collected on the reason a person is accessing the service.</w:t>
            </w:r>
            <w:r w:rsidRPr="008E6E5B">
              <w:t xml:space="preserve"> Some services collect th</w:t>
            </w:r>
            <w:r>
              <w:t>is</w:t>
            </w:r>
            <w:r w:rsidRPr="008E6E5B">
              <w:t xml:space="preserve"> data and it provides some indication of the motivating reason for accessing the service. However, as mental health is highly correlated with a number of other likely factors, self</w:t>
            </w:r>
            <w:r w:rsidRPr="008E6E5B">
              <w:noBreakHyphen/>
              <w:t>reporting may not be entirely accurate.</w:t>
            </w:r>
          </w:p>
          <w:p w14:paraId="213DE50B" w14:textId="77777777" w:rsidR="009C6940" w:rsidRDefault="009C6940" w:rsidP="009C6940">
            <w:pPr>
              <w:pStyle w:val="BoxListBullet"/>
            </w:pPr>
            <w:r w:rsidRPr="008E6E5B">
              <w:rPr>
                <w:i/>
              </w:rPr>
              <w:t>Use the ‘population attributable fraction’.</w:t>
            </w:r>
            <w:r w:rsidRPr="008E6E5B">
              <w:t xml:space="preserve"> This calculates the proportion of people accessing services as a result of </w:t>
            </w:r>
            <w:r>
              <w:t>their</w:t>
            </w:r>
            <w:r w:rsidRPr="008E6E5B">
              <w:t xml:space="preserve"> mental illness. It does so by </w:t>
            </w:r>
            <w:r>
              <w:t>estimating</w:t>
            </w:r>
            <w:r w:rsidRPr="008E6E5B">
              <w:t xml:space="preserve"> the </w:t>
            </w:r>
            <w:r>
              <w:t>increased likelihood</w:t>
            </w:r>
            <w:r w:rsidRPr="008E6E5B">
              <w:t xml:space="preserve"> of accessing </w:t>
            </w:r>
            <w:r>
              <w:t xml:space="preserve">a </w:t>
            </w:r>
            <w:r w:rsidRPr="008E6E5B">
              <w:t xml:space="preserve">support </w:t>
            </w:r>
            <w:r>
              <w:t xml:space="preserve">service given </w:t>
            </w:r>
            <w:r w:rsidRPr="008E6E5B">
              <w:t xml:space="preserve">mental illness and </w:t>
            </w:r>
            <w:r>
              <w:t>uses this to derive</w:t>
            </w:r>
            <w:r w:rsidRPr="008E6E5B">
              <w:t xml:space="preserve"> the </w:t>
            </w:r>
            <w:r>
              <w:t>number</w:t>
            </w:r>
            <w:r w:rsidRPr="008E6E5B">
              <w:t xml:space="preserve"> of </w:t>
            </w:r>
            <w:r>
              <w:t xml:space="preserve">people for whom </w:t>
            </w:r>
            <w:r w:rsidRPr="008E6E5B">
              <w:t>mental illness</w:t>
            </w:r>
            <w:r>
              <w:t xml:space="preserve"> is a plausible determining factor in their use of a service.</w:t>
            </w:r>
            <w:r w:rsidRPr="008E6E5B">
              <w:t xml:space="preserve"> </w:t>
            </w:r>
          </w:p>
          <w:p w14:paraId="5E88A658" w14:textId="77777777" w:rsidR="009C6940" w:rsidRPr="008E6E5B" w:rsidRDefault="009C6940" w:rsidP="009C6940">
            <w:pPr>
              <w:pStyle w:val="BoxListBullet"/>
            </w:pPr>
            <w:r w:rsidRPr="008E6E5B">
              <w:rPr>
                <w:i/>
              </w:rPr>
              <w:t>Assume that every person with mental illness</w:t>
            </w:r>
            <w:r w:rsidRPr="008E6E5B">
              <w:t xml:space="preserve"> who is involved with a service does so because of their mental health disorder. While likely to be an overestimate, it may be the only method available due to data limitations.</w:t>
            </w:r>
          </w:p>
        </w:tc>
      </w:tr>
      <w:tr w:rsidR="009C6940" w:rsidRPr="008E6E5B" w14:paraId="73A60364" w14:textId="77777777" w:rsidTr="009C6940">
        <w:tc>
          <w:tcPr>
            <w:tcW w:w="5000" w:type="pct"/>
            <w:tcBorders>
              <w:top w:val="nil"/>
              <w:left w:val="nil"/>
              <w:bottom w:val="single" w:sz="6" w:space="0" w:color="78A22F"/>
              <w:right w:val="nil"/>
            </w:tcBorders>
            <w:shd w:val="clear" w:color="auto" w:fill="F2F2F2"/>
          </w:tcPr>
          <w:p w14:paraId="48DD7A34" w14:textId="77777777" w:rsidR="009C6940" w:rsidRPr="008E6E5B" w:rsidRDefault="009C6940" w:rsidP="009C6940">
            <w:pPr>
              <w:keepNext/>
              <w:spacing w:line="120" w:lineRule="exact"/>
              <w:jc w:val="both"/>
              <w:rPr>
                <w:rFonts w:ascii="Arial" w:hAnsi="Arial"/>
                <w:sz w:val="20"/>
                <w:szCs w:val="20"/>
              </w:rPr>
            </w:pPr>
          </w:p>
        </w:tc>
      </w:tr>
      <w:tr w:rsidR="009C6940" w:rsidRPr="008E6E5B" w14:paraId="334C3C4C" w14:textId="77777777" w:rsidTr="009C6940">
        <w:tc>
          <w:tcPr>
            <w:tcW w:w="5000" w:type="pct"/>
            <w:tcBorders>
              <w:top w:val="single" w:sz="6" w:space="0" w:color="78A22F"/>
              <w:left w:val="nil"/>
              <w:bottom w:val="nil"/>
              <w:right w:val="nil"/>
            </w:tcBorders>
          </w:tcPr>
          <w:p w14:paraId="42DCFFC0" w14:textId="77777777" w:rsidR="009C6940" w:rsidRPr="008E6E5B" w:rsidRDefault="009C6940" w:rsidP="009C6940">
            <w:pPr>
              <w:spacing w:before="60" w:after="60" w:line="80" w:lineRule="exact"/>
              <w:jc w:val="both"/>
              <w:rPr>
                <w:rFonts w:ascii="Arial" w:hAnsi="Arial"/>
                <w:sz w:val="14"/>
                <w:szCs w:val="20"/>
              </w:rPr>
            </w:pPr>
          </w:p>
        </w:tc>
      </w:tr>
    </w:tbl>
    <w:p w14:paraId="0EB1F765" w14:textId="77777777" w:rsidR="009C6940" w:rsidRPr="008E6E5B" w:rsidRDefault="009C6940" w:rsidP="003F33B3">
      <w:pPr>
        <w:keepNext/>
        <w:pageBreakBefore/>
        <w:spacing w:before="560" w:line="320" w:lineRule="exact"/>
        <w:outlineLvl w:val="2"/>
        <w:rPr>
          <w:rFonts w:ascii="Arial" w:hAnsi="Arial"/>
          <w:b/>
          <w:sz w:val="26"/>
          <w:szCs w:val="20"/>
        </w:rPr>
      </w:pPr>
      <w:r w:rsidRPr="008E6E5B">
        <w:rPr>
          <w:rFonts w:ascii="Arial" w:hAnsi="Arial"/>
          <w:b/>
          <w:sz w:val="26"/>
          <w:szCs w:val="20"/>
        </w:rPr>
        <w:lastRenderedPageBreak/>
        <w:t xml:space="preserve">Homelessness services </w:t>
      </w:r>
    </w:p>
    <w:p w14:paraId="5C6C919E" w14:textId="77777777" w:rsidR="009C6940" w:rsidRPr="00D07F67" w:rsidRDefault="009C6940" w:rsidP="009C6940">
      <w:pPr>
        <w:pStyle w:val="BodyText"/>
        <w:spacing w:before="200"/>
      </w:pPr>
      <w:r w:rsidRPr="00D07F67">
        <w:t>The Australian, State and Territory Governments provide many forms of housing support (chapter </w:t>
      </w:r>
      <w:r>
        <w:t>20</w:t>
      </w:r>
      <w:r w:rsidRPr="00D07F67">
        <w:t xml:space="preserve">). </w:t>
      </w:r>
    </w:p>
    <w:p w14:paraId="4C1B2F84" w14:textId="77777777" w:rsidR="009C6940" w:rsidRPr="00D07F67" w:rsidRDefault="009C6940" w:rsidP="009C6940">
      <w:pPr>
        <w:pStyle w:val="BodyText"/>
        <w:spacing w:before="200"/>
      </w:pPr>
      <w:r w:rsidRPr="00D07F67">
        <w:t>In 2018</w:t>
      </w:r>
      <w:r w:rsidRPr="00D07F67">
        <w:noBreakHyphen/>
        <w:t xml:space="preserve">19, total net recurrent expenditure on homelessness services </w:t>
      </w:r>
      <w:r w:rsidRPr="00044B9C">
        <w:t>was $990 million</w:t>
      </w:r>
      <w:r w:rsidRPr="00D07F67">
        <w:t xml:space="preserve"> </w:t>
      </w:r>
      <w:r w:rsidRPr="00FE5401">
        <w:rPr>
          <w:szCs w:val="24"/>
        </w:rPr>
        <w:t>(SCRGSP </w:t>
      </w:r>
      <w:r w:rsidRPr="00BD2E64">
        <w:rPr>
          <w:szCs w:val="24"/>
        </w:rPr>
        <w:t>2020</w:t>
      </w:r>
      <w:r>
        <w:rPr>
          <w:szCs w:val="24"/>
        </w:rPr>
        <w:t>b</w:t>
      </w:r>
      <w:r w:rsidRPr="00BD2E64">
        <w:rPr>
          <w:szCs w:val="24"/>
        </w:rPr>
        <w:t>)</w:t>
      </w:r>
      <w:r w:rsidRPr="00D07F67">
        <w:t>. This includes expenditure on specialist homelessness services funded by governments under the Council of Australian Governments National Affordable Housing Agreement and the National Partnership Agreement on Homelessness. Government and non</w:t>
      </w:r>
      <w:r w:rsidRPr="00D07F67">
        <w:noBreakHyphen/>
        <w:t>government specialist homelessness service providers deliver a range of services to clients — including supported accommodation, counselling, advocacy, links to housing, health</w:t>
      </w:r>
      <w:r>
        <w:t>care</w:t>
      </w:r>
      <w:r w:rsidRPr="00D07F67">
        <w:t>, education and employment services, outreach support, brokerage and meals services, and financial and employment assistance.</w:t>
      </w:r>
    </w:p>
    <w:p w14:paraId="49FAC1FB" w14:textId="77777777" w:rsidR="009C6940" w:rsidRPr="00D07F67" w:rsidRDefault="009C6940" w:rsidP="009C6940">
      <w:pPr>
        <w:pStyle w:val="BodyText"/>
        <w:spacing w:before="200"/>
      </w:pPr>
      <w:r w:rsidRPr="00D07F67">
        <w:t>Mental ill</w:t>
      </w:r>
      <w:r w:rsidRPr="00D07F67">
        <w:noBreakHyphen/>
        <w:t>health is prevalent among those seeking homelessness services, but not all services are sought because of mental ill</w:t>
      </w:r>
      <w:r w:rsidRPr="00D07F67">
        <w:noBreakHyphen/>
        <w:t>health. In 2017</w:t>
      </w:r>
      <w:r w:rsidRPr="00D07F67">
        <w:noBreakHyphen/>
        <w:t>18, about one</w:t>
      </w:r>
      <w:r>
        <w:noBreakHyphen/>
      </w:r>
      <w:r w:rsidRPr="00D07F67">
        <w:t xml:space="preserve">third of clients of specialist homelessness services reported </w:t>
      </w:r>
      <w:r>
        <w:t xml:space="preserve">a </w:t>
      </w:r>
      <w:r w:rsidRPr="00D07F67">
        <w:t>mental illness. About half of those with mental ill</w:t>
      </w:r>
      <w:r w:rsidRPr="00D07F67">
        <w:noBreakHyphen/>
        <w:t xml:space="preserve">health reported this as a reason for seeking assistance from homelessness service providers (18% of all clients) </w:t>
      </w:r>
      <w:r w:rsidRPr="007F7BD0">
        <w:rPr>
          <w:szCs w:val="24"/>
        </w:rPr>
        <w:t>(AIHW </w:t>
      </w:r>
      <w:r w:rsidRPr="00F30B29">
        <w:rPr>
          <w:szCs w:val="24"/>
        </w:rPr>
        <w:t>2019b)</w:t>
      </w:r>
      <w:r w:rsidRPr="00D07F67">
        <w:t>. Based on th</w:t>
      </w:r>
      <w:r>
        <w:t>is</w:t>
      </w:r>
      <w:r w:rsidRPr="00D07F67">
        <w:t xml:space="preserve"> data, it is estimated that homelessness services provided as a </w:t>
      </w:r>
      <w:r>
        <w:t>result of a person’s mental ill</w:t>
      </w:r>
      <w:r>
        <w:noBreakHyphen/>
      </w:r>
      <w:r w:rsidRPr="00D07F67">
        <w:t xml:space="preserve">health was approximately </w:t>
      </w:r>
      <w:r w:rsidRPr="00185333">
        <w:t>$174</w:t>
      </w:r>
      <w:r>
        <w:t> </w:t>
      </w:r>
      <w:r w:rsidRPr="00185333">
        <w:t xml:space="preserve">million </w:t>
      </w:r>
      <w:r w:rsidRPr="00D07F67">
        <w:t>in 2018</w:t>
      </w:r>
      <w:r w:rsidRPr="00D07F67">
        <w:noBreakHyphen/>
        <w:t>19 (table </w:t>
      </w:r>
      <w:r>
        <w:t>H.</w:t>
      </w:r>
      <w:r w:rsidRPr="00D07F67">
        <w:t>2).</w:t>
      </w:r>
    </w:p>
    <w:p w14:paraId="33F08AA8" w14:textId="77777777" w:rsidR="009C6940" w:rsidRPr="008E6E5B" w:rsidRDefault="009C6940" w:rsidP="009C6940">
      <w:pPr>
        <w:keepNext/>
        <w:spacing w:before="480" w:line="320" w:lineRule="exact"/>
        <w:outlineLvl w:val="2"/>
        <w:rPr>
          <w:rFonts w:ascii="Arial" w:hAnsi="Arial"/>
          <w:b/>
          <w:sz w:val="26"/>
          <w:szCs w:val="20"/>
        </w:rPr>
      </w:pPr>
      <w:r w:rsidRPr="008E6E5B">
        <w:rPr>
          <w:rFonts w:ascii="Arial" w:hAnsi="Arial"/>
          <w:b/>
          <w:sz w:val="26"/>
          <w:szCs w:val="20"/>
        </w:rPr>
        <w:t xml:space="preserve">Social housing </w:t>
      </w:r>
    </w:p>
    <w:p w14:paraId="2E042C05" w14:textId="77777777" w:rsidR="009C6940" w:rsidRPr="008E6E5B" w:rsidRDefault="009C6940" w:rsidP="009C6940">
      <w:pPr>
        <w:pStyle w:val="BodyText"/>
        <w:spacing w:before="200"/>
      </w:pPr>
      <w:r w:rsidRPr="002C60CD">
        <w:t>In 2018</w:t>
      </w:r>
      <w:r w:rsidRPr="002C60CD">
        <w:noBreakHyphen/>
        <w:t>19, State and Territory Government net recurrent expenditure on social housing was $4.0 billion</w:t>
      </w:r>
      <w:r>
        <w:t xml:space="preserve"> </w:t>
      </w:r>
      <w:r w:rsidRPr="00FE5401">
        <w:rPr>
          <w:szCs w:val="24"/>
        </w:rPr>
        <w:t>(SCRGSP </w:t>
      </w:r>
      <w:r w:rsidRPr="00BD2E64">
        <w:rPr>
          <w:szCs w:val="24"/>
        </w:rPr>
        <w:t>2020b)</w:t>
      </w:r>
      <w:r w:rsidRPr="008E6E5B">
        <w:t>. Social housing is subsidised rental housing provided by not</w:t>
      </w:r>
      <w:r w:rsidRPr="008E6E5B">
        <w:noBreakHyphen/>
        <w:t>for</w:t>
      </w:r>
      <w:r w:rsidRPr="008E6E5B">
        <w:noBreakHyphen/>
        <w:t>profit, non</w:t>
      </w:r>
      <w:r w:rsidRPr="008E6E5B">
        <w:noBreakHyphen/>
        <w:t>government or government organisations to assist people who are unable to access suitable accommodation in the private rental market. It includes public housing, State owned and managed Indigenous housing, community housing and Indigenous community housing.</w:t>
      </w:r>
    </w:p>
    <w:p w14:paraId="71197F40" w14:textId="77777777" w:rsidR="009C6940" w:rsidRDefault="009C6940" w:rsidP="009C6940">
      <w:pPr>
        <w:pStyle w:val="BodyText"/>
        <w:tabs>
          <w:tab w:val="left" w:pos="7938"/>
        </w:tabs>
        <w:spacing w:before="200"/>
      </w:pPr>
      <w:r w:rsidRPr="004F630D">
        <w:t xml:space="preserve">As eligibility for social housing is primarily based on income, not all people accessing social housing with mental illness will </w:t>
      </w:r>
      <w:r>
        <w:t>do</w:t>
      </w:r>
      <w:r w:rsidRPr="004F630D">
        <w:t xml:space="preserve"> so because of their mental disorder. However, a person’s mental health </w:t>
      </w:r>
      <w:r>
        <w:t>affects</w:t>
      </w:r>
      <w:r w:rsidRPr="004F630D">
        <w:t xml:space="preserve"> their ability to complete schooling, undertake further education, and participate in the labour market, all of which </w:t>
      </w:r>
      <w:r>
        <w:t>can have</w:t>
      </w:r>
      <w:r w:rsidRPr="004F630D">
        <w:t xml:space="preserve"> flow on effects to their income. </w:t>
      </w:r>
      <w:r>
        <w:t>That said</w:t>
      </w:r>
      <w:r w:rsidRPr="004F630D">
        <w:t>, as the indicator of mental illness was collected based on households, it is not possible to calculate the attributable proportion (a person</w:t>
      </w:r>
      <w:r>
        <w:t>-</w:t>
      </w:r>
      <w:r w:rsidRPr="004F630D">
        <w:t>based measure).</w:t>
      </w:r>
    </w:p>
    <w:p w14:paraId="7A33A65E" w14:textId="77777777" w:rsidR="009C6940" w:rsidRPr="008E6E5B" w:rsidRDefault="009C6940" w:rsidP="009C6940">
      <w:pPr>
        <w:pStyle w:val="BodyText"/>
        <w:spacing w:before="200"/>
      </w:pPr>
      <w:r w:rsidRPr="004F630D">
        <w:t xml:space="preserve">As a result, expenditure on social housing was assumed to be related to mental health based on the proportion of households in social housing utilising mental health services in the </w:t>
      </w:r>
      <w:r>
        <w:t>past</w:t>
      </w:r>
      <w:r w:rsidRPr="004F630D">
        <w:t xml:space="preserve"> 12</w:t>
      </w:r>
      <w:r>
        <w:t> </w:t>
      </w:r>
      <w:r w:rsidRPr="004F630D">
        <w:t xml:space="preserve">months. </w:t>
      </w:r>
      <w:r w:rsidRPr="008E6E5B">
        <w:t xml:space="preserve">In 2016, across the various types of social housing, the following proportions of households reported that they had utilised mental health services in the </w:t>
      </w:r>
      <w:r>
        <w:t>past</w:t>
      </w:r>
      <w:r w:rsidRPr="008E6E5B">
        <w:t xml:space="preserve"> 12</w:t>
      </w:r>
      <w:r>
        <w:t> </w:t>
      </w:r>
      <w:r w:rsidRPr="008E6E5B">
        <w:t>months:</w:t>
      </w:r>
    </w:p>
    <w:p w14:paraId="2A82688C" w14:textId="77777777" w:rsidR="009C6940" w:rsidRPr="008E6E5B" w:rsidRDefault="009C6940" w:rsidP="009C6940">
      <w:pPr>
        <w:numPr>
          <w:ilvl w:val="0"/>
          <w:numId w:val="3"/>
        </w:numPr>
        <w:spacing w:before="120" w:line="300" w:lineRule="atLeast"/>
        <w:jc w:val="both"/>
        <w:rPr>
          <w:szCs w:val="20"/>
        </w:rPr>
      </w:pPr>
      <w:r w:rsidRPr="008E6E5B">
        <w:rPr>
          <w:szCs w:val="20"/>
        </w:rPr>
        <w:t xml:space="preserve">public housing (20%) </w:t>
      </w:r>
    </w:p>
    <w:p w14:paraId="67F19B33" w14:textId="77777777" w:rsidR="009C6940" w:rsidRPr="008E6E5B" w:rsidRDefault="009C6940" w:rsidP="009C6940">
      <w:pPr>
        <w:numPr>
          <w:ilvl w:val="0"/>
          <w:numId w:val="3"/>
        </w:numPr>
        <w:spacing w:before="120" w:line="300" w:lineRule="atLeast"/>
        <w:jc w:val="both"/>
        <w:rPr>
          <w:szCs w:val="20"/>
        </w:rPr>
      </w:pPr>
      <w:r w:rsidRPr="008E6E5B">
        <w:rPr>
          <w:szCs w:val="20"/>
        </w:rPr>
        <w:t>State owned and managed Indigenous housing (14%)</w:t>
      </w:r>
    </w:p>
    <w:p w14:paraId="3ADBD349" w14:textId="77777777" w:rsidR="009C6940" w:rsidRPr="008E6E5B" w:rsidRDefault="009C6940" w:rsidP="009C6940">
      <w:pPr>
        <w:pStyle w:val="ListBullet"/>
      </w:pPr>
      <w:r w:rsidRPr="008E6E5B">
        <w:t>community housing and Indigenous community housing (24%) (AIHW 2017)</w:t>
      </w:r>
      <w:r>
        <w:t>.</w:t>
      </w:r>
      <w:r w:rsidRPr="008E6E5B">
        <w:t xml:space="preserve"> </w:t>
      </w:r>
    </w:p>
    <w:p w14:paraId="1E45769B" w14:textId="77777777" w:rsidR="009C6940" w:rsidRPr="004F630D" w:rsidRDefault="009C6940" w:rsidP="009C6940">
      <w:pPr>
        <w:pStyle w:val="BodyText"/>
      </w:pPr>
      <w:r w:rsidRPr="004F630D">
        <w:lastRenderedPageBreak/>
        <w:t>Based on this, approximately</w:t>
      </w:r>
      <w:r w:rsidRPr="002C60CD">
        <w:t xml:space="preserve"> $</w:t>
      </w:r>
      <w:r>
        <w:t>811 million</w:t>
      </w:r>
      <w:r w:rsidRPr="004F630D">
        <w:t xml:space="preserve"> of social housing </w:t>
      </w:r>
      <w:r>
        <w:t xml:space="preserve">net recurrent expenditure </w:t>
      </w:r>
      <w:r w:rsidRPr="004F630D">
        <w:t>was estimated to be related</w:t>
      </w:r>
      <w:r>
        <w:t xml:space="preserve"> to mental health costs in 2018</w:t>
      </w:r>
      <w:r>
        <w:noBreakHyphen/>
      </w:r>
      <w:r w:rsidRPr="004F630D">
        <w:t>19 (table </w:t>
      </w:r>
      <w:r>
        <w:t>H.</w:t>
      </w:r>
      <w:r w:rsidRPr="004F630D">
        <w:t>2).</w:t>
      </w:r>
    </w:p>
    <w:p w14:paraId="69E3DF0A" w14:textId="77777777" w:rsidR="009C6940" w:rsidRPr="008E6E5B" w:rsidRDefault="009C6940" w:rsidP="009C6940">
      <w:pPr>
        <w:keepNext/>
        <w:spacing w:before="560" w:line="320" w:lineRule="exact"/>
        <w:outlineLvl w:val="2"/>
        <w:rPr>
          <w:rFonts w:ascii="Arial" w:hAnsi="Arial"/>
          <w:b/>
          <w:sz w:val="26"/>
          <w:szCs w:val="20"/>
        </w:rPr>
      </w:pPr>
      <w:r w:rsidRPr="008E6E5B">
        <w:rPr>
          <w:rFonts w:ascii="Arial" w:hAnsi="Arial"/>
          <w:b/>
          <w:sz w:val="26"/>
          <w:szCs w:val="20"/>
        </w:rPr>
        <w:t xml:space="preserve">Employment support </w:t>
      </w:r>
    </w:p>
    <w:p w14:paraId="65F06E74" w14:textId="77777777" w:rsidR="009C6940" w:rsidRPr="004F630D" w:rsidRDefault="009C6940" w:rsidP="009C6940">
      <w:pPr>
        <w:pStyle w:val="BodyText"/>
      </w:pPr>
      <w:r w:rsidRPr="004F630D">
        <w:t xml:space="preserve">The Australian Government funds employment </w:t>
      </w:r>
      <w:r>
        <w:t>support</w:t>
      </w:r>
      <w:r w:rsidRPr="004F630D">
        <w:t xml:space="preserve"> to help eligible jobseekers find and maintain employment (chapter 1</w:t>
      </w:r>
      <w:r>
        <w:t>9</w:t>
      </w:r>
      <w:r w:rsidRPr="004F630D">
        <w:t xml:space="preserve">). Employment </w:t>
      </w:r>
      <w:r>
        <w:t>support</w:t>
      </w:r>
      <w:r w:rsidRPr="004F630D">
        <w:t xml:space="preserve"> providers are contracted to deliver a range of programs. The two major employment </w:t>
      </w:r>
      <w:r>
        <w:t>support</w:t>
      </w:r>
      <w:r w:rsidRPr="004F630D">
        <w:t xml:space="preserve"> programs</w:t>
      </w:r>
      <w:r>
        <w:t xml:space="preserve"> are:</w:t>
      </w:r>
    </w:p>
    <w:p w14:paraId="53CA4097" w14:textId="77777777" w:rsidR="009C6940" w:rsidRPr="004A3812" w:rsidRDefault="009C6940" w:rsidP="009C6940">
      <w:pPr>
        <w:numPr>
          <w:ilvl w:val="0"/>
          <w:numId w:val="3"/>
        </w:numPr>
        <w:spacing w:before="120" w:line="300" w:lineRule="atLeast"/>
        <w:jc w:val="both"/>
      </w:pPr>
      <w:r>
        <w:rPr>
          <w:szCs w:val="20"/>
        </w:rPr>
        <w:t>j</w:t>
      </w:r>
      <w:r w:rsidRPr="004F630D">
        <w:rPr>
          <w:szCs w:val="20"/>
        </w:rPr>
        <w:t>obactive</w:t>
      </w:r>
      <w:r>
        <w:rPr>
          <w:szCs w:val="20"/>
        </w:rPr>
        <w:t>, which is</w:t>
      </w:r>
      <w:r w:rsidRPr="004F630D">
        <w:rPr>
          <w:szCs w:val="20"/>
        </w:rPr>
        <w:t xml:space="preserve"> designed to provide support to most jobseekers who are in receipt of unemployment benefits. In 2018</w:t>
      </w:r>
      <w:r w:rsidRPr="004F630D">
        <w:rPr>
          <w:szCs w:val="20"/>
        </w:rPr>
        <w:noBreakHyphen/>
        <w:t xml:space="preserve">19, total expenditure on jobactive </w:t>
      </w:r>
      <w:r w:rsidRPr="004A3812">
        <w:t>was $1.4 billion (DJSB 2019)</w:t>
      </w:r>
    </w:p>
    <w:p w14:paraId="111CC2A4" w14:textId="77777777" w:rsidR="009C6940" w:rsidRPr="004F630D" w:rsidRDefault="009C6940" w:rsidP="009C6940">
      <w:pPr>
        <w:numPr>
          <w:ilvl w:val="0"/>
          <w:numId w:val="3"/>
        </w:numPr>
        <w:spacing w:before="120" w:line="300" w:lineRule="atLeast"/>
        <w:jc w:val="both"/>
        <w:rPr>
          <w:szCs w:val="20"/>
        </w:rPr>
      </w:pPr>
      <w:r w:rsidRPr="004F630D">
        <w:rPr>
          <w:szCs w:val="20"/>
        </w:rPr>
        <w:t>Disability Employment Services (DES)</w:t>
      </w:r>
      <w:r>
        <w:rPr>
          <w:szCs w:val="20"/>
        </w:rPr>
        <w:t>, which is</w:t>
      </w:r>
      <w:r w:rsidRPr="004F630D">
        <w:rPr>
          <w:szCs w:val="20"/>
        </w:rPr>
        <w:t xml:space="preserve"> a specialist service that assists people with disabilities find employment. In 2018</w:t>
      </w:r>
      <w:r w:rsidRPr="004F630D">
        <w:rPr>
          <w:szCs w:val="20"/>
        </w:rPr>
        <w:noBreakHyphen/>
        <w:t xml:space="preserve">19, total expenditure on DES </w:t>
      </w:r>
      <w:r>
        <w:t>was $0.8 </w:t>
      </w:r>
      <w:r w:rsidRPr="004A3812">
        <w:t xml:space="preserve">billion </w:t>
      </w:r>
      <w:r w:rsidRPr="0019081E">
        <w:t>(DSS 2019)</w:t>
      </w:r>
      <w:r w:rsidRPr="004F630D">
        <w:rPr>
          <w:szCs w:val="20"/>
        </w:rPr>
        <w:t xml:space="preserve">. </w:t>
      </w:r>
    </w:p>
    <w:p w14:paraId="1763C2A1" w14:textId="77777777" w:rsidR="009C6940" w:rsidRPr="004F630D" w:rsidRDefault="009C6940" w:rsidP="009C6940">
      <w:pPr>
        <w:pStyle w:val="BodyText"/>
      </w:pPr>
      <w:r w:rsidRPr="004F630D">
        <w:t>In jobactive, approximately 1</w:t>
      </w:r>
      <w:r>
        <w:t>4</w:t>
      </w:r>
      <w:r w:rsidRPr="004F630D">
        <w:t>% of participants had mental illness</w:t>
      </w:r>
      <w:r>
        <w:t xml:space="preserve"> (</w:t>
      </w:r>
      <w:r w:rsidRPr="00CA20D9">
        <w:t>Department of Employment, Skills, Small and Family Business</w:t>
      </w:r>
      <w:r>
        <w:t>, unpublished data)</w:t>
      </w:r>
      <w:r w:rsidRPr="004F630D">
        <w:t xml:space="preserve">. Based on </w:t>
      </w:r>
      <w:r>
        <w:t>administrative data</w:t>
      </w:r>
      <w:r w:rsidRPr="004F630D">
        <w:t xml:space="preserve">, approximately </w:t>
      </w:r>
      <w:r w:rsidRPr="00CA20D9">
        <w:t>$</w:t>
      </w:r>
      <w:r>
        <w:t>139</w:t>
      </w:r>
      <w:r w:rsidRPr="00CA20D9">
        <w:t xml:space="preserve"> million </w:t>
      </w:r>
      <w:r>
        <w:t xml:space="preserve">in jobactive payments were made for job seekers who had disclosed a mental illness </w:t>
      </w:r>
      <w:r w:rsidRPr="004F630D">
        <w:t>in 2018</w:t>
      </w:r>
      <w:r w:rsidRPr="004F630D">
        <w:noBreakHyphen/>
        <w:t>19</w:t>
      </w:r>
      <w:r>
        <w:t xml:space="preserve"> (</w:t>
      </w:r>
      <w:r w:rsidRPr="002405E2">
        <w:t>Department of Education, Skills and Employment</w:t>
      </w:r>
      <w:r>
        <w:t>, pers. comm., 11 June 2020).</w:t>
      </w:r>
      <w:r w:rsidRPr="004F630D">
        <w:t xml:space="preserve"> However, this is likely to be an underestimate as it relies on self</w:t>
      </w:r>
      <w:r w:rsidRPr="004F630D">
        <w:noBreakHyphen/>
        <w:t>disclosure by the job</w:t>
      </w:r>
      <w:r>
        <w:t xml:space="preserve"> </w:t>
      </w:r>
      <w:r w:rsidRPr="004F630D">
        <w:t>seeker that they have mental illness, something that they may not be inclined to do given the potential discrimination that could result (chapter </w:t>
      </w:r>
      <w:r>
        <w:t>9</w:t>
      </w:r>
      <w:r w:rsidRPr="004F630D">
        <w:t xml:space="preserve">). </w:t>
      </w:r>
    </w:p>
    <w:p w14:paraId="692E650A" w14:textId="77777777" w:rsidR="009C6940" w:rsidRDefault="009C6940" w:rsidP="009C6940">
      <w:pPr>
        <w:pStyle w:val="BodyText"/>
      </w:pPr>
      <w:r w:rsidRPr="00901AC1">
        <w:t>Some people with mental illn</w:t>
      </w:r>
      <w:r w:rsidRPr="000F0FDB">
        <w:t xml:space="preserve">ess are eligible for specialist disability employment services because of their mental health disorder. In </w:t>
      </w:r>
      <w:r w:rsidRPr="00B015D6">
        <w:t>June </w:t>
      </w:r>
      <w:r w:rsidRPr="004148F3">
        <w:t>2019, about 40% of DES clients were eligible for assistance because of disability due to mental ill</w:t>
      </w:r>
      <w:r w:rsidRPr="00A968E2">
        <w:t>ness</w:t>
      </w:r>
      <w:r>
        <w:t xml:space="preserve"> (</w:t>
      </w:r>
      <w:r w:rsidRPr="00CA20D9">
        <w:t xml:space="preserve">Department of </w:t>
      </w:r>
      <w:r>
        <w:t>Social Services, unpublished data)</w:t>
      </w:r>
      <w:r w:rsidRPr="004F630D">
        <w:t>. In 2018</w:t>
      </w:r>
      <w:r w:rsidRPr="004F630D">
        <w:noBreakHyphen/>
        <w:t xml:space="preserve">19, approximately </w:t>
      </w:r>
      <w:r w:rsidRPr="00CA20D9">
        <w:t>$328 million</w:t>
      </w:r>
      <w:r w:rsidRPr="004F630D">
        <w:t xml:space="preserve"> of expenditure on DES is estimated to be attributable to mental illness. </w:t>
      </w:r>
    </w:p>
    <w:p w14:paraId="33E72692" w14:textId="77777777" w:rsidR="009C6940" w:rsidRPr="004F630D" w:rsidRDefault="009C6940" w:rsidP="009C6940">
      <w:pPr>
        <w:pStyle w:val="BodyText"/>
      </w:pPr>
      <w:r>
        <w:t xml:space="preserve">The Australian Government also funds the </w:t>
      </w:r>
      <w:r w:rsidRPr="0007298E">
        <w:t>Community Development Program</w:t>
      </w:r>
      <w:r>
        <w:t xml:space="preserve"> </w:t>
      </w:r>
      <w:r w:rsidRPr="0007298E">
        <w:t xml:space="preserve">for </w:t>
      </w:r>
      <w:r>
        <w:t>job seekers in remote Australia. Approximately $53 million of the expenditure from this program is attributable to mental illness (chapter 19).</w:t>
      </w:r>
    </w:p>
    <w:p w14:paraId="45BF8522" w14:textId="77777777" w:rsidR="009C6940" w:rsidRPr="008E6E5B" w:rsidRDefault="009C6940" w:rsidP="009C6940">
      <w:pPr>
        <w:keepNext/>
        <w:spacing w:before="480" w:line="320" w:lineRule="exact"/>
        <w:outlineLvl w:val="2"/>
        <w:rPr>
          <w:rFonts w:ascii="Arial" w:hAnsi="Arial"/>
          <w:b/>
          <w:sz w:val="26"/>
          <w:szCs w:val="20"/>
        </w:rPr>
      </w:pPr>
      <w:r w:rsidRPr="008E6E5B">
        <w:rPr>
          <w:rFonts w:ascii="Arial" w:hAnsi="Arial"/>
          <w:b/>
          <w:sz w:val="26"/>
          <w:szCs w:val="20"/>
        </w:rPr>
        <w:t>Psychosocial supports</w:t>
      </w:r>
    </w:p>
    <w:p w14:paraId="5F6337E0" w14:textId="77777777" w:rsidR="009C6940" w:rsidRDefault="009C6940" w:rsidP="009C6940">
      <w:pPr>
        <w:pStyle w:val="BodyText"/>
      </w:pPr>
      <w:r w:rsidRPr="008E6E5B">
        <w:t>Psychosocial support services help people experiencing or recovering from mental illness to achieve higher levels of wellbeing and to increase their social and economic participation</w:t>
      </w:r>
      <w:r>
        <w:t xml:space="preserve"> (chapter 17)</w:t>
      </w:r>
      <w:r w:rsidRPr="008E6E5B">
        <w:t xml:space="preserve">. Supports can include those that assist with participating in the community, managing daily tasks, undertaking work or study, helpline and counselling services, advocacy and promotion, finding accommodation and making connections with friends and family. </w:t>
      </w:r>
      <w:r>
        <w:t>Australian, State and Territory Governments f</w:t>
      </w:r>
      <w:r w:rsidRPr="008E6E5B">
        <w:t>und psychosocial support</w:t>
      </w:r>
      <w:r>
        <w:t xml:space="preserve"> services</w:t>
      </w:r>
      <w:r w:rsidRPr="008E6E5B">
        <w:t xml:space="preserve">. </w:t>
      </w:r>
    </w:p>
    <w:p w14:paraId="7C6373FF" w14:textId="77777777" w:rsidR="009C6940" w:rsidRPr="008E6E5B" w:rsidRDefault="009C6940" w:rsidP="009C6940">
      <w:pPr>
        <w:pStyle w:val="BodyText"/>
      </w:pPr>
      <w:r>
        <w:lastRenderedPageBreak/>
        <w:t>T</w:t>
      </w:r>
      <w:r w:rsidRPr="004F630D">
        <w:t>he Australian Government provides psychosocial supports for people with mental illness through the National Disability Insurance Scheme</w:t>
      </w:r>
      <w:r>
        <w:t xml:space="preserve"> (NDIS)</w:t>
      </w:r>
      <w:r w:rsidRPr="004F630D">
        <w:t xml:space="preserve"> (chapter 1</w:t>
      </w:r>
      <w:r>
        <w:t>7</w:t>
      </w:r>
      <w:r w:rsidRPr="004F630D">
        <w:t xml:space="preserve">). Allocated funding for these supports was </w:t>
      </w:r>
      <w:r w:rsidRPr="00CA20D9">
        <w:t>estimated to be $1.1 billion in 2018</w:t>
      </w:r>
      <w:r w:rsidRPr="00CA20D9">
        <w:noBreakHyphen/>
      </w:r>
      <w:r w:rsidRPr="004F630D">
        <w:t>19. Approximately 5</w:t>
      </w:r>
      <w:r>
        <w:t>6</w:t>
      </w:r>
      <w:r w:rsidRPr="004F630D">
        <w:t xml:space="preserve">% of these funds </w:t>
      </w:r>
      <w:r>
        <w:t>were</w:t>
      </w:r>
      <w:r w:rsidRPr="004F630D">
        <w:t xml:space="preserve"> actually spent </w:t>
      </w:r>
      <w:r>
        <w:t>in 2018</w:t>
      </w:r>
      <w:r>
        <w:noBreakHyphen/>
        <w:t>19 (</w:t>
      </w:r>
      <w:r w:rsidRPr="005924A3">
        <w:t>NDIA</w:t>
      </w:r>
      <w:r>
        <w:t>,</w:t>
      </w:r>
      <w:r w:rsidRPr="005924A3">
        <w:t xml:space="preserve"> pers. comm., 27</w:t>
      </w:r>
      <w:r>
        <w:t> </w:t>
      </w:r>
      <w:r w:rsidRPr="005924A3">
        <w:t>Mar</w:t>
      </w:r>
      <w:r>
        <w:t xml:space="preserve"> </w:t>
      </w:r>
      <w:r w:rsidRPr="005924A3">
        <w:t>2020)</w:t>
      </w:r>
      <w:r w:rsidRPr="004F630D">
        <w:t>. Given this, the cost of the N</w:t>
      </w:r>
      <w:r>
        <w:t xml:space="preserve">DIS </w:t>
      </w:r>
      <w:r w:rsidRPr="004F630D">
        <w:t xml:space="preserve">support for people with mental illness was estimated to be </w:t>
      </w:r>
      <w:r w:rsidRPr="00CA20D9">
        <w:t>about $0.6 billion</w:t>
      </w:r>
      <w:r w:rsidRPr="004F630D">
        <w:t xml:space="preserve"> in 2018</w:t>
      </w:r>
      <w:r>
        <w:noBreakHyphen/>
      </w:r>
      <w:r w:rsidRPr="004F630D">
        <w:t>19.</w:t>
      </w:r>
      <w:r>
        <w:t xml:space="preserve"> </w:t>
      </w:r>
    </w:p>
    <w:p w14:paraId="0E6605DC" w14:textId="77777777" w:rsidR="009C6940" w:rsidRPr="008A581F" w:rsidRDefault="009C6940" w:rsidP="009C6940">
      <w:pPr>
        <w:pStyle w:val="BodyText"/>
        <w:rPr>
          <w:spacing w:val="-2"/>
        </w:rPr>
      </w:pPr>
      <w:r w:rsidRPr="008A581F">
        <w:rPr>
          <w:spacing w:val="-2"/>
        </w:rPr>
        <w:t>In 2018</w:t>
      </w:r>
      <w:r w:rsidRPr="008A581F">
        <w:rPr>
          <w:spacing w:val="-2"/>
        </w:rPr>
        <w:noBreakHyphen/>
        <w:t>19, the Australian Government also funded psychosocial support programs, such as Partners in Recovery, Personal Helpers and Mentors, Day</w:t>
      </w:r>
      <w:r w:rsidRPr="008A581F">
        <w:rPr>
          <w:spacing w:val="-2"/>
        </w:rPr>
        <w:noBreakHyphen/>
        <w:t>to</w:t>
      </w:r>
      <w:r w:rsidRPr="008A581F">
        <w:rPr>
          <w:spacing w:val="-2"/>
        </w:rPr>
        <w:noBreakHyphen/>
        <w:t xml:space="preserve">Day Living and Mental Health Respite: Carer support (chapters 17 and 18). Australian Government funding for psychosocial support programs is estimated to be about $0.4 billion </w:t>
      </w:r>
      <w:r w:rsidRPr="008A581F">
        <w:rPr>
          <w:spacing w:val="-2"/>
          <w:szCs w:val="24"/>
        </w:rPr>
        <w:t>(AIHW 2020a; DoH 2019)</w:t>
      </w:r>
      <w:r w:rsidRPr="008A581F">
        <w:rPr>
          <w:spacing w:val="-2"/>
        </w:rPr>
        <w:t xml:space="preserve">. </w:t>
      </w:r>
    </w:p>
    <w:p w14:paraId="7AFB8516" w14:textId="77777777" w:rsidR="009C6940" w:rsidRPr="004F630D" w:rsidRDefault="009C6940" w:rsidP="009C6940">
      <w:pPr>
        <w:pStyle w:val="BodyText"/>
      </w:pPr>
      <w:r w:rsidRPr="008E6E5B">
        <w:t>State and Territory Governments have responsibility for funding, delivering and/or managing specialised mental health services, including psychosocial support services</w:t>
      </w:r>
      <w:r>
        <w:t xml:space="preserve"> (chapter 17)</w:t>
      </w:r>
      <w:r w:rsidRPr="008E6E5B">
        <w:t>.</w:t>
      </w:r>
      <w:r>
        <w:t xml:space="preserve"> </w:t>
      </w:r>
      <w:r w:rsidRPr="004F630D">
        <w:t xml:space="preserve">Total expenditure on psychosocial supports was estimated to be </w:t>
      </w:r>
      <w:r w:rsidRPr="00B54522">
        <w:t>$</w:t>
      </w:r>
      <w:r>
        <w:t>0.5 b</w:t>
      </w:r>
      <w:r w:rsidRPr="00B54522">
        <w:t>illion</w:t>
      </w:r>
      <w:r w:rsidRPr="004F630D">
        <w:t xml:space="preserve"> </w:t>
      </w:r>
      <w:r>
        <w:t>in 2018</w:t>
      </w:r>
      <w:r>
        <w:noBreakHyphen/>
        <w:t xml:space="preserve">19 </w:t>
      </w:r>
      <w:r w:rsidRPr="007F7BD0">
        <w:rPr>
          <w:szCs w:val="24"/>
        </w:rPr>
        <w:t>(AIHW </w:t>
      </w:r>
      <w:r w:rsidRPr="00F30B29">
        <w:rPr>
          <w:szCs w:val="24"/>
        </w:rPr>
        <w:t>2020a)</w:t>
      </w:r>
      <w:r w:rsidRPr="004F630D">
        <w:t xml:space="preserve">. </w:t>
      </w:r>
    </w:p>
    <w:p w14:paraId="1E2D97BA" w14:textId="77777777" w:rsidR="009C6940" w:rsidRPr="008E6E5B" w:rsidRDefault="009C6940" w:rsidP="009C6940">
      <w:pPr>
        <w:keepNext/>
        <w:spacing w:before="560" w:line="320" w:lineRule="exact"/>
        <w:outlineLvl w:val="2"/>
        <w:rPr>
          <w:rFonts w:ascii="Arial" w:hAnsi="Arial"/>
          <w:b/>
          <w:sz w:val="26"/>
          <w:szCs w:val="20"/>
        </w:rPr>
      </w:pPr>
      <w:r w:rsidRPr="008E6E5B">
        <w:rPr>
          <w:rFonts w:ascii="Arial" w:hAnsi="Arial"/>
          <w:b/>
          <w:sz w:val="26"/>
          <w:szCs w:val="20"/>
        </w:rPr>
        <w:t xml:space="preserve">Education </w:t>
      </w:r>
    </w:p>
    <w:p w14:paraId="5622826D" w14:textId="77777777" w:rsidR="009C6940" w:rsidRPr="008E6E5B" w:rsidRDefault="009C6940" w:rsidP="009C6940">
      <w:pPr>
        <w:pStyle w:val="BodyText"/>
        <w:keepNext/>
      </w:pPr>
      <w:r w:rsidRPr="008E6E5B">
        <w:t>All educational institutions have requirements to provide healthy environments that promote and support mental health and wellbeing for children and young people. These span early childhood education and care centres, primary and secondary schools, higher education institutions as well as vocational education and training providers (chapters </w:t>
      </w:r>
      <w:r>
        <w:t xml:space="preserve">5 </w:t>
      </w:r>
      <w:r w:rsidRPr="008E6E5B">
        <w:t>and</w:t>
      </w:r>
      <w:r>
        <w:t xml:space="preserve"> 6</w:t>
      </w:r>
      <w:r w:rsidRPr="008E6E5B">
        <w:t>). Consequently, these institutions have been tasked to develop and implement policies to create these healthy environments, along with the delivery of a range of mental health and wellbeing services and initiatives</w:t>
      </w:r>
      <w:r>
        <w:t xml:space="preserve"> that span from </w:t>
      </w:r>
      <w:r w:rsidRPr="008E6E5B">
        <w:t>mental health promotion, prevention, early intervention to treatment. Examples of services and initiatives that educational institutions deliver or implement include:</w:t>
      </w:r>
    </w:p>
    <w:p w14:paraId="04F270DC" w14:textId="77777777" w:rsidR="009C6940" w:rsidRPr="008E6E5B" w:rsidRDefault="009C6940" w:rsidP="009C6940">
      <w:pPr>
        <w:pStyle w:val="ListBullet"/>
      </w:pPr>
      <w:r w:rsidRPr="008E6E5B">
        <w:t xml:space="preserve">early childhood education and care providers implementing wellbeing frameworks, such as Beyond Blue’s Be You program </w:t>
      </w:r>
    </w:p>
    <w:p w14:paraId="63E0528E" w14:textId="77777777" w:rsidR="009C6940" w:rsidRPr="008E6E5B" w:rsidRDefault="009C6940" w:rsidP="009C6940">
      <w:pPr>
        <w:pStyle w:val="ListBullet"/>
      </w:pPr>
      <w:r w:rsidRPr="008E6E5B">
        <w:t xml:space="preserve">explicitly teaching a social and emotional wellbeing curriculum in primary </w:t>
      </w:r>
      <w:r>
        <w:t xml:space="preserve">school </w:t>
      </w:r>
      <w:r w:rsidRPr="008E6E5B">
        <w:t xml:space="preserve">and up to year 10 in secondary school </w:t>
      </w:r>
    </w:p>
    <w:p w14:paraId="2FCBF8FD" w14:textId="77777777" w:rsidR="009C6940" w:rsidRPr="008E6E5B" w:rsidRDefault="009C6940" w:rsidP="009C6940">
      <w:pPr>
        <w:pStyle w:val="ListBullet"/>
      </w:pPr>
      <w:r w:rsidRPr="008E6E5B">
        <w:t>undertaking an assessment of the wellbeing of young children through the Australian Early Development Census</w:t>
      </w:r>
    </w:p>
    <w:p w14:paraId="3F1BCEDD" w14:textId="77777777" w:rsidR="009C6940" w:rsidRPr="008E6E5B" w:rsidRDefault="009C6940" w:rsidP="009C6940">
      <w:pPr>
        <w:pStyle w:val="ListBullet"/>
      </w:pPr>
      <w:r w:rsidRPr="008E6E5B">
        <w:t>providing school counselling and support services in schools, including individual and grouped sessions</w:t>
      </w:r>
    </w:p>
    <w:p w14:paraId="28DBBCAB" w14:textId="77777777" w:rsidR="009C6940" w:rsidRPr="008E6E5B" w:rsidRDefault="009C6940" w:rsidP="009C6940">
      <w:pPr>
        <w:pStyle w:val="ListBullet"/>
      </w:pPr>
      <w:r w:rsidRPr="008E6E5B">
        <w:t xml:space="preserve">higher education institutions and vocational education and training authorities providing mental health, counselling and welfare services </w:t>
      </w:r>
    </w:p>
    <w:p w14:paraId="10E1B16F" w14:textId="77777777" w:rsidR="009C6940" w:rsidRPr="00BD170B" w:rsidRDefault="009C6940" w:rsidP="009C6940">
      <w:pPr>
        <w:pStyle w:val="ListBullet"/>
        <w:rPr>
          <w:b/>
        </w:rPr>
      </w:pPr>
      <w:r w:rsidRPr="008E6E5B">
        <w:t xml:space="preserve">making ‘reasonable adjustments’, such as extra tuition, to ensure that students with disabilities, including those with mental illness, are able to access and participate in education and training on the same basis as other students. </w:t>
      </w:r>
    </w:p>
    <w:p w14:paraId="3D60A37A" w14:textId="77777777" w:rsidR="009C6940" w:rsidRDefault="009C6940" w:rsidP="009C6940">
      <w:pPr>
        <w:pStyle w:val="BodyText"/>
      </w:pPr>
      <w:r w:rsidRPr="008E6E5B">
        <w:lastRenderedPageBreak/>
        <w:t xml:space="preserve">Despite these institutions dedicating considerable resources </w:t>
      </w:r>
      <w:r>
        <w:t>to</w:t>
      </w:r>
      <w:r w:rsidRPr="008E6E5B">
        <w:t xml:space="preserve"> supporting the mental health and wellbeing of children and young people, </w:t>
      </w:r>
      <w:r>
        <w:t>we are</w:t>
      </w:r>
      <w:r w:rsidRPr="008E6E5B">
        <w:t xml:space="preserve"> unable to provide an estimate of the overall cost of these activities</w:t>
      </w:r>
      <w:r>
        <w:t xml:space="preserve"> (chapter 5)</w:t>
      </w:r>
      <w:r w:rsidRPr="008E6E5B">
        <w:t xml:space="preserve">. </w:t>
      </w:r>
      <w:r>
        <w:t xml:space="preserve">Before coming to this conclusion, we sought information from stakeholders in the draft report — with some participants acknowledging the difficulty of this task (for example, </w:t>
      </w:r>
      <w:r w:rsidRPr="00AD101E">
        <w:t>The Mitchell Institute</w:t>
      </w:r>
      <w:r>
        <w:t xml:space="preserve">, </w:t>
      </w:r>
      <w:r w:rsidRPr="00AD101E">
        <w:t>sub.</w:t>
      </w:r>
      <w:r>
        <w:t> </w:t>
      </w:r>
      <w:r w:rsidRPr="00AD101E">
        <w:t>744</w:t>
      </w:r>
      <w:r>
        <w:t xml:space="preserve">; </w:t>
      </w:r>
      <w:r w:rsidRPr="00AD101E">
        <w:t>Monash University</w:t>
      </w:r>
      <w:r>
        <w:t>,</w:t>
      </w:r>
      <w:r w:rsidRPr="00AD101E">
        <w:t xml:space="preserve"> sub.</w:t>
      </w:r>
      <w:r>
        <w:t> </w:t>
      </w:r>
      <w:r w:rsidRPr="00AD101E">
        <w:t>698</w:t>
      </w:r>
      <w:r>
        <w:t xml:space="preserve">). Chapter 5 outlines the challenges for collecting expenditure data in the schooling sector. Similar issues arise in the university and vocational education and training sectors. </w:t>
      </w:r>
    </w:p>
    <w:p w14:paraId="3F6C42FB" w14:textId="77777777" w:rsidR="009C6940" w:rsidRPr="008E6E5B" w:rsidRDefault="009C6940" w:rsidP="009C6940">
      <w:pPr>
        <w:keepNext/>
        <w:spacing w:before="560" w:line="320" w:lineRule="exact"/>
        <w:outlineLvl w:val="2"/>
        <w:rPr>
          <w:rFonts w:ascii="Arial" w:hAnsi="Arial"/>
          <w:b/>
          <w:sz w:val="26"/>
          <w:szCs w:val="20"/>
        </w:rPr>
      </w:pPr>
      <w:r w:rsidRPr="008E6E5B">
        <w:rPr>
          <w:rFonts w:ascii="Arial" w:hAnsi="Arial"/>
          <w:b/>
          <w:sz w:val="26"/>
          <w:szCs w:val="20"/>
        </w:rPr>
        <w:t xml:space="preserve">Justice </w:t>
      </w:r>
    </w:p>
    <w:p w14:paraId="375271D9" w14:textId="77777777" w:rsidR="009C6940" w:rsidRDefault="009C6940" w:rsidP="009C6940">
      <w:pPr>
        <w:pStyle w:val="BodyText"/>
      </w:pPr>
      <w:r>
        <w:t>As the costs of mental illness in the criminal justice system are difficult to determine (chapter 21), we have calculated the cost of people being imprisoned that is attributable to mental illness. This is estimated to be $1.1 billion in 2018</w:t>
      </w:r>
      <w:r>
        <w:noBreakHyphen/>
        <w:t>19 (table H.2).</w:t>
      </w:r>
    </w:p>
    <w:p w14:paraId="70E6636D" w14:textId="77777777" w:rsidR="009C6940" w:rsidRDefault="009C6940" w:rsidP="009C6940">
      <w:pPr>
        <w:pStyle w:val="ListBullet"/>
      </w:pPr>
      <w:r>
        <w:t>In 2018</w:t>
      </w:r>
      <w:r>
        <w:noBreakHyphen/>
        <w:t>19, State and Territory Governments total net operating expenditure and capital costs on prisons was approximately $4.9 billion ($</w:t>
      </w:r>
      <w:r w:rsidRPr="00FE5401">
        <w:t>310</w:t>
      </w:r>
      <w:r>
        <w:t> </w:t>
      </w:r>
      <w:r w:rsidRPr="00FE5401">
        <w:t>per</w:t>
      </w:r>
      <w:r>
        <w:t xml:space="preserve"> day with an estimated prison population of 43 000 people) </w:t>
      </w:r>
      <w:r w:rsidRPr="00FE5401">
        <w:rPr>
          <w:szCs w:val="24"/>
        </w:rPr>
        <w:t>(SCRGSP 2020a)</w:t>
      </w:r>
      <w:r>
        <w:t>.</w:t>
      </w:r>
    </w:p>
    <w:p w14:paraId="51814562" w14:textId="77777777" w:rsidR="009C6940" w:rsidRDefault="009C6940" w:rsidP="009C6940">
      <w:pPr>
        <w:pStyle w:val="ListBullet"/>
      </w:pPr>
      <w:r>
        <w:t xml:space="preserve">Based on </w:t>
      </w:r>
      <w:r w:rsidRPr="002B4944">
        <w:t xml:space="preserve">prevalence data of mental illness </w:t>
      </w:r>
      <w:r>
        <w:t xml:space="preserve">in the population and in prisons, approximately 23% of the cost of housing people in prisons is attributable to mental illness </w:t>
      </w:r>
      <w:r w:rsidRPr="00FE5401">
        <w:rPr>
          <w:szCs w:val="24"/>
        </w:rPr>
        <w:t>(</w:t>
      </w:r>
      <w:r>
        <w:rPr>
          <w:szCs w:val="24"/>
        </w:rPr>
        <w:t xml:space="preserve">Productivity </w:t>
      </w:r>
      <w:r w:rsidRPr="00FE5401">
        <w:rPr>
          <w:szCs w:val="24"/>
        </w:rPr>
        <w:t xml:space="preserve">Commission estimates </w:t>
      </w:r>
      <w:r>
        <w:rPr>
          <w:szCs w:val="24"/>
        </w:rPr>
        <w:t>using</w:t>
      </w:r>
      <w:r w:rsidRPr="00FE5401">
        <w:rPr>
          <w:szCs w:val="24"/>
        </w:rPr>
        <w:t xml:space="preserve"> SCRGSP 2020a)</w:t>
      </w:r>
      <w:r>
        <w:t>.</w:t>
      </w:r>
    </w:p>
    <w:p w14:paraId="674F92F2" w14:textId="77777777" w:rsidR="009C6940" w:rsidRPr="00A23433" w:rsidRDefault="009C6940" w:rsidP="009C6940">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8E6E5B" w14:paraId="58B7339B" w14:textId="77777777" w:rsidTr="009C6940">
        <w:trPr>
          <w:tblHeader/>
        </w:trPr>
        <w:tc>
          <w:tcPr>
            <w:tcW w:w="5000" w:type="pct"/>
            <w:tcBorders>
              <w:top w:val="single" w:sz="6" w:space="0" w:color="78A22F"/>
              <w:left w:val="nil"/>
              <w:bottom w:val="nil"/>
              <w:right w:val="nil"/>
            </w:tcBorders>
            <w:shd w:val="clear" w:color="auto" w:fill="auto"/>
          </w:tcPr>
          <w:p w14:paraId="72C53FA7" w14:textId="77777777" w:rsidR="009C6940" w:rsidRPr="008E6E5B" w:rsidRDefault="009C6940" w:rsidP="009C6940">
            <w:pPr>
              <w:keepNext/>
              <w:keepLines/>
              <w:spacing w:before="120" w:after="80" w:line="280" w:lineRule="exact"/>
              <w:ind w:left="1474" w:hanging="1474"/>
              <w:rPr>
                <w:rFonts w:ascii="Arial" w:hAnsi="Arial"/>
                <w:b/>
              </w:rPr>
            </w:pPr>
            <w:r w:rsidRPr="008E6E5B">
              <w:rPr>
                <w:rFonts w:ascii="Arial" w:hAnsi="Arial"/>
              </w:rPr>
              <w:t xml:space="preserve">Table </w:t>
            </w:r>
            <w:r>
              <w:rPr>
                <w:rFonts w:ascii="Arial" w:hAnsi="Arial"/>
              </w:rPr>
              <w:t>H.</w:t>
            </w:r>
            <w:r>
              <w:rPr>
                <w:rFonts w:ascii="Arial" w:hAnsi="Arial"/>
                <w:noProof/>
              </w:rPr>
              <w:t>2</w:t>
            </w:r>
            <w:r w:rsidRPr="008E6E5B">
              <w:rPr>
                <w:rFonts w:ascii="Arial" w:hAnsi="Arial"/>
                <w:b/>
              </w:rPr>
              <w:tab/>
            </w:r>
            <w:r>
              <w:rPr>
                <w:rFonts w:ascii="Arial" w:hAnsi="Arial"/>
                <w:b/>
              </w:rPr>
              <w:t>G</w:t>
            </w:r>
            <w:r w:rsidRPr="008E6E5B">
              <w:rPr>
                <w:rFonts w:ascii="Arial" w:hAnsi="Arial"/>
                <w:b/>
              </w:rPr>
              <w:t>overnment expenditure on other services and supports attributable to mental ill</w:t>
            </w:r>
            <w:r>
              <w:rPr>
                <w:rFonts w:ascii="Arial" w:hAnsi="Arial"/>
                <w:b/>
              </w:rPr>
              <w:t>ness</w:t>
            </w:r>
          </w:p>
          <w:p w14:paraId="1427DF88" w14:textId="77777777" w:rsidR="009C6940" w:rsidRPr="008E6E5B" w:rsidRDefault="009C6940" w:rsidP="009C6940">
            <w:pPr>
              <w:keepNext/>
              <w:keepLines/>
              <w:spacing w:after="80" w:line="200" w:lineRule="exact"/>
              <w:ind w:left="1474"/>
              <w:rPr>
                <w:rFonts w:ascii="Arial" w:hAnsi="Arial"/>
                <w:sz w:val="20"/>
              </w:rPr>
            </w:pPr>
            <w:r w:rsidRPr="008E6E5B">
              <w:rPr>
                <w:rFonts w:ascii="Arial" w:hAnsi="Arial"/>
                <w:sz w:val="20"/>
              </w:rPr>
              <w:t>2018</w:t>
            </w:r>
            <w:r w:rsidRPr="008E6E5B">
              <w:rPr>
                <w:rFonts w:ascii="Arial" w:hAnsi="Arial"/>
                <w:sz w:val="20"/>
              </w:rPr>
              <w:noBreakHyphen/>
              <w:t>19</w:t>
            </w:r>
            <w:r w:rsidRPr="008E6E5B">
              <w:rPr>
                <w:rFonts w:ascii="Arial" w:hAnsi="Arial"/>
                <w:b/>
                <w:position w:val="6"/>
                <w:sz w:val="18"/>
              </w:rPr>
              <w:t>a</w:t>
            </w:r>
          </w:p>
        </w:tc>
      </w:tr>
      <w:tr w:rsidR="009C6940" w:rsidRPr="008E6E5B" w14:paraId="7705A9E6"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528"/>
              <w:gridCol w:w="2977"/>
            </w:tblGrid>
            <w:tr w:rsidR="009C6940" w:rsidRPr="008E6E5B" w14:paraId="27FB2E0A" w14:textId="77777777" w:rsidTr="009C6940">
              <w:trPr>
                <w:tblHeader/>
              </w:trPr>
              <w:tc>
                <w:tcPr>
                  <w:tcW w:w="3250" w:type="pct"/>
                  <w:tcBorders>
                    <w:top w:val="single" w:sz="6" w:space="0" w:color="BFBFBF"/>
                    <w:bottom w:val="single" w:sz="6" w:space="0" w:color="BFBFBF"/>
                  </w:tcBorders>
                  <w:shd w:val="clear" w:color="auto" w:fill="auto"/>
                  <w:tcMar>
                    <w:top w:w="28" w:type="dxa"/>
                  </w:tcMar>
                </w:tcPr>
                <w:p w14:paraId="07439AED" w14:textId="77777777" w:rsidR="009C6940" w:rsidRPr="008E6E5B" w:rsidRDefault="009C6940" w:rsidP="009C6940">
                  <w:pPr>
                    <w:keepNext/>
                    <w:keepLines/>
                    <w:spacing w:before="80" w:after="80" w:line="200" w:lineRule="atLeast"/>
                    <w:ind w:left="6" w:right="113"/>
                    <w:rPr>
                      <w:rFonts w:ascii="Arial" w:hAnsi="Arial"/>
                      <w:i/>
                      <w:sz w:val="18"/>
                      <w:szCs w:val="20"/>
                    </w:rPr>
                  </w:pPr>
                  <w:r w:rsidRPr="008E6E5B">
                    <w:rPr>
                      <w:rFonts w:ascii="Arial" w:hAnsi="Arial"/>
                      <w:i/>
                      <w:sz w:val="18"/>
                      <w:szCs w:val="20"/>
                    </w:rPr>
                    <w:t>Service or support area</w:t>
                  </w:r>
                </w:p>
              </w:tc>
              <w:tc>
                <w:tcPr>
                  <w:tcW w:w="1750" w:type="pct"/>
                  <w:tcBorders>
                    <w:top w:val="single" w:sz="6" w:space="0" w:color="BFBFBF"/>
                    <w:bottom w:val="single" w:sz="6" w:space="0" w:color="BFBFBF"/>
                  </w:tcBorders>
                  <w:shd w:val="clear" w:color="auto" w:fill="auto"/>
                  <w:tcMar>
                    <w:top w:w="28" w:type="dxa"/>
                  </w:tcMar>
                </w:tcPr>
                <w:p w14:paraId="479B32DD" w14:textId="77777777" w:rsidR="009C6940" w:rsidRPr="008E6E5B" w:rsidRDefault="009C6940" w:rsidP="009C6940">
                  <w:pPr>
                    <w:keepNext/>
                    <w:keepLines/>
                    <w:spacing w:before="80" w:after="80" w:line="200" w:lineRule="atLeast"/>
                    <w:ind w:left="6" w:right="11"/>
                    <w:jc w:val="right"/>
                    <w:rPr>
                      <w:rFonts w:ascii="Arial" w:hAnsi="Arial"/>
                      <w:i/>
                      <w:sz w:val="18"/>
                      <w:szCs w:val="20"/>
                    </w:rPr>
                  </w:pPr>
                  <w:r w:rsidRPr="008E6E5B">
                    <w:rPr>
                      <w:rFonts w:ascii="Arial" w:hAnsi="Arial"/>
                      <w:i/>
                      <w:sz w:val="18"/>
                      <w:szCs w:val="20"/>
                    </w:rPr>
                    <w:t>$m</w:t>
                  </w:r>
                  <w:r>
                    <w:rPr>
                      <w:rFonts w:ascii="Arial" w:hAnsi="Arial"/>
                      <w:i/>
                      <w:sz w:val="18"/>
                      <w:szCs w:val="20"/>
                    </w:rPr>
                    <w:t>illion</w:t>
                  </w:r>
                </w:p>
              </w:tc>
            </w:tr>
            <w:tr w:rsidR="009C6940" w:rsidRPr="008E6E5B" w14:paraId="7D83B676" w14:textId="77777777" w:rsidTr="009C6940">
              <w:tc>
                <w:tcPr>
                  <w:tcW w:w="3250" w:type="pct"/>
                  <w:tcBorders>
                    <w:top w:val="single" w:sz="6" w:space="0" w:color="BFBFBF"/>
                  </w:tcBorders>
                  <w:vAlign w:val="bottom"/>
                </w:tcPr>
                <w:p w14:paraId="6A2202BB" w14:textId="77777777" w:rsidR="009C6940" w:rsidRPr="008E6E5B" w:rsidRDefault="009C6940" w:rsidP="009C6940">
                  <w:pPr>
                    <w:keepNext/>
                    <w:keepLines/>
                    <w:spacing w:before="40" w:after="40" w:line="200" w:lineRule="atLeast"/>
                    <w:ind w:left="6" w:right="113"/>
                    <w:rPr>
                      <w:rFonts w:ascii="Arial" w:hAnsi="Arial"/>
                      <w:sz w:val="18"/>
                      <w:szCs w:val="20"/>
                    </w:rPr>
                  </w:pPr>
                  <w:r w:rsidRPr="008E6E5B">
                    <w:rPr>
                      <w:rFonts w:ascii="Arial" w:hAnsi="Arial"/>
                      <w:sz w:val="18"/>
                      <w:szCs w:val="20"/>
                    </w:rPr>
                    <w:t>Homelessness services</w:t>
                  </w:r>
                  <w:r>
                    <w:rPr>
                      <w:rFonts w:ascii="Arial" w:hAnsi="Arial"/>
                      <w:sz w:val="18"/>
                      <w:szCs w:val="20"/>
                    </w:rPr>
                    <w:t xml:space="preserve"> </w:t>
                  </w:r>
                </w:p>
              </w:tc>
              <w:tc>
                <w:tcPr>
                  <w:tcW w:w="1750" w:type="pct"/>
                  <w:tcBorders>
                    <w:top w:val="single" w:sz="6" w:space="0" w:color="BFBFBF"/>
                  </w:tcBorders>
                </w:tcPr>
                <w:p w14:paraId="35CFBC9D" w14:textId="77777777" w:rsidR="009C6940" w:rsidRPr="004F630D" w:rsidRDefault="009C6940" w:rsidP="009C6940">
                  <w:pPr>
                    <w:keepNext/>
                    <w:keepLines/>
                    <w:spacing w:before="40" w:after="40" w:line="200" w:lineRule="atLeast"/>
                    <w:ind w:left="6" w:right="11"/>
                    <w:jc w:val="right"/>
                    <w:rPr>
                      <w:rFonts w:ascii="Arial" w:hAnsi="Arial"/>
                      <w:sz w:val="18"/>
                      <w:szCs w:val="20"/>
                    </w:rPr>
                  </w:pPr>
                  <w:r w:rsidRPr="004F630D">
                    <w:rPr>
                      <w:rFonts w:ascii="Arial" w:hAnsi="Arial"/>
                      <w:sz w:val="18"/>
                      <w:szCs w:val="20"/>
                    </w:rPr>
                    <w:t>174</w:t>
                  </w:r>
                </w:p>
              </w:tc>
            </w:tr>
            <w:tr w:rsidR="009C6940" w:rsidRPr="008E6E5B" w14:paraId="4B9C75AC" w14:textId="77777777" w:rsidTr="009C6940">
              <w:tc>
                <w:tcPr>
                  <w:tcW w:w="3250" w:type="pct"/>
                  <w:vAlign w:val="bottom"/>
                </w:tcPr>
                <w:p w14:paraId="40FBCE7E"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 xml:space="preserve">Social housing </w:t>
                  </w:r>
                </w:p>
              </w:tc>
              <w:tc>
                <w:tcPr>
                  <w:tcW w:w="1750" w:type="pct"/>
                </w:tcPr>
                <w:p w14:paraId="172D9AE8" w14:textId="77777777" w:rsidR="009C6940" w:rsidRPr="004F630D" w:rsidRDefault="009C6940" w:rsidP="009C6940">
                  <w:pPr>
                    <w:keepNext/>
                    <w:keepLines/>
                    <w:spacing w:after="40" w:line="200" w:lineRule="atLeast"/>
                    <w:ind w:left="6" w:right="11"/>
                    <w:jc w:val="right"/>
                    <w:rPr>
                      <w:rFonts w:ascii="Arial" w:hAnsi="Arial"/>
                      <w:sz w:val="18"/>
                      <w:szCs w:val="20"/>
                    </w:rPr>
                  </w:pPr>
                  <w:r w:rsidRPr="004F630D">
                    <w:rPr>
                      <w:rFonts w:ascii="Arial" w:hAnsi="Arial"/>
                      <w:sz w:val="18"/>
                      <w:szCs w:val="20"/>
                    </w:rPr>
                    <w:t>811</w:t>
                  </w:r>
                </w:p>
              </w:tc>
            </w:tr>
            <w:tr w:rsidR="009C6940" w:rsidRPr="008E6E5B" w14:paraId="5226ACA1" w14:textId="77777777" w:rsidTr="009C6940">
              <w:tc>
                <w:tcPr>
                  <w:tcW w:w="3250" w:type="pct"/>
                  <w:vAlign w:val="bottom"/>
                </w:tcPr>
                <w:p w14:paraId="4C5B1496" w14:textId="77777777" w:rsidR="009C6940" w:rsidRPr="008E6E5B" w:rsidRDefault="009C6940" w:rsidP="009C6940">
                  <w:pPr>
                    <w:keepNext/>
                    <w:keepLines/>
                    <w:spacing w:after="40" w:line="200" w:lineRule="atLeast"/>
                    <w:ind w:left="6" w:right="113"/>
                    <w:rPr>
                      <w:rFonts w:ascii="Arial" w:hAnsi="Arial"/>
                      <w:sz w:val="18"/>
                      <w:szCs w:val="20"/>
                    </w:rPr>
                  </w:pPr>
                  <w:r>
                    <w:rPr>
                      <w:rFonts w:ascii="Arial" w:hAnsi="Arial"/>
                      <w:sz w:val="18"/>
                      <w:szCs w:val="20"/>
                    </w:rPr>
                    <w:t>Employment support</w:t>
                  </w:r>
                </w:p>
              </w:tc>
              <w:tc>
                <w:tcPr>
                  <w:tcW w:w="1750" w:type="pct"/>
                </w:tcPr>
                <w:p w14:paraId="5D3194CF" w14:textId="77777777" w:rsidR="009C6940" w:rsidRPr="004F630D" w:rsidRDefault="009C6940" w:rsidP="009C6940">
                  <w:pPr>
                    <w:keepNext/>
                    <w:keepLines/>
                    <w:spacing w:after="40" w:line="200" w:lineRule="atLeast"/>
                    <w:ind w:left="6" w:right="11"/>
                    <w:jc w:val="right"/>
                    <w:rPr>
                      <w:rFonts w:ascii="Arial" w:hAnsi="Arial"/>
                      <w:sz w:val="18"/>
                      <w:szCs w:val="20"/>
                    </w:rPr>
                  </w:pPr>
                  <w:r w:rsidRPr="004F630D">
                    <w:rPr>
                      <w:rFonts w:ascii="Arial" w:hAnsi="Arial"/>
                      <w:sz w:val="18"/>
                      <w:szCs w:val="20"/>
                    </w:rPr>
                    <w:t>5</w:t>
                  </w:r>
                  <w:r>
                    <w:rPr>
                      <w:rFonts w:ascii="Arial" w:hAnsi="Arial"/>
                      <w:sz w:val="18"/>
                      <w:szCs w:val="20"/>
                    </w:rPr>
                    <w:t>20</w:t>
                  </w:r>
                </w:p>
              </w:tc>
            </w:tr>
            <w:tr w:rsidR="009C6940" w:rsidRPr="008E6E5B" w14:paraId="1FB454C0" w14:textId="77777777" w:rsidTr="009C6940">
              <w:tc>
                <w:tcPr>
                  <w:tcW w:w="3250" w:type="pct"/>
                  <w:vAlign w:val="bottom"/>
                </w:tcPr>
                <w:p w14:paraId="30B977C1" w14:textId="77777777" w:rsidR="009C6940" w:rsidRPr="008E6E5B" w:rsidRDefault="009C6940" w:rsidP="009C6940">
                  <w:pPr>
                    <w:keepNext/>
                    <w:keepLines/>
                    <w:spacing w:after="40" w:line="200" w:lineRule="atLeast"/>
                    <w:ind w:left="6" w:right="113"/>
                    <w:rPr>
                      <w:rFonts w:ascii="Arial" w:hAnsi="Arial"/>
                      <w:sz w:val="18"/>
                      <w:szCs w:val="20"/>
                    </w:rPr>
                  </w:pPr>
                  <w:r>
                    <w:rPr>
                      <w:rFonts w:ascii="Arial" w:hAnsi="Arial"/>
                      <w:sz w:val="18"/>
                      <w:szCs w:val="20"/>
                    </w:rPr>
                    <w:t>Psychosocial supports — National Disability Insurance Scheme</w:t>
                  </w:r>
                </w:p>
              </w:tc>
              <w:tc>
                <w:tcPr>
                  <w:tcW w:w="1750" w:type="pct"/>
                </w:tcPr>
                <w:p w14:paraId="5633E3BB" w14:textId="77777777" w:rsidR="009C6940" w:rsidRPr="004F630D" w:rsidRDefault="009C6940" w:rsidP="009C6940">
                  <w:pPr>
                    <w:keepNext/>
                    <w:keepLines/>
                    <w:spacing w:after="40" w:line="200" w:lineRule="atLeast"/>
                    <w:ind w:left="6" w:right="11"/>
                    <w:jc w:val="right"/>
                    <w:rPr>
                      <w:rFonts w:ascii="Arial" w:hAnsi="Arial"/>
                      <w:sz w:val="18"/>
                      <w:szCs w:val="20"/>
                    </w:rPr>
                  </w:pPr>
                  <w:r>
                    <w:rPr>
                      <w:rFonts w:ascii="Arial" w:hAnsi="Arial"/>
                      <w:sz w:val="18"/>
                      <w:szCs w:val="20"/>
                    </w:rPr>
                    <w:t>638</w:t>
                  </w:r>
                </w:p>
              </w:tc>
            </w:tr>
            <w:tr w:rsidR="009C6940" w:rsidRPr="008E6E5B" w14:paraId="4CA327FE" w14:textId="77777777" w:rsidTr="009C6940">
              <w:tc>
                <w:tcPr>
                  <w:tcW w:w="3250" w:type="pct"/>
                  <w:vAlign w:val="bottom"/>
                </w:tcPr>
                <w:p w14:paraId="64241F17" w14:textId="77777777" w:rsidR="009C6940" w:rsidRPr="009816FF" w:rsidRDefault="009C6940">
                  <w:pPr>
                    <w:keepNext/>
                    <w:keepLines/>
                    <w:spacing w:after="40" w:line="200" w:lineRule="atLeast"/>
                    <w:ind w:left="6" w:right="113"/>
                    <w:rPr>
                      <w:rFonts w:ascii="Arial" w:hAnsi="Arial"/>
                      <w:sz w:val="18"/>
                      <w:szCs w:val="20"/>
                      <w:lang w:val="fr-FR"/>
                    </w:rPr>
                  </w:pPr>
                  <w:r>
                    <w:rPr>
                      <w:rFonts w:ascii="Arial" w:hAnsi="Arial"/>
                      <w:sz w:val="18"/>
                      <w:szCs w:val="20"/>
                      <w:lang w:val="fr-FR"/>
                    </w:rPr>
                    <w:t xml:space="preserve">Psychosocial supports </w:t>
                  </w:r>
                  <w:r>
                    <w:rPr>
                      <w:rFonts w:ascii="Arial" w:hAnsi="Arial"/>
                      <w:sz w:val="18"/>
                      <w:szCs w:val="20"/>
                    </w:rPr>
                    <w:t xml:space="preserve">— Australian Government </w:t>
                  </w:r>
                  <w:r w:rsidRPr="009816FF">
                    <w:rPr>
                      <w:rFonts w:ascii="Arial" w:hAnsi="Arial"/>
                      <w:sz w:val="18"/>
                      <w:szCs w:val="20"/>
                      <w:lang w:val="fr-FR"/>
                    </w:rPr>
                    <w:t>non</w:t>
                  </w:r>
                  <w:r>
                    <w:rPr>
                      <w:rFonts w:ascii="Arial" w:hAnsi="Arial"/>
                      <w:sz w:val="18"/>
                      <w:szCs w:val="20"/>
                      <w:lang w:val="fr-FR"/>
                    </w:rPr>
                    <w:noBreakHyphen/>
                  </w:r>
                  <w:r w:rsidRPr="00DE2C33">
                    <w:rPr>
                      <w:rFonts w:ascii="Arial" w:hAnsi="Arial"/>
                      <w:sz w:val="18"/>
                      <w:szCs w:val="20"/>
                    </w:rPr>
                    <w:t>National Disability Insurance Scheme</w:t>
                  </w:r>
                </w:p>
              </w:tc>
              <w:tc>
                <w:tcPr>
                  <w:tcW w:w="1750" w:type="pct"/>
                </w:tcPr>
                <w:p w14:paraId="58C9B149" w14:textId="77777777" w:rsidR="009C6940" w:rsidRDefault="009C6940" w:rsidP="009C6940">
                  <w:pPr>
                    <w:keepNext/>
                    <w:keepLines/>
                    <w:spacing w:after="40" w:line="200" w:lineRule="atLeast"/>
                    <w:ind w:left="6" w:right="11"/>
                    <w:jc w:val="right"/>
                    <w:rPr>
                      <w:rFonts w:ascii="Arial" w:hAnsi="Arial"/>
                      <w:sz w:val="18"/>
                      <w:szCs w:val="20"/>
                    </w:rPr>
                  </w:pPr>
                  <w:r>
                    <w:rPr>
                      <w:rFonts w:ascii="Arial" w:hAnsi="Arial"/>
                      <w:sz w:val="18"/>
                      <w:szCs w:val="20"/>
                    </w:rPr>
                    <w:t>403</w:t>
                  </w:r>
                </w:p>
              </w:tc>
            </w:tr>
            <w:tr w:rsidR="009C6940" w:rsidRPr="008E6E5B" w14:paraId="2C9E1D6A" w14:textId="77777777" w:rsidTr="009C6940">
              <w:tc>
                <w:tcPr>
                  <w:tcW w:w="3250" w:type="pct"/>
                  <w:vAlign w:val="bottom"/>
                </w:tcPr>
                <w:p w14:paraId="2A421963" w14:textId="77777777" w:rsidR="009C6940" w:rsidRDefault="009C6940" w:rsidP="009C6940">
                  <w:pPr>
                    <w:keepNext/>
                    <w:keepLines/>
                    <w:spacing w:after="40" w:line="200" w:lineRule="atLeast"/>
                    <w:ind w:left="6" w:right="113"/>
                    <w:rPr>
                      <w:rFonts w:ascii="Arial" w:hAnsi="Arial"/>
                      <w:sz w:val="18"/>
                      <w:szCs w:val="20"/>
                    </w:rPr>
                  </w:pPr>
                  <w:r>
                    <w:rPr>
                      <w:rFonts w:ascii="Arial" w:hAnsi="Arial"/>
                      <w:sz w:val="18"/>
                      <w:szCs w:val="20"/>
                    </w:rPr>
                    <w:t xml:space="preserve">Psychosocial supports — State and Territory Governments </w:t>
                  </w:r>
                </w:p>
              </w:tc>
              <w:tc>
                <w:tcPr>
                  <w:tcW w:w="1750" w:type="pct"/>
                </w:tcPr>
                <w:p w14:paraId="44D4A3D6" w14:textId="77777777" w:rsidR="009C6940" w:rsidRDefault="009C6940" w:rsidP="009C6940">
                  <w:pPr>
                    <w:keepNext/>
                    <w:keepLines/>
                    <w:spacing w:after="40" w:line="200" w:lineRule="atLeast"/>
                    <w:ind w:left="6" w:right="11"/>
                    <w:jc w:val="right"/>
                    <w:rPr>
                      <w:rFonts w:ascii="Arial" w:hAnsi="Arial"/>
                      <w:sz w:val="18"/>
                      <w:szCs w:val="20"/>
                    </w:rPr>
                  </w:pPr>
                  <w:r>
                    <w:rPr>
                      <w:rFonts w:ascii="Arial" w:hAnsi="Arial"/>
                      <w:sz w:val="18"/>
                      <w:szCs w:val="20"/>
                    </w:rPr>
                    <w:t>452</w:t>
                  </w:r>
                </w:p>
              </w:tc>
            </w:tr>
            <w:tr w:rsidR="009C6940" w:rsidRPr="008E6E5B" w14:paraId="5985B285" w14:textId="77777777" w:rsidTr="009C6940">
              <w:tc>
                <w:tcPr>
                  <w:tcW w:w="3250" w:type="pct"/>
                  <w:vAlign w:val="bottom"/>
                </w:tcPr>
                <w:p w14:paraId="48DB28B9"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 xml:space="preserve">Education </w:t>
                  </w:r>
                </w:p>
              </w:tc>
              <w:tc>
                <w:tcPr>
                  <w:tcW w:w="1750" w:type="pct"/>
                </w:tcPr>
                <w:p w14:paraId="1AB62A69" w14:textId="77777777" w:rsidR="009C6940" w:rsidRPr="00EA0946" w:rsidRDefault="009C6940" w:rsidP="009C6940">
                  <w:pPr>
                    <w:keepNext/>
                    <w:keepLines/>
                    <w:spacing w:after="40" w:line="200" w:lineRule="atLeast"/>
                    <w:ind w:left="6" w:right="11"/>
                    <w:jc w:val="right"/>
                    <w:rPr>
                      <w:rFonts w:ascii="Arial" w:hAnsi="Arial"/>
                      <w:sz w:val="18"/>
                      <w:szCs w:val="20"/>
                    </w:rPr>
                  </w:pPr>
                  <w:r w:rsidRPr="00EA0946">
                    <w:rPr>
                      <w:rFonts w:ascii="Arial" w:hAnsi="Arial"/>
                      <w:sz w:val="18"/>
                      <w:szCs w:val="20"/>
                    </w:rPr>
                    <w:t>na</w:t>
                  </w:r>
                </w:p>
              </w:tc>
            </w:tr>
            <w:tr w:rsidR="009C6940" w:rsidRPr="008E6E5B" w14:paraId="0A2EAE38" w14:textId="77777777" w:rsidTr="009C6940">
              <w:tc>
                <w:tcPr>
                  <w:tcW w:w="3250" w:type="pct"/>
                  <w:vAlign w:val="bottom"/>
                </w:tcPr>
                <w:p w14:paraId="791E70E1" w14:textId="77777777" w:rsidR="009C6940" w:rsidRPr="008E6E5B" w:rsidRDefault="009C6940" w:rsidP="009C6940">
                  <w:pPr>
                    <w:keepNext/>
                    <w:keepLines/>
                    <w:spacing w:after="40" w:line="200" w:lineRule="atLeast"/>
                    <w:ind w:left="6" w:right="113"/>
                    <w:rPr>
                      <w:rFonts w:ascii="Arial" w:hAnsi="Arial"/>
                      <w:sz w:val="18"/>
                      <w:szCs w:val="20"/>
                    </w:rPr>
                  </w:pPr>
                  <w:r>
                    <w:rPr>
                      <w:rFonts w:ascii="Arial" w:hAnsi="Arial"/>
                      <w:sz w:val="18"/>
                      <w:szCs w:val="20"/>
                    </w:rPr>
                    <w:t>Justice</w:t>
                  </w:r>
                </w:p>
              </w:tc>
              <w:tc>
                <w:tcPr>
                  <w:tcW w:w="1750" w:type="pct"/>
                </w:tcPr>
                <w:p w14:paraId="1FDD5C67" w14:textId="77777777" w:rsidR="009C6940" w:rsidRPr="008E6E5B" w:rsidRDefault="009C6940" w:rsidP="009C6940">
                  <w:pPr>
                    <w:keepNext/>
                    <w:keepLines/>
                    <w:spacing w:after="40" w:line="200" w:lineRule="atLeast"/>
                    <w:ind w:left="6" w:right="11"/>
                    <w:jc w:val="right"/>
                    <w:rPr>
                      <w:rFonts w:ascii="Arial" w:hAnsi="Arial"/>
                      <w:sz w:val="18"/>
                      <w:szCs w:val="20"/>
                    </w:rPr>
                  </w:pPr>
                  <w:r>
                    <w:rPr>
                      <w:rFonts w:ascii="Arial" w:hAnsi="Arial"/>
                      <w:sz w:val="18"/>
                      <w:szCs w:val="20"/>
                    </w:rPr>
                    <w:t>1 120</w:t>
                  </w:r>
                </w:p>
              </w:tc>
            </w:tr>
            <w:tr w:rsidR="009C6940" w:rsidRPr="008E6E5B" w14:paraId="4E12E2D4" w14:textId="77777777" w:rsidTr="009C6940">
              <w:tc>
                <w:tcPr>
                  <w:tcW w:w="3250" w:type="pct"/>
                  <w:tcBorders>
                    <w:bottom w:val="single" w:sz="6" w:space="0" w:color="BFBFBF"/>
                  </w:tcBorders>
                  <w:shd w:val="clear" w:color="auto" w:fill="auto"/>
                  <w:vAlign w:val="bottom"/>
                </w:tcPr>
                <w:p w14:paraId="3BDE42CE" w14:textId="77777777" w:rsidR="009C6940" w:rsidRPr="00593DAD" w:rsidRDefault="009C6940" w:rsidP="009C6940">
                  <w:pPr>
                    <w:keepNext/>
                    <w:keepLines/>
                    <w:spacing w:after="40" w:line="200" w:lineRule="atLeast"/>
                    <w:ind w:left="6" w:right="113"/>
                    <w:rPr>
                      <w:rFonts w:ascii="Arial" w:hAnsi="Arial"/>
                      <w:b/>
                      <w:sz w:val="18"/>
                      <w:szCs w:val="20"/>
                    </w:rPr>
                  </w:pPr>
                  <w:r w:rsidRPr="00593DAD">
                    <w:rPr>
                      <w:rFonts w:ascii="Arial" w:hAnsi="Arial"/>
                      <w:b/>
                      <w:sz w:val="18"/>
                      <w:szCs w:val="20"/>
                    </w:rPr>
                    <w:t xml:space="preserve">Total </w:t>
                  </w:r>
                </w:p>
              </w:tc>
              <w:tc>
                <w:tcPr>
                  <w:tcW w:w="1750" w:type="pct"/>
                  <w:tcBorders>
                    <w:bottom w:val="single" w:sz="6" w:space="0" w:color="BFBFBF"/>
                  </w:tcBorders>
                  <w:shd w:val="clear" w:color="auto" w:fill="auto"/>
                </w:tcPr>
                <w:p w14:paraId="58B5B5F8" w14:textId="77777777" w:rsidR="009C6940" w:rsidRPr="00593DAD" w:rsidRDefault="009C6940" w:rsidP="009C6940">
                  <w:pPr>
                    <w:keepNext/>
                    <w:keepLines/>
                    <w:spacing w:after="40" w:line="200" w:lineRule="atLeast"/>
                    <w:ind w:left="6" w:right="11"/>
                    <w:jc w:val="right"/>
                    <w:rPr>
                      <w:rFonts w:ascii="Arial" w:hAnsi="Arial"/>
                      <w:b/>
                      <w:sz w:val="18"/>
                      <w:szCs w:val="20"/>
                    </w:rPr>
                  </w:pPr>
                  <w:r>
                    <w:rPr>
                      <w:rFonts w:ascii="Arial" w:hAnsi="Arial"/>
                      <w:b/>
                      <w:sz w:val="18"/>
                      <w:szCs w:val="20"/>
                    </w:rPr>
                    <w:t>4 119</w:t>
                  </w:r>
                </w:p>
              </w:tc>
            </w:tr>
          </w:tbl>
          <w:p w14:paraId="4594C2E5" w14:textId="77777777" w:rsidR="009C6940" w:rsidRPr="008E6E5B" w:rsidRDefault="009C6940" w:rsidP="009C6940">
            <w:pPr>
              <w:keepNext/>
              <w:spacing w:before="120" w:line="260" w:lineRule="atLeast"/>
              <w:jc w:val="both"/>
              <w:rPr>
                <w:rFonts w:ascii="Arial" w:hAnsi="Arial"/>
                <w:sz w:val="20"/>
                <w:szCs w:val="20"/>
              </w:rPr>
            </w:pPr>
          </w:p>
        </w:tc>
      </w:tr>
      <w:tr w:rsidR="009C6940" w:rsidRPr="008E6E5B" w14:paraId="3CF2EB20" w14:textId="77777777" w:rsidTr="009C6940">
        <w:tc>
          <w:tcPr>
            <w:tcW w:w="5000" w:type="pct"/>
            <w:tcBorders>
              <w:top w:val="nil"/>
              <w:left w:val="nil"/>
              <w:bottom w:val="nil"/>
              <w:right w:val="nil"/>
            </w:tcBorders>
            <w:shd w:val="clear" w:color="auto" w:fill="auto"/>
          </w:tcPr>
          <w:p w14:paraId="2F53CD2C" w14:textId="77777777" w:rsidR="009C6940" w:rsidRPr="008E6E5B" w:rsidRDefault="009C6940" w:rsidP="009C6940">
            <w:pPr>
              <w:keepLines/>
              <w:spacing w:before="80" w:line="220" w:lineRule="exact"/>
              <w:jc w:val="both"/>
              <w:rPr>
                <w:rFonts w:ascii="Arial" w:hAnsi="Arial"/>
                <w:i/>
                <w:sz w:val="18"/>
                <w:szCs w:val="20"/>
              </w:rPr>
            </w:pPr>
            <w:r w:rsidRPr="008E6E5B">
              <w:rPr>
                <w:rFonts w:ascii="Arial" w:hAnsi="Arial"/>
                <w:b/>
                <w:position w:val="6"/>
                <w:sz w:val="18"/>
                <w:szCs w:val="20"/>
              </w:rPr>
              <w:t xml:space="preserve">a </w:t>
            </w:r>
            <w:r w:rsidRPr="008E6E5B">
              <w:rPr>
                <w:rFonts w:ascii="Arial" w:hAnsi="Arial"/>
                <w:sz w:val="18"/>
                <w:szCs w:val="20"/>
              </w:rPr>
              <w:t>Expenditure converted to 2018</w:t>
            </w:r>
            <w:r w:rsidRPr="008E6E5B">
              <w:rPr>
                <w:rFonts w:ascii="Arial" w:hAnsi="Arial"/>
                <w:sz w:val="18"/>
                <w:szCs w:val="20"/>
              </w:rPr>
              <w:noBreakHyphen/>
              <w:t xml:space="preserve">19 estimates using CPI inflator. This does not take into account growth in expenditure due to population growth in programs where funding is uncapped. Components do not necessarily sum to the total due to rounding. </w:t>
            </w:r>
            <w:r w:rsidRPr="001A4186">
              <w:rPr>
                <w:rFonts w:ascii="Arial" w:hAnsi="Arial"/>
                <w:b/>
                <w:sz w:val="18"/>
                <w:szCs w:val="20"/>
              </w:rPr>
              <w:t>na</w:t>
            </w:r>
            <w:r>
              <w:rPr>
                <w:rFonts w:ascii="Arial" w:hAnsi="Arial"/>
                <w:sz w:val="18"/>
                <w:szCs w:val="20"/>
              </w:rPr>
              <w:t xml:space="preserve"> Not available. </w:t>
            </w:r>
          </w:p>
        </w:tc>
      </w:tr>
      <w:tr w:rsidR="009C6940" w:rsidRPr="008E6E5B" w14:paraId="13735B1C" w14:textId="77777777" w:rsidTr="009C6940">
        <w:tc>
          <w:tcPr>
            <w:tcW w:w="5000" w:type="pct"/>
            <w:tcBorders>
              <w:top w:val="nil"/>
              <w:left w:val="nil"/>
              <w:bottom w:val="nil"/>
              <w:right w:val="nil"/>
            </w:tcBorders>
            <w:shd w:val="clear" w:color="auto" w:fill="auto"/>
          </w:tcPr>
          <w:p w14:paraId="4E32F1CE" w14:textId="77777777" w:rsidR="009C6940" w:rsidRPr="008E6E5B" w:rsidRDefault="009C6940" w:rsidP="009C6940">
            <w:pPr>
              <w:keepLines/>
              <w:spacing w:before="80" w:line="220" w:lineRule="exact"/>
              <w:jc w:val="both"/>
              <w:rPr>
                <w:rFonts w:ascii="Arial" w:hAnsi="Arial"/>
                <w:sz w:val="18"/>
                <w:szCs w:val="20"/>
              </w:rPr>
            </w:pPr>
            <w:r w:rsidRPr="008E6E5B">
              <w:rPr>
                <w:rFonts w:ascii="Arial" w:hAnsi="Arial"/>
                <w:i/>
                <w:sz w:val="18"/>
                <w:szCs w:val="20"/>
              </w:rPr>
              <w:t>Source</w:t>
            </w:r>
            <w:r w:rsidRPr="008E6E5B">
              <w:rPr>
                <w:rFonts w:ascii="Arial" w:hAnsi="Arial"/>
                <w:sz w:val="18"/>
                <w:szCs w:val="20"/>
              </w:rPr>
              <w:t xml:space="preserve">: </w:t>
            </w:r>
            <w:r>
              <w:rPr>
                <w:rFonts w:ascii="Arial" w:hAnsi="Arial"/>
                <w:sz w:val="18"/>
                <w:szCs w:val="20"/>
              </w:rPr>
              <w:t xml:space="preserve">Productivity </w:t>
            </w:r>
            <w:r w:rsidRPr="008E6E5B">
              <w:rPr>
                <w:rFonts w:ascii="Arial" w:hAnsi="Arial"/>
                <w:sz w:val="18"/>
                <w:szCs w:val="20"/>
              </w:rPr>
              <w:t>Commission estimates.</w:t>
            </w:r>
          </w:p>
        </w:tc>
      </w:tr>
      <w:tr w:rsidR="009C6940" w:rsidRPr="008E6E5B" w14:paraId="4584476F" w14:textId="77777777" w:rsidTr="009C6940">
        <w:tc>
          <w:tcPr>
            <w:tcW w:w="5000" w:type="pct"/>
            <w:tcBorders>
              <w:top w:val="nil"/>
              <w:left w:val="nil"/>
              <w:bottom w:val="single" w:sz="6" w:space="0" w:color="78A22F"/>
              <w:right w:val="nil"/>
            </w:tcBorders>
            <w:shd w:val="clear" w:color="auto" w:fill="auto"/>
          </w:tcPr>
          <w:p w14:paraId="4B7AEA88" w14:textId="77777777" w:rsidR="009C6940" w:rsidRPr="008E6E5B" w:rsidRDefault="009C6940" w:rsidP="009C6940">
            <w:pPr>
              <w:keepNext/>
              <w:spacing w:line="120" w:lineRule="exact"/>
              <w:jc w:val="both"/>
              <w:rPr>
                <w:rFonts w:ascii="Arial" w:hAnsi="Arial"/>
                <w:sz w:val="20"/>
                <w:szCs w:val="20"/>
              </w:rPr>
            </w:pPr>
          </w:p>
        </w:tc>
      </w:tr>
      <w:tr w:rsidR="009C6940" w:rsidRPr="008E6E5B" w14:paraId="0E496779" w14:textId="77777777" w:rsidTr="009C6940">
        <w:tc>
          <w:tcPr>
            <w:tcW w:w="5000" w:type="pct"/>
            <w:tcBorders>
              <w:top w:val="single" w:sz="6" w:space="0" w:color="78A22F"/>
              <w:left w:val="nil"/>
              <w:bottom w:val="nil"/>
              <w:right w:val="nil"/>
            </w:tcBorders>
          </w:tcPr>
          <w:p w14:paraId="7EB559F7" w14:textId="77777777" w:rsidR="009C6940" w:rsidRPr="008E6E5B" w:rsidRDefault="009C6940" w:rsidP="009C6940">
            <w:pPr>
              <w:spacing w:before="60" w:after="60" w:line="80" w:lineRule="exact"/>
              <w:jc w:val="both"/>
              <w:rPr>
                <w:rFonts w:ascii="Arial" w:hAnsi="Arial"/>
                <w:sz w:val="14"/>
                <w:szCs w:val="20"/>
              </w:rPr>
            </w:pPr>
          </w:p>
        </w:tc>
      </w:tr>
    </w:tbl>
    <w:p w14:paraId="3113417C" w14:textId="77777777" w:rsidR="009C6940" w:rsidRPr="008E6E5B" w:rsidRDefault="009C6940" w:rsidP="009C6940">
      <w:pPr>
        <w:keepNext/>
        <w:spacing w:before="560" w:line="320" w:lineRule="exact"/>
        <w:outlineLvl w:val="2"/>
        <w:rPr>
          <w:rFonts w:ascii="Arial" w:hAnsi="Arial"/>
          <w:b/>
          <w:sz w:val="26"/>
          <w:szCs w:val="20"/>
        </w:rPr>
      </w:pPr>
      <w:r w:rsidRPr="008E6E5B">
        <w:rPr>
          <w:rFonts w:ascii="Arial" w:hAnsi="Arial"/>
          <w:b/>
          <w:sz w:val="26"/>
          <w:szCs w:val="20"/>
        </w:rPr>
        <w:lastRenderedPageBreak/>
        <w:t xml:space="preserve">Informal care of those with mental illness </w:t>
      </w:r>
    </w:p>
    <w:p w14:paraId="4AC3F22F" w14:textId="77777777" w:rsidR="009C6940" w:rsidRPr="004F630D" w:rsidRDefault="009C6940" w:rsidP="009C6940">
      <w:pPr>
        <w:pStyle w:val="BodyText"/>
      </w:pPr>
      <w:r w:rsidRPr="004F630D">
        <w:t>Informal carers, such as family members, partners and friends, play a significant role in the care of people with mental illness in Australia</w:t>
      </w:r>
      <w:r>
        <w:t xml:space="preserve"> (chapter 18)</w:t>
      </w:r>
      <w:r w:rsidRPr="004F630D">
        <w:t xml:space="preserve">. They </w:t>
      </w:r>
      <w:r>
        <w:t xml:space="preserve">can </w:t>
      </w:r>
      <w:r w:rsidRPr="004F630D">
        <w:t>help and support a family member or friend with mental ill</w:t>
      </w:r>
      <w:r>
        <w:t>ness</w:t>
      </w:r>
      <w:r w:rsidRPr="004F630D">
        <w:t xml:space="preserve"> by coordinating their healthcare, providing emotional support, and assisting with day</w:t>
      </w:r>
      <w:r w:rsidRPr="004F630D">
        <w:noBreakHyphen/>
        <w:t>to</w:t>
      </w:r>
      <w:r w:rsidRPr="004F630D">
        <w:noBreakHyphen/>
        <w:t>day living. The total annual replacement cost for adult informal mental health carers in 2015 was $14.3 billion (Diminic et al. 2017). This represents the cost involved in replacing the caring tasks currently provided by informal carers with formal or paid mental health support services. In 201</w:t>
      </w:r>
      <w:r>
        <w:t>9</w:t>
      </w:r>
      <w:r w:rsidRPr="004F630D">
        <w:t>, this represented an annual replacement cost of approximately $15 billion</w:t>
      </w:r>
      <w:r>
        <w:t xml:space="preserve">. </w:t>
      </w:r>
      <w:r w:rsidRPr="0072026C">
        <w:rPr>
          <w:szCs w:val="24"/>
        </w:rPr>
        <w:t>Diminic</w:t>
      </w:r>
      <w:r>
        <w:rPr>
          <w:szCs w:val="24"/>
        </w:rPr>
        <w:t xml:space="preserve"> </w:t>
      </w:r>
      <w:r w:rsidRPr="0072026C">
        <w:rPr>
          <w:szCs w:val="24"/>
        </w:rPr>
        <w:t>(2017, p. 3)</w:t>
      </w:r>
      <w:r>
        <w:rPr>
          <w:sz w:val="22"/>
        </w:rPr>
        <w:t xml:space="preserve"> </w:t>
      </w:r>
      <w:r w:rsidRPr="004F630D">
        <w:t>noted:</w:t>
      </w:r>
    </w:p>
    <w:p w14:paraId="5A2EE17F" w14:textId="77777777" w:rsidR="009C6940" w:rsidRDefault="009C6940" w:rsidP="009C6940">
      <w:pPr>
        <w:pStyle w:val="Quote"/>
      </w:pPr>
      <w:r w:rsidRPr="004F630D">
        <w:t xml:space="preserve">The intention is never for government to completely replace the care provided by mental health carers. Rather, a replacement cost analysis is a method used to quantify the economic value of informal care, and in turn highlight the importance of carers. </w:t>
      </w:r>
    </w:p>
    <w:p w14:paraId="538D989B" w14:textId="77777777" w:rsidR="009C6940" w:rsidRPr="008E6E5B" w:rsidRDefault="009C6940" w:rsidP="009C6940">
      <w:pPr>
        <w:keepNext/>
        <w:spacing w:before="560" w:line="320" w:lineRule="exact"/>
        <w:outlineLvl w:val="2"/>
        <w:rPr>
          <w:rFonts w:ascii="Arial" w:hAnsi="Arial"/>
          <w:b/>
          <w:sz w:val="26"/>
          <w:szCs w:val="20"/>
        </w:rPr>
      </w:pPr>
      <w:r w:rsidRPr="008E6E5B">
        <w:rPr>
          <w:rFonts w:ascii="Arial" w:hAnsi="Arial"/>
          <w:b/>
          <w:sz w:val="26"/>
          <w:szCs w:val="20"/>
        </w:rPr>
        <w:t xml:space="preserve">Cost of collecting taxes to provide services </w:t>
      </w:r>
    </w:p>
    <w:p w14:paraId="7A24597B" w14:textId="77777777" w:rsidR="009C6940" w:rsidRPr="008E6E5B" w:rsidRDefault="009C6940" w:rsidP="009C6940">
      <w:pPr>
        <w:pStyle w:val="BodyText"/>
      </w:pPr>
      <w:r w:rsidRPr="008E6E5B">
        <w:t xml:space="preserve">Governments use a variety of taxes to collect tax revenue </w:t>
      </w:r>
      <w:r>
        <w:t>that</w:t>
      </w:r>
      <w:r w:rsidRPr="008E6E5B">
        <w:t xml:space="preserve"> ultimately funds mental health services and provides financial support payments to eligible people and families. The tax distribution process involves governments transferring revenue from taxpayers to mental healthcare and other service providers. Such transfers do not occur without </w:t>
      </w:r>
      <w:r>
        <w:t xml:space="preserve">a </w:t>
      </w:r>
      <w:r w:rsidRPr="008E6E5B">
        <w:t>cost. These costs include the cost of administration that lie behind tax collection, the compliance costs that businesses and individuals face as they meet eligibility criteria, and</w:t>
      </w:r>
      <w:r>
        <w:t xml:space="preserve"> </w:t>
      </w:r>
      <w:r w:rsidRPr="008E6E5B">
        <w:t xml:space="preserve">the costs of distortions imposed when governments collect tax. </w:t>
      </w:r>
      <w:r>
        <w:t xml:space="preserve">The latter is </w:t>
      </w:r>
      <w:r w:rsidRPr="008E6E5B">
        <w:t>known as the excess burden of taxation, or it</w:t>
      </w:r>
      <w:r>
        <w:t>s ‘deadweight loss’ to society.</w:t>
      </w:r>
    </w:p>
    <w:p w14:paraId="5F89C874" w14:textId="77777777" w:rsidR="009C6940" w:rsidRPr="008E6E5B" w:rsidRDefault="009C6940" w:rsidP="009C6940">
      <w:pPr>
        <w:pStyle w:val="BodyText"/>
      </w:pPr>
      <w:r w:rsidRPr="008E6E5B">
        <w:t>Estimating the cost of collecting tax revenue is, however, complex and beyond the scope of an inquiry that is focused on mental health. Some issues include:</w:t>
      </w:r>
    </w:p>
    <w:p w14:paraId="43DC053F" w14:textId="77777777" w:rsidR="009C6940" w:rsidRPr="008E6E5B" w:rsidRDefault="009C6940" w:rsidP="009C6940">
      <w:pPr>
        <w:pStyle w:val="ListBullet"/>
      </w:pPr>
      <w:r w:rsidRPr="008E6E5B">
        <w:t>establishing the best methodology used to measure the excess burden of a given tax</w:t>
      </w:r>
    </w:p>
    <w:p w14:paraId="6AC22C6F" w14:textId="77777777" w:rsidR="009C6940" w:rsidRPr="008E6E5B" w:rsidRDefault="009C6940" w:rsidP="009C6940">
      <w:pPr>
        <w:pStyle w:val="ListBullet"/>
      </w:pPr>
      <w:r w:rsidRPr="008E6E5B">
        <w:t xml:space="preserve">not all taxes create an excess burden. In the case of externalities, such as the negative health </w:t>
      </w:r>
      <w:r>
        <w:t>effects</w:t>
      </w:r>
      <w:r w:rsidRPr="008E6E5B">
        <w:t xml:space="preserve"> of smoking, taxing the sale of and lowering output of the externality producing good (in this case, cigarettes) is an improvement in welfare </w:t>
      </w:r>
    </w:p>
    <w:p w14:paraId="362F8367" w14:textId="77777777" w:rsidR="009C6940" w:rsidRPr="008E6E5B" w:rsidRDefault="009C6940" w:rsidP="009C6940">
      <w:pPr>
        <w:pStyle w:val="ListBullet"/>
      </w:pPr>
      <w:r w:rsidRPr="008E6E5B">
        <w:t xml:space="preserve">the difficulty of establishing the net effect on society for a given level of taxation when governments levy a range of taxes. </w:t>
      </w:r>
    </w:p>
    <w:p w14:paraId="57D0E188" w14:textId="77777777" w:rsidR="009C6940" w:rsidRPr="008E6E5B" w:rsidRDefault="009C6940" w:rsidP="009C6940">
      <w:pPr>
        <w:keepNext/>
        <w:spacing w:before="600" w:line="400" w:lineRule="exact"/>
        <w:ind w:left="907" w:hanging="907"/>
        <w:outlineLvl w:val="1"/>
        <w:rPr>
          <w:rFonts w:ascii="Arial" w:hAnsi="Arial"/>
          <w:b/>
          <w:sz w:val="32"/>
          <w:szCs w:val="20"/>
        </w:rPr>
      </w:pPr>
      <w:r>
        <w:rPr>
          <w:rFonts w:ascii="Arial" w:hAnsi="Arial"/>
          <w:b/>
          <w:sz w:val="32"/>
          <w:szCs w:val="20"/>
        </w:rPr>
        <w:t>H.</w:t>
      </w:r>
      <w:r>
        <w:rPr>
          <w:rFonts w:ascii="Arial" w:hAnsi="Arial"/>
          <w:b/>
          <w:noProof/>
          <w:sz w:val="32"/>
          <w:szCs w:val="20"/>
        </w:rPr>
        <w:t>3</w:t>
      </w:r>
      <w:r w:rsidRPr="008E6E5B">
        <w:rPr>
          <w:rFonts w:ascii="Arial" w:hAnsi="Arial"/>
          <w:b/>
          <w:sz w:val="32"/>
          <w:szCs w:val="20"/>
        </w:rPr>
        <w:tab/>
        <w:t xml:space="preserve">Government income support </w:t>
      </w:r>
    </w:p>
    <w:p w14:paraId="0368F374" w14:textId="77777777" w:rsidR="009C6940" w:rsidRPr="00007BE9" w:rsidRDefault="009C6940" w:rsidP="009C6940">
      <w:pPr>
        <w:pStyle w:val="BodyText"/>
      </w:pPr>
      <w:r w:rsidRPr="00007BE9">
        <w:t xml:space="preserve">The Australian Government provides a range of income support payments to assist people with mental ill health and their carers. These include the Disability Support Pension (DSP), Newstart Allowance, Youth Allowance, Carer </w:t>
      </w:r>
      <w:r>
        <w:t>P</w:t>
      </w:r>
      <w:r w:rsidRPr="00007BE9">
        <w:t>ayment, and Carer Allowance (chapters</w:t>
      </w:r>
      <w:r>
        <w:t> </w:t>
      </w:r>
      <w:r w:rsidRPr="00007BE9">
        <w:t>1</w:t>
      </w:r>
      <w:r>
        <w:t xml:space="preserve">8 </w:t>
      </w:r>
      <w:r w:rsidRPr="00007BE9">
        <w:t>and</w:t>
      </w:r>
      <w:r>
        <w:t xml:space="preserve"> </w:t>
      </w:r>
      <w:r w:rsidRPr="00007BE9">
        <w:t>1</w:t>
      </w:r>
      <w:r>
        <w:t>9</w:t>
      </w:r>
      <w:r w:rsidRPr="00007BE9">
        <w:t>). In 2018</w:t>
      </w:r>
      <w:r>
        <w:noBreakHyphen/>
        <w:t>19, $10.9 </w:t>
      </w:r>
      <w:r w:rsidRPr="00007BE9">
        <w:t xml:space="preserve">billion in income support payments were estimated to </w:t>
      </w:r>
      <w:r>
        <w:t>be related to mental illness (table H.3).</w:t>
      </w:r>
    </w:p>
    <w:p w14:paraId="6C5062D5" w14:textId="77777777" w:rsidR="009C6940" w:rsidRPr="00A23433" w:rsidRDefault="009C6940" w:rsidP="009C6940">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8E6E5B" w14:paraId="0C155B64" w14:textId="77777777" w:rsidTr="009C6940">
        <w:trPr>
          <w:tblHeader/>
        </w:trPr>
        <w:tc>
          <w:tcPr>
            <w:tcW w:w="5000" w:type="pct"/>
            <w:tcBorders>
              <w:top w:val="single" w:sz="6" w:space="0" w:color="78A22F"/>
              <w:left w:val="nil"/>
              <w:bottom w:val="nil"/>
              <w:right w:val="nil"/>
            </w:tcBorders>
            <w:shd w:val="clear" w:color="auto" w:fill="auto"/>
          </w:tcPr>
          <w:p w14:paraId="62EC8056" w14:textId="77777777" w:rsidR="009C6940" w:rsidRPr="008E6E5B" w:rsidRDefault="009C6940" w:rsidP="009C6940">
            <w:pPr>
              <w:keepNext/>
              <w:keepLines/>
              <w:spacing w:before="120" w:after="80" w:line="280" w:lineRule="exact"/>
              <w:ind w:left="1474" w:hanging="1474"/>
              <w:rPr>
                <w:rFonts w:ascii="Arial" w:hAnsi="Arial"/>
                <w:b/>
              </w:rPr>
            </w:pPr>
            <w:r w:rsidRPr="008E6E5B">
              <w:rPr>
                <w:rFonts w:ascii="Arial" w:hAnsi="Arial"/>
              </w:rPr>
              <w:t xml:space="preserve">Table </w:t>
            </w:r>
            <w:r>
              <w:rPr>
                <w:rFonts w:ascii="Arial" w:hAnsi="Arial"/>
              </w:rPr>
              <w:t>H.</w:t>
            </w:r>
            <w:r>
              <w:rPr>
                <w:rFonts w:ascii="Arial" w:hAnsi="Arial"/>
                <w:noProof/>
              </w:rPr>
              <w:t>3</w:t>
            </w:r>
            <w:r w:rsidRPr="008E6E5B">
              <w:rPr>
                <w:rFonts w:ascii="Arial" w:hAnsi="Arial"/>
                <w:b/>
              </w:rPr>
              <w:tab/>
              <w:t>Income support payments related to mental ill</w:t>
            </w:r>
            <w:r>
              <w:rPr>
                <w:rFonts w:ascii="Arial" w:hAnsi="Arial"/>
                <w:b/>
              </w:rPr>
              <w:t>ness</w:t>
            </w:r>
          </w:p>
          <w:p w14:paraId="26043FEE" w14:textId="77777777" w:rsidR="009C6940" w:rsidRPr="008E6E5B" w:rsidRDefault="009C6940" w:rsidP="009C6940">
            <w:pPr>
              <w:keepNext/>
              <w:keepLines/>
              <w:spacing w:after="80" w:line="200" w:lineRule="exact"/>
              <w:ind w:left="1474"/>
              <w:rPr>
                <w:rFonts w:ascii="Arial" w:hAnsi="Arial"/>
                <w:sz w:val="20"/>
              </w:rPr>
            </w:pPr>
            <w:r w:rsidRPr="008E6E5B">
              <w:rPr>
                <w:rFonts w:ascii="Arial" w:hAnsi="Arial"/>
                <w:sz w:val="20"/>
              </w:rPr>
              <w:t>2018</w:t>
            </w:r>
            <w:r w:rsidRPr="008E6E5B">
              <w:rPr>
                <w:rFonts w:ascii="Arial" w:hAnsi="Arial"/>
                <w:sz w:val="20"/>
              </w:rPr>
              <w:noBreakHyphen/>
              <w:t>19</w:t>
            </w:r>
            <w:r>
              <w:rPr>
                <w:rFonts w:ascii="Arial" w:hAnsi="Arial"/>
                <w:sz w:val="20"/>
              </w:rPr>
              <w:t xml:space="preserve"> </w:t>
            </w:r>
          </w:p>
        </w:tc>
      </w:tr>
      <w:tr w:rsidR="009C6940" w:rsidRPr="008E6E5B" w14:paraId="392E4E71"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86"/>
              <w:gridCol w:w="1245"/>
              <w:gridCol w:w="1786"/>
              <w:gridCol w:w="1788"/>
            </w:tblGrid>
            <w:tr w:rsidR="009C6940" w:rsidRPr="008E6E5B" w14:paraId="10DB952B" w14:textId="77777777" w:rsidTr="009C6940">
              <w:trPr>
                <w:tblHeader/>
              </w:trPr>
              <w:tc>
                <w:tcPr>
                  <w:tcW w:w="2167" w:type="pct"/>
                  <w:tcBorders>
                    <w:top w:val="single" w:sz="6" w:space="0" w:color="BFBFBF"/>
                    <w:bottom w:val="single" w:sz="6" w:space="0" w:color="BFBFBF"/>
                  </w:tcBorders>
                  <w:shd w:val="clear" w:color="auto" w:fill="auto"/>
                  <w:tcMar>
                    <w:top w:w="28" w:type="dxa"/>
                  </w:tcMar>
                  <w:vAlign w:val="bottom"/>
                </w:tcPr>
                <w:p w14:paraId="2A5FBB35" w14:textId="77777777" w:rsidR="009C6940" w:rsidRPr="008E6E5B" w:rsidRDefault="009C6940" w:rsidP="009C6940">
                  <w:pPr>
                    <w:keepNext/>
                    <w:keepLines/>
                    <w:spacing w:before="80" w:after="80" w:line="200" w:lineRule="atLeast"/>
                    <w:ind w:left="6" w:right="113"/>
                    <w:rPr>
                      <w:rFonts w:ascii="Arial" w:hAnsi="Arial"/>
                      <w:i/>
                      <w:sz w:val="18"/>
                      <w:szCs w:val="20"/>
                    </w:rPr>
                  </w:pPr>
                  <w:r w:rsidRPr="008E6E5B">
                    <w:rPr>
                      <w:rFonts w:ascii="Arial" w:hAnsi="Arial"/>
                      <w:i/>
                      <w:sz w:val="18"/>
                      <w:szCs w:val="20"/>
                    </w:rPr>
                    <w:t>Income support</w:t>
                  </w:r>
                  <w:r>
                    <w:rPr>
                      <w:rFonts w:ascii="Arial" w:hAnsi="Arial"/>
                      <w:i/>
                      <w:sz w:val="18"/>
                      <w:szCs w:val="20"/>
                    </w:rPr>
                    <w:t xml:space="preserve"> payment</w:t>
                  </w:r>
                </w:p>
              </w:tc>
              <w:tc>
                <w:tcPr>
                  <w:tcW w:w="732" w:type="pct"/>
                  <w:tcBorders>
                    <w:top w:val="single" w:sz="6" w:space="0" w:color="BFBFBF"/>
                    <w:bottom w:val="single" w:sz="6" w:space="0" w:color="BFBFBF"/>
                  </w:tcBorders>
                  <w:vAlign w:val="bottom"/>
                </w:tcPr>
                <w:p w14:paraId="359DBCB7" w14:textId="77777777" w:rsidR="009C6940" w:rsidRPr="008E6E5B" w:rsidRDefault="009C6940" w:rsidP="009C6940">
                  <w:pPr>
                    <w:keepNext/>
                    <w:keepLines/>
                    <w:spacing w:before="80" w:after="80" w:line="200" w:lineRule="atLeast"/>
                    <w:ind w:left="6" w:right="113"/>
                    <w:jc w:val="right"/>
                    <w:rPr>
                      <w:rFonts w:ascii="Arial" w:hAnsi="Arial"/>
                      <w:i/>
                      <w:sz w:val="18"/>
                      <w:szCs w:val="20"/>
                    </w:rPr>
                  </w:pPr>
                  <w:r>
                    <w:rPr>
                      <w:rFonts w:ascii="Arial" w:hAnsi="Arial"/>
                      <w:i/>
                      <w:sz w:val="18"/>
                      <w:szCs w:val="20"/>
                    </w:rPr>
                    <w:t>Total cost</w:t>
                  </w:r>
                </w:p>
              </w:tc>
              <w:tc>
                <w:tcPr>
                  <w:tcW w:w="1050" w:type="pct"/>
                  <w:tcBorders>
                    <w:top w:val="single" w:sz="6" w:space="0" w:color="BFBFBF"/>
                    <w:bottom w:val="single" w:sz="6" w:space="0" w:color="BFBFBF"/>
                  </w:tcBorders>
                </w:tcPr>
                <w:p w14:paraId="7F5D97DC" w14:textId="77777777" w:rsidR="009C6940" w:rsidRPr="008E6E5B" w:rsidRDefault="009C6940" w:rsidP="009C6940">
                  <w:pPr>
                    <w:keepNext/>
                    <w:keepLines/>
                    <w:spacing w:before="80" w:after="80" w:line="200" w:lineRule="atLeast"/>
                    <w:ind w:left="6" w:right="28"/>
                    <w:jc w:val="right"/>
                    <w:rPr>
                      <w:rFonts w:ascii="Arial" w:hAnsi="Arial"/>
                      <w:i/>
                      <w:sz w:val="18"/>
                      <w:szCs w:val="20"/>
                    </w:rPr>
                  </w:pPr>
                  <w:r w:rsidRPr="008E6E5B">
                    <w:rPr>
                      <w:rFonts w:ascii="Arial" w:hAnsi="Arial"/>
                      <w:i/>
                      <w:sz w:val="18"/>
                      <w:szCs w:val="20"/>
                    </w:rPr>
                    <w:t>% mental</w:t>
                  </w:r>
                  <w:r>
                    <w:rPr>
                      <w:rFonts w:ascii="Arial" w:hAnsi="Arial"/>
                      <w:i/>
                      <w:sz w:val="18"/>
                      <w:szCs w:val="20"/>
                    </w:rPr>
                    <w:t>  </w:t>
                  </w:r>
                  <w:r w:rsidRPr="008E6E5B">
                    <w:rPr>
                      <w:rFonts w:ascii="Arial" w:hAnsi="Arial"/>
                      <w:i/>
                      <w:sz w:val="18"/>
                      <w:szCs w:val="20"/>
                    </w:rPr>
                    <w:br/>
                    <w:t xml:space="preserve"> health related</w:t>
                  </w:r>
                  <w:r w:rsidRPr="00EA0946">
                    <w:rPr>
                      <w:rFonts w:ascii="Arial" w:hAnsi="Arial"/>
                      <w:b/>
                      <w:position w:val="6"/>
                      <w:sz w:val="18"/>
                      <w:szCs w:val="20"/>
                    </w:rPr>
                    <w:t>a</w:t>
                  </w:r>
                </w:p>
              </w:tc>
              <w:tc>
                <w:tcPr>
                  <w:tcW w:w="1051" w:type="pct"/>
                  <w:tcBorders>
                    <w:top w:val="single" w:sz="6" w:space="0" w:color="BFBFBF"/>
                    <w:bottom w:val="single" w:sz="6" w:space="0" w:color="BFBFBF"/>
                  </w:tcBorders>
                  <w:shd w:val="clear" w:color="auto" w:fill="auto"/>
                  <w:tcMar>
                    <w:top w:w="28" w:type="dxa"/>
                  </w:tcMar>
                </w:tcPr>
                <w:p w14:paraId="4497DBE4" w14:textId="77777777" w:rsidR="009C6940" w:rsidRPr="008E6E5B" w:rsidRDefault="009C6940" w:rsidP="009C6940">
                  <w:pPr>
                    <w:keepNext/>
                    <w:keepLines/>
                    <w:spacing w:before="80" w:after="80" w:line="200" w:lineRule="atLeast"/>
                    <w:ind w:left="6" w:right="28"/>
                    <w:jc w:val="right"/>
                    <w:rPr>
                      <w:rFonts w:ascii="Arial" w:hAnsi="Arial"/>
                      <w:i/>
                      <w:sz w:val="18"/>
                      <w:szCs w:val="20"/>
                    </w:rPr>
                  </w:pPr>
                  <w:r w:rsidRPr="008E6E5B">
                    <w:rPr>
                      <w:rFonts w:ascii="Arial" w:hAnsi="Arial"/>
                      <w:i/>
                      <w:sz w:val="18"/>
                      <w:szCs w:val="20"/>
                    </w:rPr>
                    <w:t>Cost attributable to mental illness</w:t>
                  </w:r>
                  <w:r w:rsidRPr="008E6E5B" w:rsidDel="001E11D9">
                    <w:rPr>
                      <w:rFonts w:ascii="Arial" w:hAnsi="Arial"/>
                      <w:i/>
                      <w:sz w:val="18"/>
                      <w:szCs w:val="20"/>
                    </w:rPr>
                    <w:t xml:space="preserve"> </w:t>
                  </w:r>
                </w:p>
              </w:tc>
            </w:tr>
            <w:tr w:rsidR="009C6940" w:rsidRPr="008E6E5B" w14:paraId="2A4C7872" w14:textId="77777777" w:rsidTr="009C6940">
              <w:tc>
                <w:tcPr>
                  <w:tcW w:w="2167" w:type="pct"/>
                  <w:tcBorders>
                    <w:top w:val="single" w:sz="6" w:space="0" w:color="BFBFBF"/>
                  </w:tcBorders>
                </w:tcPr>
                <w:p w14:paraId="52F65635" w14:textId="77777777" w:rsidR="009C6940" w:rsidRPr="005175D3" w:rsidRDefault="009C6940" w:rsidP="009C6940">
                  <w:pPr>
                    <w:pStyle w:val="TableUnitsRow"/>
                  </w:pPr>
                </w:p>
              </w:tc>
              <w:tc>
                <w:tcPr>
                  <w:tcW w:w="732" w:type="pct"/>
                  <w:tcBorders>
                    <w:top w:val="single" w:sz="6" w:space="0" w:color="BFBFBF"/>
                  </w:tcBorders>
                </w:tcPr>
                <w:p w14:paraId="4F5602F3" w14:textId="77777777" w:rsidR="009C6940" w:rsidRPr="005175D3" w:rsidRDefault="009C6940" w:rsidP="009C6940">
                  <w:pPr>
                    <w:pStyle w:val="TableUnitsRow"/>
                  </w:pPr>
                  <w:r w:rsidRPr="005175D3">
                    <w:t>$b</w:t>
                  </w:r>
                  <w:r>
                    <w:t>illion</w:t>
                  </w:r>
                </w:p>
              </w:tc>
              <w:tc>
                <w:tcPr>
                  <w:tcW w:w="1050" w:type="pct"/>
                  <w:tcBorders>
                    <w:top w:val="single" w:sz="6" w:space="0" w:color="BFBFBF"/>
                  </w:tcBorders>
                </w:tcPr>
                <w:p w14:paraId="31BBF9FF" w14:textId="77777777" w:rsidR="009C6940" w:rsidRPr="005175D3" w:rsidRDefault="009C6940" w:rsidP="009C6940">
                  <w:pPr>
                    <w:pStyle w:val="TableUnitsRow"/>
                  </w:pPr>
                </w:p>
              </w:tc>
              <w:tc>
                <w:tcPr>
                  <w:tcW w:w="1051" w:type="pct"/>
                  <w:tcBorders>
                    <w:top w:val="single" w:sz="6" w:space="0" w:color="BFBFBF"/>
                  </w:tcBorders>
                </w:tcPr>
                <w:p w14:paraId="13727DB0" w14:textId="77777777" w:rsidR="009C6940" w:rsidRPr="005175D3" w:rsidRDefault="009C6940" w:rsidP="009C6940">
                  <w:pPr>
                    <w:pStyle w:val="TableUnitsRow"/>
                    <w:ind w:right="11"/>
                  </w:pPr>
                  <w:r w:rsidRPr="005175D3">
                    <w:t>$b</w:t>
                  </w:r>
                  <w:r>
                    <w:t>illion</w:t>
                  </w:r>
                </w:p>
              </w:tc>
            </w:tr>
            <w:tr w:rsidR="009C6940" w:rsidRPr="008E6E5B" w14:paraId="2E692119" w14:textId="77777777" w:rsidTr="009C6940">
              <w:tc>
                <w:tcPr>
                  <w:tcW w:w="2167" w:type="pct"/>
                </w:tcPr>
                <w:p w14:paraId="52B56708"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Disability Support Pension</w:t>
                  </w:r>
                </w:p>
              </w:tc>
              <w:tc>
                <w:tcPr>
                  <w:tcW w:w="732" w:type="pct"/>
                </w:tcPr>
                <w:p w14:paraId="143E91E6"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16.7</w:t>
                  </w:r>
                </w:p>
              </w:tc>
              <w:tc>
                <w:tcPr>
                  <w:tcW w:w="1050" w:type="pct"/>
                </w:tcPr>
                <w:p w14:paraId="3F6FDEED" w14:textId="77777777" w:rsidR="009C6940" w:rsidRPr="008E6E5B"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35</w:t>
                  </w:r>
                </w:p>
              </w:tc>
              <w:tc>
                <w:tcPr>
                  <w:tcW w:w="1051" w:type="pct"/>
                </w:tcPr>
                <w:p w14:paraId="41C7F0AE" w14:textId="77777777" w:rsidR="009C6940" w:rsidRPr="008E6E5B" w:rsidRDefault="009C6940" w:rsidP="009C6940">
                  <w:pPr>
                    <w:keepNext/>
                    <w:keepLines/>
                    <w:spacing w:after="40" w:line="200" w:lineRule="atLeast"/>
                    <w:ind w:left="6" w:right="11"/>
                    <w:jc w:val="right"/>
                    <w:rPr>
                      <w:rFonts w:ascii="Arial" w:hAnsi="Arial"/>
                      <w:sz w:val="18"/>
                      <w:szCs w:val="20"/>
                    </w:rPr>
                  </w:pPr>
                  <w:r w:rsidRPr="008E6E5B">
                    <w:rPr>
                      <w:rFonts w:ascii="Arial" w:hAnsi="Arial"/>
                      <w:sz w:val="18"/>
                      <w:szCs w:val="20"/>
                    </w:rPr>
                    <w:t>5.</w:t>
                  </w:r>
                  <w:r>
                    <w:rPr>
                      <w:rFonts w:ascii="Arial" w:hAnsi="Arial"/>
                      <w:sz w:val="18"/>
                      <w:szCs w:val="20"/>
                    </w:rPr>
                    <w:t>8</w:t>
                  </w:r>
                </w:p>
              </w:tc>
            </w:tr>
            <w:tr w:rsidR="009C6940" w:rsidRPr="008E6E5B" w14:paraId="576982FD" w14:textId="77777777" w:rsidTr="009C6940">
              <w:tc>
                <w:tcPr>
                  <w:tcW w:w="2167" w:type="pct"/>
                </w:tcPr>
                <w:p w14:paraId="1227866A"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Newstart Allowance</w:t>
                  </w:r>
                  <w:r w:rsidRPr="004026C7">
                    <w:rPr>
                      <w:rStyle w:val="NoteLabel"/>
                    </w:rPr>
                    <w:t>b</w:t>
                  </w:r>
                </w:p>
              </w:tc>
              <w:tc>
                <w:tcPr>
                  <w:tcW w:w="732" w:type="pct"/>
                </w:tcPr>
                <w:p w14:paraId="115C4B2E"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9.7</w:t>
                  </w:r>
                </w:p>
              </w:tc>
              <w:tc>
                <w:tcPr>
                  <w:tcW w:w="1050" w:type="pct"/>
                </w:tcPr>
                <w:p w14:paraId="1CBCDFCE" w14:textId="77777777" w:rsidR="009C6940" w:rsidRPr="008E6E5B"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2</w:t>
                  </w:r>
                  <w:r w:rsidRPr="008E6E5B">
                    <w:rPr>
                      <w:rFonts w:ascii="Arial" w:hAnsi="Arial"/>
                      <w:sz w:val="18"/>
                      <w:szCs w:val="20"/>
                    </w:rPr>
                    <w:t>6</w:t>
                  </w:r>
                </w:p>
              </w:tc>
              <w:tc>
                <w:tcPr>
                  <w:tcW w:w="1051" w:type="pct"/>
                </w:tcPr>
                <w:p w14:paraId="14E2AF3D" w14:textId="77777777" w:rsidR="009C6940" w:rsidRPr="008E6E5B" w:rsidRDefault="009C6940" w:rsidP="009C6940">
                  <w:pPr>
                    <w:keepNext/>
                    <w:keepLines/>
                    <w:spacing w:after="40" w:line="200" w:lineRule="atLeast"/>
                    <w:ind w:left="6" w:right="11"/>
                    <w:jc w:val="right"/>
                    <w:rPr>
                      <w:rFonts w:ascii="Arial" w:hAnsi="Arial"/>
                      <w:sz w:val="18"/>
                      <w:szCs w:val="20"/>
                    </w:rPr>
                  </w:pPr>
                  <w:r>
                    <w:rPr>
                      <w:rFonts w:ascii="Arial" w:hAnsi="Arial"/>
                      <w:sz w:val="18"/>
                      <w:szCs w:val="20"/>
                    </w:rPr>
                    <w:t>2.6</w:t>
                  </w:r>
                </w:p>
              </w:tc>
            </w:tr>
            <w:tr w:rsidR="009C6940" w:rsidRPr="008E6E5B" w14:paraId="7BE0527F" w14:textId="77777777" w:rsidTr="009C6940">
              <w:tc>
                <w:tcPr>
                  <w:tcW w:w="2167" w:type="pct"/>
                </w:tcPr>
                <w:p w14:paraId="05D2F6DC"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 xml:space="preserve">Youth Allowance </w:t>
                  </w:r>
                </w:p>
              </w:tc>
              <w:tc>
                <w:tcPr>
                  <w:tcW w:w="732" w:type="pct"/>
                </w:tcPr>
                <w:p w14:paraId="09550C53"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0.9</w:t>
                  </w:r>
                </w:p>
              </w:tc>
              <w:tc>
                <w:tcPr>
                  <w:tcW w:w="1050" w:type="pct"/>
                </w:tcPr>
                <w:p w14:paraId="1EC67AAF" w14:textId="77777777" w:rsidR="009C6940" w:rsidRPr="008E6E5B"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11</w:t>
                  </w:r>
                </w:p>
              </w:tc>
              <w:tc>
                <w:tcPr>
                  <w:tcW w:w="1051" w:type="pct"/>
                </w:tcPr>
                <w:p w14:paraId="3F5D5DB2" w14:textId="77777777" w:rsidR="009C6940" w:rsidRPr="008E6E5B" w:rsidRDefault="009C6940" w:rsidP="009C6940">
                  <w:pPr>
                    <w:keepNext/>
                    <w:keepLines/>
                    <w:spacing w:after="40" w:line="200" w:lineRule="atLeast"/>
                    <w:ind w:left="6" w:right="11"/>
                    <w:jc w:val="right"/>
                    <w:rPr>
                      <w:rFonts w:ascii="Arial" w:hAnsi="Arial"/>
                      <w:sz w:val="18"/>
                      <w:szCs w:val="20"/>
                    </w:rPr>
                  </w:pPr>
                  <w:r w:rsidRPr="008E6E5B">
                    <w:rPr>
                      <w:rFonts w:ascii="Arial" w:hAnsi="Arial"/>
                      <w:sz w:val="18"/>
                      <w:szCs w:val="20"/>
                    </w:rPr>
                    <w:t>0.1</w:t>
                  </w:r>
                </w:p>
              </w:tc>
            </w:tr>
            <w:tr w:rsidR="009C6940" w:rsidRPr="008E6E5B" w14:paraId="67A96017" w14:textId="77777777" w:rsidTr="009C6940">
              <w:tc>
                <w:tcPr>
                  <w:tcW w:w="2167" w:type="pct"/>
                </w:tcPr>
                <w:p w14:paraId="67C9D45C"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Carer Allowance</w:t>
                  </w:r>
                </w:p>
              </w:tc>
              <w:tc>
                <w:tcPr>
                  <w:tcW w:w="732" w:type="pct"/>
                </w:tcPr>
                <w:p w14:paraId="44E4C1EF"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2.3</w:t>
                  </w:r>
                </w:p>
              </w:tc>
              <w:tc>
                <w:tcPr>
                  <w:tcW w:w="1050" w:type="pct"/>
                </w:tcPr>
                <w:p w14:paraId="16F0D8F9"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32</w:t>
                  </w:r>
                </w:p>
              </w:tc>
              <w:tc>
                <w:tcPr>
                  <w:tcW w:w="1051" w:type="pct"/>
                </w:tcPr>
                <w:p w14:paraId="30C0988E" w14:textId="77777777" w:rsidR="009C6940" w:rsidRPr="008E6E5B" w:rsidRDefault="009C6940" w:rsidP="009C6940">
                  <w:pPr>
                    <w:keepNext/>
                    <w:keepLines/>
                    <w:spacing w:after="40" w:line="200" w:lineRule="atLeast"/>
                    <w:ind w:left="6" w:right="11"/>
                    <w:jc w:val="right"/>
                    <w:rPr>
                      <w:rFonts w:ascii="Arial" w:hAnsi="Arial"/>
                      <w:sz w:val="18"/>
                      <w:szCs w:val="20"/>
                    </w:rPr>
                  </w:pPr>
                  <w:r w:rsidRPr="008E6E5B">
                    <w:rPr>
                      <w:rFonts w:ascii="Arial" w:hAnsi="Arial"/>
                      <w:sz w:val="18"/>
                      <w:szCs w:val="20"/>
                    </w:rPr>
                    <w:t>0.7</w:t>
                  </w:r>
                </w:p>
              </w:tc>
            </w:tr>
            <w:tr w:rsidR="009C6940" w:rsidRPr="008E6E5B" w14:paraId="5375ED75" w14:textId="77777777" w:rsidTr="009C6940">
              <w:tc>
                <w:tcPr>
                  <w:tcW w:w="2167" w:type="pct"/>
                </w:tcPr>
                <w:p w14:paraId="67D850C2"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Carer Payment</w:t>
                  </w:r>
                </w:p>
              </w:tc>
              <w:tc>
                <w:tcPr>
                  <w:tcW w:w="732" w:type="pct"/>
                </w:tcPr>
                <w:p w14:paraId="709F0CB9"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5.</w:t>
                  </w:r>
                  <w:r>
                    <w:rPr>
                      <w:rFonts w:ascii="Arial" w:hAnsi="Arial"/>
                      <w:sz w:val="18"/>
                      <w:szCs w:val="20"/>
                    </w:rPr>
                    <w:t>6</w:t>
                  </w:r>
                </w:p>
              </w:tc>
              <w:tc>
                <w:tcPr>
                  <w:tcW w:w="1050" w:type="pct"/>
                </w:tcPr>
                <w:p w14:paraId="20B804C7"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27</w:t>
                  </w:r>
                </w:p>
              </w:tc>
              <w:tc>
                <w:tcPr>
                  <w:tcW w:w="1051" w:type="pct"/>
                </w:tcPr>
                <w:p w14:paraId="4E9C0B9A" w14:textId="77777777" w:rsidR="009C6940" w:rsidRPr="008E6E5B" w:rsidRDefault="009C6940" w:rsidP="009C6940">
                  <w:pPr>
                    <w:keepNext/>
                    <w:keepLines/>
                    <w:spacing w:after="40" w:line="200" w:lineRule="atLeast"/>
                    <w:ind w:left="6" w:right="11"/>
                    <w:jc w:val="right"/>
                    <w:rPr>
                      <w:rFonts w:ascii="Arial" w:hAnsi="Arial"/>
                      <w:sz w:val="18"/>
                      <w:szCs w:val="20"/>
                    </w:rPr>
                  </w:pPr>
                  <w:r w:rsidRPr="008E6E5B">
                    <w:rPr>
                      <w:rFonts w:ascii="Arial" w:hAnsi="Arial"/>
                      <w:sz w:val="18"/>
                      <w:szCs w:val="20"/>
                    </w:rPr>
                    <w:t>1.5</w:t>
                  </w:r>
                </w:p>
              </w:tc>
            </w:tr>
            <w:tr w:rsidR="009C6940" w:rsidRPr="008E6E5B" w14:paraId="1D2EF507" w14:textId="77777777" w:rsidTr="009C6940">
              <w:tc>
                <w:tcPr>
                  <w:tcW w:w="2167" w:type="pct"/>
                </w:tcPr>
                <w:p w14:paraId="6E238B86" w14:textId="77777777" w:rsidR="009C6940" w:rsidRPr="008E6E5B" w:rsidRDefault="009C6940" w:rsidP="009C6940">
                  <w:pPr>
                    <w:keepNext/>
                    <w:keepLines/>
                    <w:spacing w:after="40" w:line="200" w:lineRule="atLeast"/>
                    <w:ind w:left="6" w:right="113"/>
                    <w:rPr>
                      <w:rFonts w:ascii="Arial" w:hAnsi="Arial"/>
                      <w:sz w:val="18"/>
                      <w:szCs w:val="20"/>
                    </w:rPr>
                  </w:pPr>
                  <w:r w:rsidRPr="008E6E5B">
                    <w:rPr>
                      <w:rFonts w:ascii="Arial" w:hAnsi="Arial"/>
                      <w:sz w:val="18"/>
                      <w:szCs w:val="20"/>
                    </w:rPr>
                    <w:t>Carer Supplement</w:t>
                  </w:r>
                </w:p>
              </w:tc>
              <w:tc>
                <w:tcPr>
                  <w:tcW w:w="732" w:type="pct"/>
                </w:tcPr>
                <w:p w14:paraId="64AC94B4" w14:textId="77777777" w:rsidR="009C6940" w:rsidRPr="008E6E5B" w:rsidRDefault="009C6940" w:rsidP="009C6940">
                  <w:pPr>
                    <w:keepNext/>
                    <w:keepLines/>
                    <w:spacing w:after="40" w:line="200" w:lineRule="atLeast"/>
                    <w:ind w:left="6" w:right="113"/>
                    <w:jc w:val="right"/>
                    <w:rPr>
                      <w:rFonts w:ascii="Arial" w:hAnsi="Arial"/>
                      <w:sz w:val="18"/>
                      <w:szCs w:val="20"/>
                    </w:rPr>
                  </w:pPr>
                  <w:r w:rsidRPr="008E6E5B">
                    <w:rPr>
                      <w:rFonts w:ascii="Arial" w:hAnsi="Arial"/>
                      <w:sz w:val="18"/>
                      <w:szCs w:val="20"/>
                    </w:rPr>
                    <w:t>0.6</w:t>
                  </w:r>
                </w:p>
              </w:tc>
              <w:tc>
                <w:tcPr>
                  <w:tcW w:w="1050" w:type="pct"/>
                </w:tcPr>
                <w:p w14:paraId="4BD1B580" w14:textId="77777777" w:rsidR="009C6940" w:rsidRPr="00947FFD" w:rsidRDefault="009C6940" w:rsidP="009C6940">
                  <w:pPr>
                    <w:keepNext/>
                    <w:keepLines/>
                    <w:spacing w:after="40" w:line="200" w:lineRule="atLeast"/>
                    <w:ind w:left="6" w:right="113"/>
                    <w:jc w:val="right"/>
                    <w:rPr>
                      <w:rFonts w:ascii="Arial" w:hAnsi="Arial"/>
                      <w:sz w:val="18"/>
                      <w:szCs w:val="20"/>
                    </w:rPr>
                  </w:pPr>
                  <w:r w:rsidRPr="00EA0946">
                    <w:rPr>
                      <w:rFonts w:ascii="Arial" w:hAnsi="Arial"/>
                      <w:sz w:val="18"/>
                      <w:szCs w:val="20"/>
                    </w:rPr>
                    <w:t>..</w:t>
                  </w:r>
                </w:p>
              </w:tc>
              <w:tc>
                <w:tcPr>
                  <w:tcW w:w="1051" w:type="pct"/>
                </w:tcPr>
                <w:p w14:paraId="472CCFDC" w14:textId="77777777" w:rsidR="009C6940" w:rsidRPr="008E6E5B" w:rsidRDefault="009C6940" w:rsidP="009C6940">
                  <w:pPr>
                    <w:keepNext/>
                    <w:keepLines/>
                    <w:spacing w:after="40" w:line="200" w:lineRule="atLeast"/>
                    <w:ind w:left="6" w:right="11"/>
                    <w:jc w:val="right"/>
                    <w:rPr>
                      <w:rFonts w:ascii="Arial" w:hAnsi="Arial"/>
                      <w:sz w:val="18"/>
                      <w:szCs w:val="20"/>
                    </w:rPr>
                  </w:pPr>
                  <w:r w:rsidRPr="008E6E5B">
                    <w:rPr>
                      <w:rFonts w:ascii="Arial" w:hAnsi="Arial"/>
                      <w:sz w:val="18"/>
                      <w:szCs w:val="20"/>
                    </w:rPr>
                    <w:t>0.2</w:t>
                  </w:r>
                </w:p>
              </w:tc>
            </w:tr>
            <w:tr w:rsidR="009C6940" w:rsidRPr="008E6E5B" w14:paraId="4509AF41" w14:textId="77777777" w:rsidTr="009C6940">
              <w:tc>
                <w:tcPr>
                  <w:tcW w:w="2167" w:type="pct"/>
                  <w:tcBorders>
                    <w:bottom w:val="single" w:sz="6" w:space="0" w:color="BFBFBF"/>
                  </w:tcBorders>
                  <w:shd w:val="clear" w:color="auto" w:fill="auto"/>
                  <w:vAlign w:val="center"/>
                </w:tcPr>
                <w:p w14:paraId="2D7AD9AC" w14:textId="77777777" w:rsidR="009C6940" w:rsidRPr="008E6E5B" w:rsidRDefault="009C6940" w:rsidP="009C6940">
                  <w:pPr>
                    <w:keepNext/>
                    <w:keepLines/>
                    <w:spacing w:after="40" w:line="200" w:lineRule="atLeast"/>
                    <w:ind w:left="6" w:right="113"/>
                    <w:rPr>
                      <w:rFonts w:ascii="Arial" w:hAnsi="Arial"/>
                      <w:b/>
                      <w:sz w:val="18"/>
                      <w:szCs w:val="20"/>
                    </w:rPr>
                  </w:pPr>
                  <w:r w:rsidRPr="008E6E5B">
                    <w:rPr>
                      <w:rFonts w:ascii="Arial" w:hAnsi="Arial"/>
                      <w:b/>
                      <w:sz w:val="18"/>
                      <w:szCs w:val="20"/>
                    </w:rPr>
                    <w:t>Total income support payments related to mental illness</w:t>
                  </w:r>
                </w:p>
              </w:tc>
              <w:tc>
                <w:tcPr>
                  <w:tcW w:w="732" w:type="pct"/>
                  <w:tcBorders>
                    <w:bottom w:val="single" w:sz="6" w:space="0" w:color="BFBFBF"/>
                  </w:tcBorders>
                  <w:vAlign w:val="center"/>
                </w:tcPr>
                <w:p w14:paraId="5CFD63F0" w14:textId="77777777" w:rsidR="009C6940" w:rsidRPr="008E6E5B" w:rsidRDefault="009C6940" w:rsidP="009C6940">
                  <w:pPr>
                    <w:keepNext/>
                    <w:keepLines/>
                    <w:spacing w:after="40" w:line="200" w:lineRule="atLeast"/>
                    <w:ind w:left="6" w:right="113"/>
                    <w:jc w:val="right"/>
                    <w:rPr>
                      <w:rFonts w:ascii="Arial" w:hAnsi="Arial"/>
                      <w:sz w:val="18"/>
                      <w:szCs w:val="20"/>
                    </w:rPr>
                  </w:pPr>
                </w:p>
              </w:tc>
              <w:tc>
                <w:tcPr>
                  <w:tcW w:w="1050" w:type="pct"/>
                  <w:tcBorders>
                    <w:bottom w:val="single" w:sz="6" w:space="0" w:color="BFBFBF"/>
                  </w:tcBorders>
                  <w:vAlign w:val="center"/>
                </w:tcPr>
                <w:p w14:paraId="7FEFE0D3" w14:textId="77777777" w:rsidR="009C6940" w:rsidRPr="008E6E5B" w:rsidRDefault="009C6940" w:rsidP="009C6940">
                  <w:pPr>
                    <w:keepNext/>
                    <w:keepLines/>
                    <w:spacing w:after="40" w:line="200" w:lineRule="atLeast"/>
                    <w:ind w:left="6" w:right="113"/>
                    <w:jc w:val="right"/>
                    <w:rPr>
                      <w:rFonts w:ascii="Arial" w:hAnsi="Arial"/>
                      <w:sz w:val="18"/>
                      <w:szCs w:val="20"/>
                    </w:rPr>
                  </w:pPr>
                </w:p>
              </w:tc>
              <w:tc>
                <w:tcPr>
                  <w:tcW w:w="1051" w:type="pct"/>
                  <w:tcBorders>
                    <w:bottom w:val="single" w:sz="6" w:space="0" w:color="BFBFBF"/>
                  </w:tcBorders>
                  <w:shd w:val="clear" w:color="auto" w:fill="auto"/>
                  <w:vAlign w:val="center"/>
                </w:tcPr>
                <w:p w14:paraId="3090FB69" w14:textId="77777777" w:rsidR="009C6940" w:rsidRPr="008E6E5B" w:rsidRDefault="009C6940" w:rsidP="009C6940">
                  <w:pPr>
                    <w:keepNext/>
                    <w:keepLines/>
                    <w:spacing w:after="40" w:line="200" w:lineRule="atLeast"/>
                    <w:ind w:left="6" w:right="11"/>
                    <w:jc w:val="right"/>
                    <w:rPr>
                      <w:rFonts w:ascii="Arial" w:hAnsi="Arial"/>
                      <w:b/>
                      <w:sz w:val="18"/>
                      <w:szCs w:val="20"/>
                    </w:rPr>
                  </w:pPr>
                  <w:r>
                    <w:rPr>
                      <w:rFonts w:ascii="Arial" w:hAnsi="Arial"/>
                      <w:b/>
                      <w:sz w:val="18"/>
                      <w:szCs w:val="20"/>
                    </w:rPr>
                    <w:t>10.9</w:t>
                  </w:r>
                </w:p>
              </w:tc>
            </w:tr>
          </w:tbl>
          <w:p w14:paraId="1F952EBA" w14:textId="77777777" w:rsidR="009C6940" w:rsidRPr="008E6E5B" w:rsidRDefault="009C6940" w:rsidP="009C6940">
            <w:pPr>
              <w:keepNext/>
              <w:spacing w:before="120" w:line="260" w:lineRule="atLeast"/>
              <w:jc w:val="both"/>
              <w:rPr>
                <w:rFonts w:ascii="Arial" w:hAnsi="Arial"/>
                <w:sz w:val="20"/>
                <w:szCs w:val="20"/>
              </w:rPr>
            </w:pPr>
          </w:p>
        </w:tc>
      </w:tr>
      <w:tr w:rsidR="009C6940" w:rsidRPr="008E6E5B" w14:paraId="26DB8B6D" w14:textId="77777777" w:rsidTr="009C6940">
        <w:trPr>
          <w:trHeight w:val="225"/>
        </w:trPr>
        <w:tc>
          <w:tcPr>
            <w:tcW w:w="5000" w:type="pct"/>
            <w:tcBorders>
              <w:top w:val="nil"/>
              <w:left w:val="nil"/>
              <w:bottom w:val="nil"/>
              <w:right w:val="nil"/>
            </w:tcBorders>
            <w:shd w:val="clear" w:color="auto" w:fill="auto"/>
          </w:tcPr>
          <w:p w14:paraId="408419B8" w14:textId="77777777" w:rsidR="009C6940" w:rsidRPr="008E6E5B" w:rsidRDefault="009C6940" w:rsidP="009C6940">
            <w:pPr>
              <w:pStyle w:val="Note"/>
              <w:rPr>
                <w:i/>
              </w:rPr>
            </w:pPr>
            <w:r w:rsidRPr="008E6E5B">
              <w:rPr>
                <w:b/>
                <w:position w:val="6"/>
              </w:rPr>
              <w:t>a</w:t>
            </w:r>
            <w:r w:rsidRPr="008E6E5B">
              <w:t xml:space="preserve"> DSP: primary medical condition is recorded as psychological or psychiatric, Carer Allowance or Payment: primary medical condition of the care receiver is recorded as psychological or psychiatric, Newstart Allowance and Youth Allowance: the jobseeker has a partial capacity to work and</w:t>
            </w:r>
            <w:r>
              <w:t xml:space="preserve"> reported a mental illness.</w:t>
            </w:r>
            <w:r w:rsidRPr="008E6E5B">
              <w:t xml:space="preserve"> </w:t>
            </w:r>
            <w:r w:rsidRPr="004026C7">
              <w:rPr>
                <w:rStyle w:val="NoteLabel"/>
              </w:rPr>
              <w:t>b</w:t>
            </w:r>
            <w:r>
              <w:rPr>
                <w:rStyle w:val="NoteLabel"/>
              </w:rPr>
              <w:t xml:space="preserve"> </w:t>
            </w:r>
            <w:r w:rsidRPr="004026C7">
              <w:t>The JobSeeker Payment replaced the Newstart Allowance and some other payments on 20</w:t>
            </w:r>
            <w:r>
              <w:t xml:space="preserve"> March 2020. </w:t>
            </w:r>
            <w:r w:rsidRPr="001A4186">
              <w:rPr>
                <w:b/>
              </w:rPr>
              <w:t>..</w:t>
            </w:r>
            <w:r>
              <w:t xml:space="preserve"> Not applicable</w:t>
            </w:r>
          </w:p>
        </w:tc>
      </w:tr>
      <w:tr w:rsidR="009C6940" w:rsidRPr="008E6E5B" w14:paraId="133E5811" w14:textId="77777777" w:rsidTr="009C6940">
        <w:tc>
          <w:tcPr>
            <w:tcW w:w="5000" w:type="pct"/>
            <w:tcBorders>
              <w:top w:val="nil"/>
              <w:left w:val="nil"/>
              <w:bottom w:val="nil"/>
              <w:right w:val="nil"/>
            </w:tcBorders>
            <w:shd w:val="clear" w:color="auto" w:fill="auto"/>
          </w:tcPr>
          <w:p w14:paraId="4F80976F" w14:textId="77777777" w:rsidR="009C6940" w:rsidRPr="008E6E5B" w:rsidRDefault="009C6940" w:rsidP="009C6940">
            <w:pPr>
              <w:keepLines/>
              <w:spacing w:before="80" w:line="220" w:lineRule="exact"/>
              <w:jc w:val="both"/>
              <w:rPr>
                <w:rFonts w:ascii="Arial" w:hAnsi="Arial"/>
                <w:sz w:val="18"/>
                <w:szCs w:val="20"/>
              </w:rPr>
            </w:pPr>
            <w:r w:rsidRPr="008E6E5B">
              <w:rPr>
                <w:rFonts w:ascii="Arial" w:hAnsi="Arial"/>
                <w:i/>
                <w:sz w:val="18"/>
                <w:szCs w:val="20"/>
              </w:rPr>
              <w:t>Source</w:t>
            </w:r>
            <w:r w:rsidRPr="008E6E5B">
              <w:rPr>
                <w:rFonts w:ascii="Arial" w:hAnsi="Arial"/>
                <w:sz w:val="18"/>
                <w:szCs w:val="20"/>
              </w:rPr>
              <w:t xml:space="preserve">: </w:t>
            </w:r>
            <w:r>
              <w:rPr>
                <w:rFonts w:ascii="Arial" w:hAnsi="Arial"/>
                <w:sz w:val="18"/>
                <w:szCs w:val="20"/>
              </w:rPr>
              <w:t xml:space="preserve">Productivity </w:t>
            </w:r>
            <w:r w:rsidRPr="008E6E5B">
              <w:rPr>
                <w:rFonts w:ascii="Arial" w:hAnsi="Arial"/>
                <w:sz w:val="18"/>
                <w:szCs w:val="20"/>
              </w:rPr>
              <w:t>Commission estimates.</w:t>
            </w:r>
          </w:p>
        </w:tc>
      </w:tr>
      <w:tr w:rsidR="009C6940" w:rsidRPr="008E6E5B" w14:paraId="7DC3F589" w14:textId="77777777" w:rsidTr="009C6940">
        <w:tc>
          <w:tcPr>
            <w:tcW w:w="5000" w:type="pct"/>
            <w:tcBorders>
              <w:top w:val="nil"/>
              <w:left w:val="nil"/>
              <w:bottom w:val="single" w:sz="6" w:space="0" w:color="78A22F"/>
              <w:right w:val="nil"/>
            </w:tcBorders>
            <w:shd w:val="clear" w:color="auto" w:fill="auto"/>
          </w:tcPr>
          <w:p w14:paraId="59C53660" w14:textId="77777777" w:rsidR="009C6940" w:rsidRPr="008E6E5B" w:rsidRDefault="009C6940" w:rsidP="009C6940">
            <w:pPr>
              <w:keepNext/>
              <w:spacing w:line="120" w:lineRule="exact"/>
              <w:jc w:val="both"/>
              <w:rPr>
                <w:rFonts w:ascii="Arial" w:hAnsi="Arial"/>
                <w:sz w:val="20"/>
                <w:szCs w:val="20"/>
              </w:rPr>
            </w:pPr>
          </w:p>
        </w:tc>
      </w:tr>
      <w:tr w:rsidR="009C6940" w:rsidRPr="008E6E5B" w14:paraId="2515766B" w14:textId="77777777" w:rsidTr="009C6940">
        <w:tc>
          <w:tcPr>
            <w:tcW w:w="5000" w:type="pct"/>
            <w:tcBorders>
              <w:top w:val="single" w:sz="6" w:space="0" w:color="78A22F"/>
              <w:left w:val="nil"/>
              <w:bottom w:val="nil"/>
              <w:right w:val="nil"/>
            </w:tcBorders>
          </w:tcPr>
          <w:p w14:paraId="61AF81DA" w14:textId="77777777" w:rsidR="009C6940" w:rsidRPr="008E6E5B" w:rsidRDefault="009C6940" w:rsidP="009C6940">
            <w:pPr>
              <w:spacing w:before="60" w:after="60" w:line="80" w:lineRule="exact"/>
              <w:jc w:val="both"/>
              <w:rPr>
                <w:rFonts w:ascii="Arial" w:hAnsi="Arial"/>
                <w:sz w:val="14"/>
                <w:szCs w:val="20"/>
              </w:rPr>
            </w:pPr>
          </w:p>
        </w:tc>
      </w:tr>
    </w:tbl>
    <w:p w14:paraId="436CA1C4" w14:textId="77777777" w:rsidR="009C6940" w:rsidRDefault="009C6940" w:rsidP="009C6940">
      <w:pPr>
        <w:pStyle w:val="BodyText"/>
      </w:pPr>
      <w:r w:rsidRPr="008E6E5B">
        <w:t>The projected future lifetime cost for an average individual (aged 18</w:t>
      </w:r>
      <w:r>
        <w:t>–</w:t>
      </w:r>
      <w:r w:rsidRPr="008E6E5B">
        <w:t>40</w:t>
      </w:r>
      <w:r>
        <w:t> years</w:t>
      </w:r>
      <w:r w:rsidRPr="008E6E5B">
        <w:t>) on DSP with a psychological or psychiatric primary medical condition at 30 June 2017 is estimated to be $614 000. On average, these individuals are expected to receive an income support payment, including the Age Pension, in 47</w:t>
      </w:r>
      <w:r>
        <w:t> </w:t>
      </w:r>
      <w:r w:rsidRPr="008E6E5B">
        <w:t>years or 91% of their future life (table </w:t>
      </w:r>
      <w:r>
        <w:t>H.</w:t>
      </w:r>
      <w:r w:rsidRPr="008E6E5B">
        <w:t xml:space="preserve">4). In 2027, 85% of this group are expected to be receiving DSP, 6% are expected to not be receiving any </w:t>
      </w:r>
      <w:r>
        <w:t>income support</w:t>
      </w:r>
      <w:r w:rsidRPr="008E6E5B">
        <w:t xml:space="preserve"> payments, 2% are expected to be receiving a working age payment and 5% are projected to have passed away (</w:t>
      </w:r>
      <w:r w:rsidRPr="00CA20D9">
        <w:t xml:space="preserve">Department of </w:t>
      </w:r>
      <w:r>
        <w:t>Social Services, unpublished data</w:t>
      </w:r>
      <w:r w:rsidRPr="008E6E5B">
        <w:t xml:space="preserve">). </w:t>
      </w:r>
    </w:p>
    <w:p w14:paraId="3986AD34" w14:textId="77777777" w:rsidR="009C6940" w:rsidRPr="008E6E5B" w:rsidRDefault="009C6940" w:rsidP="009C6940">
      <w:pPr>
        <w:pStyle w:val="BodyText"/>
      </w:pPr>
      <w:r w:rsidRPr="00EC493C">
        <w:t xml:space="preserve">The projected future lifetime cost for </w:t>
      </w:r>
      <w:r>
        <w:t>an average individual (aged 18–</w:t>
      </w:r>
      <w:r w:rsidRPr="00EC493C">
        <w:t>40 years) on a working age payment (this does not include the DSP) with a primary psychological/psychiatric medical condition at 30 June 2017 is expected to be $355 000. On average, these individuals are expected to receive an income support payment, including the Age Pension, for the next 36 years or 61% of their future life (table H.4). However, when time in receipt of the Age Pension is excluded, on average, this group is expected to receive income support for about 19 years. In 2027, 32% of this group are projected to be receiving a working age payment, 37% are expected to not be receiving any income support payments, 7% are expected to be receiving a parenting payment, 5% a carer payment, and 7% are expected to be receiving DSP (</w:t>
      </w:r>
      <w:r w:rsidRPr="00CA20D9">
        <w:t xml:space="preserve">Department of </w:t>
      </w:r>
      <w:r>
        <w:t>Social Services, unpublished data</w:t>
      </w:r>
      <w:r w:rsidRPr="00EC493C">
        <w:t>).</w:t>
      </w:r>
    </w:p>
    <w:p w14:paraId="7EAF64ED" w14:textId="77777777" w:rsidR="009C6940" w:rsidRPr="00A23433" w:rsidRDefault="009C6940" w:rsidP="009C6940">
      <w:pPr>
        <w:keepNext/>
        <w:spacing w:before="24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8E6E5B" w14:paraId="3DEB69F7" w14:textId="77777777" w:rsidTr="009C6940">
        <w:trPr>
          <w:tblHeader/>
        </w:trPr>
        <w:tc>
          <w:tcPr>
            <w:tcW w:w="5000" w:type="pct"/>
            <w:tcBorders>
              <w:top w:val="single" w:sz="6" w:space="0" w:color="78A22F"/>
              <w:left w:val="nil"/>
              <w:bottom w:val="nil"/>
              <w:right w:val="nil"/>
            </w:tcBorders>
            <w:shd w:val="clear" w:color="auto" w:fill="auto"/>
          </w:tcPr>
          <w:p w14:paraId="29BFCB6A" w14:textId="77777777" w:rsidR="009C6940" w:rsidRPr="008E6E5B" w:rsidRDefault="009C6940" w:rsidP="009C6940">
            <w:pPr>
              <w:keepNext/>
              <w:keepLines/>
              <w:spacing w:before="120" w:after="80" w:line="280" w:lineRule="exact"/>
              <w:ind w:left="1474" w:hanging="1474"/>
              <w:rPr>
                <w:rFonts w:ascii="Arial" w:hAnsi="Arial"/>
                <w:b/>
              </w:rPr>
            </w:pPr>
            <w:r w:rsidRPr="008E6E5B">
              <w:rPr>
                <w:rFonts w:ascii="Arial" w:hAnsi="Arial"/>
              </w:rPr>
              <w:t xml:space="preserve">Table </w:t>
            </w:r>
            <w:r>
              <w:rPr>
                <w:rFonts w:ascii="Arial" w:hAnsi="Arial"/>
              </w:rPr>
              <w:t>H.</w:t>
            </w:r>
            <w:r>
              <w:rPr>
                <w:rFonts w:ascii="Arial" w:hAnsi="Arial"/>
                <w:noProof/>
              </w:rPr>
              <w:t>4</w:t>
            </w:r>
            <w:r w:rsidRPr="008E6E5B">
              <w:rPr>
                <w:rFonts w:ascii="Arial" w:hAnsi="Arial"/>
                <w:b/>
              </w:rPr>
              <w:tab/>
              <w:t>Projected future lifetime costs and duration of income support for a person aged 18</w:t>
            </w:r>
            <w:r>
              <w:rPr>
                <w:rFonts w:ascii="Arial" w:hAnsi="Arial"/>
                <w:b/>
              </w:rPr>
              <w:t>–</w:t>
            </w:r>
            <w:r w:rsidRPr="008E6E5B">
              <w:rPr>
                <w:rFonts w:ascii="Arial" w:hAnsi="Arial"/>
                <w:b/>
              </w:rPr>
              <w:t>40</w:t>
            </w:r>
            <w:r>
              <w:rPr>
                <w:rFonts w:ascii="Arial" w:hAnsi="Arial"/>
                <w:b/>
              </w:rPr>
              <w:t xml:space="preserve"> years </w:t>
            </w:r>
            <w:r w:rsidRPr="008E6E5B">
              <w:rPr>
                <w:rFonts w:ascii="Arial" w:hAnsi="Arial"/>
                <w:b/>
              </w:rPr>
              <w:t>with a psychological or psychiatric medical condition</w:t>
            </w:r>
          </w:p>
        </w:tc>
      </w:tr>
      <w:tr w:rsidR="009C6940" w:rsidRPr="008E6E5B" w14:paraId="21F40375" w14:textId="77777777" w:rsidTr="009C6940">
        <w:tc>
          <w:tcPr>
            <w:tcW w:w="5000" w:type="pct"/>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2715"/>
              <w:gridCol w:w="1311"/>
              <w:gridCol w:w="1015"/>
              <w:gridCol w:w="550"/>
              <w:gridCol w:w="1311"/>
              <w:gridCol w:w="978"/>
              <w:gridCol w:w="625"/>
            </w:tblGrid>
            <w:tr w:rsidR="009C6940" w:rsidRPr="008E6E5B" w14:paraId="5A11A3C0" w14:textId="77777777" w:rsidTr="009C6940">
              <w:trPr>
                <w:tblHeader/>
              </w:trPr>
              <w:tc>
                <w:tcPr>
                  <w:tcW w:w="0" w:type="auto"/>
                  <w:tcBorders>
                    <w:top w:val="single" w:sz="6" w:space="0" w:color="BFBFBF"/>
                  </w:tcBorders>
                  <w:shd w:val="clear" w:color="auto" w:fill="auto"/>
                  <w:tcMar>
                    <w:top w:w="28" w:type="dxa"/>
                  </w:tcMar>
                </w:tcPr>
                <w:p w14:paraId="0B4CF503" w14:textId="77777777" w:rsidR="009C6940" w:rsidRPr="008E6E5B" w:rsidRDefault="009C6940" w:rsidP="009C6940">
                  <w:pPr>
                    <w:keepNext/>
                    <w:keepLines/>
                    <w:spacing w:before="80" w:after="80" w:line="200" w:lineRule="atLeast"/>
                    <w:ind w:left="6" w:right="113"/>
                    <w:rPr>
                      <w:rFonts w:ascii="Arial" w:hAnsi="Arial"/>
                      <w:i/>
                      <w:sz w:val="18"/>
                      <w:szCs w:val="20"/>
                    </w:rPr>
                  </w:pPr>
                </w:p>
              </w:tc>
              <w:tc>
                <w:tcPr>
                  <w:tcW w:w="0" w:type="auto"/>
                  <w:gridSpan w:val="3"/>
                  <w:tcBorders>
                    <w:top w:val="single" w:sz="6" w:space="0" w:color="BFBFBF"/>
                  </w:tcBorders>
                </w:tcPr>
                <w:p w14:paraId="2260241F" w14:textId="77777777" w:rsidR="009C6940" w:rsidRPr="008E6E5B" w:rsidRDefault="009C6940" w:rsidP="009C6940">
                  <w:pPr>
                    <w:keepNext/>
                    <w:keepLines/>
                    <w:spacing w:before="80" w:after="80" w:line="200" w:lineRule="atLeast"/>
                    <w:ind w:left="6" w:right="113"/>
                    <w:jc w:val="center"/>
                    <w:rPr>
                      <w:rFonts w:ascii="Arial" w:hAnsi="Arial"/>
                      <w:i/>
                      <w:sz w:val="18"/>
                      <w:szCs w:val="20"/>
                    </w:rPr>
                  </w:pPr>
                  <w:r>
                    <w:rPr>
                      <w:rFonts w:ascii="Arial" w:hAnsi="Arial"/>
                      <w:i/>
                      <w:sz w:val="18"/>
                      <w:szCs w:val="20"/>
                    </w:rPr>
                    <w:t>I</w:t>
                  </w:r>
                  <w:r w:rsidRPr="008E6E5B">
                    <w:rPr>
                      <w:rFonts w:ascii="Arial" w:hAnsi="Arial"/>
                      <w:i/>
                      <w:sz w:val="18"/>
                      <w:szCs w:val="20"/>
                    </w:rPr>
                    <w:t>ncluding Age Pension</w:t>
                  </w:r>
                </w:p>
              </w:tc>
              <w:tc>
                <w:tcPr>
                  <w:tcW w:w="0" w:type="auto"/>
                  <w:gridSpan w:val="3"/>
                  <w:tcBorders>
                    <w:top w:val="single" w:sz="6" w:space="0" w:color="BFBFBF"/>
                  </w:tcBorders>
                  <w:shd w:val="clear" w:color="auto" w:fill="auto"/>
                  <w:tcMar>
                    <w:top w:w="28" w:type="dxa"/>
                  </w:tcMar>
                </w:tcPr>
                <w:p w14:paraId="5D567D4C" w14:textId="77777777" w:rsidR="009C6940" w:rsidRPr="008E6E5B" w:rsidRDefault="009C6940" w:rsidP="009C6940">
                  <w:pPr>
                    <w:keepNext/>
                    <w:keepLines/>
                    <w:spacing w:before="80" w:after="80" w:line="200" w:lineRule="atLeast"/>
                    <w:ind w:left="6" w:right="28"/>
                    <w:jc w:val="center"/>
                    <w:rPr>
                      <w:rFonts w:ascii="Arial" w:hAnsi="Arial"/>
                      <w:i/>
                      <w:sz w:val="18"/>
                      <w:szCs w:val="20"/>
                    </w:rPr>
                  </w:pPr>
                  <w:r>
                    <w:rPr>
                      <w:rFonts w:ascii="Arial" w:hAnsi="Arial"/>
                      <w:i/>
                      <w:sz w:val="18"/>
                      <w:szCs w:val="20"/>
                    </w:rPr>
                    <w:t>N</w:t>
                  </w:r>
                  <w:r w:rsidRPr="008E6E5B">
                    <w:rPr>
                      <w:rFonts w:ascii="Arial" w:hAnsi="Arial"/>
                      <w:i/>
                      <w:sz w:val="18"/>
                      <w:szCs w:val="20"/>
                    </w:rPr>
                    <w:t>ot including Age Pension</w:t>
                  </w:r>
                </w:p>
              </w:tc>
            </w:tr>
            <w:tr w:rsidR="009C6940" w:rsidRPr="008E6E5B" w14:paraId="245C42E9" w14:textId="77777777" w:rsidTr="009C6940">
              <w:trPr>
                <w:tblHeader/>
              </w:trPr>
              <w:tc>
                <w:tcPr>
                  <w:tcW w:w="0" w:type="auto"/>
                  <w:tcBorders>
                    <w:bottom w:val="single" w:sz="4" w:space="0" w:color="BFBFBF" w:themeColor="background1" w:themeShade="BF"/>
                  </w:tcBorders>
                  <w:shd w:val="clear" w:color="auto" w:fill="auto"/>
                  <w:tcMar>
                    <w:top w:w="28" w:type="dxa"/>
                  </w:tcMar>
                </w:tcPr>
                <w:p w14:paraId="71C3E01A" w14:textId="77777777" w:rsidR="009C6940" w:rsidRPr="008E6E5B" w:rsidRDefault="009C6940" w:rsidP="009C6940">
                  <w:pPr>
                    <w:keepNext/>
                    <w:keepLines/>
                    <w:spacing w:before="80" w:after="80" w:line="200" w:lineRule="atLeast"/>
                    <w:ind w:left="6" w:right="113"/>
                    <w:rPr>
                      <w:rFonts w:ascii="Arial" w:hAnsi="Arial"/>
                      <w:i/>
                      <w:sz w:val="18"/>
                      <w:szCs w:val="20"/>
                    </w:rPr>
                  </w:pPr>
                </w:p>
              </w:tc>
              <w:tc>
                <w:tcPr>
                  <w:tcW w:w="0" w:type="auto"/>
                  <w:tcBorders>
                    <w:bottom w:val="single" w:sz="6" w:space="0" w:color="BFBFBF"/>
                  </w:tcBorders>
                </w:tcPr>
                <w:p w14:paraId="0279401B" w14:textId="77777777" w:rsidR="009C6940" w:rsidRPr="008E6E5B" w:rsidRDefault="009C6940" w:rsidP="009C6940">
                  <w:pPr>
                    <w:keepNext/>
                    <w:keepLines/>
                    <w:spacing w:before="80" w:after="80" w:line="200" w:lineRule="atLeast"/>
                    <w:ind w:left="6" w:right="113"/>
                    <w:jc w:val="right"/>
                    <w:rPr>
                      <w:rFonts w:ascii="Arial" w:hAnsi="Arial"/>
                      <w:i/>
                      <w:sz w:val="18"/>
                      <w:szCs w:val="20"/>
                    </w:rPr>
                  </w:pPr>
                  <w:r w:rsidRPr="008E6E5B">
                    <w:rPr>
                      <w:rFonts w:ascii="Arial" w:hAnsi="Arial"/>
                      <w:i/>
                      <w:sz w:val="18"/>
                      <w:szCs w:val="20"/>
                    </w:rPr>
                    <w:t>Average future lifetime cost</w:t>
                  </w:r>
                </w:p>
              </w:tc>
              <w:tc>
                <w:tcPr>
                  <w:tcW w:w="0" w:type="auto"/>
                  <w:gridSpan w:val="2"/>
                  <w:tcBorders>
                    <w:bottom w:val="single" w:sz="6" w:space="0" w:color="BFBFBF"/>
                  </w:tcBorders>
                </w:tcPr>
                <w:p w14:paraId="009D0CA0" w14:textId="77777777" w:rsidR="009C6940" w:rsidRPr="008E6E5B" w:rsidRDefault="009C6940" w:rsidP="009C6940">
                  <w:pPr>
                    <w:keepNext/>
                    <w:keepLines/>
                    <w:spacing w:before="80" w:after="80" w:line="200" w:lineRule="atLeast"/>
                    <w:ind w:left="6" w:right="113"/>
                    <w:jc w:val="right"/>
                    <w:rPr>
                      <w:rFonts w:ascii="Arial" w:hAnsi="Arial"/>
                      <w:i/>
                      <w:sz w:val="18"/>
                      <w:szCs w:val="20"/>
                    </w:rPr>
                  </w:pPr>
                  <w:r w:rsidRPr="008E6E5B">
                    <w:rPr>
                      <w:rFonts w:ascii="Arial" w:hAnsi="Arial"/>
                      <w:i/>
                      <w:sz w:val="18"/>
                      <w:szCs w:val="20"/>
                    </w:rPr>
                    <w:t>Future duration in income support</w:t>
                  </w:r>
                </w:p>
              </w:tc>
              <w:tc>
                <w:tcPr>
                  <w:tcW w:w="0" w:type="auto"/>
                  <w:tcBorders>
                    <w:bottom w:val="single" w:sz="6" w:space="0" w:color="BFBFBF"/>
                  </w:tcBorders>
                  <w:shd w:val="clear" w:color="auto" w:fill="auto"/>
                  <w:tcMar>
                    <w:top w:w="28" w:type="dxa"/>
                  </w:tcMar>
                </w:tcPr>
                <w:p w14:paraId="23FA0E2D" w14:textId="77777777" w:rsidR="009C6940" w:rsidRPr="008E6E5B" w:rsidRDefault="009C6940" w:rsidP="009C6940">
                  <w:pPr>
                    <w:keepNext/>
                    <w:keepLines/>
                    <w:spacing w:before="80" w:after="80" w:line="200" w:lineRule="atLeast"/>
                    <w:ind w:left="6" w:right="113"/>
                    <w:jc w:val="right"/>
                    <w:rPr>
                      <w:rFonts w:ascii="Arial" w:hAnsi="Arial"/>
                      <w:i/>
                      <w:sz w:val="18"/>
                      <w:szCs w:val="20"/>
                    </w:rPr>
                  </w:pPr>
                  <w:r w:rsidRPr="008E6E5B">
                    <w:rPr>
                      <w:rFonts w:ascii="Arial" w:hAnsi="Arial"/>
                      <w:i/>
                      <w:sz w:val="18"/>
                      <w:szCs w:val="20"/>
                    </w:rPr>
                    <w:t>Average future lifetime cost</w:t>
                  </w:r>
                </w:p>
              </w:tc>
              <w:tc>
                <w:tcPr>
                  <w:tcW w:w="0" w:type="auto"/>
                  <w:gridSpan w:val="2"/>
                  <w:tcBorders>
                    <w:bottom w:val="single" w:sz="6" w:space="0" w:color="BFBFBF"/>
                  </w:tcBorders>
                  <w:shd w:val="clear" w:color="auto" w:fill="auto"/>
                  <w:tcMar>
                    <w:top w:w="28" w:type="dxa"/>
                  </w:tcMar>
                </w:tcPr>
                <w:p w14:paraId="4AFE99BA" w14:textId="77777777" w:rsidR="009C6940" w:rsidRPr="008E6E5B" w:rsidRDefault="009C6940" w:rsidP="009C6940">
                  <w:pPr>
                    <w:keepNext/>
                    <w:keepLines/>
                    <w:spacing w:before="80" w:after="80" w:line="200" w:lineRule="atLeast"/>
                    <w:ind w:left="6" w:right="113"/>
                    <w:jc w:val="right"/>
                    <w:rPr>
                      <w:rFonts w:ascii="Arial" w:hAnsi="Arial"/>
                      <w:i/>
                      <w:sz w:val="18"/>
                      <w:szCs w:val="20"/>
                    </w:rPr>
                  </w:pPr>
                  <w:r w:rsidRPr="008E6E5B">
                    <w:rPr>
                      <w:rFonts w:ascii="Arial" w:hAnsi="Arial"/>
                      <w:i/>
                      <w:sz w:val="18"/>
                      <w:szCs w:val="20"/>
                    </w:rPr>
                    <w:t xml:space="preserve">Future duration in income support </w:t>
                  </w:r>
                </w:p>
              </w:tc>
            </w:tr>
            <w:tr w:rsidR="009C6940" w:rsidRPr="008E6E5B" w14:paraId="200929AF" w14:textId="77777777" w:rsidTr="009C6940">
              <w:tc>
                <w:tcPr>
                  <w:tcW w:w="0" w:type="auto"/>
                  <w:tcBorders>
                    <w:top w:val="single" w:sz="4" w:space="0" w:color="BFBFBF" w:themeColor="background1" w:themeShade="BF"/>
                  </w:tcBorders>
                </w:tcPr>
                <w:p w14:paraId="027FA7A2" w14:textId="77777777" w:rsidR="009C6940" w:rsidRPr="008E6E5B" w:rsidRDefault="009C6940" w:rsidP="009C6940">
                  <w:pPr>
                    <w:keepNext/>
                    <w:keepLines/>
                    <w:spacing w:before="40" w:after="40" w:line="200" w:lineRule="atLeast"/>
                    <w:ind w:left="6" w:right="113"/>
                    <w:rPr>
                      <w:rFonts w:ascii="Arial" w:hAnsi="Arial"/>
                      <w:sz w:val="18"/>
                      <w:szCs w:val="20"/>
                    </w:rPr>
                  </w:pPr>
                </w:p>
              </w:tc>
              <w:tc>
                <w:tcPr>
                  <w:tcW w:w="0" w:type="auto"/>
                  <w:tcBorders>
                    <w:top w:val="single" w:sz="6" w:space="0" w:color="BFBFBF"/>
                  </w:tcBorders>
                </w:tcPr>
                <w:p w14:paraId="764EB429" w14:textId="77777777" w:rsidR="009C6940" w:rsidRPr="008E6E5B" w:rsidRDefault="009C6940" w:rsidP="009C6940">
                  <w:pPr>
                    <w:keepNext/>
                    <w:keepLines/>
                    <w:spacing w:before="60" w:after="40" w:line="200" w:lineRule="atLeast"/>
                    <w:ind w:left="6" w:right="113"/>
                    <w:jc w:val="right"/>
                    <w:rPr>
                      <w:rFonts w:ascii="Arial" w:hAnsi="Arial"/>
                      <w:sz w:val="18"/>
                      <w:szCs w:val="20"/>
                    </w:rPr>
                  </w:pPr>
                  <w:r w:rsidRPr="008E6E5B">
                    <w:rPr>
                      <w:rFonts w:ascii="Arial" w:hAnsi="Arial"/>
                      <w:sz w:val="18"/>
                      <w:szCs w:val="20"/>
                    </w:rPr>
                    <w:t>$</w:t>
                  </w:r>
                </w:p>
              </w:tc>
              <w:tc>
                <w:tcPr>
                  <w:tcW w:w="0" w:type="auto"/>
                  <w:tcBorders>
                    <w:top w:val="single" w:sz="6" w:space="0" w:color="BFBFBF"/>
                  </w:tcBorders>
                </w:tcPr>
                <w:p w14:paraId="44627F95" w14:textId="77777777" w:rsidR="009C6940" w:rsidRPr="008E6E5B" w:rsidRDefault="009C6940" w:rsidP="009C6940">
                  <w:pPr>
                    <w:keepNext/>
                    <w:keepLines/>
                    <w:spacing w:before="60" w:after="40" w:line="200" w:lineRule="atLeast"/>
                    <w:ind w:left="6" w:right="113"/>
                    <w:jc w:val="right"/>
                    <w:rPr>
                      <w:rFonts w:ascii="Arial" w:hAnsi="Arial"/>
                      <w:sz w:val="18"/>
                      <w:szCs w:val="20"/>
                    </w:rPr>
                  </w:pPr>
                  <w:r w:rsidRPr="008E6E5B">
                    <w:rPr>
                      <w:rFonts w:ascii="Arial" w:hAnsi="Arial"/>
                      <w:sz w:val="18"/>
                      <w:szCs w:val="20"/>
                    </w:rPr>
                    <w:t>Years</w:t>
                  </w:r>
                </w:p>
              </w:tc>
              <w:tc>
                <w:tcPr>
                  <w:tcW w:w="0" w:type="auto"/>
                  <w:tcBorders>
                    <w:top w:val="single" w:sz="6" w:space="0" w:color="BFBFBF"/>
                  </w:tcBorders>
                </w:tcPr>
                <w:p w14:paraId="11C55D42" w14:textId="77777777" w:rsidR="009C6940" w:rsidRPr="008E6E5B" w:rsidRDefault="009C6940" w:rsidP="009C6940">
                  <w:pPr>
                    <w:keepNext/>
                    <w:keepLines/>
                    <w:spacing w:after="40" w:line="200" w:lineRule="atLeast"/>
                    <w:ind w:left="6" w:right="11"/>
                    <w:jc w:val="right"/>
                    <w:rPr>
                      <w:rFonts w:ascii="Arial" w:hAnsi="Arial"/>
                      <w:sz w:val="18"/>
                      <w:szCs w:val="20"/>
                    </w:rPr>
                  </w:pPr>
                  <w:r w:rsidRPr="008E6E5B">
                    <w:rPr>
                      <w:rFonts w:ascii="Arial" w:hAnsi="Arial"/>
                      <w:sz w:val="18"/>
                      <w:szCs w:val="20"/>
                    </w:rPr>
                    <w:t>%</w:t>
                  </w:r>
                  <w:r w:rsidRPr="0045389D">
                    <w:rPr>
                      <w:rStyle w:val="NoteLabel"/>
                    </w:rPr>
                    <w:t>a</w:t>
                  </w:r>
                </w:p>
              </w:tc>
              <w:tc>
                <w:tcPr>
                  <w:tcW w:w="0" w:type="auto"/>
                  <w:tcBorders>
                    <w:top w:val="single" w:sz="6" w:space="0" w:color="BFBFBF"/>
                  </w:tcBorders>
                </w:tcPr>
                <w:p w14:paraId="5B97768E" w14:textId="77777777" w:rsidR="009C6940" w:rsidRPr="008E6E5B" w:rsidRDefault="009C6940" w:rsidP="009C6940">
                  <w:pPr>
                    <w:keepNext/>
                    <w:keepLines/>
                    <w:spacing w:before="60" w:after="40" w:line="200" w:lineRule="atLeast"/>
                    <w:ind w:left="6" w:right="113"/>
                    <w:jc w:val="right"/>
                    <w:rPr>
                      <w:rFonts w:ascii="Arial" w:hAnsi="Arial"/>
                      <w:sz w:val="18"/>
                      <w:szCs w:val="20"/>
                    </w:rPr>
                  </w:pPr>
                  <w:r w:rsidRPr="008E6E5B">
                    <w:rPr>
                      <w:rFonts w:ascii="Arial" w:hAnsi="Arial"/>
                      <w:sz w:val="18"/>
                      <w:szCs w:val="20"/>
                    </w:rPr>
                    <w:t>$</w:t>
                  </w:r>
                </w:p>
              </w:tc>
              <w:tc>
                <w:tcPr>
                  <w:tcW w:w="0" w:type="auto"/>
                  <w:tcBorders>
                    <w:top w:val="single" w:sz="6" w:space="0" w:color="BFBFBF"/>
                  </w:tcBorders>
                </w:tcPr>
                <w:p w14:paraId="5CAC0DA9" w14:textId="77777777" w:rsidR="009C6940" w:rsidRPr="008E6E5B" w:rsidRDefault="009C6940" w:rsidP="009C6940">
                  <w:pPr>
                    <w:keepNext/>
                    <w:keepLines/>
                    <w:spacing w:before="60" w:after="40" w:line="200" w:lineRule="atLeast"/>
                    <w:ind w:left="6" w:right="113"/>
                    <w:jc w:val="right"/>
                    <w:rPr>
                      <w:rFonts w:ascii="Arial" w:hAnsi="Arial"/>
                      <w:sz w:val="18"/>
                      <w:szCs w:val="20"/>
                    </w:rPr>
                  </w:pPr>
                  <w:r w:rsidRPr="008E6E5B">
                    <w:rPr>
                      <w:rFonts w:ascii="Arial" w:hAnsi="Arial"/>
                      <w:sz w:val="18"/>
                      <w:szCs w:val="20"/>
                    </w:rPr>
                    <w:t xml:space="preserve">Years </w:t>
                  </w:r>
                </w:p>
              </w:tc>
              <w:tc>
                <w:tcPr>
                  <w:tcW w:w="0" w:type="auto"/>
                  <w:tcBorders>
                    <w:top w:val="single" w:sz="6" w:space="0" w:color="BFBFBF"/>
                  </w:tcBorders>
                </w:tcPr>
                <w:p w14:paraId="4F94F1B2" w14:textId="77777777" w:rsidR="009C6940" w:rsidRPr="008E6E5B" w:rsidRDefault="009C6940" w:rsidP="009C6940">
                  <w:pPr>
                    <w:keepNext/>
                    <w:keepLines/>
                    <w:spacing w:after="40" w:line="200" w:lineRule="atLeast"/>
                    <w:ind w:left="6" w:right="11"/>
                    <w:jc w:val="right"/>
                    <w:rPr>
                      <w:rFonts w:ascii="Arial" w:hAnsi="Arial"/>
                      <w:sz w:val="18"/>
                      <w:szCs w:val="20"/>
                    </w:rPr>
                  </w:pPr>
                  <w:r w:rsidRPr="008E6E5B">
                    <w:rPr>
                      <w:rFonts w:ascii="Arial" w:hAnsi="Arial"/>
                      <w:sz w:val="18"/>
                      <w:szCs w:val="20"/>
                    </w:rPr>
                    <w:t>%</w:t>
                  </w:r>
                  <w:r w:rsidRPr="0045389D">
                    <w:rPr>
                      <w:rStyle w:val="NoteLabel"/>
                    </w:rPr>
                    <w:t>a</w:t>
                  </w:r>
                </w:p>
              </w:tc>
            </w:tr>
            <w:tr w:rsidR="009C6940" w:rsidRPr="008E6E5B" w14:paraId="51C3E4EA" w14:textId="77777777" w:rsidTr="003F33B3">
              <w:tc>
                <w:tcPr>
                  <w:tcW w:w="0" w:type="auto"/>
                </w:tcPr>
                <w:p w14:paraId="1A90E742" w14:textId="77777777" w:rsidR="009C6940" w:rsidRPr="008E6E5B" w:rsidRDefault="009C6940" w:rsidP="009C6940">
                  <w:pPr>
                    <w:pStyle w:val="TableBodyText"/>
                    <w:jc w:val="left"/>
                  </w:pPr>
                  <w:r w:rsidRPr="008E6E5B">
                    <w:t xml:space="preserve">Disability Support Pension </w:t>
                  </w:r>
                </w:p>
              </w:tc>
              <w:tc>
                <w:tcPr>
                  <w:tcW w:w="0" w:type="auto"/>
                </w:tcPr>
                <w:p w14:paraId="440489CC" w14:textId="77777777" w:rsidR="009C6940" w:rsidRPr="008E6E5B" w:rsidRDefault="009C6940" w:rsidP="009C6940">
                  <w:pPr>
                    <w:pStyle w:val="TableBodyText"/>
                  </w:pPr>
                  <w:r w:rsidRPr="008E6E5B">
                    <w:t>614 000</w:t>
                  </w:r>
                </w:p>
              </w:tc>
              <w:tc>
                <w:tcPr>
                  <w:tcW w:w="0" w:type="auto"/>
                </w:tcPr>
                <w:p w14:paraId="7D272123" w14:textId="77777777" w:rsidR="009C6940" w:rsidRPr="008E6E5B" w:rsidRDefault="009C6940" w:rsidP="009C6940">
                  <w:pPr>
                    <w:pStyle w:val="TableBodyText"/>
                  </w:pPr>
                  <w:r w:rsidRPr="008E6E5B">
                    <w:t>47</w:t>
                  </w:r>
                </w:p>
              </w:tc>
              <w:tc>
                <w:tcPr>
                  <w:tcW w:w="0" w:type="auto"/>
                </w:tcPr>
                <w:p w14:paraId="612F273C" w14:textId="77777777" w:rsidR="009C6940" w:rsidRPr="008E6E5B" w:rsidRDefault="009C6940" w:rsidP="009C6940">
                  <w:pPr>
                    <w:pStyle w:val="TableBodyText"/>
                    <w:rPr>
                      <w:color w:val="000000"/>
                    </w:rPr>
                  </w:pPr>
                  <w:r w:rsidRPr="008E6E5B">
                    <w:t>91</w:t>
                  </w:r>
                </w:p>
              </w:tc>
              <w:tc>
                <w:tcPr>
                  <w:tcW w:w="0" w:type="auto"/>
                </w:tcPr>
                <w:p w14:paraId="69011BCF" w14:textId="77777777" w:rsidR="009C6940" w:rsidRPr="008E6E5B" w:rsidRDefault="009C6940" w:rsidP="009C6940">
                  <w:pPr>
                    <w:pStyle w:val="TableBodyText"/>
                  </w:pPr>
                  <w:r w:rsidRPr="008E6E5B">
                    <w:rPr>
                      <w:color w:val="000000"/>
                    </w:rPr>
                    <w:t>494 000</w:t>
                  </w:r>
                </w:p>
              </w:tc>
              <w:tc>
                <w:tcPr>
                  <w:tcW w:w="0" w:type="auto"/>
                </w:tcPr>
                <w:p w14:paraId="6A94CD6E" w14:textId="77777777" w:rsidR="009C6940" w:rsidRPr="008E6E5B" w:rsidRDefault="009C6940" w:rsidP="009C6940">
                  <w:pPr>
                    <w:pStyle w:val="TableBodyText"/>
                  </w:pPr>
                  <w:r w:rsidRPr="008E6E5B">
                    <w:t xml:space="preserve">32 </w:t>
                  </w:r>
                </w:p>
              </w:tc>
              <w:tc>
                <w:tcPr>
                  <w:tcW w:w="0" w:type="auto"/>
                </w:tcPr>
                <w:p w14:paraId="6999F11D" w14:textId="77777777" w:rsidR="009C6940" w:rsidRPr="008E6E5B" w:rsidRDefault="009C6940" w:rsidP="009C6940">
                  <w:pPr>
                    <w:pStyle w:val="TableBodyText"/>
                    <w:ind w:right="170"/>
                  </w:pPr>
                  <w:r w:rsidRPr="008E6E5B">
                    <w:t>62</w:t>
                  </w:r>
                </w:p>
              </w:tc>
            </w:tr>
            <w:tr w:rsidR="009C6940" w:rsidRPr="008E6E5B" w14:paraId="59D29854" w14:textId="77777777" w:rsidTr="003F33B3">
              <w:tc>
                <w:tcPr>
                  <w:tcW w:w="0" w:type="auto"/>
                  <w:tcBorders>
                    <w:bottom w:val="single" w:sz="4" w:space="0" w:color="BFBFBF"/>
                  </w:tcBorders>
                </w:tcPr>
                <w:p w14:paraId="6331B6C1" w14:textId="77777777" w:rsidR="009C6940" w:rsidRPr="008E6E5B" w:rsidRDefault="009C6940" w:rsidP="009C6940">
                  <w:pPr>
                    <w:pStyle w:val="TableBodyText"/>
                    <w:jc w:val="left"/>
                    <w:rPr>
                      <w:b/>
                    </w:rPr>
                  </w:pPr>
                  <w:r w:rsidRPr="008E6E5B">
                    <w:rPr>
                      <w:position w:val="6"/>
                    </w:rPr>
                    <w:t xml:space="preserve">Working Age payments (primarily Newstart or Youth </w:t>
                  </w:r>
                  <w:r>
                    <w:rPr>
                      <w:position w:val="6"/>
                    </w:rPr>
                    <w:t>Allowance (other))</w:t>
                  </w:r>
                  <w:r w:rsidRPr="0045389D">
                    <w:rPr>
                      <w:rStyle w:val="NoteLabel"/>
                      <w:sz w:val="28"/>
                      <w:vertAlign w:val="superscript"/>
                    </w:rPr>
                    <w:t>b,c</w:t>
                  </w:r>
                </w:p>
              </w:tc>
              <w:tc>
                <w:tcPr>
                  <w:tcW w:w="0" w:type="auto"/>
                  <w:tcBorders>
                    <w:bottom w:val="single" w:sz="4" w:space="0" w:color="BFBFBF"/>
                  </w:tcBorders>
                  <w:vAlign w:val="center"/>
                </w:tcPr>
                <w:p w14:paraId="053CEA7A" w14:textId="77777777" w:rsidR="009C6940" w:rsidRPr="008E6E5B" w:rsidRDefault="009C6940" w:rsidP="003F33B3">
                  <w:pPr>
                    <w:pStyle w:val="TableBodyText"/>
                  </w:pPr>
                  <w:r w:rsidRPr="008E6E5B">
                    <w:rPr>
                      <w:color w:val="000000"/>
                    </w:rPr>
                    <w:t>355 000</w:t>
                  </w:r>
                </w:p>
              </w:tc>
              <w:tc>
                <w:tcPr>
                  <w:tcW w:w="0" w:type="auto"/>
                  <w:tcBorders>
                    <w:bottom w:val="single" w:sz="4" w:space="0" w:color="BFBFBF"/>
                  </w:tcBorders>
                  <w:vAlign w:val="center"/>
                </w:tcPr>
                <w:p w14:paraId="0CFBEE11" w14:textId="77777777" w:rsidR="009C6940" w:rsidRPr="008E6E5B" w:rsidRDefault="009C6940" w:rsidP="003F33B3">
                  <w:pPr>
                    <w:pStyle w:val="TableBodyText"/>
                  </w:pPr>
                  <w:r w:rsidRPr="008E6E5B">
                    <w:t>36</w:t>
                  </w:r>
                </w:p>
              </w:tc>
              <w:tc>
                <w:tcPr>
                  <w:tcW w:w="0" w:type="auto"/>
                  <w:tcBorders>
                    <w:bottom w:val="single" w:sz="4" w:space="0" w:color="BFBFBF"/>
                  </w:tcBorders>
                  <w:vAlign w:val="center"/>
                </w:tcPr>
                <w:p w14:paraId="37E8A7F1" w14:textId="77777777" w:rsidR="009C6940" w:rsidRPr="008E6E5B" w:rsidRDefault="009C6940" w:rsidP="003F33B3">
                  <w:pPr>
                    <w:pStyle w:val="TableBodyText"/>
                    <w:rPr>
                      <w:color w:val="000000"/>
                    </w:rPr>
                  </w:pPr>
                  <w:r w:rsidRPr="008E6E5B">
                    <w:t>61</w:t>
                  </w:r>
                </w:p>
              </w:tc>
              <w:tc>
                <w:tcPr>
                  <w:tcW w:w="0" w:type="auto"/>
                  <w:tcBorders>
                    <w:bottom w:val="single" w:sz="4" w:space="0" w:color="BFBFBF"/>
                  </w:tcBorders>
                  <w:vAlign w:val="center"/>
                </w:tcPr>
                <w:p w14:paraId="737F9101" w14:textId="77777777" w:rsidR="009C6940" w:rsidRPr="008E6E5B" w:rsidRDefault="009C6940" w:rsidP="003F33B3">
                  <w:pPr>
                    <w:pStyle w:val="TableBodyText"/>
                  </w:pPr>
                  <w:r w:rsidRPr="008E6E5B">
                    <w:rPr>
                      <w:color w:val="000000"/>
                    </w:rPr>
                    <w:t>241 000</w:t>
                  </w:r>
                </w:p>
              </w:tc>
              <w:tc>
                <w:tcPr>
                  <w:tcW w:w="0" w:type="auto"/>
                  <w:tcBorders>
                    <w:bottom w:val="single" w:sz="4" w:space="0" w:color="BFBFBF"/>
                  </w:tcBorders>
                  <w:vAlign w:val="center"/>
                </w:tcPr>
                <w:p w14:paraId="7FEAC600" w14:textId="77777777" w:rsidR="009C6940" w:rsidRPr="008E6E5B" w:rsidRDefault="009C6940" w:rsidP="003F33B3">
                  <w:pPr>
                    <w:pStyle w:val="TableBodyText"/>
                  </w:pPr>
                  <w:r w:rsidRPr="008E6E5B">
                    <w:t>19</w:t>
                  </w:r>
                </w:p>
              </w:tc>
              <w:tc>
                <w:tcPr>
                  <w:tcW w:w="0" w:type="auto"/>
                  <w:tcBorders>
                    <w:bottom w:val="single" w:sz="4" w:space="0" w:color="BFBFBF"/>
                  </w:tcBorders>
                  <w:vAlign w:val="center"/>
                </w:tcPr>
                <w:p w14:paraId="6CBAEAE7" w14:textId="77777777" w:rsidR="009C6940" w:rsidRPr="008E6E5B" w:rsidRDefault="009C6940" w:rsidP="003F33B3">
                  <w:pPr>
                    <w:pStyle w:val="TableBodyText"/>
                    <w:ind w:right="170"/>
                  </w:pPr>
                  <w:r w:rsidRPr="008E6E5B">
                    <w:t>33</w:t>
                  </w:r>
                </w:p>
              </w:tc>
            </w:tr>
          </w:tbl>
          <w:p w14:paraId="7F2AA474" w14:textId="77777777" w:rsidR="009C6940" w:rsidRPr="008E6E5B" w:rsidRDefault="009C6940" w:rsidP="009C6940">
            <w:pPr>
              <w:keepNext/>
              <w:spacing w:before="120" w:line="260" w:lineRule="atLeast"/>
              <w:jc w:val="both"/>
              <w:rPr>
                <w:rFonts w:ascii="Arial" w:hAnsi="Arial"/>
                <w:sz w:val="20"/>
                <w:szCs w:val="20"/>
              </w:rPr>
            </w:pPr>
          </w:p>
        </w:tc>
      </w:tr>
      <w:tr w:rsidR="009C6940" w:rsidRPr="008E6E5B" w14:paraId="01101294" w14:textId="77777777" w:rsidTr="009C6940">
        <w:tc>
          <w:tcPr>
            <w:tcW w:w="5000" w:type="pct"/>
            <w:tcBorders>
              <w:top w:val="nil"/>
              <w:left w:val="nil"/>
              <w:bottom w:val="nil"/>
              <w:right w:val="nil"/>
            </w:tcBorders>
            <w:shd w:val="clear" w:color="auto" w:fill="auto"/>
          </w:tcPr>
          <w:p w14:paraId="29356929" w14:textId="77777777" w:rsidR="009C6940" w:rsidRPr="008E6E5B" w:rsidRDefault="009C6940" w:rsidP="009C6940">
            <w:pPr>
              <w:keepLines/>
              <w:spacing w:before="80" w:line="220" w:lineRule="exact"/>
              <w:jc w:val="both"/>
              <w:rPr>
                <w:rFonts w:ascii="Arial" w:hAnsi="Arial"/>
                <w:sz w:val="18"/>
                <w:szCs w:val="20"/>
              </w:rPr>
            </w:pPr>
            <w:r>
              <w:rPr>
                <w:rFonts w:ascii="Arial" w:hAnsi="Arial"/>
                <w:b/>
                <w:position w:val="6"/>
                <w:sz w:val="18"/>
                <w:szCs w:val="20"/>
              </w:rPr>
              <w:t xml:space="preserve">a </w:t>
            </w:r>
            <w:r w:rsidRPr="008E6E5B">
              <w:rPr>
                <w:rFonts w:ascii="Arial" w:hAnsi="Arial"/>
                <w:sz w:val="18"/>
                <w:szCs w:val="20"/>
              </w:rPr>
              <w:t>% of future lifetime on income support</w:t>
            </w:r>
            <w:r>
              <w:rPr>
                <w:rFonts w:ascii="Arial" w:hAnsi="Arial"/>
                <w:sz w:val="18"/>
                <w:szCs w:val="20"/>
              </w:rPr>
              <w:t>.</w:t>
            </w:r>
            <w:r w:rsidRPr="008E6E5B">
              <w:rPr>
                <w:rFonts w:ascii="Arial" w:hAnsi="Arial"/>
                <w:sz w:val="18"/>
                <w:szCs w:val="20"/>
              </w:rPr>
              <w:t xml:space="preserve"> </w:t>
            </w:r>
            <w:r w:rsidRPr="008E6E5B">
              <w:rPr>
                <w:rFonts w:ascii="Arial" w:hAnsi="Arial"/>
                <w:b/>
                <w:position w:val="6"/>
                <w:sz w:val="18"/>
                <w:szCs w:val="20"/>
              </w:rPr>
              <w:t>b</w:t>
            </w:r>
            <w:r>
              <w:rPr>
                <w:rFonts w:ascii="Arial" w:hAnsi="Arial"/>
                <w:b/>
                <w:position w:val="6"/>
                <w:sz w:val="18"/>
                <w:szCs w:val="20"/>
              </w:rPr>
              <w:t xml:space="preserve"> </w:t>
            </w:r>
            <w:r w:rsidRPr="008E6E5B">
              <w:rPr>
                <w:rFonts w:ascii="Arial" w:hAnsi="Arial"/>
                <w:sz w:val="18"/>
                <w:szCs w:val="20"/>
              </w:rPr>
              <w:t>The Priority Investment Approach working age payment class is primarily made up of Newstart Allowance and Youth Allowance (Other) recipients, but also includes a small number of Partner Allowance, Sickness Allowance, Special Benefit, Widow Allowance, ABSTUDY (Apprentice), and Austudy (Apprentice) recipients.</w:t>
            </w:r>
            <w:r>
              <w:rPr>
                <w:rFonts w:ascii="Arial" w:hAnsi="Arial"/>
                <w:sz w:val="18"/>
                <w:szCs w:val="20"/>
              </w:rPr>
              <w:t xml:space="preserve"> </w:t>
            </w:r>
            <w:r w:rsidRPr="007F78FF">
              <w:rPr>
                <w:rStyle w:val="NoteLabel"/>
              </w:rPr>
              <w:t>c</w:t>
            </w:r>
            <w:r>
              <w:rPr>
                <w:rFonts w:ascii="Arial" w:hAnsi="Arial"/>
                <w:sz w:val="18"/>
                <w:szCs w:val="20"/>
              </w:rPr>
              <w:t xml:space="preserve"> The JobSeeker Payment has since replaced the Newstart Allowance and some other payments.</w:t>
            </w:r>
          </w:p>
        </w:tc>
      </w:tr>
      <w:tr w:rsidR="009C6940" w:rsidRPr="008E6E5B" w14:paraId="4629AE86" w14:textId="77777777" w:rsidTr="009C6940">
        <w:tc>
          <w:tcPr>
            <w:tcW w:w="5000" w:type="pct"/>
            <w:tcBorders>
              <w:top w:val="nil"/>
              <w:left w:val="nil"/>
              <w:bottom w:val="nil"/>
              <w:right w:val="nil"/>
            </w:tcBorders>
            <w:shd w:val="clear" w:color="auto" w:fill="auto"/>
          </w:tcPr>
          <w:p w14:paraId="60A57295" w14:textId="77777777" w:rsidR="009C6940" w:rsidRPr="008E6E5B" w:rsidRDefault="009C6940" w:rsidP="009C6940">
            <w:pPr>
              <w:keepLines/>
              <w:spacing w:before="80" w:line="220" w:lineRule="exact"/>
              <w:jc w:val="both"/>
              <w:rPr>
                <w:rFonts w:ascii="Arial" w:hAnsi="Arial"/>
                <w:sz w:val="18"/>
                <w:szCs w:val="20"/>
              </w:rPr>
            </w:pPr>
            <w:r w:rsidRPr="008E6E5B">
              <w:rPr>
                <w:rFonts w:ascii="Arial" w:hAnsi="Arial"/>
                <w:i/>
                <w:sz w:val="18"/>
                <w:szCs w:val="20"/>
              </w:rPr>
              <w:t>Source</w:t>
            </w:r>
            <w:r w:rsidRPr="008E6E5B">
              <w:rPr>
                <w:rFonts w:ascii="Arial" w:hAnsi="Arial"/>
                <w:sz w:val="18"/>
                <w:szCs w:val="20"/>
              </w:rPr>
              <w:t xml:space="preserve">: </w:t>
            </w:r>
            <w:r w:rsidRPr="006E431B">
              <w:rPr>
                <w:rFonts w:ascii="Arial" w:hAnsi="Arial"/>
                <w:sz w:val="18"/>
                <w:szCs w:val="20"/>
              </w:rPr>
              <w:t>Department of Social Services, unpublished data</w:t>
            </w:r>
            <w:r>
              <w:rPr>
                <w:rFonts w:ascii="Arial" w:hAnsi="Arial"/>
                <w:sz w:val="18"/>
                <w:szCs w:val="20"/>
              </w:rPr>
              <w:t>.</w:t>
            </w:r>
          </w:p>
        </w:tc>
      </w:tr>
      <w:tr w:rsidR="009C6940" w:rsidRPr="008E6E5B" w14:paraId="063943E6" w14:textId="77777777" w:rsidTr="009C6940">
        <w:tc>
          <w:tcPr>
            <w:tcW w:w="5000" w:type="pct"/>
            <w:tcBorders>
              <w:top w:val="nil"/>
              <w:left w:val="nil"/>
              <w:bottom w:val="single" w:sz="6" w:space="0" w:color="78A22F"/>
              <w:right w:val="nil"/>
            </w:tcBorders>
            <w:shd w:val="clear" w:color="auto" w:fill="auto"/>
          </w:tcPr>
          <w:p w14:paraId="48191B4D" w14:textId="77777777" w:rsidR="009C6940" w:rsidRPr="008E6E5B" w:rsidRDefault="009C6940" w:rsidP="009C6940">
            <w:pPr>
              <w:keepNext/>
              <w:spacing w:line="120" w:lineRule="exact"/>
              <w:jc w:val="both"/>
              <w:rPr>
                <w:rFonts w:ascii="Arial" w:hAnsi="Arial"/>
                <w:sz w:val="20"/>
                <w:szCs w:val="20"/>
              </w:rPr>
            </w:pPr>
          </w:p>
        </w:tc>
      </w:tr>
      <w:tr w:rsidR="009C6940" w:rsidRPr="008E6E5B" w14:paraId="23275142" w14:textId="77777777" w:rsidTr="009C6940">
        <w:tc>
          <w:tcPr>
            <w:tcW w:w="5000" w:type="pct"/>
            <w:tcBorders>
              <w:top w:val="single" w:sz="6" w:space="0" w:color="78A22F"/>
              <w:left w:val="nil"/>
              <w:bottom w:val="nil"/>
              <w:right w:val="nil"/>
            </w:tcBorders>
          </w:tcPr>
          <w:p w14:paraId="5DEE89BF" w14:textId="77777777" w:rsidR="009C6940" w:rsidRPr="008E6E5B" w:rsidRDefault="009C6940" w:rsidP="009C6940">
            <w:pPr>
              <w:spacing w:before="60" w:after="60" w:line="80" w:lineRule="exact"/>
              <w:jc w:val="both"/>
              <w:rPr>
                <w:rFonts w:ascii="Arial" w:hAnsi="Arial"/>
                <w:sz w:val="14"/>
                <w:szCs w:val="20"/>
              </w:rPr>
            </w:pPr>
          </w:p>
        </w:tc>
      </w:tr>
    </w:tbl>
    <w:p w14:paraId="366527E5" w14:textId="77777777" w:rsidR="009C6940" w:rsidRPr="008E6E5B" w:rsidRDefault="009C6940" w:rsidP="009C6940">
      <w:pPr>
        <w:keepNext/>
        <w:spacing w:before="600" w:line="400" w:lineRule="exact"/>
        <w:ind w:left="907" w:hanging="907"/>
        <w:outlineLvl w:val="1"/>
        <w:rPr>
          <w:rFonts w:ascii="Arial" w:hAnsi="Arial"/>
          <w:b/>
          <w:sz w:val="32"/>
          <w:szCs w:val="20"/>
        </w:rPr>
      </w:pPr>
      <w:r>
        <w:rPr>
          <w:rFonts w:ascii="Arial" w:hAnsi="Arial"/>
          <w:b/>
          <w:sz w:val="32"/>
          <w:szCs w:val="20"/>
        </w:rPr>
        <w:t>H.</w:t>
      </w:r>
      <w:r>
        <w:rPr>
          <w:rFonts w:ascii="Arial" w:hAnsi="Arial"/>
          <w:b/>
          <w:noProof/>
          <w:sz w:val="32"/>
          <w:szCs w:val="20"/>
        </w:rPr>
        <w:t>4</w:t>
      </w:r>
      <w:r w:rsidRPr="008E6E5B">
        <w:rPr>
          <w:rFonts w:ascii="Arial" w:hAnsi="Arial"/>
          <w:b/>
          <w:sz w:val="32"/>
          <w:szCs w:val="20"/>
        </w:rPr>
        <w:tab/>
      </w:r>
      <w:r>
        <w:rPr>
          <w:rFonts w:ascii="Arial" w:hAnsi="Arial"/>
          <w:b/>
          <w:sz w:val="32"/>
          <w:szCs w:val="20"/>
        </w:rPr>
        <w:t>Effects</w:t>
      </w:r>
      <w:r w:rsidRPr="008E6E5B">
        <w:rPr>
          <w:rFonts w:ascii="Arial" w:hAnsi="Arial"/>
          <w:b/>
          <w:sz w:val="32"/>
          <w:szCs w:val="20"/>
        </w:rPr>
        <w:t xml:space="preserve"> of mental health on work </w:t>
      </w:r>
    </w:p>
    <w:p w14:paraId="61B84AA4" w14:textId="77777777" w:rsidR="009C6940" w:rsidRPr="008E6E5B" w:rsidRDefault="009C6940" w:rsidP="009C6940">
      <w:pPr>
        <w:keepNext/>
        <w:spacing w:before="300" w:line="320" w:lineRule="exact"/>
        <w:outlineLvl w:val="2"/>
        <w:rPr>
          <w:rFonts w:ascii="Arial" w:hAnsi="Arial"/>
          <w:b/>
          <w:sz w:val="26"/>
          <w:szCs w:val="20"/>
        </w:rPr>
      </w:pPr>
      <w:r>
        <w:rPr>
          <w:rFonts w:ascii="Arial" w:hAnsi="Arial"/>
          <w:b/>
          <w:sz w:val="26"/>
          <w:szCs w:val="20"/>
        </w:rPr>
        <w:t>P</w:t>
      </w:r>
      <w:r w:rsidRPr="008E6E5B">
        <w:rPr>
          <w:rFonts w:ascii="Arial" w:hAnsi="Arial"/>
          <w:b/>
          <w:sz w:val="26"/>
          <w:szCs w:val="20"/>
        </w:rPr>
        <w:t xml:space="preserve">articipation </w:t>
      </w:r>
    </w:p>
    <w:p w14:paraId="7614563C" w14:textId="77777777" w:rsidR="009C6940" w:rsidRDefault="009C6940" w:rsidP="009C6940">
      <w:pPr>
        <w:pStyle w:val="BodyText"/>
      </w:pPr>
      <w:r w:rsidRPr="008E6E5B">
        <w:t>Mental ill</w:t>
      </w:r>
      <w:r w:rsidRPr="008E6E5B">
        <w:noBreakHyphen/>
        <w:t xml:space="preserve">health reduces people’s </w:t>
      </w:r>
      <w:r>
        <w:t>p</w:t>
      </w:r>
      <w:r w:rsidRPr="008E6E5B">
        <w:t>articipat</w:t>
      </w:r>
      <w:r>
        <w:t>ion</w:t>
      </w:r>
      <w:r w:rsidRPr="008E6E5B">
        <w:t xml:space="preserve"> in the workforce</w:t>
      </w:r>
      <w:r>
        <w:t xml:space="preserve"> (figure H.1)</w:t>
      </w:r>
      <w:r w:rsidRPr="008E6E5B">
        <w:t xml:space="preserve">. </w:t>
      </w:r>
      <w:r>
        <w:t xml:space="preserve">Compared to the broader population, </w:t>
      </w:r>
      <w:r w:rsidRPr="0041548C">
        <w:t>a lower proportion of people with mental ill</w:t>
      </w:r>
      <w:r>
        <w:noBreakHyphen/>
      </w:r>
      <w:r w:rsidRPr="0041548C">
        <w:t>health are employed and a higher proportion of people are unemployed or are not in the labour force</w:t>
      </w:r>
      <w:r>
        <w:t xml:space="preserve">. </w:t>
      </w:r>
      <w:r w:rsidRPr="003E79A0">
        <w:t xml:space="preserve">A person’s level of psychological distress can also </w:t>
      </w:r>
      <w:r>
        <w:t>affect</w:t>
      </w:r>
      <w:r w:rsidRPr="003E79A0">
        <w:t xml:space="preserve"> whether or not they are employed or in the labour</w:t>
      </w:r>
      <w:r>
        <w:t xml:space="preserve"> </w:t>
      </w:r>
      <w:r w:rsidRPr="003E79A0">
        <w:t>force. Generally, as a person’s level of psychological distress increases, the less likely they are to be employed, for example</w:t>
      </w:r>
      <w:r>
        <w:t>.</w:t>
      </w:r>
    </w:p>
    <w:p w14:paraId="053D21C7" w14:textId="77777777" w:rsidR="009C6940" w:rsidRDefault="009C6940" w:rsidP="009C6940">
      <w:pPr>
        <w:pStyle w:val="BodyText"/>
      </w:pPr>
      <w:r w:rsidRPr="008E6E5B">
        <w:t xml:space="preserve">To </w:t>
      </w:r>
      <w:r>
        <w:t>capture the effect of mental illness</w:t>
      </w:r>
      <w:r w:rsidRPr="008E6E5B">
        <w:t xml:space="preserve"> on participation in the workforce and productivity, the </w:t>
      </w:r>
      <w:r>
        <w:t>P</w:t>
      </w:r>
      <w:r w:rsidRPr="00A968E2">
        <w:t xml:space="preserve">roductivity </w:t>
      </w:r>
      <w:r w:rsidRPr="008E6E5B">
        <w:t>Commission modelled the cost of forgone output due to mental ill</w:t>
      </w:r>
      <w:r>
        <w:t>ness</w:t>
      </w:r>
      <w:r w:rsidRPr="008E6E5B">
        <w:t xml:space="preserve"> to be between </w:t>
      </w:r>
      <w:r w:rsidRPr="009F7A4E">
        <w:t>$12.2 billion and $22.5 billion in 2018</w:t>
      </w:r>
      <w:r w:rsidRPr="009F7A4E">
        <w:noBreakHyphen/>
        <w:t xml:space="preserve">19 (using the wage model outlined in </w:t>
      </w:r>
      <w:r w:rsidRPr="004A7FB0">
        <w:t xml:space="preserve">appendix J). </w:t>
      </w:r>
    </w:p>
    <w:p w14:paraId="15458B04" w14:textId="77777777" w:rsidR="009C6940" w:rsidRPr="008E6E5B" w:rsidRDefault="009C6940" w:rsidP="009C6940">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4396"/>
        <w:gridCol w:w="4393"/>
      </w:tblGrid>
      <w:tr w:rsidR="009C6940" w:rsidRPr="008E6E5B" w14:paraId="7DDC27C0" w14:textId="77777777" w:rsidTr="009C6940">
        <w:trPr>
          <w:tblHeader/>
        </w:trPr>
        <w:tc>
          <w:tcPr>
            <w:tcW w:w="5000" w:type="pct"/>
            <w:gridSpan w:val="2"/>
            <w:tcBorders>
              <w:top w:val="single" w:sz="6" w:space="0" w:color="78A22F"/>
              <w:left w:val="nil"/>
              <w:bottom w:val="nil"/>
              <w:right w:val="nil"/>
            </w:tcBorders>
            <w:shd w:val="clear" w:color="auto" w:fill="auto"/>
          </w:tcPr>
          <w:p w14:paraId="27F2C304" w14:textId="77777777" w:rsidR="009C6940" w:rsidRDefault="009C6940" w:rsidP="009C6940">
            <w:pPr>
              <w:pStyle w:val="FigureTitle"/>
            </w:pPr>
            <w:r w:rsidRPr="00D55301">
              <w:rPr>
                <w:b w:val="0"/>
              </w:rPr>
              <w:t>Figure H.</w:t>
            </w:r>
            <w:r>
              <w:rPr>
                <w:b w:val="0"/>
                <w:noProof/>
              </w:rPr>
              <w:t>1</w:t>
            </w:r>
            <w:r>
              <w:tab/>
              <w:t>Mental ill</w:t>
            </w:r>
            <w:r>
              <w:noBreakHyphen/>
            </w:r>
            <w:r w:rsidRPr="008E6E5B">
              <w:t>health affects people’s ability to participate in the workforce</w:t>
            </w:r>
            <w:r w:rsidRPr="003F2E04">
              <w:rPr>
                <w:rStyle w:val="NoteLabel"/>
                <w:b/>
              </w:rPr>
              <w:t>a</w:t>
            </w:r>
          </w:p>
          <w:p w14:paraId="27302A86" w14:textId="77777777" w:rsidR="009C6940" w:rsidRPr="008E6E5B" w:rsidRDefault="009C6940" w:rsidP="009C6940">
            <w:pPr>
              <w:pStyle w:val="Subtitle"/>
            </w:pPr>
            <w:r>
              <w:t>People aged 15–</w:t>
            </w:r>
            <w:r w:rsidRPr="006A0306">
              <w:t>64</w:t>
            </w:r>
            <w:r>
              <w:t> </w:t>
            </w:r>
            <w:r w:rsidRPr="006A0306">
              <w:t>years</w:t>
            </w:r>
          </w:p>
        </w:tc>
      </w:tr>
      <w:tr w:rsidR="009C6940" w:rsidRPr="008E6E5B" w14:paraId="09234E5A" w14:textId="77777777" w:rsidTr="009C6940">
        <w:trPr>
          <w:tblHeader/>
        </w:trPr>
        <w:tc>
          <w:tcPr>
            <w:tcW w:w="2512" w:type="pct"/>
            <w:tcBorders>
              <w:top w:val="nil"/>
              <w:left w:val="nil"/>
              <w:bottom w:val="nil"/>
              <w:right w:val="nil"/>
            </w:tcBorders>
            <w:shd w:val="clear" w:color="auto" w:fill="auto"/>
          </w:tcPr>
          <w:p w14:paraId="01EDDF20" w14:textId="77777777" w:rsidR="009C6940" w:rsidRPr="008E6E5B" w:rsidRDefault="009C6940" w:rsidP="009C6940">
            <w:pPr>
              <w:keepNext/>
              <w:keepLines/>
              <w:spacing w:before="80" w:after="80" w:line="200" w:lineRule="atLeast"/>
              <w:ind w:left="6" w:right="113"/>
              <w:jc w:val="center"/>
              <w:rPr>
                <w:rFonts w:ascii="Arial" w:hAnsi="Arial"/>
                <w:i/>
                <w:sz w:val="18"/>
                <w:szCs w:val="20"/>
              </w:rPr>
            </w:pPr>
            <w:r w:rsidRPr="008E6E5B">
              <w:rPr>
                <w:rFonts w:ascii="Arial" w:hAnsi="Arial"/>
                <w:i/>
                <w:sz w:val="18"/>
                <w:szCs w:val="20"/>
              </w:rPr>
              <w:t>Labour force status by mental health disorder</w:t>
            </w:r>
          </w:p>
        </w:tc>
        <w:tc>
          <w:tcPr>
            <w:tcW w:w="2488" w:type="pct"/>
            <w:tcBorders>
              <w:top w:val="nil"/>
              <w:left w:val="nil"/>
              <w:bottom w:val="nil"/>
              <w:right w:val="nil"/>
            </w:tcBorders>
            <w:shd w:val="clear" w:color="auto" w:fill="auto"/>
          </w:tcPr>
          <w:p w14:paraId="1D95712B" w14:textId="77777777" w:rsidR="009C6940" w:rsidRPr="008E6E5B" w:rsidRDefault="009C6940" w:rsidP="009C6940">
            <w:pPr>
              <w:keepNext/>
              <w:keepLines/>
              <w:spacing w:before="80" w:after="80" w:line="200" w:lineRule="atLeast"/>
              <w:ind w:left="6" w:right="113"/>
              <w:jc w:val="center"/>
              <w:rPr>
                <w:rFonts w:ascii="Arial" w:hAnsi="Arial"/>
                <w:i/>
                <w:sz w:val="18"/>
                <w:szCs w:val="20"/>
              </w:rPr>
            </w:pPr>
            <w:r>
              <w:rPr>
                <w:rFonts w:ascii="Arial" w:hAnsi="Arial"/>
                <w:i/>
                <w:sz w:val="18"/>
                <w:szCs w:val="20"/>
              </w:rPr>
              <w:t>L</w:t>
            </w:r>
            <w:r w:rsidRPr="008E6E5B">
              <w:rPr>
                <w:rFonts w:ascii="Arial" w:hAnsi="Arial"/>
                <w:i/>
                <w:sz w:val="18"/>
                <w:szCs w:val="20"/>
              </w:rPr>
              <w:t>abour force status by Kessler 10 category of distress level</w:t>
            </w:r>
          </w:p>
        </w:tc>
      </w:tr>
      <w:tr w:rsidR="009C6940" w:rsidRPr="008E6E5B" w14:paraId="136ED6F8" w14:textId="77777777" w:rsidTr="003F33B3">
        <w:tblPrEx>
          <w:tblCellMar>
            <w:left w:w="108" w:type="dxa"/>
            <w:right w:w="108" w:type="dxa"/>
          </w:tblCellMar>
        </w:tblPrEx>
        <w:tc>
          <w:tcPr>
            <w:tcW w:w="2512" w:type="pct"/>
            <w:tcBorders>
              <w:top w:val="nil"/>
              <w:left w:val="nil"/>
              <w:bottom w:val="nil"/>
              <w:right w:val="nil"/>
            </w:tcBorders>
            <w:shd w:val="clear" w:color="auto" w:fill="auto"/>
          </w:tcPr>
          <w:p w14:paraId="2A818101" w14:textId="77777777" w:rsidR="009C6940" w:rsidRPr="008E6E5B" w:rsidRDefault="009C6940" w:rsidP="009C6940">
            <w:pPr>
              <w:pStyle w:val="Figure"/>
            </w:pPr>
            <w:r w:rsidRPr="00AD09CB">
              <w:rPr>
                <w:noProof/>
              </w:rPr>
              <w:drawing>
                <wp:inline distT="0" distB="0" distL="0" distR="0" wp14:anchorId="4DC48C05" wp14:editId="083C80E6">
                  <wp:extent cx="2668905" cy="2339340"/>
                  <wp:effectExtent l="0" t="0" r="0" b="3810"/>
                  <wp:docPr id="43" name="Picture 43" descr="LHS: This figure is a column chart that illustrates that people with mental illness have lower employment rates, higher unemployment and more likely to not be in the labour force than the broader population. &#10;RHS: This figure is a column chart that illustrates that a person’s level of psychological distress can impact whether or not they are employed or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68905" cy="2339340"/>
                          </a:xfrm>
                          <a:prstGeom prst="rect">
                            <a:avLst/>
                          </a:prstGeom>
                          <a:noFill/>
                          <a:ln>
                            <a:noFill/>
                          </a:ln>
                        </pic:spPr>
                      </pic:pic>
                    </a:graphicData>
                  </a:graphic>
                </wp:inline>
              </w:drawing>
            </w:r>
          </w:p>
        </w:tc>
        <w:tc>
          <w:tcPr>
            <w:tcW w:w="2488" w:type="pct"/>
            <w:tcBorders>
              <w:top w:val="nil"/>
              <w:left w:val="nil"/>
              <w:bottom w:val="nil"/>
              <w:right w:val="nil"/>
            </w:tcBorders>
            <w:shd w:val="clear" w:color="auto" w:fill="auto"/>
          </w:tcPr>
          <w:p w14:paraId="453EC094" w14:textId="77777777" w:rsidR="009C6940" w:rsidRPr="008E6E5B" w:rsidRDefault="009C6940" w:rsidP="009C6940">
            <w:pPr>
              <w:pStyle w:val="Figure"/>
            </w:pPr>
            <w:r w:rsidRPr="005574CD">
              <w:rPr>
                <w:noProof/>
              </w:rPr>
              <w:drawing>
                <wp:inline distT="0" distB="0" distL="0" distR="0" wp14:anchorId="1429AC4F" wp14:editId="1DC40162">
                  <wp:extent cx="2664460" cy="2333625"/>
                  <wp:effectExtent l="0" t="0" r="2540" b="9525"/>
                  <wp:docPr id="44" name="Picture 44" descr="LHS: This figure is a column chart that illustrates that people with mental illness have lower employment rates, higher unemployment and more likely to not be in the labour force than the broader population. &#10;RHS: This figure is a column chart that illustrates that a person’s level of psychological distress can impact whether or not they are employed or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64460" cy="2333625"/>
                          </a:xfrm>
                          <a:prstGeom prst="rect">
                            <a:avLst/>
                          </a:prstGeom>
                          <a:noFill/>
                          <a:ln>
                            <a:noFill/>
                          </a:ln>
                        </pic:spPr>
                      </pic:pic>
                    </a:graphicData>
                  </a:graphic>
                </wp:inline>
              </w:drawing>
            </w:r>
          </w:p>
        </w:tc>
      </w:tr>
      <w:tr w:rsidR="009C6940" w:rsidRPr="008E6E5B" w14:paraId="23348029" w14:textId="77777777" w:rsidTr="003F33B3">
        <w:tc>
          <w:tcPr>
            <w:tcW w:w="5000" w:type="pct"/>
            <w:gridSpan w:val="2"/>
            <w:tcBorders>
              <w:top w:val="nil"/>
              <w:left w:val="nil"/>
              <w:bottom w:val="nil"/>
              <w:right w:val="nil"/>
            </w:tcBorders>
            <w:shd w:val="clear" w:color="auto" w:fill="auto"/>
          </w:tcPr>
          <w:p w14:paraId="1E399C79" w14:textId="77777777" w:rsidR="009C6940" w:rsidRPr="008E6E5B" w:rsidRDefault="009C6940" w:rsidP="009C6940">
            <w:pPr>
              <w:pStyle w:val="Note"/>
            </w:pPr>
            <w:r>
              <w:rPr>
                <w:rStyle w:val="NoteLabel"/>
              </w:rPr>
              <w:t xml:space="preserve">a </w:t>
            </w:r>
            <w:r w:rsidRPr="00F86170">
              <w:t>The Kessler 10 is a 10</w:t>
            </w:r>
            <w:r>
              <w:noBreakHyphen/>
            </w:r>
            <w:r w:rsidRPr="00F86170">
              <w:t xml:space="preserve">item questionnaire intended to measure psychological distress based on questions about anxiety and depressive symptoms. </w:t>
            </w:r>
            <w:r>
              <w:t>Low = scores of 10–15; Moderate = scores of 16–21; High = scores of 22–29; Very high = scores of 30–50.</w:t>
            </w:r>
          </w:p>
        </w:tc>
      </w:tr>
      <w:tr w:rsidR="009C6940" w:rsidRPr="008E6E5B" w14:paraId="27C117E3" w14:textId="77777777" w:rsidTr="009C6940">
        <w:tc>
          <w:tcPr>
            <w:tcW w:w="5000" w:type="pct"/>
            <w:gridSpan w:val="2"/>
            <w:tcBorders>
              <w:top w:val="nil"/>
              <w:left w:val="nil"/>
              <w:bottom w:val="nil"/>
              <w:right w:val="nil"/>
            </w:tcBorders>
            <w:shd w:val="clear" w:color="auto" w:fill="auto"/>
          </w:tcPr>
          <w:p w14:paraId="30257332" w14:textId="77777777" w:rsidR="009C6940" w:rsidRPr="008E6E5B" w:rsidRDefault="009C6940" w:rsidP="009C6940">
            <w:pPr>
              <w:keepLines/>
              <w:spacing w:before="80" w:line="220" w:lineRule="exact"/>
              <w:jc w:val="both"/>
              <w:rPr>
                <w:rFonts w:ascii="Arial" w:hAnsi="Arial"/>
                <w:sz w:val="18"/>
                <w:szCs w:val="20"/>
              </w:rPr>
            </w:pPr>
            <w:r w:rsidRPr="008E6E5B">
              <w:rPr>
                <w:rFonts w:ascii="Arial" w:hAnsi="Arial"/>
                <w:i/>
                <w:sz w:val="18"/>
                <w:szCs w:val="20"/>
              </w:rPr>
              <w:t>Source</w:t>
            </w:r>
            <w:r w:rsidRPr="008E6E5B">
              <w:rPr>
                <w:rFonts w:ascii="Arial" w:hAnsi="Arial"/>
                <w:sz w:val="18"/>
                <w:szCs w:val="20"/>
              </w:rPr>
              <w:t>: ABS (</w:t>
            </w:r>
            <w:r w:rsidRPr="007F78FF">
              <w:rPr>
                <w:rFonts w:ascii="Arial" w:hAnsi="Arial"/>
                <w:i/>
                <w:sz w:val="18"/>
                <w:szCs w:val="20"/>
              </w:rPr>
              <w:t>National Health Survey: First Results 2017</w:t>
            </w:r>
            <w:r w:rsidRPr="007F78FF">
              <w:rPr>
                <w:rFonts w:ascii="Arial" w:hAnsi="Arial"/>
                <w:i/>
                <w:sz w:val="18"/>
                <w:szCs w:val="20"/>
              </w:rPr>
              <w:noBreakHyphen/>
              <w:t>18</w:t>
            </w:r>
            <w:r w:rsidRPr="008E6E5B">
              <w:rPr>
                <w:rFonts w:ascii="Arial" w:hAnsi="Arial"/>
                <w:sz w:val="18"/>
                <w:szCs w:val="20"/>
              </w:rPr>
              <w:t>, Cat. no. 4364.0.55.001</w:t>
            </w:r>
            <w:r>
              <w:rPr>
                <w:rFonts w:ascii="Arial" w:hAnsi="Arial"/>
                <w:sz w:val="18"/>
                <w:szCs w:val="20"/>
              </w:rPr>
              <w:t>;</w:t>
            </w:r>
            <w:r>
              <w:t xml:space="preserve"> </w:t>
            </w:r>
            <w:r w:rsidRPr="00EA0946">
              <w:rPr>
                <w:rFonts w:ascii="Arial" w:hAnsi="Arial"/>
                <w:i/>
                <w:sz w:val="18"/>
                <w:szCs w:val="20"/>
              </w:rPr>
              <w:t>Microdata: National Health Survey, 2017-</w:t>
            </w:r>
            <w:r w:rsidRPr="007F78FF" w:rsidDel="00F92C6C">
              <w:rPr>
                <w:rFonts w:ascii="Arial" w:hAnsi="Arial"/>
                <w:i/>
                <w:sz w:val="18"/>
                <w:szCs w:val="20"/>
              </w:rPr>
              <w:t>18</w:t>
            </w:r>
            <w:r w:rsidRPr="008E6E5B" w:rsidDel="00F92C6C">
              <w:rPr>
                <w:rFonts w:ascii="Arial" w:hAnsi="Arial"/>
                <w:sz w:val="18"/>
                <w:szCs w:val="20"/>
              </w:rPr>
              <w:t xml:space="preserve">, </w:t>
            </w:r>
            <w:r w:rsidRPr="008E6E5B">
              <w:rPr>
                <w:rFonts w:ascii="Arial" w:hAnsi="Arial"/>
                <w:sz w:val="18"/>
                <w:szCs w:val="20"/>
              </w:rPr>
              <w:t>Cat. no.</w:t>
            </w:r>
            <w:r>
              <w:rPr>
                <w:rFonts w:ascii="Arial" w:hAnsi="Arial"/>
                <w:sz w:val="18"/>
                <w:szCs w:val="20"/>
              </w:rPr>
              <w:t> </w:t>
            </w:r>
            <w:r w:rsidRPr="008E6E5B">
              <w:rPr>
                <w:rFonts w:ascii="Arial" w:hAnsi="Arial"/>
                <w:sz w:val="18"/>
                <w:szCs w:val="20"/>
              </w:rPr>
              <w:t xml:space="preserve">4324.0.55.001). </w:t>
            </w:r>
          </w:p>
        </w:tc>
      </w:tr>
      <w:tr w:rsidR="009C6940" w:rsidRPr="008E6E5B" w14:paraId="5AF7560B" w14:textId="77777777" w:rsidTr="009C6940">
        <w:tc>
          <w:tcPr>
            <w:tcW w:w="5000" w:type="pct"/>
            <w:gridSpan w:val="2"/>
            <w:tcBorders>
              <w:top w:val="nil"/>
              <w:left w:val="nil"/>
              <w:bottom w:val="single" w:sz="6" w:space="0" w:color="78A22F"/>
              <w:right w:val="nil"/>
            </w:tcBorders>
            <w:shd w:val="clear" w:color="auto" w:fill="auto"/>
          </w:tcPr>
          <w:p w14:paraId="35BE2752" w14:textId="77777777" w:rsidR="009C6940" w:rsidRPr="008E6E5B" w:rsidRDefault="009C6940" w:rsidP="009C6940">
            <w:pPr>
              <w:keepNext/>
              <w:spacing w:line="120" w:lineRule="exact"/>
              <w:jc w:val="both"/>
              <w:rPr>
                <w:rFonts w:ascii="Arial" w:hAnsi="Arial"/>
                <w:sz w:val="20"/>
                <w:szCs w:val="20"/>
              </w:rPr>
            </w:pPr>
          </w:p>
        </w:tc>
      </w:tr>
      <w:tr w:rsidR="009C6940" w:rsidRPr="008E6E5B" w14:paraId="4B681976" w14:textId="77777777" w:rsidTr="009C6940">
        <w:tc>
          <w:tcPr>
            <w:tcW w:w="5000" w:type="pct"/>
            <w:gridSpan w:val="2"/>
            <w:tcBorders>
              <w:top w:val="single" w:sz="6" w:space="0" w:color="78A22F"/>
              <w:left w:val="nil"/>
              <w:bottom w:val="nil"/>
              <w:right w:val="nil"/>
            </w:tcBorders>
          </w:tcPr>
          <w:p w14:paraId="5DACDB5B" w14:textId="77777777" w:rsidR="009C6940" w:rsidRPr="008E6E5B" w:rsidRDefault="009C6940" w:rsidP="009C6940">
            <w:pPr>
              <w:spacing w:before="60" w:after="60" w:line="80" w:lineRule="exact"/>
              <w:jc w:val="both"/>
              <w:rPr>
                <w:rFonts w:ascii="Arial" w:hAnsi="Arial"/>
                <w:sz w:val="14"/>
                <w:szCs w:val="20"/>
              </w:rPr>
            </w:pPr>
          </w:p>
        </w:tc>
      </w:tr>
    </w:tbl>
    <w:p w14:paraId="73A590D1" w14:textId="77777777" w:rsidR="009C6940" w:rsidRPr="008E6E5B" w:rsidRDefault="009C6940" w:rsidP="009C6940">
      <w:pPr>
        <w:pStyle w:val="BodyText"/>
      </w:pPr>
      <w:r>
        <w:t xml:space="preserve">There are two possible interpretations of what is captured in these estimates. At minimum, these costs include only the effect on people’s foregone income from reduced or no participation in the workforce due to their mental illness. For those employed, the consequence of missing days at work due to mental illness (absenteeism) or functioning less effectively (presenteeism) are temporary and not reflected in their income. At the other end of the spectrum, the costs could be interpreted to capture participation effects </w:t>
      </w:r>
      <w:r w:rsidRPr="008351FF">
        <w:t xml:space="preserve">and lower productivity </w:t>
      </w:r>
      <w:r>
        <w:t xml:space="preserve">for those in employment. The implication is that the consequence of people being absent from their employment or not </w:t>
      </w:r>
      <w:r w:rsidRPr="00925E89">
        <w:t>always be</w:t>
      </w:r>
      <w:r>
        <w:t>ing</w:t>
      </w:r>
      <w:r w:rsidRPr="00925E89">
        <w:t xml:space="preserve"> able to function </w:t>
      </w:r>
      <w:r>
        <w:t>e</w:t>
      </w:r>
      <w:r w:rsidRPr="00925E89">
        <w:t>ffectively while at work</w:t>
      </w:r>
      <w:r>
        <w:t xml:space="preserve"> has a permanent effect on their income (table H.5). In practice, the average effect of mental illness on participation and productivity will be somewhere on this spectrum. </w:t>
      </w:r>
    </w:p>
    <w:p w14:paraId="31B190AC" w14:textId="77777777" w:rsidR="009C6940" w:rsidRPr="008E6E5B" w:rsidRDefault="009C6940" w:rsidP="009C6940">
      <w:pPr>
        <w:keepNext/>
        <w:spacing w:before="560" w:line="320" w:lineRule="exact"/>
        <w:outlineLvl w:val="2"/>
        <w:rPr>
          <w:rFonts w:ascii="Arial" w:hAnsi="Arial"/>
          <w:b/>
          <w:sz w:val="26"/>
          <w:szCs w:val="20"/>
        </w:rPr>
      </w:pPr>
      <w:r w:rsidRPr="008E6E5B">
        <w:rPr>
          <w:rFonts w:ascii="Arial" w:hAnsi="Arial"/>
          <w:b/>
          <w:sz w:val="26"/>
          <w:szCs w:val="20"/>
        </w:rPr>
        <w:t xml:space="preserve">Absenteeism </w:t>
      </w:r>
    </w:p>
    <w:p w14:paraId="0407DBF2" w14:textId="77777777" w:rsidR="009C6940" w:rsidRDefault="009C6940" w:rsidP="009C6940">
      <w:pPr>
        <w:pStyle w:val="BodyText"/>
      </w:pPr>
      <w:r>
        <w:t>Some employed people with mental ill</w:t>
      </w:r>
      <w:r>
        <w:noBreakHyphen/>
        <w:t xml:space="preserve">health may require some time off from work to recover. </w:t>
      </w:r>
      <w:r w:rsidRPr="004F630D">
        <w:t xml:space="preserve">Individuals </w:t>
      </w:r>
      <w:r>
        <w:t>with</w:t>
      </w:r>
      <w:r w:rsidRPr="004F630D">
        <w:t xml:space="preserve"> mental ill</w:t>
      </w:r>
      <w:r w:rsidRPr="004F630D">
        <w:noBreakHyphen/>
        <w:t xml:space="preserve">health who are employed have </w:t>
      </w:r>
      <w:r>
        <w:t xml:space="preserve">a higher number of </w:t>
      </w:r>
      <w:r w:rsidRPr="004F630D">
        <w:t>temporary absences than those without any mental disorders.</w:t>
      </w:r>
      <w:r>
        <w:t xml:space="preserve"> </w:t>
      </w:r>
    </w:p>
    <w:p w14:paraId="3C8D9500" w14:textId="77777777" w:rsidR="009C6940" w:rsidRPr="004F630D" w:rsidRDefault="009C6940" w:rsidP="009C6940">
      <w:pPr>
        <w:pStyle w:val="BodyText"/>
      </w:pPr>
      <w:r w:rsidRPr="004F630D">
        <w:t>According to the ABS National Health Survey people with mental i</w:t>
      </w:r>
      <w:r>
        <w:t>ll</w:t>
      </w:r>
      <w:r>
        <w:noBreakHyphen/>
        <w:t>health took an average of 10–</w:t>
      </w:r>
      <w:r w:rsidRPr="004F630D">
        <w:t>12 days off work due to psychological distress</w:t>
      </w:r>
      <w:r>
        <w:t xml:space="preserve"> </w:t>
      </w:r>
      <w:r w:rsidRPr="004F630D">
        <w:t>—</w:t>
      </w:r>
      <w:r>
        <w:t xml:space="preserve"> </w:t>
      </w:r>
      <w:r w:rsidRPr="004F630D">
        <w:t xml:space="preserve">depending on the indicator used to </w:t>
      </w:r>
      <w:r w:rsidRPr="004F630D">
        <w:lastRenderedPageBreak/>
        <w:t>determine mental ill</w:t>
      </w:r>
      <w:r w:rsidRPr="004F630D">
        <w:noBreakHyphen/>
        <w:t xml:space="preserve">health </w:t>
      </w:r>
      <w:r w:rsidRPr="00D87A48">
        <w:rPr>
          <w:szCs w:val="24"/>
        </w:rPr>
        <w:t>(ABS 2019)</w:t>
      </w:r>
      <w:r>
        <w:t>.</w:t>
      </w:r>
      <w:r w:rsidRPr="00483A79">
        <w:rPr>
          <w:rStyle w:val="FootnoteReference"/>
        </w:rPr>
        <w:footnoteReference w:id="17"/>
      </w:r>
      <w:r w:rsidRPr="004F630D">
        <w:t xml:space="preserve"> This calculation is based on a survey question that asks people if they were unable to work, study or undertake day</w:t>
      </w:r>
      <w:r w:rsidRPr="004F630D">
        <w:noBreakHyphen/>
        <w:t>to</w:t>
      </w:r>
      <w:r w:rsidRPr="004F630D">
        <w:noBreakHyphen/>
        <w:t xml:space="preserve">day activities because of feelings of distress in the last 4 weeks. If people were employed at the time of the survey and they had indicated they were unable to do any of the tasks listed, </w:t>
      </w:r>
      <w:r>
        <w:t xml:space="preserve">we have </w:t>
      </w:r>
      <w:r w:rsidRPr="004F630D">
        <w:t xml:space="preserve">assumed they were unable to work. </w:t>
      </w:r>
      <w:r>
        <w:t xml:space="preserve">We have </w:t>
      </w:r>
      <w:r w:rsidRPr="004F630D">
        <w:t>defined mental ill</w:t>
      </w:r>
      <w:r w:rsidRPr="004F630D">
        <w:noBreakHyphen/>
        <w:t>health using both:</w:t>
      </w:r>
    </w:p>
    <w:p w14:paraId="1E9A02C9" w14:textId="77777777" w:rsidR="009C6940" w:rsidRPr="004F630D" w:rsidRDefault="009C6940" w:rsidP="009C6940">
      <w:pPr>
        <w:pStyle w:val="ListBullet"/>
      </w:pPr>
      <w:r w:rsidRPr="004F630D">
        <w:t>the self</w:t>
      </w:r>
      <w:r w:rsidRPr="004F630D">
        <w:noBreakHyphen/>
        <w:t>reported mental and behavioural conditions that are within the scope of this inquiry (chapter 1)</w:t>
      </w:r>
    </w:p>
    <w:p w14:paraId="15698E12" w14:textId="77777777" w:rsidR="009C6940" w:rsidRPr="008A581F" w:rsidRDefault="009C6940" w:rsidP="009C6940">
      <w:pPr>
        <w:pStyle w:val="ListBullet"/>
        <w:rPr>
          <w:spacing w:val="2"/>
        </w:rPr>
      </w:pPr>
      <w:r w:rsidRPr="008A581F">
        <w:rPr>
          <w:spacing w:val="2"/>
        </w:rPr>
        <w:t>a Kessler 10 score of 16 or greater, which corresponds to psychological distress levels of ‘moderate’ to ‘very high’. The Kessler 10 is a 10</w:t>
      </w:r>
      <w:r w:rsidRPr="008A581F">
        <w:rPr>
          <w:spacing w:val="2"/>
        </w:rPr>
        <w:noBreakHyphen/>
        <w:t xml:space="preserve">item questionnaire intended to yield a measure of psychological distress based on questions about anxiety and depressive symptoms. Higher Kessler 10 scores are correlated with the existence of a mental health disorder. </w:t>
      </w:r>
    </w:p>
    <w:p w14:paraId="0D7C1319" w14:textId="77777777" w:rsidR="009C6940" w:rsidRDefault="009C6940" w:rsidP="009C6940">
      <w:pPr>
        <w:pStyle w:val="BodyText"/>
      </w:pPr>
      <w:r w:rsidRPr="004F630D">
        <w:t>Monetising the total number of days off work using average weekly earnings, it is estimated that the cost of days off work for people with mental ill</w:t>
      </w:r>
      <w:r w:rsidRPr="004F630D">
        <w:noBreakHyphen/>
        <w:t>health to be $7.9</w:t>
      </w:r>
      <w:r>
        <w:t> billion</w:t>
      </w:r>
      <w:r w:rsidRPr="004F630D">
        <w:t xml:space="preserve"> to 9.6 billion in 2018</w:t>
      </w:r>
      <w:r w:rsidRPr="004F630D">
        <w:noBreakHyphen/>
        <w:t>19.</w:t>
      </w:r>
      <w:r>
        <w:t xml:space="preserve"> These cost calculation take into account the effects of hours worked (full</w:t>
      </w:r>
      <w:r>
        <w:noBreakHyphen/>
        <w:t xml:space="preserve"> and part</w:t>
      </w:r>
      <w:r>
        <w:noBreakHyphen/>
        <w:t>time) and gender.</w:t>
      </w:r>
    </w:p>
    <w:p w14:paraId="6BF54F4A" w14:textId="77777777" w:rsidR="009C6940" w:rsidRDefault="009C6940" w:rsidP="009C6940">
      <w:pPr>
        <w:keepNext/>
        <w:spacing w:before="560" w:line="320" w:lineRule="exact"/>
        <w:outlineLvl w:val="2"/>
        <w:rPr>
          <w:rFonts w:ascii="Arial" w:hAnsi="Arial"/>
          <w:b/>
          <w:sz w:val="26"/>
          <w:szCs w:val="20"/>
        </w:rPr>
      </w:pPr>
      <w:r w:rsidRPr="008E6E5B">
        <w:rPr>
          <w:rFonts w:ascii="Arial" w:hAnsi="Arial"/>
          <w:b/>
          <w:sz w:val="26"/>
          <w:szCs w:val="20"/>
        </w:rPr>
        <w:t xml:space="preserve">Presenteeism </w:t>
      </w:r>
    </w:p>
    <w:p w14:paraId="3CEFC657" w14:textId="77777777" w:rsidR="009C6940" w:rsidRPr="004F630D" w:rsidRDefault="009C6940" w:rsidP="009C6940">
      <w:pPr>
        <w:pStyle w:val="BodyText"/>
      </w:pPr>
      <w:r w:rsidRPr="008E6E5B">
        <w:t>Mental ill</w:t>
      </w:r>
      <w:r w:rsidRPr="008E6E5B">
        <w:noBreakHyphen/>
        <w:t xml:space="preserve">health can also affect a person’s ability to function effectively while at work. This is known as presenteeism. Symptoms such as fatigue, decreased concentration and poor </w:t>
      </w:r>
      <w:r w:rsidRPr="004F630D">
        <w:t>memory can affect employee performance (chapter </w:t>
      </w:r>
      <w:r>
        <w:t>7</w:t>
      </w:r>
      <w:r w:rsidRPr="004F630D">
        <w:t xml:space="preserve">). </w:t>
      </w:r>
    </w:p>
    <w:p w14:paraId="5598C634" w14:textId="77777777" w:rsidR="009C6940" w:rsidRPr="004F630D" w:rsidRDefault="009C6940" w:rsidP="009C6940">
      <w:pPr>
        <w:pStyle w:val="BodyText"/>
      </w:pPr>
      <w:r w:rsidRPr="004F630D">
        <w:t>Using data from the ABS National Health Survey, people with mental ill</w:t>
      </w:r>
      <w:r w:rsidRPr="004F630D">
        <w:noBreakHyphen/>
        <w:t>health noted that they were less productive at work on an average of 14 to 18 days due to their psychological distress — depending on the measure of mental ill</w:t>
      </w:r>
      <w:r w:rsidRPr="004F630D">
        <w:noBreakHyphen/>
        <w:t>health used. This calculation is based on a survey question that asks people if they ‘cut down’ on work or study or day</w:t>
      </w:r>
      <w:r w:rsidRPr="004F630D">
        <w:noBreakHyphen/>
        <w:t>to</w:t>
      </w:r>
      <w:r w:rsidRPr="004F630D">
        <w:noBreakHyphen/>
        <w:t xml:space="preserve">day activities because of ‘feelings’ in the last 4 weeks. If people were employed at the time of the survey and indicated that they had ‘cut down’, we assumed that they </w:t>
      </w:r>
      <w:r>
        <w:t xml:space="preserve">had functioned less effectively at </w:t>
      </w:r>
      <w:r w:rsidRPr="004F630D">
        <w:t xml:space="preserve">work </w:t>
      </w:r>
      <w:r w:rsidRPr="00D87A48">
        <w:rPr>
          <w:szCs w:val="24"/>
        </w:rPr>
        <w:t>(ABS 2019)</w:t>
      </w:r>
      <w:r w:rsidRPr="004F630D">
        <w:t>.</w:t>
      </w:r>
    </w:p>
    <w:p w14:paraId="60F8A77C" w14:textId="77777777" w:rsidR="009C6940" w:rsidRPr="008A581F" w:rsidRDefault="009C6940" w:rsidP="009C6940">
      <w:pPr>
        <w:pStyle w:val="BodyText"/>
        <w:rPr>
          <w:spacing w:val="2"/>
        </w:rPr>
      </w:pPr>
      <w:r w:rsidRPr="008A581F">
        <w:rPr>
          <w:spacing w:val="2"/>
        </w:rPr>
        <w:t>Measuring presenteeism or an individual’s reduction in productivity on particular days is difficult as it is not easily observed. Measurement typically has been based on self</w:t>
      </w:r>
      <w:r w:rsidRPr="008A581F">
        <w:rPr>
          <w:spacing w:val="2"/>
        </w:rPr>
        <w:noBreakHyphen/>
        <w:t>reported survey data collected from employees. However, questions relating to an employee’s output on these days is not asked in the ABS National Health Survey. Data from other presenteeism surveys cannot be easily used for this exercise as they report average productivity reductions across all employees with mental ill</w:t>
      </w:r>
      <w:r w:rsidRPr="008A581F">
        <w:rPr>
          <w:spacing w:val="2"/>
        </w:rPr>
        <w:noBreakHyphen/>
        <w:t xml:space="preserve">health, not just those that who stated they had reduced productivity. </w:t>
      </w:r>
    </w:p>
    <w:p w14:paraId="3E3E1DC8" w14:textId="77777777" w:rsidR="009C6940" w:rsidRPr="004F630D" w:rsidRDefault="009C6940" w:rsidP="009C6940">
      <w:pPr>
        <w:pStyle w:val="BodyText"/>
      </w:pPr>
      <w:r w:rsidRPr="004F630D">
        <w:lastRenderedPageBreak/>
        <w:t xml:space="preserve">Consequently, </w:t>
      </w:r>
      <w:r>
        <w:t>it was</w:t>
      </w:r>
      <w:r w:rsidRPr="004F630D">
        <w:t xml:space="preserve"> </w:t>
      </w:r>
      <w:r>
        <w:t>assumed</w:t>
      </w:r>
      <w:r w:rsidRPr="004F630D">
        <w:t xml:space="preserve"> that workers with mental ill</w:t>
      </w:r>
      <w:r>
        <w:noBreakHyphen/>
      </w:r>
      <w:r w:rsidRPr="004F630D">
        <w:t xml:space="preserve">health had lower productivity of 50% </w:t>
      </w:r>
      <w:r w:rsidRPr="00557E78">
        <w:t xml:space="preserve">on days that </w:t>
      </w:r>
      <w:r>
        <w:t>they specified working less effectively</w:t>
      </w:r>
      <w:r w:rsidRPr="004F630D">
        <w:t>. Based on this, approximately 7</w:t>
      </w:r>
      <w:r>
        <w:t xml:space="preserve"> </w:t>
      </w:r>
      <w:r w:rsidRPr="004F630D">
        <w:t xml:space="preserve">to </w:t>
      </w:r>
      <w:r w:rsidRPr="00557E78">
        <w:t>9</w:t>
      </w:r>
      <w:r>
        <w:t> d</w:t>
      </w:r>
      <w:r w:rsidRPr="00557E78">
        <w:t>ays</w:t>
      </w:r>
      <w:r w:rsidRPr="004F630D">
        <w:t xml:space="preserve"> per worker</w:t>
      </w:r>
      <w:r>
        <w:t xml:space="preserve"> with mental ill</w:t>
      </w:r>
      <w:r>
        <w:noBreakHyphen/>
        <w:t>health</w:t>
      </w:r>
      <w:r w:rsidRPr="004F630D">
        <w:t xml:space="preserve"> per year, on average, is lost because of presenteeism due to mental ill</w:t>
      </w:r>
      <w:r w:rsidRPr="004F630D">
        <w:noBreakHyphen/>
        <w:t>health. Using average weekly earnings to monetise this cost, it is estimated that presenteeism as a result of mental ill</w:t>
      </w:r>
      <w:r w:rsidRPr="004F630D">
        <w:noBreakHyphen/>
        <w:t xml:space="preserve">health to be in the range </w:t>
      </w:r>
      <w:r w:rsidRPr="00713D54">
        <w:t>of $5.3</w:t>
      </w:r>
      <w:r>
        <w:t> billion</w:t>
      </w:r>
      <w:r w:rsidRPr="00713D54">
        <w:t xml:space="preserve"> to $7.0 billion in 2018</w:t>
      </w:r>
      <w:r w:rsidRPr="00713D54">
        <w:noBreakHyphen/>
        <w:t>19. These cost calculations take into account the</w:t>
      </w:r>
      <w:r>
        <w:t xml:space="preserve"> effects of hours worked (full</w:t>
      </w:r>
      <w:r>
        <w:noBreakHyphen/>
        <w:t xml:space="preserve"> and part</w:t>
      </w:r>
      <w:r>
        <w:noBreakHyphen/>
        <w:t>time) and gender.</w:t>
      </w:r>
    </w:p>
    <w:p w14:paraId="70096469" w14:textId="77777777" w:rsidR="009C6940" w:rsidRPr="00A23433" w:rsidRDefault="009C6940" w:rsidP="009C6940">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8E6E5B" w14:paraId="3C006515" w14:textId="77777777" w:rsidTr="009C6940">
        <w:trPr>
          <w:tblHeader/>
        </w:trPr>
        <w:tc>
          <w:tcPr>
            <w:tcW w:w="5000" w:type="pct"/>
            <w:tcBorders>
              <w:top w:val="single" w:sz="6" w:space="0" w:color="78A22F"/>
              <w:left w:val="nil"/>
              <w:bottom w:val="nil"/>
              <w:right w:val="nil"/>
            </w:tcBorders>
            <w:shd w:val="clear" w:color="auto" w:fill="auto"/>
          </w:tcPr>
          <w:p w14:paraId="335DF96B" w14:textId="77777777" w:rsidR="009C6940" w:rsidRPr="008E6E5B" w:rsidRDefault="009C6940" w:rsidP="009C6940">
            <w:pPr>
              <w:keepNext/>
              <w:keepLines/>
              <w:spacing w:before="120" w:after="80" w:line="280" w:lineRule="exact"/>
              <w:ind w:left="1474" w:hanging="1474"/>
              <w:rPr>
                <w:rFonts w:ascii="Arial" w:hAnsi="Arial"/>
                <w:b/>
              </w:rPr>
            </w:pPr>
            <w:r w:rsidRPr="008E6E5B">
              <w:rPr>
                <w:rFonts w:ascii="Arial" w:hAnsi="Arial"/>
              </w:rPr>
              <w:t xml:space="preserve">Table </w:t>
            </w:r>
            <w:r>
              <w:rPr>
                <w:rFonts w:ascii="Arial" w:hAnsi="Arial"/>
              </w:rPr>
              <w:t>H.</w:t>
            </w:r>
            <w:r>
              <w:rPr>
                <w:rFonts w:ascii="Arial" w:hAnsi="Arial"/>
                <w:noProof/>
              </w:rPr>
              <w:t>5</w:t>
            </w:r>
            <w:r w:rsidRPr="008E6E5B">
              <w:rPr>
                <w:rFonts w:ascii="Arial" w:hAnsi="Arial"/>
                <w:b/>
              </w:rPr>
              <w:tab/>
              <w:t xml:space="preserve">Estimates of </w:t>
            </w:r>
            <w:r w:rsidRPr="00A23433">
              <w:rPr>
                <w:rFonts w:ascii="Arial" w:hAnsi="Arial"/>
                <w:b/>
              </w:rPr>
              <w:t xml:space="preserve">labour market </w:t>
            </w:r>
            <w:r>
              <w:rPr>
                <w:rFonts w:ascii="Arial" w:hAnsi="Arial"/>
                <w:b/>
              </w:rPr>
              <w:t>costs</w:t>
            </w:r>
            <w:r w:rsidRPr="008E6E5B">
              <w:rPr>
                <w:rFonts w:ascii="Arial" w:hAnsi="Arial"/>
                <w:b/>
              </w:rPr>
              <w:t xml:space="preserve"> due to mental ill</w:t>
            </w:r>
            <w:r w:rsidRPr="008E6E5B">
              <w:rPr>
                <w:rFonts w:ascii="Arial" w:hAnsi="Arial"/>
                <w:b/>
              </w:rPr>
              <w:noBreakHyphen/>
            </w:r>
            <w:r w:rsidRPr="00A23433">
              <w:rPr>
                <w:rFonts w:ascii="Arial" w:hAnsi="Arial"/>
                <w:b/>
              </w:rPr>
              <w:t>health</w:t>
            </w:r>
          </w:p>
          <w:p w14:paraId="37365FA7" w14:textId="77777777" w:rsidR="009C6940" w:rsidRPr="008E6E5B" w:rsidRDefault="009C6940" w:rsidP="009C6940">
            <w:pPr>
              <w:keepNext/>
              <w:keepLines/>
              <w:spacing w:after="80" w:line="200" w:lineRule="exact"/>
              <w:ind w:left="1474"/>
              <w:rPr>
                <w:rFonts w:ascii="Arial" w:hAnsi="Arial"/>
                <w:sz w:val="20"/>
              </w:rPr>
            </w:pPr>
            <w:r w:rsidRPr="008E6E5B">
              <w:rPr>
                <w:rFonts w:ascii="Arial" w:hAnsi="Arial"/>
                <w:sz w:val="20"/>
              </w:rPr>
              <w:t>2018</w:t>
            </w:r>
            <w:r w:rsidRPr="008E6E5B">
              <w:rPr>
                <w:rFonts w:ascii="Arial" w:hAnsi="Arial"/>
                <w:sz w:val="20"/>
              </w:rPr>
              <w:noBreakHyphen/>
              <w:t>19</w:t>
            </w:r>
            <w:r>
              <w:rPr>
                <w:rFonts w:ascii="Arial" w:hAnsi="Arial"/>
                <w:sz w:val="20"/>
              </w:rPr>
              <w:t>, $billion</w:t>
            </w:r>
          </w:p>
        </w:tc>
      </w:tr>
      <w:tr w:rsidR="009C6940" w:rsidRPr="008E6E5B" w14:paraId="74D4852F" w14:textId="77777777" w:rsidTr="009C6940">
        <w:tc>
          <w:tcPr>
            <w:tcW w:w="5000" w:type="pct"/>
            <w:tcBorders>
              <w:top w:val="nil"/>
              <w:left w:val="nil"/>
              <w:bottom w:val="single" w:sz="4" w:space="0" w:color="D9D9D9" w:themeColor="background1" w:themeShade="D9"/>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89"/>
              <w:gridCol w:w="2108"/>
              <w:gridCol w:w="2108"/>
            </w:tblGrid>
            <w:tr w:rsidR="009C6940" w:rsidRPr="008E6E5B" w14:paraId="31264452" w14:textId="77777777" w:rsidTr="009C6940">
              <w:trPr>
                <w:tblHeader/>
              </w:trPr>
              <w:tc>
                <w:tcPr>
                  <w:tcW w:w="2522" w:type="pct"/>
                  <w:tcBorders>
                    <w:top w:val="single" w:sz="6" w:space="0" w:color="BFBFBF"/>
                    <w:bottom w:val="single" w:sz="4" w:space="0" w:color="D9D9D9" w:themeColor="background1" w:themeShade="D9"/>
                  </w:tcBorders>
                  <w:shd w:val="clear" w:color="auto" w:fill="auto"/>
                  <w:tcMar>
                    <w:top w:w="28" w:type="dxa"/>
                  </w:tcMar>
                </w:tcPr>
                <w:p w14:paraId="7632A12E" w14:textId="77777777" w:rsidR="009C6940" w:rsidRPr="008E6E5B" w:rsidRDefault="009C6940" w:rsidP="009C6940">
                  <w:pPr>
                    <w:keepNext/>
                    <w:keepLines/>
                    <w:spacing w:before="80" w:after="40" w:line="200" w:lineRule="atLeast"/>
                    <w:ind w:left="6" w:right="113"/>
                    <w:rPr>
                      <w:rFonts w:ascii="Arial" w:hAnsi="Arial"/>
                      <w:i/>
                      <w:sz w:val="18"/>
                      <w:szCs w:val="20"/>
                    </w:rPr>
                  </w:pPr>
                  <w:r w:rsidRPr="008E6E5B">
                    <w:rPr>
                      <w:rFonts w:ascii="Arial" w:hAnsi="Arial"/>
                      <w:i/>
                      <w:sz w:val="18"/>
                      <w:szCs w:val="20"/>
                    </w:rPr>
                    <w:t xml:space="preserve">Loss due to: </w:t>
                  </w:r>
                </w:p>
              </w:tc>
              <w:tc>
                <w:tcPr>
                  <w:tcW w:w="1239" w:type="pct"/>
                  <w:tcBorders>
                    <w:top w:val="single" w:sz="6" w:space="0" w:color="BFBFBF"/>
                    <w:bottom w:val="single" w:sz="4" w:space="0" w:color="D9D9D9" w:themeColor="background1" w:themeShade="D9"/>
                  </w:tcBorders>
                </w:tcPr>
                <w:p w14:paraId="0F5E57A7" w14:textId="77777777" w:rsidR="009C6940" w:rsidRPr="008E6E5B" w:rsidRDefault="009C6940" w:rsidP="009C6940">
                  <w:pPr>
                    <w:keepNext/>
                    <w:keepLines/>
                    <w:spacing w:before="80" w:after="40" w:line="200" w:lineRule="atLeast"/>
                    <w:ind w:left="6" w:right="113"/>
                    <w:jc w:val="right"/>
                    <w:rPr>
                      <w:rFonts w:ascii="Arial" w:hAnsi="Arial"/>
                      <w:i/>
                      <w:sz w:val="18"/>
                      <w:szCs w:val="20"/>
                    </w:rPr>
                  </w:pPr>
                  <w:r w:rsidRPr="00A23433">
                    <w:rPr>
                      <w:rFonts w:ascii="Arial" w:hAnsi="Arial"/>
                      <w:i/>
                      <w:sz w:val="18"/>
                      <w:szCs w:val="20"/>
                    </w:rPr>
                    <w:t>Lower bound</w:t>
                  </w:r>
                </w:p>
              </w:tc>
              <w:tc>
                <w:tcPr>
                  <w:tcW w:w="1239" w:type="pct"/>
                  <w:tcBorders>
                    <w:top w:val="single" w:sz="6" w:space="0" w:color="BFBFBF"/>
                    <w:bottom w:val="single" w:sz="4" w:space="0" w:color="D9D9D9" w:themeColor="background1" w:themeShade="D9"/>
                  </w:tcBorders>
                  <w:shd w:val="clear" w:color="auto" w:fill="auto"/>
                  <w:tcMar>
                    <w:top w:w="28" w:type="dxa"/>
                  </w:tcMar>
                </w:tcPr>
                <w:p w14:paraId="3155518C" w14:textId="77777777" w:rsidR="009C6940" w:rsidRPr="008E6E5B" w:rsidRDefault="009C6940" w:rsidP="009C6940">
                  <w:pPr>
                    <w:keepNext/>
                    <w:keepLines/>
                    <w:spacing w:before="80" w:after="40" w:line="200" w:lineRule="atLeast"/>
                    <w:ind w:left="6" w:right="28"/>
                    <w:jc w:val="right"/>
                    <w:rPr>
                      <w:rFonts w:ascii="Arial" w:hAnsi="Arial"/>
                      <w:i/>
                      <w:sz w:val="18"/>
                      <w:szCs w:val="20"/>
                    </w:rPr>
                  </w:pPr>
                  <w:r w:rsidRPr="00A23433">
                    <w:rPr>
                      <w:rFonts w:ascii="Arial" w:hAnsi="Arial"/>
                      <w:i/>
                      <w:sz w:val="18"/>
                      <w:szCs w:val="20"/>
                    </w:rPr>
                    <w:t>Upper bound</w:t>
                  </w:r>
                </w:p>
              </w:tc>
            </w:tr>
            <w:tr w:rsidR="009C6940" w:rsidRPr="008E6E5B" w14:paraId="64DC68BF" w14:textId="77777777" w:rsidTr="009C6940">
              <w:tc>
                <w:tcPr>
                  <w:tcW w:w="2522" w:type="pct"/>
                  <w:tcBorders>
                    <w:top w:val="single" w:sz="4" w:space="0" w:color="D9D9D9" w:themeColor="background1" w:themeShade="D9"/>
                  </w:tcBorders>
                </w:tcPr>
                <w:p w14:paraId="2417DD2D" w14:textId="77777777" w:rsidR="009C6940" w:rsidRPr="008E6E5B" w:rsidRDefault="009C6940" w:rsidP="009C6940">
                  <w:pPr>
                    <w:keepNext/>
                    <w:keepLines/>
                    <w:spacing w:after="40" w:line="200" w:lineRule="atLeast"/>
                    <w:ind w:left="113" w:right="113"/>
                    <w:rPr>
                      <w:rFonts w:ascii="Arial" w:hAnsi="Arial"/>
                      <w:sz w:val="18"/>
                      <w:szCs w:val="20"/>
                    </w:rPr>
                  </w:pPr>
                  <w:r>
                    <w:rPr>
                      <w:rFonts w:ascii="Arial" w:hAnsi="Arial"/>
                      <w:sz w:val="18"/>
                      <w:szCs w:val="20"/>
                    </w:rPr>
                    <w:t xml:space="preserve">Lower </w:t>
                  </w:r>
                  <w:r w:rsidRPr="00A23433">
                    <w:rPr>
                      <w:rFonts w:ascii="Arial" w:hAnsi="Arial"/>
                      <w:sz w:val="18"/>
                      <w:szCs w:val="20"/>
                    </w:rPr>
                    <w:t>participation</w:t>
                  </w:r>
                  <w:r w:rsidRPr="008E6E5B">
                    <w:rPr>
                      <w:rFonts w:ascii="Arial" w:hAnsi="Arial"/>
                      <w:sz w:val="18"/>
                      <w:szCs w:val="20"/>
                    </w:rPr>
                    <w:t xml:space="preserve"> </w:t>
                  </w:r>
                  <w:r>
                    <w:rPr>
                      <w:rFonts w:ascii="Arial" w:hAnsi="Arial"/>
                      <w:sz w:val="18"/>
                      <w:szCs w:val="20"/>
                    </w:rPr>
                    <w:t>and productivity</w:t>
                  </w:r>
                  <w:r w:rsidRPr="006E6EA4">
                    <w:rPr>
                      <w:rStyle w:val="NoteLabel"/>
                    </w:rPr>
                    <w:t>a</w:t>
                  </w:r>
                </w:p>
              </w:tc>
              <w:tc>
                <w:tcPr>
                  <w:tcW w:w="1239" w:type="pct"/>
                  <w:tcBorders>
                    <w:top w:val="single" w:sz="4" w:space="0" w:color="D9D9D9" w:themeColor="background1" w:themeShade="D9"/>
                  </w:tcBorders>
                </w:tcPr>
                <w:p w14:paraId="428CC397" w14:textId="77777777" w:rsidR="009C6940" w:rsidRPr="008E6E5B" w:rsidRDefault="009C6940" w:rsidP="009C6940">
                  <w:pPr>
                    <w:keepNext/>
                    <w:keepLines/>
                    <w:spacing w:before="60" w:line="200" w:lineRule="atLeast"/>
                    <w:ind w:left="6" w:right="113"/>
                    <w:jc w:val="right"/>
                    <w:rPr>
                      <w:rFonts w:ascii="Arial" w:hAnsi="Arial"/>
                      <w:sz w:val="18"/>
                      <w:szCs w:val="20"/>
                    </w:rPr>
                  </w:pPr>
                  <w:r>
                    <w:rPr>
                      <w:rFonts w:ascii="Arial" w:hAnsi="Arial"/>
                      <w:sz w:val="18"/>
                      <w:szCs w:val="20"/>
                    </w:rPr>
                    <w:t>12.2</w:t>
                  </w:r>
                </w:p>
              </w:tc>
              <w:tc>
                <w:tcPr>
                  <w:tcW w:w="1239" w:type="pct"/>
                  <w:tcBorders>
                    <w:top w:val="single" w:sz="4" w:space="0" w:color="D9D9D9" w:themeColor="background1" w:themeShade="D9"/>
                  </w:tcBorders>
                </w:tcPr>
                <w:p w14:paraId="2D385332" w14:textId="77777777" w:rsidR="009C6940" w:rsidRPr="008E6E5B" w:rsidRDefault="009C6940" w:rsidP="009C6940">
                  <w:pPr>
                    <w:keepNext/>
                    <w:keepLines/>
                    <w:spacing w:before="60" w:line="200" w:lineRule="atLeast"/>
                    <w:ind w:left="6" w:right="11"/>
                    <w:jc w:val="right"/>
                    <w:rPr>
                      <w:rFonts w:ascii="Arial" w:hAnsi="Arial"/>
                      <w:sz w:val="18"/>
                      <w:szCs w:val="20"/>
                    </w:rPr>
                  </w:pPr>
                  <w:r>
                    <w:rPr>
                      <w:rFonts w:ascii="Arial" w:hAnsi="Arial"/>
                      <w:sz w:val="18"/>
                      <w:szCs w:val="20"/>
                    </w:rPr>
                    <w:t>22.5</w:t>
                  </w:r>
                </w:p>
              </w:tc>
            </w:tr>
            <w:tr w:rsidR="009C6940" w:rsidRPr="008E6E5B" w14:paraId="777788EB" w14:textId="77777777" w:rsidTr="009C6940">
              <w:tc>
                <w:tcPr>
                  <w:tcW w:w="2522" w:type="pct"/>
                </w:tcPr>
                <w:p w14:paraId="76AB6171" w14:textId="77777777" w:rsidR="009C6940" w:rsidRPr="008E6E5B" w:rsidRDefault="009C6940" w:rsidP="009C6940">
                  <w:pPr>
                    <w:keepNext/>
                    <w:keepLines/>
                    <w:spacing w:after="40" w:line="200" w:lineRule="atLeast"/>
                    <w:ind w:left="113" w:right="113"/>
                    <w:rPr>
                      <w:rFonts w:ascii="Arial" w:hAnsi="Arial"/>
                      <w:sz w:val="18"/>
                      <w:szCs w:val="20"/>
                    </w:rPr>
                  </w:pPr>
                  <w:r w:rsidRPr="008E6E5B">
                    <w:rPr>
                      <w:rFonts w:ascii="Arial" w:hAnsi="Arial"/>
                      <w:sz w:val="18"/>
                      <w:szCs w:val="20"/>
                    </w:rPr>
                    <w:t xml:space="preserve">Absenteeism </w:t>
                  </w:r>
                </w:p>
              </w:tc>
              <w:tc>
                <w:tcPr>
                  <w:tcW w:w="1239" w:type="pct"/>
                </w:tcPr>
                <w:p w14:paraId="27C62822" w14:textId="77777777" w:rsidR="009C6940" w:rsidRPr="008E6E5B"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w:t>
                  </w:r>
                </w:p>
              </w:tc>
              <w:tc>
                <w:tcPr>
                  <w:tcW w:w="1239" w:type="pct"/>
                </w:tcPr>
                <w:p w14:paraId="77FE7265" w14:textId="77777777" w:rsidR="009C6940" w:rsidRPr="008E6E5B" w:rsidRDefault="009C6940" w:rsidP="009C6940">
                  <w:pPr>
                    <w:keepNext/>
                    <w:keepLines/>
                    <w:spacing w:after="40" w:line="200" w:lineRule="atLeast"/>
                    <w:ind w:left="6" w:right="11"/>
                    <w:jc w:val="right"/>
                    <w:rPr>
                      <w:rFonts w:ascii="Arial" w:hAnsi="Arial"/>
                      <w:sz w:val="18"/>
                      <w:szCs w:val="20"/>
                    </w:rPr>
                  </w:pPr>
                  <w:r>
                    <w:rPr>
                      <w:rFonts w:ascii="Arial" w:hAnsi="Arial"/>
                      <w:sz w:val="18"/>
                      <w:szCs w:val="20"/>
                    </w:rPr>
                    <w:t>9.6</w:t>
                  </w:r>
                </w:p>
              </w:tc>
            </w:tr>
            <w:tr w:rsidR="009C6940" w:rsidRPr="008E6E5B" w14:paraId="5F50EC65" w14:textId="77777777" w:rsidTr="009C6940">
              <w:tc>
                <w:tcPr>
                  <w:tcW w:w="2522" w:type="pct"/>
                </w:tcPr>
                <w:p w14:paraId="3FCCA5DE" w14:textId="77777777" w:rsidR="009C6940" w:rsidRPr="008E6E5B" w:rsidRDefault="009C6940" w:rsidP="009C6940">
                  <w:pPr>
                    <w:keepNext/>
                    <w:keepLines/>
                    <w:spacing w:after="40" w:line="200" w:lineRule="atLeast"/>
                    <w:ind w:left="113" w:right="113"/>
                    <w:rPr>
                      <w:rFonts w:ascii="Arial" w:hAnsi="Arial"/>
                      <w:sz w:val="18"/>
                      <w:szCs w:val="20"/>
                    </w:rPr>
                  </w:pPr>
                  <w:r>
                    <w:rPr>
                      <w:rFonts w:ascii="Arial" w:hAnsi="Arial"/>
                      <w:sz w:val="18"/>
                      <w:szCs w:val="20"/>
                    </w:rPr>
                    <w:t xml:space="preserve">Presenteeism </w:t>
                  </w:r>
                </w:p>
              </w:tc>
              <w:tc>
                <w:tcPr>
                  <w:tcW w:w="1239" w:type="pct"/>
                </w:tcPr>
                <w:p w14:paraId="2904114A" w14:textId="77777777" w:rsidR="009C6940"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w:t>
                  </w:r>
                </w:p>
              </w:tc>
              <w:tc>
                <w:tcPr>
                  <w:tcW w:w="1239" w:type="pct"/>
                </w:tcPr>
                <w:p w14:paraId="1C17FCFB" w14:textId="77777777" w:rsidR="009C6940" w:rsidRDefault="009C6940" w:rsidP="009C6940">
                  <w:pPr>
                    <w:keepNext/>
                    <w:keepLines/>
                    <w:spacing w:after="40" w:line="200" w:lineRule="atLeast"/>
                    <w:ind w:left="6" w:right="11"/>
                    <w:jc w:val="right"/>
                    <w:rPr>
                      <w:rFonts w:ascii="Arial" w:hAnsi="Arial"/>
                      <w:sz w:val="18"/>
                      <w:szCs w:val="20"/>
                    </w:rPr>
                  </w:pPr>
                  <w:r>
                    <w:rPr>
                      <w:rFonts w:ascii="Arial" w:hAnsi="Arial"/>
                      <w:sz w:val="18"/>
                      <w:szCs w:val="20"/>
                    </w:rPr>
                    <w:t>7.0</w:t>
                  </w:r>
                </w:p>
              </w:tc>
            </w:tr>
            <w:tr w:rsidR="009C6940" w:rsidRPr="008E6E5B" w14:paraId="2BB11F29" w14:textId="77777777" w:rsidTr="009C6940">
              <w:tc>
                <w:tcPr>
                  <w:tcW w:w="2522" w:type="pct"/>
                </w:tcPr>
                <w:p w14:paraId="3E89B5E9" w14:textId="77777777" w:rsidR="009C6940" w:rsidRPr="001B05BA" w:rsidRDefault="009C6940" w:rsidP="009C6940">
                  <w:pPr>
                    <w:keepNext/>
                    <w:keepLines/>
                    <w:spacing w:after="40" w:line="200" w:lineRule="atLeast"/>
                    <w:ind w:left="6" w:right="113"/>
                    <w:rPr>
                      <w:rFonts w:ascii="Arial" w:hAnsi="Arial"/>
                      <w:b/>
                      <w:sz w:val="18"/>
                      <w:szCs w:val="20"/>
                    </w:rPr>
                  </w:pPr>
                  <w:r>
                    <w:rPr>
                      <w:rFonts w:ascii="Arial" w:hAnsi="Arial"/>
                      <w:b/>
                      <w:sz w:val="18"/>
                      <w:szCs w:val="20"/>
                    </w:rPr>
                    <w:t>Total</w:t>
                  </w:r>
                </w:p>
              </w:tc>
              <w:tc>
                <w:tcPr>
                  <w:tcW w:w="1239" w:type="pct"/>
                </w:tcPr>
                <w:p w14:paraId="44146F9B" w14:textId="77777777" w:rsidR="009C6940" w:rsidRPr="001B05BA" w:rsidRDefault="009C6940" w:rsidP="009C6940">
                  <w:pPr>
                    <w:keepNext/>
                    <w:keepLines/>
                    <w:spacing w:after="40" w:line="200" w:lineRule="atLeast"/>
                    <w:ind w:left="6" w:right="113"/>
                    <w:jc w:val="right"/>
                    <w:rPr>
                      <w:rFonts w:ascii="Arial" w:hAnsi="Arial"/>
                      <w:b/>
                      <w:sz w:val="18"/>
                      <w:szCs w:val="20"/>
                    </w:rPr>
                  </w:pPr>
                  <w:r>
                    <w:rPr>
                      <w:rFonts w:ascii="Arial" w:hAnsi="Arial"/>
                      <w:b/>
                      <w:sz w:val="18"/>
                      <w:szCs w:val="20"/>
                    </w:rPr>
                    <w:t>12.2</w:t>
                  </w:r>
                </w:p>
              </w:tc>
              <w:tc>
                <w:tcPr>
                  <w:tcW w:w="1239" w:type="pct"/>
                </w:tcPr>
                <w:p w14:paraId="5F0A5D7B" w14:textId="77777777" w:rsidR="009C6940" w:rsidRPr="001B05BA" w:rsidRDefault="009C6940" w:rsidP="009C6940">
                  <w:pPr>
                    <w:keepNext/>
                    <w:keepLines/>
                    <w:spacing w:after="40" w:line="200" w:lineRule="atLeast"/>
                    <w:ind w:left="6" w:right="11"/>
                    <w:jc w:val="right"/>
                    <w:rPr>
                      <w:rFonts w:ascii="Arial" w:hAnsi="Arial"/>
                      <w:b/>
                      <w:sz w:val="18"/>
                      <w:szCs w:val="20"/>
                    </w:rPr>
                  </w:pPr>
                  <w:r>
                    <w:rPr>
                      <w:rFonts w:ascii="Arial" w:hAnsi="Arial"/>
                      <w:b/>
                      <w:sz w:val="18"/>
                      <w:szCs w:val="20"/>
                    </w:rPr>
                    <w:t>39.1</w:t>
                  </w:r>
                </w:p>
              </w:tc>
            </w:tr>
          </w:tbl>
          <w:p w14:paraId="45053BD0" w14:textId="77777777" w:rsidR="009C6940" w:rsidRPr="008E6E5B" w:rsidRDefault="009C6940" w:rsidP="009C6940">
            <w:pPr>
              <w:keepNext/>
              <w:spacing w:before="120" w:line="260" w:lineRule="atLeast"/>
              <w:jc w:val="both"/>
              <w:rPr>
                <w:rFonts w:ascii="Arial" w:hAnsi="Arial"/>
                <w:sz w:val="20"/>
                <w:szCs w:val="20"/>
              </w:rPr>
            </w:pPr>
          </w:p>
        </w:tc>
      </w:tr>
      <w:tr w:rsidR="009C6940" w14:paraId="4409A467" w14:textId="77777777" w:rsidTr="009C6940">
        <w:tc>
          <w:tcPr>
            <w:tcW w:w="5000" w:type="pct"/>
            <w:tcBorders>
              <w:top w:val="nil"/>
              <w:left w:val="nil"/>
              <w:bottom w:val="nil"/>
              <w:right w:val="nil"/>
            </w:tcBorders>
            <w:shd w:val="clear" w:color="auto" w:fill="auto"/>
          </w:tcPr>
          <w:p w14:paraId="18064820" w14:textId="77777777" w:rsidR="009C6940" w:rsidRDefault="009C6940" w:rsidP="009C6940">
            <w:pPr>
              <w:pStyle w:val="Note"/>
              <w:rPr>
                <w:i/>
              </w:rPr>
            </w:pPr>
            <w:r w:rsidRPr="006E6EA4">
              <w:rPr>
                <w:rStyle w:val="NoteLabel"/>
              </w:rPr>
              <w:t>a </w:t>
            </w:r>
            <w:r w:rsidRPr="006E6EA4">
              <w:t>The lower bound estimate is based on assumptions that the costs captured include not working, working fewer hours and lower productivity for those in employment. Separate estimates for presenteeism and absenteeism</w:t>
            </w:r>
            <w:r>
              <w:t xml:space="preserve"> are therefore</w:t>
            </w:r>
            <w:r w:rsidRPr="006E6EA4">
              <w:t xml:space="preserve"> not included. Th</w:t>
            </w:r>
            <w:r>
              <w:t>e</w:t>
            </w:r>
            <w:r w:rsidRPr="006E6EA4">
              <w:t xml:space="preserve"> upper bound estimate assumes the costs captured </w:t>
            </w:r>
            <w:r>
              <w:t>are</w:t>
            </w:r>
            <w:r w:rsidRPr="006E6EA4">
              <w:t xml:space="preserve"> attributed to not working or working fewer hours.</w:t>
            </w:r>
            <w:r>
              <w:t xml:space="preserve"> Any effect of presenteeism and absenteeism is temporary and not reflected in wages. Separate estimates for productivity are, therefore, included in the overall total of the upper bound.</w:t>
            </w:r>
          </w:p>
        </w:tc>
      </w:tr>
      <w:tr w:rsidR="009C6940" w:rsidRPr="008E6E5B" w14:paraId="0E460E3A" w14:textId="77777777" w:rsidTr="009C6940">
        <w:tc>
          <w:tcPr>
            <w:tcW w:w="5000" w:type="pct"/>
            <w:tcBorders>
              <w:top w:val="nil"/>
              <w:left w:val="nil"/>
              <w:bottom w:val="nil"/>
              <w:right w:val="nil"/>
            </w:tcBorders>
            <w:shd w:val="clear" w:color="auto" w:fill="auto"/>
          </w:tcPr>
          <w:p w14:paraId="40F4E6C6" w14:textId="77777777" w:rsidR="009C6940" w:rsidRPr="008E6E5B" w:rsidRDefault="009C6940" w:rsidP="009C6940">
            <w:pPr>
              <w:keepLines/>
              <w:spacing w:before="80" w:line="220" w:lineRule="exact"/>
              <w:jc w:val="both"/>
              <w:rPr>
                <w:rFonts w:ascii="Arial" w:hAnsi="Arial"/>
                <w:sz w:val="18"/>
                <w:szCs w:val="20"/>
              </w:rPr>
            </w:pPr>
            <w:r w:rsidRPr="008E6E5B">
              <w:rPr>
                <w:rFonts w:ascii="Arial" w:hAnsi="Arial"/>
                <w:i/>
                <w:sz w:val="18"/>
                <w:szCs w:val="20"/>
              </w:rPr>
              <w:t>Source</w:t>
            </w:r>
            <w:r w:rsidRPr="008E6E5B">
              <w:rPr>
                <w:rFonts w:ascii="Arial" w:hAnsi="Arial"/>
                <w:sz w:val="18"/>
                <w:szCs w:val="20"/>
              </w:rPr>
              <w:t xml:space="preserve">: </w:t>
            </w:r>
            <w:r>
              <w:rPr>
                <w:rFonts w:ascii="Arial" w:hAnsi="Arial"/>
                <w:sz w:val="18"/>
                <w:szCs w:val="20"/>
              </w:rPr>
              <w:t xml:space="preserve">Productivity </w:t>
            </w:r>
            <w:r w:rsidRPr="008E6E5B">
              <w:rPr>
                <w:rFonts w:ascii="Arial" w:hAnsi="Arial"/>
                <w:sz w:val="18"/>
                <w:szCs w:val="20"/>
              </w:rPr>
              <w:t>Commission estimates.</w:t>
            </w:r>
          </w:p>
        </w:tc>
      </w:tr>
      <w:tr w:rsidR="009C6940" w:rsidRPr="008E6E5B" w14:paraId="0012E7A5" w14:textId="77777777" w:rsidTr="009C6940">
        <w:tc>
          <w:tcPr>
            <w:tcW w:w="5000" w:type="pct"/>
            <w:tcBorders>
              <w:top w:val="nil"/>
              <w:left w:val="nil"/>
              <w:bottom w:val="single" w:sz="6" w:space="0" w:color="78A22F"/>
              <w:right w:val="nil"/>
            </w:tcBorders>
            <w:shd w:val="clear" w:color="auto" w:fill="auto"/>
          </w:tcPr>
          <w:p w14:paraId="309C87CF" w14:textId="77777777" w:rsidR="009C6940" w:rsidRPr="008E6E5B" w:rsidRDefault="009C6940" w:rsidP="009C6940">
            <w:pPr>
              <w:keepNext/>
              <w:spacing w:line="120" w:lineRule="exact"/>
              <w:jc w:val="both"/>
              <w:rPr>
                <w:rFonts w:ascii="Arial" w:hAnsi="Arial"/>
                <w:sz w:val="20"/>
                <w:szCs w:val="20"/>
              </w:rPr>
            </w:pPr>
          </w:p>
        </w:tc>
      </w:tr>
      <w:tr w:rsidR="009C6940" w:rsidRPr="008E6E5B" w14:paraId="62207439" w14:textId="77777777" w:rsidTr="009C6940">
        <w:tc>
          <w:tcPr>
            <w:tcW w:w="5000" w:type="pct"/>
            <w:tcBorders>
              <w:top w:val="single" w:sz="6" w:space="0" w:color="78A22F"/>
              <w:left w:val="nil"/>
              <w:bottom w:val="nil"/>
              <w:right w:val="nil"/>
            </w:tcBorders>
          </w:tcPr>
          <w:p w14:paraId="704D5771" w14:textId="77777777" w:rsidR="009C6940" w:rsidRPr="008E6E5B" w:rsidRDefault="009C6940" w:rsidP="009C6940">
            <w:pPr>
              <w:spacing w:before="60" w:after="60" w:line="80" w:lineRule="exact"/>
              <w:jc w:val="both"/>
              <w:rPr>
                <w:rFonts w:ascii="Arial" w:hAnsi="Arial"/>
                <w:sz w:val="14"/>
                <w:szCs w:val="20"/>
              </w:rPr>
            </w:pPr>
          </w:p>
        </w:tc>
      </w:tr>
    </w:tbl>
    <w:p w14:paraId="1217A506" w14:textId="77777777" w:rsidR="009C6940" w:rsidRPr="008E6E5B" w:rsidRDefault="009C6940" w:rsidP="009C6940">
      <w:pPr>
        <w:keepNext/>
        <w:spacing w:before="600" w:line="400" w:lineRule="exact"/>
        <w:ind w:left="907" w:hanging="907"/>
        <w:outlineLvl w:val="1"/>
        <w:rPr>
          <w:rFonts w:ascii="Arial" w:hAnsi="Arial"/>
          <w:b/>
          <w:sz w:val="32"/>
          <w:szCs w:val="20"/>
        </w:rPr>
      </w:pPr>
      <w:r>
        <w:rPr>
          <w:rFonts w:ascii="Arial" w:hAnsi="Arial"/>
          <w:b/>
          <w:sz w:val="32"/>
          <w:szCs w:val="20"/>
        </w:rPr>
        <w:t>H.</w:t>
      </w:r>
      <w:r>
        <w:rPr>
          <w:rFonts w:ascii="Arial" w:hAnsi="Arial"/>
          <w:b/>
          <w:noProof/>
          <w:sz w:val="32"/>
          <w:szCs w:val="20"/>
        </w:rPr>
        <w:t>5</w:t>
      </w:r>
      <w:r w:rsidRPr="008E6E5B">
        <w:rPr>
          <w:rFonts w:ascii="Arial" w:hAnsi="Arial"/>
          <w:b/>
          <w:sz w:val="32"/>
          <w:szCs w:val="20"/>
        </w:rPr>
        <w:tab/>
        <w:t xml:space="preserve">The cost of diminished health and reduced life expectancy </w:t>
      </w:r>
    </w:p>
    <w:p w14:paraId="30228364" w14:textId="77777777" w:rsidR="009C6940" w:rsidRPr="008E6E5B" w:rsidRDefault="009C6940" w:rsidP="009C6940">
      <w:pPr>
        <w:pStyle w:val="BodyText"/>
      </w:pPr>
      <w:r w:rsidRPr="008E6E5B">
        <w:t>Mental ill</w:t>
      </w:r>
      <w:r>
        <w:t>ness a</w:t>
      </w:r>
      <w:r w:rsidRPr="008E6E5B">
        <w:t>ffects a person’s life, in terms of the healthy years of life lost due to disability, and years of life lost due to premature death. This loss is gauged using an epidemiological measure known as disability</w:t>
      </w:r>
      <w:r>
        <w:noBreakHyphen/>
      </w:r>
      <w:r w:rsidRPr="008E6E5B">
        <w:t>adjusted life years (DALYs) (chapter 2). This measure of diminished health is based on disability weights that attempt to capture the severity of the effects of ill</w:t>
      </w:r>
      <w:r w:rsidRPr="008E6E5B">
        <w:noBreakHyphen/>
        <w:t xml:space="preserve">health on a scale from 0 (perfect health) to 1 (equivalent to death). Attribution of these weights are based on various international surveys of people in the general community. This allows the </w:t>
      </w:r>
      <w:r>
        <w:t>effect</w:t>
      </w:r>
      <w:r w:rsidRPr="008E6E5B">
        <w:t xml:space="preserve"> of a variety of health conditions to be compared or aggregated (AIHW 2019a). </w:t>
      </w:r>
    </w:p>
    <w:p w14:paraId="37174D40" w14:textId="77777777" w:rsidR="009C6940" w:rsidRDefault="009C6940" w:rsidP="009C6940">
      <w:pPr>
        <w:pStyle w:val="BodyText"/>
      </w:pPr>
      <w:r w:rsidRPr="008E6E5B">
        <w:t xml:space="preserve">The total </w:t>
      </w:r>
      <w:r>
        <w:t>consequence</w:t>
      </w:r>
      <w:r w:rsidRPr="008E6E5B">
        <w:t xml:space="preserve"> of mental ill</w:t>
      </w:r>
      <w:r>
        <w:t>ness</w:t>
      </w:r>
      <w:r w:rsidRPr="008E6E5B">
        <w:t xml:space="preserve"> for a population measures the gap between the actual health and an ideal health situation, where the entire population lives to an advanced age, free of ill</w:t>
      </w:r>
      <w:r w:rsidRPr="008E6E5B">
        <w:noBreakHyphen/>
        <w:t xml:space="preserve">health. </w:t>
      </w:r>
      <w:r w:rsidRPr="00A23433">
        <w:t xml:space="preserve">In 2015, Australians lost </w:t>
      </w:r>
      <w:r>
        <w:t>about</w:t>
      </w:r>
      <w:r w:rsidRPr="00A23433">
        <w:t xml:space="preserve"> </w:t>
      </w:r>
      <w:r>
        <w:t>710</w:t>
      </w:r>
      <w:r w:rsidRPr="00A23433">
        <w:t> 000 years of healthy life due to living with and dying early from mental ill</w:t>
      </w:r>
      <w:r>
        <w:t>ness</w:t>
      </w:r>
      <w:r w:rsidRPr="00A23433">
        <w:t xml:space="preserve"> </w:t>
      </w:r>
      <w:r w:rsidRPr="008E6E5B">
        <w:t>(AIHW 2019a).</w:t>
      </w:r>
      <w:r w:rsidRPr="00B362E0">
        <w:t xml:space="preserve"> </w:t>
      </w:r>
    </w:p>
    <w:p w14:paraId="13FB5364" w14:textId="77777777" w:rsidR="009C6940" w:rsidRDefault="009C6940" w:rsidP="009C6940">
      <w:pPr>
        <w:pStyle w:val="BodyText"/>
      </w:pPr>
      <w:r w:rsidRPr="008C7A73">
        <w:t xml:space="preserve">The years of healthy life lost can be converted into a monetary value using an estimate of the value of </w:t>
      </w:r>
      <w:r>
        <w:t>a statistical life year (box H.3</w:t>
      </w:r>
      <w:r w:rsidRPr="008C7A73">
        <w:t xml:space="preserve">). Using the Office of Best Practice’s estimate of </w:t>
      </w:r>
      <w:r w:rsidRPr="008C7A73">
        <w:lastRenderedPageBreak/>
        <w:t>value of a statistical life year, the total</w:t>
      </w:r>
      <w:r>
        <w:t xml:space="preserve"> cost of</w:t>
      </w:r>
      <w:r w:rsidRPr="008C7A73">
        <w:t xml:space="preserve"> healthy life lost due to mental illness, suicide and</w:t>
      </w:r>
      <w:r>
        <w:t xml:space="preserve"> self</w:t>
      </w:r>
      <w:r>
        <w:noBreakHyphen/>
      </w:r>
      <w:r w:rsidRPr="00EB07D3">
        <w:t>inflicted injury</w:t>
      </w:r>
      <w:r w:rsidRPr="008E6E5B">
        <w:t xml:space="preserve"> is estimated to be </w:t>
      </w:r>
      <w:r w:rsidRPr="00F36EB7">
        <w:t>$151 billion</w:t>
      </w:r>
      <w:r w:rsidRPr="00B84625">
        <w:t xml:space="preserve"> </w:t>
      </w:r>
      <w:r w:rsidRPr="008E6E5B">
        <w:t xml:space="preserve">in </w:t>
      </w:r>
      <w:r>
        <w:t>20</w:t>
      </w:r>
      <w:r w:rsidRPr="00B84625">
        <w:t>19</w:t>
      </w:r>
      <w:r>
        <w:t xml:space="preserve"> (table H.6)</w:t>
      </w:r>
      <w:r w:rsidRPr="008E6E5B">
        <w:t>.</w:t>
      </w:r>
    </w:p>
    <w:p w14:paraId="2BBACD37"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429A589C" w14:textId="77777777" w:rsidTr="009C6940">
        <w:trPr>
          <w:tblHeader/>
        </w:trPr>
        <w:tc>
          <w:tcPr>
            <w:tcW w:w="5000" w:type="pct"/>
            <w:tcBorders>
              <w:top w:val="single" w:sz="6" w:space="0" w:color="78A22F"/>
              <w:left w:val="nil"/>
              <w:bottom w:val="nil"/>
              <w:right w:val="nil"/>
            </w:tcBorders>
            <w:shd w:val="clear" w:color="auto" w:fill="auto"/>
          </w:tcPr>
          <w:p w14:paraId="385F7F10" w14:textId="77777777" w:rsidR="009C6940" w:rsidRPr="00784A05" w:rsidRDefault="009C6940" w:rsidP="009C6940">
            <w:pPr>
              <w:pStyle w:val="TableTitle"/>
            </w:pPr>
            <w:r>
              <w:rPr>
                <w:b w:val="0"/>
              </w:rPr>
              <w:t>Table H.</w:t>
            </w:r>
            <w:r>
              <w:rPr>
                <w:b w:val="0"/>
                <w:noProof/>
              </w:rPr>
              <w:t>6</w:t>
            </w:r>
            <w:r>
              <w:tab/>
              <w:t>C</w:t>
            </w:r>
            <w:r w:rsidRPr="007768A0">
              <w:t>ost of disability and premature death due to mental ill</w:t>
            </w:r>
            <w:r>
              <w:noBreakHyphen/>
            </w:r>
            <w:r w:rsidRPr="007768A0">
              <w:t>health, suicide and self</w:t>
            </w:r>
            <w:r>
              <w:noBreakHyphen/>
            </w:r>
            <w:r w:rsidRPr="007768A0">
              <w:t>inflicted injury</w:t>
            </w:r>
          </w:p>
        </w:tc>
      </w:tr>
      <w:tr w:rsidR="009C6940" w14:paraId="68B7A074"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393"/>
              <w:gridCol w:w="1560"/>
              <w:gridCol w:w="1560"/>
              <w:gridCol w:w="992"/>
            </w:tblGrid>
            <w:tr w:rsidR="009C6940" w14:paraId="75B6E825" w14:textId="77777777" w:rsidTr="00EE05B6">
              <w:trPr>
                <w:tblHeader/>
              </w:trPr>
              <w:tc>
                <w:tcPr>
                  <w:tcW w:w="2583" w:type="pct"/>
                  <w:tcBorders>
                    <w:top w:val="single" w:sz="6" w:space="0" w:color="BFBFBF"/>
                    <w:bottom w:val="single" w:sz="6" w:space="0" w:color="BFBFBF"/>
                  </w:tcBorders>
                  <w:shd w:val="clear" w:color="auto" w:fill="auto"/>
                  <w:tcMar>
                    <w:top w:w="28" w:type="dxa"/>
                  </w:tcMar>
                </w:tcPr>
                <w:p w14:paraId="364643AC" w14:textId="77777777" w:rsidR="009C6940" w:rsidRDefault="009C6940" w:rsidP="009C6940">
                  <w:pPr>
                    <w:pStyle w:val="TableColumnHeading"/>
                    <w:jc w:val="left"/>
                  </w:pPr>
                </w:p>
              </w:tc>
              <w:tc>
                <w:tcPr>
                  <w:tcW w:w="917" w:type="pct"/>
                  <w:tcBorders>
                    <w:top w:val="single" w:sz="6" w:space="0" w:color="BFBFBF"/>
                    <w:bottom w:val="single" w:sz="6" w:space="0" w:color="BFBFBF"/>
                  </w:tcBorders>
                  <w:vAlign w:val="bottom"/>
                </w:tcPr>
                <w:p w14:paraId="409EDFA5" w14:textId="77777777" w:rsidR="009C6940" w:rsidRDefault="009C6940" w:rsidP="00EE05B6">
                  <w:pPr>
                    <w:pStyle w:val="TableColumnHeading"/>
                  </w:pPr>
                  <w:r>
                    <w:t>Mental disorders</w:t>
                  </w:r>
                </w:p>
              </w:tc>
              <w:tc>
                <w:tcPr>
                  <w:tcW w:w="917" w:type="pct"/>
                  <w:tcBorders>
                    <w:top w:val="single" w:sz="6" w:space="0" w:color="BFBFBF"/>
                    <w:bottom w:val="single" w:sz="6" w:space="0" w:color="BFBFBF"/>
                  </w:tcBorders>
                  <w:shd w:val="clear" w:color="auto" w:fill="auto"/>
                  <w:tcMar>
                    <w:top w:w="28" w:type="dxa"/>
                  </w:tcMar>
                  <w:vAlign w:val="bottom"/>
                </w:tcPr>
                <w:p w14:paraId="29F6A5B1" w14:textId="77777777" w:rsidR="009C6940" w:rsidRDefault="009C6940" w:rsidP="00EE05B6">
                  <w:pPr>
                    <w:pStyle w:val="TableColumnHeading"/>
                  </w:pPr>
                  <w:r>
                    <w:t>Suicide and self</w:t>
                  </w:r>
                  <w:r>
                    <w:noBreakHyphen/>
                    <w:t>inflicted injury</w:t>
                  </w:r>
                </w:p>
              </w:tc>
              <w:tc>
                <w:tcPr>
                  <w:tcW w:w="583" w:type="pct"/>
                  <w:tcBorders>
                    <w:top w:val="single" w:sz="6" w:space="0" w:color="BFBFBF"/>
                    <w:bottom w:val="single" w:sz="6" w:space="0" w:color="BFBFBF"/>
                  </w:tcBorders>
                  <w:shd w:val="clear" w:color="auto" w:fill="auto"/>
                  <w:tcMar>
                    <w:top w:w="28" w:type="dxa"/>
                  </w:tcMar>
                  <w:vAlign w:val="bottom"/>
                </w:tcPr>
                <w:p w14:paraId="763F4E97" w14:textId="77777777" w:rsidR="009C6940" w:rsidRDefault="009C6940" w:rsidP="00EE05B6">
                  <w:pPr>
                    <w:pStyle w:val="TableColumnHeading"/>
                    <w:ind w:right="11"/>
                  </w:pPr>
                  <w:r>
                    <w:t>Total</w:t>
                  </w:r>
                </w:p>
              </w:tc>
            </w:tr>
            <w:tr w:rsidR="009C6940" w14:paraId="2C2DFFB7" w14:textId="77777777" w:rsidTr="009C6940">
              <w:tc>
                <w:tcPr>
                  <w:tcW w:w="2583" w:type="pct"/>
                  <w:tcBorders>
                    <w:top w:val="single" w:sz="6" w:space="0" w:color="BFBFBF"/>
                  </w:tcBorders>
                  <w:vAlign w:val="bottom"/>
                </w:tcPr>
                <w:p w14:paraId="04F4C5DC" w14:textId="77777777" w:rsidR="009C6940" w:rsidRDefault="009C6940" w:rsidP="009C6940">
                  <w:pPr>
                    <w:pStyle w:val="TableBodyText"/>
                    <w:spacing w:before="40"/>
                    <w:jc w:val="left"/>
                  </w:pPr>
                  <w:r>
                    <w:t xml:space="preserve">Years of life with disability </w:t>
                  </w:r>
                </w:p>
              </w:tc>
              <w:tc>
                <w:tcPr>
                  <w:tcW w:w="917" w:type="pct"/>
                  <w:tcBorders>
                    <w:top w:val="single" w:sz="6" w:space="0" w:color="BFBFBF"/>
                  </w:tcBorders>
                  <w:vAlign w:val="bottom"/>
                </w:tcPr>
                <w:p w14:paraId="3D574A7C" w14:textId="77777777" w:rsidR="009C6940" w:rsidRDefault="009C6940" w:rsidP="009C6940">
                  <w:pPr>
                    <w:pStyle w:val="TableBodyText"/>
                    <w:spacing w:before="40"/>
                  </w:pPr>
                  <w:r>
                    <w:t>558 596</w:t>
                  </w:r>
                </w:p>
              </w:tc>
              <w:tc>
                <w:tcPr>
                  <w:tcW w:w="917" w:type="pct"/>
                  <w:tcBorders>
                    <w:top w:val="single" w:sz="6" w:space="0" w:color="BFBFBF"/>
                  </w:tcBorders>
                  <w:vAlign w:val="bottom"/>
                </w:tcPr>
                <w:p w14:paraId="58D14E69" w14:textId="77777777" w:rsidR="009C6940" w:rsidRDefault="009C6940" w:rsidP="009C6940">
                  <w:pPr>
                    <w:pStyle w:val="TableBodyText"/>
                    <w:spacing w:before="40"/>
                  </w:pPr>
                  <w:r>
                    <w:t>1 241</w:t>
                  </w:r>
                </w:p>
              </w:tc>
              <w:tc>
                <w:tcPr>
                  <w:tcW w:w="583" w:type="pct"/>
                  <w:tcBorders>
                    <w:top w:val="single" w:sz="6" w:space="0" w:color="BFBFBF"/>
                  </w:tcBorders>
                  <w:vAlign w:val="bottom"/>
                </w:tcPr>
                <w:p w14:paraId="70BA0A67" w14:textId="77777777" w:rsidR="009C6940" w:rsidRDefault="009C6940" w:rsidP="009C6940">
                  <w:pPr>
                    <w:pStyle w:val="TableBodyText"/>
                    <w:spacing w:before="40"/>
                    <w:ind w:right="11"/>
                  </w:pPr>
                  <w:r>
                    <w:t>559 837</w:t>
                  </w:r>
                </w:p>
              </w:tc>
            </w:tr>
            <w:tr w:rsidR="009C6940" w14:paraId="37196659" w14:textId="77777777" w:rsidTr="009C6940">
              <w:tc>
                <w:tcPr>
                  <w:tcW w:w="2583" w:type="pct"/>
                  <w:vAlign w:val="bottom"/>
                </w:tcPr>
                <w:p w14:paraId="7BB7D157" w14:textId="77777777" w:rsidR="009C6940" w:rsidRDefault="009C6940" w:rsidP="009C6940">
                  <w:pPr>
                    <w:pStyle w:val="TableBodyText"/>
                    <w:jc w:val="left"/>
                  </w:pPr>
                  <w:r>
                    <w:t>Years of life lost due to death</w:t>
                  </w:r>
                </w:p>
              </w:tc>
              <w:tc>
                <w:tcPr>
                  <w:tcW w:w="917" w:type="pct"/>
                  <w:vAlign w:val="bottom"/>
                </w:tcPr>
                <w:p w14:paraId="55E6E9D8" w14:textId="77777777" w:rsidR="009C6940" w:rsidRDefault="009C6940" w:rsidP="009C6940">
                  <w:pPr>
                    <w:pStyle w:val="TableBodyText"/>
                  </w:pPr>
                  <w:r>
                    <w:t>14 178</w:t>
                  </w:r>
                </w:p>
              </w:tc>
              <w:tc>
                <w:tcPr>
                  <w:tcW w:w="917" w:type="pct"/>
                  <w:vAlign w:val="bottom"/>
                </w:tcPr>
                <w:p w14:paraId="16A5EB66" w14:textId="77777777" w:rsidR="009C6940" w:rsidRDefault="009C6940" w:rsidP="009C6940">
                  <w:pPr>
                    <w:pStyle w:val="TableBodyText"/>
                  </w:pPr>
                  <w:r>
                    <w:t>134 133</w:t>
                  </w:r>
                </w:p>
              </w:tc>
              <w:tc>
                <w:tcPr>
                  <w:tcW w:w="583" w:type="pct"/>
                  <w:vAlign w:val="bottom"/>
                </w:tcPr>
                <w:p w14:paraId="7644590E" w14:textId="77777777" w:rsidR="009C6940" w:rsidRDefault="009C6940" w:rsidP="009C6940">
                  <w:pPr>
                    <w:pStyle w:val="TableBodyText"/>
                    <w:ind w:right="11"/>
                  </w:pPr>
                  <w:r>
                    <w:t>148 311</w:t>
                  </w:r>
                </w:p>
              </w:tc>
            </w:tr>
            <w:tr w:rsidR="009C6940" w14:paraId="597D6AAB" w14:textId="77777777" w:rsidTr="009C6940">
              <w:tc>
                <w:tcPr>
                  <w:tcW w:w="2583" w:type="pct"/>
                  <w:shd w:val="clear" w:color="auto" w:fill="auto"/>
                  <w:vAlign w:val="bottom"/>
                </w:tcPr>
                <w:p w14:paraId="64782C56" w14:textId="77777777" w:rsidR="009C6940" w:rsidRPr="009012CC" w:rsidRDefault="009C6940" w:rsidP="009C6940">
                  <w:pPr>
                    <w:pStyle w:val="TableBodyText"/>
                    <w:jc w:val="left"/>
                    <w:rPr>
                      <w:b/>
                    </w:rPr>
                  </w:pPr>
                  <w:r w:rsidRPr="009012CC">
                    <w:rPr>
                      <w:b/>
                      <w:iCs/>
                    </w:rPr>
                    <w:t>Disability adjusted life years (2015)</w:t>
                  </w:r>
                </w:p>
              </w:tc>
              <w:tc>
                <w:tcPr>
                  <w:tcW w:w="917" w:type="pct"/>
                  <w:shd w:val="clear" w:color="auto" w:fill="auto"/>
                  <w:vAlign w:val="bottom"/>
                </w:tcPr>
                <w:p w14:paraId="7149CE6F" w14:textId="77777777" w:rsidR="009C6940" w:rsidRPr="009012CC" w:rsidRDefault="009C6940" w:rsidP="009C6940">
                  <w:pPr>
                    <w:pStyle w:val="TableBodyText"/>
                    <w:rPr>
                      <w:b/>
                    </w:rPr>
                  </w:pPr>
                  <w:r w:rsidRPr="009012CC">
                    <w:rPr>
                      <w:b/>
                    </w:rPr>
                    <w:t>572 775</w:t>
                  </w:r>
                </w:p>
              </w:tc>
              <w:tc>
                <w:tcPr>
                  <w:tcW w:w="917" w:type="pct"/>
                  <w:shd w:val="clear" w:color="auto" w:fill="auto"/>
                  <w:vAlign w:val="bottom"/>
                </w:tcPr>
                <w:p w14:paraId="37816772" w14:textId="77777777" w:rsidR="009C6940" w:rsidRPr="009012CC" w:rsidRDefault="009C6940" w:rsidP="009C6940">
                  <w:pPr>
                    <w:pStyle w:val="TableBodyText"/>
                    <w:rPr>
                      <w:b/>
                    </w:rPr>
                  </w:pPr>
                  <w:r w:rsidRPr="009012CC">
                    <w:rPr>
                      <w:b/>
                    </w:rPr>
                    <w:t>135 374</w:t>
                  </w:r>
                </w:p>
              </w:tc>
              <w:tc>
                <w:tcPr>
                  <w:tcW w:w="583" w:type="pct"/>
                  <w:shd w:val="clear" w:color="auto" w:fill="auto"/>
                  <w:vAlign w:val="bottom"/>
                </w:tcPr>
                <w:p w14:paraId="7A6A4246" w14:textId="77777777" w:rsidR="009C6940" w:rsidRPr="009012CC" w:rsidRDefault="009C6940" w:rsidP="009C6940">
                  <w:pPr>
                    <w:pStyle w:val="TableBodyText"/>
                    <w:ind w:right="11"/>
                    <w:rPr>
                      <w:b/>
                    </w:rPr>
                  </w:pPr>
                  <w:r w:rsidRPr="009012CC">
                    <w:rPr>
                      <w:b/>
                    </w:rPr>
                    <w:t>708 149</w:t>
                  </w:r>
                </w:p>
              </w:tc>
            </w:tr>
            <w:tr w:rsidR="009C6940" w14:paraId="6CA125E7" w14:textId="77777777" w:rsidTr="009C6940">
              <w:tc>
                <w:tcPr>
                  <w:tcW w:w="2583" w:type="pct"/>
                  <w:tcBorders>
                    <w:bottom w:val="single" w:sz="6" w:space="0" w:color="BFBFBF"/>
                  </w:tcBorders>
                  <w:shd w:val="clear" w:color="auto" w:fill="auto"/>
                  <w:vAlign w:val="bottom"/>
                </w:tcPr>
                <w:p w14:paraId="3B720A0C" w14:textId="77777777" w:rsidR="009C6940" w:rsidRPr="009012CC" w:rsidRDefault="009C6940" w:rsidP="009C6940">
                  <w:pPr>
                    <w:pStyle w:val="TableBodyText"/>
                    <w:jc w:val="left"/>
                    <w:rPr>
                      <w:b/>
                      <w:iCs/>
                    </w:rPr>
                  </w:pPr>
                  <w:r w:rsidRPr="009012CC">
                    <w:rPr>
                      <w:b/>
                      <w:iCs/>
                    </w:rPr>
                    <w:t xml:space="preserve">Cost of disability and premature death ($b) (2019) </w:t>
                  </w:r>
                </w:p>
              </w:tc>
              <w:tc>
                <w:tcPr>
                  <w:tcW w:w="917" w:type="pct"/>
                  <w:tcBorders>
                    <w:bottom w:val="single" w:sz="6" w:space="0" w:color="BFBFBF"/>
                  </w:tcBorders>
                  <w:shd w:val="clear" w:color="auto" w:fill="auto"/>
                </w:tcPr>
                <w:p w14:paraId="20F845BA" w14:textId="77777777" w:rsidR="009C6940" w:rsidRPr="009012CC" w:rsidRDefault="009C6940" w:rsidP="009C6940">
                  <w:pPr>
                    <w:pStyle w:val="TableBodyText"/>
                    <w:rPr>
                      <w:b/>
                      <w:iCs/>
                    </w:rPr>
                  </w:pPr>
                  <w:r w:rsidRPr="009012CC">
                    <w:rPr>
                      <w:b/>
                      <w:iCs/>
                    </w:rPr>
                    <w:t>122.0</w:t>
                  </w:r>
                </w:p>
              </w:tc>
              <w:tc>
                <w:tcPr>
                  <w:tcW w:w="917" w:type="pct"/>
                  <w:tcBorders>
                    <w:bottom w:val="single" w:sz="6" w:space="0" w:color="BFBFBF"/>
                  </w:tcBorders>
                  <w:shd w:val="clear" w:color="auto" w:fill="auto"/>
                </w:tcPr>
                <w:p w14:paraId="6F97C277" w14:textId="77777777" w:rsidR="009C6940" w:rsidRPr="009012CC" w:rsidRDefault="009C6940" w:rsidP="009C6940">
                  <w:pPr>
                    <w:pStyle w:val="TableBodyText"/>
                    <w:rPr>
                      <w:b/>
                      <w:iCs/>
                    </w:rPr>
                  </w:pPr>
                  <w:r w:rsidRPr="009012CC">
                    <w:rPr>
                      <w:b/>
                      <w:iCs/>
                    </w:rPr>
                    <w:t>28.8</w:t>
                  </w:r>
                </w:p>
              </w:tc>
              <w:tc>
                <w:tcPr>
                  <w:tcW w:w="583" w:type="pct"/>
                  <w:tcBorders>
                    <w:bottom w:val="single" w:sz="6" w:space="0" w:color="BFBFBF"/>
                  </w:tcBorders>
                  <w:shd w:val="clear" w:color="auto" w:fill="auto"/>
                </w:tcPr>
                <w:p w14:paraId="2C0C3D87" w14:textId="77777777" w:rsidR="009C6940" w:rsidRPr="009012CC" w:rsidRDefault="009C6940" w:rsidP="009C6940">
                  <w:pPr>
                    <w:pStyle w:val="TableBodyText"/>
                    <w:ind w:right="11"/>
                    <w:rPr>
                      <w:b/>
                      <w:iCs/>
                    </w:rPr>
                  </w:pPr>
                  <w:r w:rsidRPr="009012CC">
                    <w:rPr>
                      <w:b/>
                      <w:iCs/>
                    </w:rPr>
                    <w:t>150.8</w:t>
                  </w:r>
                </w:p>
              </w:tc>
            </w:tr>
          </w:tbl>
          <w:p w14:paraId="7D380227" w14:textId="77777777" w:rsidR="009C6940" w:rsidRDefault="009C6940" w:rsidP="009C6940">
            <w:pPr>
              <w:pStyle w:val="Box"/>
            </w:pPr>
          </w:p>
        </w:tc>
      </w:tr>
      <w:tr w:rsidR="009C6940" w14:paraId="20A03FC8" w14:textId="77777777" w:rsidTr="009C6940">
        <w:tc>
          <w:tcPr>
            <w:tcW w:w="5000" w:type="pct"/>
            <w:tcBorders>
              <w:top w:val="nil"/>
              <w:left w:val="nil"/>
              <w:bottom w:val="nil"/>
              <w:right w:val="nil"/>
            </w:tcBorders>
            <w:shd w:val="clear" w:color="auto" w:fill="auto"/>
          </w:tcPr>
          <w:p w14:paraId="67937FF1" w14:textId="77777777" w:rsidR="009C6940" w:rsidRDefault="009C6940" w:rsidP="009C6940">
            <w:pPr>
              <w:pStyle w:val="Source"/>
            </w:pPr>
            <w:r>
              <w:rPr>
                <w:i/>
              </w:rPr>
              <w:t>Source</w:t>
            </w:r>
            <w:r w:rsidRPr="00167F06">
              <w:t>:</w:t>
            </w:r>
            <w:r>
              <w:t xml:space="preserve"> </w:t>
            </w:r>
            <w:r w:rsidRPr="001C0C03">
              <w:t xml:space="preserve">Productivity Commission estimates using AIHW </w:t>
            </w:r>
            <w:r w:rsidRPr="002B1FBB">
              <w:rPr>
                <w:rFonts w:cs="Arial"/>
              </w:rPr>
              <w:t>(2019a)</w:t>
            </w:r>
            <w:r>
              <w:t xml:space="preserve"> </w:t>
            </w:r>
            <w:r w:rsidRPr="001C0C03">
              <w:t>and OBPR</w:t>
            </w:r>
            <w:r>
              <w:t xml:space="preserve"> (2019).</w:t>
            </w:r>
          </w:p>
        </w:tc>
      </w:tr>
      <w:tr w:rsidR="009C6940" w14:paraId="3EE180D5" w14:textId="77777777" w:rsidTr="009C6940">
        <w:tc>
          <w:tcPr>
            <w:tcW w:w="5000" w:type="pct"/>
            <w:tcBorders>
              <w:top w:val="nil"/>
              <w:left w:val="nil"/>
              <w:bottom w:val="single" w:sz="6" w:space="0" w:color="78A22F"/>
              <w:right w:val="nil"/>
            </w:tcBorders>
            <w:shd w:val="clear" w:color="auto" w:fill="auto"/>
          </w:tcPr>
          <w:p w14:paraId="3EBB9F77" w14:textId="77777777" w:rsidR="009C6940" w:rsidRDefault="009C6940" w:rsidP="009C6940">
            <w:pPr>
              <w:pStyle w:val="Box"/>
              <w:spacing w:before="0" w:line="120" w:lineRule="exact"/>
            </w:pPr>
          </w:p>
        </w:tc>
      </w:tr>
      <w:tr w:rsidR="009C6940" w:rsidRPr="000863A5" w14:paraId="77ABE377" w14:textId="77777777" w:rsidTr="009C6940">
        <w:tc>
          <w:tcPr>
            <w:tcW w:w="5000" w:type="pct"/>
            <w:tcBorders>
              <w:top w:val="single" w:sz="6" w:space="0" w:color="78A22F"/>
              <w:left w:val="nil"/>
              <w:bottom w:val="nil"/>
              <w:right w:val="nil"/>
            </w:tcBorders>
          </w:tcPr>
          <w:p w14:paraId="6C1834BB" w14:textId="77777777" w:rsidR="009C6940" w:rsidRPr="00626D32" w:rsidRDefault="009C6940" w:rsidP="009C6940">
            <w:pPr>
              <w:pStyle w:val="BoxSpaceBelow"/>
            </w:pPr>
          </w:p>
        </w:tc>
      </w:tr>
    </w:tbl>
    <w:p w14:paraId="18423E0D" w14:textId="77777777" w:rsidR="009C6940" w:rsidRPr="00A23433" w:rsidRDefault="009C6940" w:rsidP="009C6940">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8E6E5B" w14:paraId="5154F7E4" w14:textId="77777777" w:rsidTr="009C6940">
        <w:trPr>
          <w:tblHeader/>
        </w:trPr>
        <w:tc>
          <w:tcPr>
            <w:tcW w:w="5000" w:type="pct"/>
            <w:tcBorders>
              <w:top w:val="single" w:sz="6" w:space="0" w:color="78A22F"/>
              <w:left w:val="nil"/>
              <w:bottom w:val="nil"/>
              <w:right w:val="nil"/>
            </w:tcBorders>
            <w:shd w:val="clear" w:color="auto" w:fill="F2F2F2"/>
          </w:tcPr>
          <w:p w14:paraId="405328E7" w14:textId="77777777" w:rsidR="009C6940" w:rsidRPr="008E6E5B" w:rsidRDefault="009C6940" w:rsidP="009C6940">
            <w:pPr>
              <w:keepNext/>
              <w:keepLines/>
              <w:spacing w:before="120" w:line="280" w:lineRule="exact"/>
              <w:ind w:left="1474" w:hanging="1474"/>
              <w:rPr>
                <w:rFonts w:ascii="Arial" w:hAnsi="Arial"/>
                <w:b/>
              </w:rPr>
            </w:pPr>
            <w:r w:rsidRPr="008E6E5B">
              <w:rPr>
                <w:rFonts w:ascii="Arial" w:hAnsi="Arial"/>
              </w:rPr>
              <w:t xml:space="preserve">Box </w:t>
            </w:r>
            <w:r>
              <w:rPr>
                <w:rFonts w:ascii="Arial" w:hAnsi="Arial"/>
              </w:rPr>
              <w:t>H.</w:t>
            </w:r>
            <w:r>
              <w:rPr>
                <w:rFonts w:ascii="Arial" w:hAnsi="Arial"/>
                <w:noProof/>
              </w:rPr>
              <w:t>3</w:t>
            </w:r>
            <w:r w:rsidRPr="008E6E5B">
              <w:rPr>
                <w:rFonts w:ascii="Arial" w:hAnsi="Arial"/>
                <w:b/>
              </w:rPr>
              <w:tab/>
              <w:t xml:space="preserve">Valuing life: can it be done? </w:t>
            </w:r>
          </w:p>
        </w:tc>
      </w:tr>
      <w:tr w:rsidR="009C6940" w:rsidRPr="008E6E5B" w14:paraId="2934D1F9" w14:textId="77777777" w:rsidTr="009C6940">
        <w:tc>
          <w:tcPr>
            <w:tcW w:w="5000" w:type="pct"/>
            <w:tcBorders>
              <w:top w:val="nil"/>
              <w:left w:val="nil"/>
              <w:bottom w:val="nil"/>
              <w:right w:val="nil"/>
            </w:tcBorders>
            <w:shd w:val="clear" w:color="auto" w:fill="F2F2F2"/>
          </w:tcPr>
          <w:p w14:paraId="43B6B4BA" w14:textId="77777777" w:rsidR="009C6940" w:rsidRPr="008E6E5B" w:rsidRDefault="009C6940" w:rsidP="009C6940">
            <w:pPr>
              <w:pStyle w:val="Box"/>
            </w:pPr>
            <w:r w:rsidRPr="008E6E5B">
              <w:t xml:space="preserve">Valuing life is not without disagreement. Some believe life cannot be valued in </w:t>
            </w:r>
            <w:r>
              <w:t>monetary</w:t>
            </w:r>
            <w:r w:rsidRPr="008E6E5B">
              <w:t xml:space="preserve"> terms: the value of a person’s life is immeasurable. This principle is displayed in what would seem like a willingness by governments and other groups to spend an unlimited amount of money to rescue individuals from a dangerous situation that risks death or serious injury. </w:t>
            </w:r>
          </w:p>
          <w:p w14:paraId="534027AC" w14:textId="77777777" w:rsidR="009C6940" w:rsidRPr="008E6E5B" w:rsidRDefault="009C6940" w:rsidP="009C6940">
            <w:pPr>
              <w:pStyle w:val="Box"/>
            </w:pPr>
            <w:r w:rsidRPr="008E6E5B">
              <w:t xml:space="preserve">While placing a </w:t>
            </w:r>
            <w:r>
              <w:t>monetary</w:t>
            </w:r>
            <w:r w:rsidRPr="008E6E5B">
              <w:t xml:space="preserve"> value on life may not sit easy with many people, in an environment where resources are limited, choices need to be made on how these resources are allocated. In the absence of a value of life, decisions will still be made on where to invest in mental healthcare and its supports, implicitly making such valuations in the process. Calculating the value of life, despite the difficulties and limitations, to use in this decision</w:t>
            </w:r>
            <w:r>
              <w:noBreakHyphen/>
            </w:r>
            <w:r w:rsidRPr="008E6E5B">
              <w:t>making process makes the valuation explicit, transparent and consistent</w:t>
            </w:r>
            <w:r>
              <w:t xml:space="preserve"> with other decisions</w:t>
            </w:r>
            <w:r w:rsidRPr="008E6E5B">
              <w:t xml:space="preserve">. </w:t>
            </w:r>
          </w:p>
          <w:p w14:paraId="5F3EE519" w14:textId="77777777" w:rsidR="009C6940" w:rsidRPr="008E6E5B" w:rsidRDefault="009C6940" w:rsidP="009C6940">
            <w:pPr>
              <w:pStyle w:val="Box"/>
            </w:pPr>
            <w:r w:rsidRPr="008E6E5B">
              <w:t>The value of a statistical life is an estimate of the financial value society places on reducing or avoiding the death of one person. By convention, it is assumed to be based on a healthy person living for another 40</w:t>
            </w:r>
            <w:r>
              <w:t> </w:t>
            </w:r>
            <w:r w:rsidRPr="008E6E5B">
              <w:t>years. It is a known as a ‘statistical’ life because it is not the life of any particular person. An estimate of the value of life is, therefore, a tool for decision</w:t>
            </w:r>
            <w:r>
              <w:noBreakHyphen/>
            </w:r>
            <w:r w:rsidRPr="008E6E5B">
              <w:t>making, not the value that is placed on any particular person.</w:t>
            </w:r>
          </w:p>
          <w:p w14:paraId="0AE7D457" w14:textId="77777777" w:rsidR="009C6940" w:rsidRPr="008E6E5B" w:rsidRDefault="009C6940" w:rsidP="009C6940">
            <w:pPr>
              <w:pStyle w:val="Box"/>
            </w:pPr>
            <w:r w:rsidRPr="008E6E5B">
              <w:t xml:space="preserve">There are a variety of methods used to value a life, but the ‘willingness to pay’ method is viewed as the most appropriate technique </w:t>
            </w:r>
            <w:r w:rsidRPr="008E6E5B">
              <w:rPr>
                <w:rFonts w:cs="Arial"/>
              </w:rPr>
              <w:t>(OBPR 2014)</w:t>
            </w:r>
            <w:r w:rsidRPr="008E6E5B">
              <w:t xml:space="preserve">. Unlike other methods, such as the human capital model </w:t>
            </w:r>
            <w:r>
              <w:t>that</w:t>
            </w:r>
            <w:r w:rsidRPr="008E6E5B">
              <w:t xml:space="preserve"> captures the discounted value of future earnings, the willingness to pay method quantifies non</w:t>
            </w:r>
            <w:r w:rsidRPr="008E6E5B">
              <w:noBreakHyphen/>
              <w:t xml:space="preserve">market preferences and values, such as quality of life, health and leisure </w:t>
            </w:r>
            <w:r w:rsidDel="00F92C6C">
              <w:t>(</w:t>
            </w:r>
            <w:r w:rsidRPr="008E6E5B">
              <w:rPr>
                <w:rFonts w:cs="Arial"/>
              </w:rPr>
              <w:t>ASCC 2008</w:t>
            </w:r>
            <w:r>
              <w:rPr>
                <w:rFonts w:cs="Arial"/>
              </w:rPr>
              <w:t>; box H.4</w:t>
            </w:r>
            <w:r w:rsidRPr="008E6E5B">
              <w:rPr>
                <w:rFonts w:cs="Arial"/>
              </w:rPr>
              <w:t>)</w:t>
            </w:r>
            <w:r w:rsidRPr="008E6E5B">
              <w:t>. For Australia, various studies have estimated that the value of a statistical life (using the willingness to pay method) ranges from $3 m</w:t>
            </w:r>
            <w:r>
              <w:t>illion</w:t>
            </w:r>
            <w:r w:rsidRPr="008E6E5B">
              <w:t xml:space="preserve"> to $15 m</w:t>
            </w:r>
            <w:r>
              <w:t>illion</w:t>
            </w:r>
            <w:r w:rsidRPr="008E6E5B">
              <w:t xml:space="preserve"> </w:t>
            </w:r>
            <w:r w:rsidRPr="008E6E5B">
              <w:rPr>
                <w:rFonts w:cs="Arial"/>
              </w:rPr>
              <w:t>(OBPR 2014</w:t>
            </w:r>
            <w:r>
              <w:rPr>
                <w:rFonts w:cs="Arial"/>
              </w:rPr>
              <w:t>,</w:t>
            </w:r>
            <w:r w:rsidRPr="008E6E5B">
              <w:rPr>
                <w:rFonts w:cs="Arial"/>
              </w:rPr>
              <w:t xml:space="preserve"> based on a review by Abelson (2008))</w:t>
            </w:r>
            <w:r w:rsidRPr="008E6E5B">
              <w:t>. Abelson </w:t>
            </w:r>
            <w:r w:rsidRPr="008E6E5B">
              <w:rPr>
                <w:rFonts w:cs="Arial"/>
              </w:rPr>
              <w:t>(2008)</w:t>
            </w:r>
            <w:r w:rsidRPr="008E6E5B">
              <w:t xml:space="preserve"> concludes $3.5 m</w:t>
            </w:r>
            <w:r>
              <w:t>illion</w:t>
            </w:r>
            <w:r w:rsidRPr="008E6E5B">
              <w:t xml:space="preserve"> to be a plausible estimate for the value of a statistical life in 2007. For use in cost</w:t>
            </w:r>
            <w:r w:rsidRPr="008E6E5B">
              <w:noBreakHyphen/>
              <w:t>benefit analysis, the Office of Best Practice Regulation has estimated the value of a statistical life to be $4.</w:t>
            </w:r>
            <w:r>
              <w:t>9 </w:t>
            </w:r>
            <w:r w:rsidRPr="008E6E5B">
              <w:t>million in 201</w:t>
            </w:r>
            <w:r>
              <w:t>9</w:t>
            </w:r>
            <w:r w:rsidRPr="008E6E5B">
              <w:t xml:space="preserve">. </w:t>
            </w:r>
          </w:p>
          <w:p w14:paraId="7AC9C26D" w14:textId="77777777" w:rsidR="009C6940" w:rsidRPr="008E6E5B" w:rsidRDefault="009C6940" w:rsidP="009C6940">
            <w:pPr>
              <w:pStyle w:val="Box"/>
            </w:pPr>
            <w:r w:rsidRPr="008E6E5B">
              <w:t>The value of a statistical life year converts the value of a statistical person’s life over the next 40</w:t>
            </w:r>
            <w:r>
              <w:t> </w:t>
            </w:r>
            <w:r w:rsidRPr="008E6E5B">
              <w:t>years into an annual estimate. Having an annual value of life allows for the valuation of life years that are lost or gained that is less than 40 years. The Office of Best Practice Regulation has estimated the value of a statistical life year to be $</w:t>
            </w:r>
            <w:r>
              <w:t>213</w:t>
            </w:r>
            <w:r w:rsidRPr="008E6E5B">
              <w:t> 000 per year in 201</w:t>
            </w:r>
            <w:r>
              <w:t>9</w:t>
            </w:r>
            <w:r w:rsidRPr="008E6E5B">
              <w:t xml:space="preserve">. </w:t>
            </w:r>
          </w:p>
        </w:tc>
      </w:tr>
      <w:tr w:rsidR="009C6940" w:rsidRPr="008E6E5B" w14:paraId="36A30CA9" w14:textId="77777777" w:rsidTr="009C6940">
        <w:tc>
          <w:tcPr>
            <w:tcW w:w="5000" w:type="pct"/>
            <w:tcBorders>
              <w:top w:val="nil"/>
              <w:left w:val="nil"/>
              <w:bottom w:val="single" w:sz="6" w:space="0" w:color="78A22F"/>
              <w:right w:val="nil"/>
            </w:tcBorders>
            <w:shd w:val="clear" w:color="auto" w:fill="F2F2F2"/>
          </w:tcPr>
          <w:p w14:paraId="6A681964" w14:textId="77777777" w:rsidR="009C6940" w:rsidRPr="008E6E5B" w:rsidRDefault="009C6940" w:rsidP="009C6940">
            <w:pPr>
              <w:keepNext/>
              <w:spacing w:line="120" w:lineRule="exact"/>
              <w:jc w:val="both"/>
              <w:rPr>
                <w:rFonts w:ascii="Arial" w:hAnsi="Arial"/>
                <w:sz w:val="20"/>
                <w:szCs w:val="20"/>
              </w:rPr>
            </w:pPr>
          </w:p>
        </w:tc>
      </w:tr>
    </w:tbl>
    <w:p w14:paraId="2829887C" w14:textId="77777777" w:rsidR="009C6940" w:rsidRDefault="009C6940" w:rsidP="009C6940">
      <w:pPr>
        <w:pStyle w:val="BoxSpacebelow0"/>
      </w:pPr>
    </w:p>
    <w:p w14:paraId="5C65D5C3" w14:textId="77777777" w:rsidR="009C6940" w:rsidRDefault="009C6940" w:rsidP="009C6940">
      <w:pPr>
        <w:pStyle w:val="Heading2"/>
      </w:pPr>
      <w:r>
        <w:lastRenderedPageBreak/>
        <w:t>H.</w:t>
      </w:r>
      <w:r>
        <w:rPr>
          <w:noProof/>
        </w:rPr>
        <w:t>6</w:t>
      </w:r>
      <w:r w:rsidRPr="008E6E5B">
        <w:tab/>
        <w:t>Estimating the economic cost of suicidal behaviour</w:t>
      </w:r>
    </w:p>
    <w:p w14:paraId="49C67614" w14:textId="77777777" w:rsidR="009C6940" w:rsidRDefault="009C6940" w:rsidP="009C6940">
      <w:pPr>
        <w:pStyle w:val="BodyText"/>
      </w:pPr>
      <w:r w:rsidRPr="008E6E5B">
        <w:t xml:space="preserve">The </w:t>
      </w:r>
      <w:r>
        <w:t xml:space="preserve">Productivity </w:t>
      </w:r>
      <w:r w:rsidRPr="008E6E5B">
        <w:t>Commission estimated the quanti</w:t>
      </w:r>
      <w:r>
        <w:t>fiable economic costs of suicidal behaviour</w:t>
      </w:r>
      <w:r w:rsidRPr="008E6E5B">
        <w:t xml:space="preserve"> by </w:t>
      </w:r>
      <w:r>
        <w:t>estimating a range of direct and indirect</w:t>
      </w:r>
      <w:r w:rsidRPr="008E6E5B">
        <w:t xml:space="preserve"> costs associated with suicide </w:t>
      </w:r>
      <w:r>
        <w:t xml:space="preserve">deaths </w:t>
      </w:r>
      <w:r w:rsidRPr="008E6E5B">
        <w:t>and non</w:t>
      </w:r>
      <w:r w:rsidRPr="008E6E5B">
        <w:noBreakHyphen/>
        <w:t xml:space="preserve">fatal suicide </w:t>
      </w:r>
      <w:r>
        <w:t>behaviour</w:t>
      </w:r>
      <w:r w:rsidRPr="008E6E5B">
        <w:t xml:space="preserve"> in Australia. </w:t>
      </w:r>
      <w:r>
        <w:t xml:space="preserve">Suicide cost estimates indicate the magnitude of the suicidal behaviour as an economic and public health policy issue, and provide an economic context for efforts to reduce suicidal behaviour. Total costs associated with suicidal behaviour are estimated to be in the order of $30.5 billion each year. </w:t>
      </w:r>
    </w:p>
    <w:p w14:paraId="5DACA7BE" w14:textId="77777777" w:rsidR="009C6940" w:rsidRPr="004C0A6F" w:rsidRDefault="009C6940" w:rsidP="009C6940">
      <w:pPr>
        <w:pStyle w:val="BodyText"/>
        <w:rPr>
          <w:spacing w:val="-2"/>
        </w:rPr>
      </w:pPr>
      <w:r w:rsidRPr="004C0A6F">
        <w:rPr>
          <w:spacing w:val="-2"/>
        </w:rPr>
        <w:t xml:space="preserve">The overall cost of deaths to suicide is estimated using a ‘willingness to pay’ approach similar to that used by Bureau of Infrastructure, Transport and Regional Economics in calculating the costs associated with road fatalities </w:t>
      </w:r>
      <w:r w:rsidRPr="004C0A6F">
        <w:rPr>
          <w:spacing w:val="-2"/>
          <w:szCs w:val="24"/>
        </w:rPr>
        <w:t>(BITRE 2009)</w:t>
      </w:r>
      <w:r w:rsidRPr="004C0A6F">
        <w:rPr>
          <w:spacing w:val="-2"/>
        </w:rPr>
        <w:t xml:space="preserve">. This approach centres around use of a notional monetary value assigned to the ‘intangible’ quality of life that is lost due to suicide. This ensures that all suicide deaths are costed equally, and that the value of leisure time is taken into account </w:t>
      </w:r>
      <w:r w:rsidRPr="004C0A6F">
        <w:rPr>
          <w:spacing w:val="-2"/>
          <w:szCs w:val="24"/>
        </w:rPr>
        <w:t>(BITRE 2009; ConNetica 2010)</w:t>
      </w:r>
      <w:r w:rsidRPr="004C0A6F">
        <w:rPr>
          <w:spacing w:val="-2"/>
        </w:rPr>
        <w:t>. A ‘human capital’ approach is used to value foregone output as a result of non</w:t>
      </w:r>
      <w:r w:rsidRPr="004C0A6F">
        <w:rPr>
          <w:spacing w:val="-2"/>
        </w:rPr>
        <w:noBreakHyphen/>
        <w:t>fatal suicide behaviour (box H.4).</w:t>
      </w:r>
    </w:p>
    <w:p w14:paraId="43AC12FE" w14:textId="77777777" w:rsidR="009C6940" w:rsidRPr="00882D8D" w:rsidRDefault="009C6940" w:rsidP="009C6940">
      <w:pPr>
        <w:pStyle w:val="BodyText"/>
      </w:pPr>
      <w:r w:rsidRPr="00882D8D">
        <w:t xml:space="preserve">As well as the </w:t>
      </w:r>
      <w:r>
        <w:t xml:space="preserve">intangible </w:t>
      </w:r>
      <w:r w:rsidRPr="00882D8D">
        <w:t xml:space="preserve">value assigned to years of life lost due to suicide, a range of other direct and indirect costs are estimated, using the costing framework developed by Kinchin and Doran </w:t>
      </w:r>
      <w:r w:rsidRPr="00A57A20">
        <w:t>(2017)</w:t>
      </w:r>
      <w:r w:rsidRPr="00882D8D">
        <w:t xml:space="preserve">. Other indirect costs include: </w:t>
      </w:r>
    </w:p>
    <w:p w14:paraId="3B61747D" w14:textId="77777777" w:rsidR="009C6940" w:rsidRPr="00F6475A" w:rsidRDefault="009C6940" w:rsidP="009C6940">
      <w:pPr>
        <w:pStyle w:val="ListBullet"/>
      </w:pPr>
      <w:r w:rsidRPr="00F6475A">
        <w:t>production disturbances — the short</w:t>
      </w:r>
      <w:r w:rsidRPr="00F6475A">
        <w:noBreakHyphen/>
        <w:t>term costs experienced by firms following suicide</w:t>
      </w:r>
      <w:r w:rsidRPr="00F6475A">
        <w:noBreakHyphen/>
        <w:t>related behaviour of employees (for both fatal and non</w:t>
      </w:r>
      <w:r>
        <w:noBreakHyphen/>
      </w:r>
      <w:r w:rsidRPr="00F6475A">
        <w:t>fatal suicide behaviour)</w:t>
      </w:r>
    </w:p>
    <w:p w14:paraId="24BEAD90" w14:textId="77777777" w:rsidR="009C6940" w:rsidRPr="00F6475A" w:rsidRDefault="009C6940" w:rsidP="009C6940">
      <w:pPr>
        <w:pStyle w:val="ListBullet"/>
      </w:pPr>
      <w:r w:rsidRPr="00F6475A">
        <w:t>human capital costs — the long</w:t>
      </w:r>
      <w:r w:rsidRPr="00F6475A">
        <w:noBreakHyphen/>
        <w:t>run costs, such as loss of potential outputs. Where non</w:t>
      </w:r>
      <w:r w:rsidRPr="00F6475A">
        <w:noBreakHyphen/>
        <w:t>fatal suicide behaviour results in an inability to work (full incapacity), human capital costs are calculated using the value of potential future earnings from time of injury to retirement age in Australia assuming a discount profile and productivity loss.</w:t>
      </w:r>
    </w:p>
    <w:p w14:paraId="42153219" w14:textId="77777777" w:rsidR="009C6940" w:rsidRDefault="009C6940" w:rsidP="009C6940">
      <w:pPr>
        <w:pStyle w:val="BodyText"/>
      </w:pPr>
      <w:r>
        <w:t>Human capital costs are calculated for people experiencing full incapacity due to non</w:t>
      </w:r>
      <w:r>
        <w:noBreakHyphen/>
        <w:t>fatal suicide behaviour, regardless of their employment status. Average wage rates were used to calculate lost productive output for employed people who experience ongoing incapacity to work. It is assumed that people who were not employed at the time of experiencing ongoing incapacity would have otherwise engaged in some productive activity that is not based on wages, such as caring for others or volunteering. The wage model outlined in appendix H was used to estimate average expected wages for employed and non</w:t>
      </w:r>
      <w:r>
        <w:noBreakHyphen/>
        <w:t>employed adults. Based on the assumption that about half of people not in employment would enter part</w:t>
      </w:r>
      <w:r>
        <w:noBreakHyphen/>
        <w:t>time work, it was estimated that the average expected wages of non</w:t>
      </w:r>
      <w:r>
        <w:noBreakHyphen/>
        <w:t>employed people was 81% of the average expected wages of people currently in employment.</w:t>
      </w:r>
    </w:p>
    <w:p w14:paraId="422FB92E"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A8F0E63" w14:textId="77777777" w:rsidTr="009C6940">
        <w:trPr>
          <w:tblHeader/>
        </w:trPr>
        <w:tc>
          <w:tcPr>
            <w:tcW w:w="5000" w:type="pct"/>
            <w:tcBorders>
              <w:top w:val="single" w:sz="6" w:space="0" w:color="78A22F"/>
              <w:left w:val="nil"/>
              <w:bottom w:val="nil"/>
              <w:right w:val="nil"/>
            </w:tcBorders>
            <w:shd w:val="clear" w:color="auto" w:fill="F2F2F2"/>
          </w:tcPr>
          <w:p w14:paraId="3BDFFA38" w14:textId="77777777" w:rsidR="009C6940" w:rsidRDefault="009C6940" w:rsidP="009C6940">
            <w:pPr>
              <w:pStyle w:val="BoxTitle"/>
            </w:pPr>
            <w:r>
              <w:rPr>
                <w:b w:val="0"/>
              </w:rPr>
              <w:t>Box H.4</w:t>
            </w:r>
            <w:r>
              <w:tab/>
              <w:t>Willingness to pay and human capital approaches to valuing human life</w:t>
            </w:r>
          </w:p>
        </w:tc>
      </w:tr>
      <w:tr w:rsidR="009C6940" w14:paraId="0477D6B4" w14:textId="77777777" w:rsidTr="009C6940">
        <w:tc>
          <w:tcPr>
            <w:tcW w:w="5000" w:type="pct"/>
            <w:tcBorders>
              <w:top w:val="nil"/>
              <w:left w:val="nil"/>
              <w:bottom w:val="nil"/>
              <w:right w:val="nil"/>
            </w:tcBorders>
            <w:shd w:val="clear" w:color="auto" w:fill="F2F2F2"/>
          </w:tcPr>
          <w:p w14:paraId="7D27AFD9" w14:textId="77777777" w:rsidR="009C6940" w:rsidRDefault="009C6940" w:rsidP="009C6940">
            <w:pPr>
              <w:pStyle w:val="BoxHeading1"/>
            </w:pPr>
            <w:r>
              <w:t>Willingness to pay</w:t>
            </w:r>
          </w:p>
          <w:p w14:paraId="76920766" w14:textId="77777777" w:rsidR="009C6940" w:rsidRDefault="009C6940" w:rsidP="009C6940">
            <w:pPr>
              <w:pStyle w:val="Box"/>
            </w:pPr>
            <w:r>
              <w:t>The willingness</w:t>
            </w:r>
            <w:r>
              <w:noBreakHyphen/>
              <w:t>to</w:t>
            </w:r>
            <w:r>
              <w:noBreakHyphen/>
              <w:t xml:space="preserve">pay (WTP) approach estimates the value of life in terms of the amount of money that people are prepared to pay to reduce risks to their own lives (this is the value to the individual </w:t>
            </w:r>
            <w:r>
              <w:rPr>
                <w:i/>
                <w:iCs/>
              </w:rPr>
              <w:t xml:space="preserve">prior </w:t>
            </w:r>
            <w:r>
              <w:t>to any negative outcomes). In other words, the WTP approach attempts to capture trade</w:t>
            </w:r>
            <w:r>
              <w:noBreakHyphen/>
              <w:t>offs between individual wealth and small reductions in risk. Conceptually, the advantage of the WTP approach is that it tries to reflect people’s preferences. The methods typically used to determine people’s preferences are studies of revealed preference (such as wage risk studies and studies of consumer behaviour) and stated preference surveys.</w:t>
            </w:r>
          </w:p>
          <w:p w14:paraId="5B32BFBA" w14:textId="77777777" w:rsidR="009C6940" w:rsidRDefault="009C6940" w:rsidP="009C6940">
            <w:pPr>
              <w:pStyle w:val="Box"/>
            </w:pPr>
            <w:r>
              <w:t>However it can be difficult to effectively capture people’s preferences, for several reasons.</w:t>
            </w:r>
          </w:p>
          <w:p w14:paraId="44F21D29" w14:textId="77777777" w:rsidR="009C6940" w:rsidRDefault="009C6940" w:rsidP="009C6940">
            <w:pPr>
              <w:pStyle w:val="BoxListBullet"/>
            </w:pPr>
            <w:r>
              <w:t>People participating in WTP surveys often have difficulties in valuing small differences in risks.</w:t>
            </w:r>
          </w:p>
          <w:p w14:paraId="17557887" w14:textId="77777777" w:rsidR="009C6940" w:rsidRDefault="009C6940" w:rsidP="009C6940">
            <w:pPr>
              <w:pStyle w:val="BoxListBullet"/>
            </w:pPr>
            <w:r>
              <w:t>Individuals often have different perceptions of risk.</w:t>
            </w:r>
          </w:p>
          <w:p w14:paraId="44FD8339" w14:textId="77777777" w:rsidR="009C6940" w:rsidRDefault="009C6940" w:rsidP="009C6940">
            <w:pPr>
              <w:pStyle w:val="BoxListBullet"/>
            </w:pPr>
            <w:r>
              <w:t xml:space="preserve">There are also differences in people’s willingness and ability to pay. </w:t>
            </w:r>
          </w:p>
          <w:p w14:paraId="4C9FF3AE" w14:textId="77777777" w:rsidR="009C6940" w:rsidRDefault="009C6940" w:rsidP="009C6940">
            <w:pPr>
              <w:pStyle w:val="Box"/>
            </w:pPr>
            <w:r>
              <w:t>In using WTP to estimate costs associated with suicide, there is an implicit assumption that the value placed on an individual’s life is from the perspective of the community rather than the individual affected.</w:t>
            </w:r>
          </w:p>
          <w:p w14:paraId="2F54291D" w14:textId="77777777" w:rsidR="009C6940" w:rsidRDefault="009C6940" w:rsidP="009C6940">
            <w:pPr>
              <w:pStyle w:val="BoxHeading1"/>
            </w:pPr>
            <w:r>
              <w:t>Human capital</w:t>
            </w:r>
          </w:p>
          <w:p w14:paraId="4AB9FB47" w14:textId="77777777" w:rsidR="009C6940" w:rsidRDefault="009C6940" w:rsidP="009C6940">
            <w:pPr>
              <w:pStyle w:val="Box"/>
            </w:pPr>
            <w:r>
              <w:t>The human capital approach estimates the expected value to society of forgone output on an ex</w:t>
            </w:r>
            <w:r>
              <w:noBreakHyphen/>
              <w:t>post basis. The output in this context refers to the forgone economic contribution to society from both workplace and household participation, from the age at which premature death occurs to the end of the expected natural life. Implicit in this approach is the concept of a ‘productive life’.</w:t>
            </w:r>
          </w:p>
          <w:p w14:paraId="5BE9A00B" w14:textId="77777777" w:rsidR="009C6940" w:rsidRDefault="009C6940" w:rsidP="009C6940">
            <w:pPr>
              <w:pStyle w:val="Box"/>
            </w:pPr>
            <w:r>
              <w:t xml:space="preserve">This approach has several advantages, in that it provides a transparent value that is relatively straightforward to estimate, while also reflecting age and gender differences in the loss of output. </w:t>
            </w:r>
          </w:p>
          <w:p w14:paraId="2CADAA40" w14:textId="77777777" w:rsidR="009C6940" w:rsidRDefault="009C6940" w:rsidP="009C6940">
            <w:pPr>
              <w:pStyle w:val="Box"/>
            </w:pPr>
            <w:r>
              <w:t>However, there are a number of conceptual problems with the human capital approach.</w:t>
            </w:r>
          </w:p>
          <w:p w14:paraId="1D693471" w14:textId="77777777" w:rsidR="009C6940" w:rsidRDefault="009C6940" w:rsidP="009C6940">
            <w:pPr>
              <w:pStyle w:val="BoxListBullet"/>
            </w:pPr>
            <w:r>
              <w:t xml:space="preserve">Given the focus on productive output as the indicator of value, this approach explicitly values the lives of working people above those who are not working. </w:t>
            </w:r>
          </w:p>
          <w:p w14:paraId="680D88B3" w14:textId="77777777" w:rsidR="009C6940" w:rsidRPr="004C0A6F" w:rsidRDefault="009C6940" w:rsidP="009C6940">
            <w:pPr>
              <w:pStyle w:val="BoxListBullet"/>
              <w:rPr>
                <w:spacing w:val="-2"/>
              </w:rPr>
            </w:pPr>
            <w:r w:rsidRPr="004C0A6F">
              <w:rPr>
                <w:spacing w:val="-2"/>
              </w:rPr>
              <w:t>Similarly, it does not take into account the value that people place on their non</w:t>
            </w:r>
            <w:r w:rsidRPr="004C0A6F">
              <w:rPr>
                <w:spacing w:val="-2"/>
              </w:rPr>
              <w:noBreakHyphen/>
              <w:t>working (leisure) time, and the non</w:t>
            </w:r>
            <w:r w:rsidRPr="004C0A6F">
              <w:rPr>
                <w:spacing w:val="-2"/>
              </w:rPr>
              <w:noBreakHyphen/>
              <w:t>pecuniary benefits that people would have enjoyed if they were not working.</w:t>
            </w:r>
          </w:p>
          <w:p w14:paraId="6A4216F6" w14:textId="77777777" w:rsidR="009C6940" w:rsidRDefault="009C6940" w:rsidP="009C6940">
            <w:pPr>
              <w:pStyle w:val="Box"/>
            </w:pPr>
            <w:r>
              <w:t>While there are conceptual problems in using the human capital approach to estimate costs of fatal suicides, it is considered a reasonable approach to quantifying the cost to society of the foregone outputs that result from non</w:t>
            </w:r>
            <w:r>
              <w:noBreakHyphen/>
              <w:t>fatal suicide behaviour.</w:t>
            </w:r>
          </w:p>
        </w:tc>
      </w:tr>
      <w:tr w:rsidR="009C6940" w14:paraId="0117D99E" w14:textId="77777777" w:rsidTr="009C6940">
        <w:tc>
          <w:tcPr>
            <w:tcW w:w="5000" w:type="pct"/>
            <w:tcBorders>
              <w:top w:val="nil"/>
              <w:left w:val="nil"/>
              <w:bottom w:val="nil"/>
              <w:right w:val="nil"/>
            </w:tcBorders>
            <w:shd w:val="clear" w:color="auto" w:fill="F2F2F2"/>
          </w:tcPr>
          <w:p w14:paraId="04746A1F" w14:textId="77777777" w:rsidR="009C6940" w:rsidRDefault="009C6940" w:rsidP="009C6940">
            <w:pPr>
              <w:pStyle w:val="BoxSource"/>
            </w:pPr>
            <w:r>
              <w:rPr>
                <w:i/>
              </w:rPr>
              <w:t>Source</w:t>
            </w:r>
            <w:r w:rsidRPr="00167F06">
              <w:t xml:space="preserve">: </w:t>
            </w:r>
            <w:r>
              <w:t xml:space="preserve">BITRE </w:t>
            </w:r>
            <w:r w:rsidRPr="009816FF">
              <w:rPr>
                <w:rFonts w:cs="Arial"/>
              </w:rPr>
              <w:t>(2009)</w:t>
            </w:r>
            <w:r>
              <w:t xml:space="preserve">; Mendoza and Rosenberg </w:t>
            </w:r>
            <w:r w:rsidRPr="009816FF">
              <w:rPr>
                <w:rFonts w:cs="Arial"/>
              </w:rPr>
              <w:t>(2010)</w:t>
            </w:r>
            <w:r>
              <w:t>.</w:t>
            </w:r>
          </w:p>
        </w:tc>
      </w:tr>
      <w:tr w:rsidR="009C6940" w14:paraId="3BEF9FE9" w14:textId="77777777" w:rsidTr="009C6940">
        <w:tc>
          <w:tcPr>
            <w:tcW w:w="5000" w:type="pct"/>
            <w:tcBorders>
              <w:top w:val="nil"/>
              <w:left w:val="nil"/>
              <w:bottom w:val="single" w:sz="6" w:space="0" w:color="78A22F"/>
              <w:right w:val="nil"/>
            </w:tcBorders>
            <w:shd w:val="clear" w:color="auto" w:fill="F2F2F2"/>
          </w:tcPr>
          <w:p w14:paraId="0B043847" w14:textId="77777777" w:rsidR="009C6940" w:rsidRDefault="009C6940" w:rsidP="009C6940">
            <w:pPr>
              <w:pStyle w:val="Box"/>
              <w:spacing w:before="0" w:line="120" w:lineRule="exact"/>
            </w:pPr>
          </w:p>
        </w:tc>
      </w:tr>
      <w:tr w:rsidR="009C6940" w:rsidRPr="000863A5" w14:paraId="2A3C8BA7" w14:textId="77777777" w:rsidTr="009C6940">
        <w:tc>
          <w:tcPr>
            <w:tcW w:w="5000" w:type="pct"/>
            <w:tcBorders>
              <w:top w:val="single" w:sz="6" w:space="0" w:color="78A22F"/>
              <w:left w:val="nil"/>
              <w:bottom w:val="nil"/>
              <w:right w:val="nil"/>
            </w:tcBorders>
          </w:tcPr>
          <w:p w14:paraId="72D681C0" w14:textId="77777777" w:rsidR="009C6940" w:rsidRPr="00626D32" w:rsidRDefault="009C6940" w:rsidP="009C6940">
            <w:pPr>
              <w:pStyle w:val="BoxSpaceBelow"/>
            </w:pPr>
          </w:p>
        </w:tc>
      </w:tr>
    </w:tbl>
    <w:p w14:paraId="6FC64488" w14:textId="77777777" w:rsidR="009C6940" w:rsidRDefault="009C6940" w:rsidP="009C6940">
      <w:pPr>
        <w:pStyle w:val="BoxSpaceBelow"/>
      </w:pPr>
    </w:p>
    <w:p w14:paraId="243FFE75" w14:textId="77777777" w:rsidR="009C6940" w:rsidRPr="00882D8D" w:rsidRDefault="009C6940" w:rsidP="009C6940">
      <w:pPr>
        <w:pStyle w:val="BodyText"/>
        <w:pageBreakBefore/>
      </w:pPr>
      <w:r w:rsidRPr="00882D8D">
        <w:lastRenderedPageBreak/>
        <w:t>Costs directly incurred as a result of fatal and non</w:t>
      </w:r>
      <w:r>
        <w:noBreakHyphen/>
      </w:r>
      <w:r w:rsidRPr="00882D8D">
        <w:t>fatal suicide behaviour include:</w:t>
      </w:r>
    </w:p>
    <w:p w14:paraId="46119B75" w14:textId="77777777" w:rsidR="009C6940" w:rsidRPr="00882D8D" w:rsidRDefault="009C6940" w:rsidP="009C6940">
      <w:pPr>
        <w:pStyle w:val="ListBullet"/>
      </w:pPr>
      <w:r w:rsidRPr="00882D8D">
        <w:t>the cost of medical treatment, which varies by according to the level of sev</w:t>
      </w:r>
      <w:r>
        <w:t>erity of the injury experienced</w:t>
      </w:r>
    </w:p>
    <w:p w14:paraId="2C859FE3" w14:textId="77777777" w:rsidR="009C6940" w:rsidRPr="00882D8D" w:rsidRDefault="009C6940" w:rsidP="009C6940">
      <w:pPr>
        <w:pStyle w:val="ListBullet"/>
      </w:pPr>
      <w:r w:rsidRPr="00882D8D">
        <w:t>administrative costs, including the costs of investigating an incident, travel to medical support and funeral costs (funeral costs are brought forward by suicide fatality)</w:t>
      </w:r>
    </w:p>
    <w:p w14:paraId="1D538CC7" w14:textId="77777777" w:rsidR="009C6940" w:rsidRDefault="009C6940" w:rsidP="009C6940">
      <w:pPr>
        <w:pStyle w:val="ListBullet"/>
      </w:pPr>
      <w:r w:rsidRPr="00882D8D">
        <w:t>a range of other costs, including the cost of carers, aids, modifications, counselling and bereavement support for those affected by suicide fatalities.</w:t>
      </w:r>
    </w:p>
    <w:p w14:paraId="294C6272" w14:textId="77777777" w:rsidR="009C6940" w:rsidRPr="00882D8D" w:rsidRDefault="009C6940" w:rsidP="009C6940">
      <w:pPr>
        <w:pStyle w:val="BodyText"/>
      </w:pPr>
      <w:r w:rsidRPr="0062472D">
        <w:t xml:space="preserve">The </w:t>
      </w:r>
      <w:r>
        <w:t xml:space="preserve">Productivity </w:t>
      </w:r>
      <w:r w:rsidRPr="0062472D">
        <w:t xml:space="preserve">Commission used average costs estimated by Kinchin and Doran </w:t>
      </w:r>
      <w:r w:rsidRPr="00B362E0">
        <w:t>(2017)</w:t>
      </w:r>
      <w:r>
        <w:t xml:space="preserve"> </w:t>
      </w:r>
      <w:r w:rsidRPr="0062472D">
        <w:t xml:space="preserve">and inflated the costs to 2018 dollars using the CPI. </w:t>
      </w:r>
      <w:r>
        <w:t>Key assumptions and parameters are presented in table H.7, while a</w:t>
      </w:r>
      <w:r w:rsidRPr="0062472D">
        <w:t xml:space="preserve">verage and total costs are summarised in table </w:t>
      </w:r>
      <w:r>
        <w:t>H.8.</w:t>
      </w:r>
    </w:p>
    <w:p w14:paraId="72697312"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rsidRPr="000E1825" w14:paraId="401ADE6C" w14:textId="77777777" w:rsidTr="009C6940">
        <w:trPr>
          <w:tblHeader/>
        </w:trPr>
        <w:tc>
          <w:tcPr>
            <w:tcW w:w="5000" w:type="pct"/>
            <w:tcBorders>
              <w:top w:val="single" w:sz="6" w:space="0" w:color="78A22F"/>
              <w:left w:val="nil"/>
              <w:bottom w:val="nil"/>
              <w:right w:val="nil"/>
            </w:tcBorders>
            <w:shd w:val="clear" w:color="auto" w:fill="auto"/>
          </w:tcPr>
          <w:p w14:paraId="52707A91" w14:textId="77777777" w:rsidR="009C6940" w:rsidRPr="00D84B76" w:rsidRDefault="009C6940" w:rsidP="009C6940">
            <w:pPr>
              <w:keepNext/>
              <w:keepLines/>
              <w:spacing w:before="120" w:after="80" w:line="280" w:lineRule="exact"/>
              <w:ind w:left="1474" w:hanging="1474"/>
              <w:rPr>
                <w:rFonts w:ascii="Arial" w:hAnsi="Arial"/>
                <w:b/>
              </w:rPr>
            </w:pPr>
            <w:r w:rsidRPr="000E1825">
              <w:rPr>
                <w:rFonts w:ascii="Arial" w:hAnsi="Arial"/>
              </w:rPr>
              <w:t xml:space="preserve">Table </w:t>
            </w:r>
            <w:r>
              <w:rPr>
                <w:rFonts w:ascii="Arial" w:hAnsi="Arial"/>
              </w:rPr>
              <w:t>H.</w:t>
            </w:r>
            <w:r>
              <w:rPr>
                <w:rFonts w:ascii="Arial" w:hAnsi="Arial"/>
                <w:noProof/>
              </w:rPr>
              <w:t>7</w:t>
            </w:r>
            <w:r w:rsidRPr="000E1825">
              <w:rPr>
                <w:rFonts w:ascii="Arial" w:hAnsi="Arial"/>
                <w:b/>
              </w:rPr>
              <w:tab/>
              <w:t>Summary o</w:t>
            </w:r>
            <w:r>
              <w:rPr>
                <w:rFonts w:ascii="Arial" w:hAnsi="Arial"/>
                <w:b/>
              </w:rPr>
              <w:t>f key assumptions and estimates</w:t>
            </w:r>
          </w:p>
        </w:tc>
      </w:tr>
      <w:tr w:rsidR="009C6940" w:rsidRPr="000E1825" w14:paraId="55AE9EFA"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51"/>
              <w:gridCol w:w="870"/>
              <w:gridCol w:w="5084"/>
            </w:tblGrid>
            <w:tr w:rsidR="009C6940" w:rsidRPr="000E1825" w14:paraId="6FAEC09C" w14:textId="77777777" w:rsidTr="009C6940">
              <w:trPr>
                <w:tblHeader/>
              </w:trPr>
              <w:tc>
                <w:tcPr>
                  <w:tcW w:w="1500" w:type="pct"/>
                  <w:tcBorders>
                    <w:top w:val="single" w:sz="6" w:space="0" w:color="BFBFBF"/>
                    <w:bottom w:val="single" w:sz="6" w:space="0" w:color="BFBFBF"/>
                  </w:tcBorders>
                  <w:shd w:val="clear" w:color="auto" w:fill="auto"/>
                  <w:tcMar>
                    <w:top w:w="28" w:type="dxa"/>
                  </w:tcMar>
                </w:tcPr>
                <w:p w14:paraId="61D3B597" w14:textId="77777777" w:rsidR="009C6940" w:rsidRPr="000E1825" w:rsidRDefault="009C6940" w:rsidP="009C6940">
                  <w:pPr>
                    <w:keepNext/>
                    <w:keepLines/>
                    <w:spacing w:before="80" w:after="80" w:line="200" w:lineRule="atLeast"/>
                    <w:ind w:left="6" w:right="113"/>
                    <w:rPr>
                      <w:rFonts w:ascii="Arial" w:hAnsi="Arial"/>
                      <w:i/>
                      <w:sz w:val="18"/>
                      <w:szCs w:val="20"/>
                    </w:rPr>
                  </w:pPr>
                  <w:r w:rsidRPr="000E1825">
                    <w:rPr>
                      <w:rFonts w:ascii="Arial" w:hAnsi="Arial"/>
                      <w:i/>
                      <w:sz w:val="18"/>
                      <w:szCs w:val="20"/>
                    </w:rPr>
                    <w:t>Description</w:t>
                  </w:r>
                </w:p>
              </w:tc>
              <w:tc>
                <w:tcPr>
                  <w:tcW w:w="511" w:type="pct"/>
                  <w:tcBorders>
                    <w:top w:val="single" w:sz="6" w:space="0" w:color="BFBFBF"/>
                    <w:bottom w:val="single" w:sz="6" w:space="0" w:color="BFBFBF"/>
                  </w:tcBorders>
                </w:tcPr>
                <w:p w14:paraId="11EA5253" w14:textId="77777777" w:rsidR="009C6940" w:rsidRPr="000E1825" w:rsidRDefault="009C6940" w:rsidP="009C6940">
                  <w:pPr>
                    <w:keepNext/>
                    <w:keepLines/>
                    <w:spacing w:before="80" w:after="80" w:line="200" w:lineRule="atLeast"/>
                    <w:ind w:left="6" w:right="113"/>
                    <w:jc w:val="right"/>
                    <w:rPr>
                      <w:rFonts w:ascii="Arial" w:hAnsi="Arial"/>
                      <w:i/>
                      <w:sz w:val="18"/>
                      <w:szCs w:val="20"/>
                    </w:rPr>
                  </w:pPr>
                  <w:r w:rsidRPr="000E1825">
                    <w:rPr>
                      <w:rFonts w:ascii="Arial" w:hAnsi="Arial"/>
                      <w:i/>
                      <w:sz w:val="18"/>
                      <w:szCs w:val="20"/>
                    </w:rPr>
                    <w:t>Estimate</w:t>
                  </w:r>
                </w:p>
              </w:tc>
              <w:tc>
                <w:tcPr>
                  <w:tcW w:w="2989" w:type="pct"/>
                  <w:tcBorders>
                    <w:top w:val="single" w:sz="6" w:space="0" w:color="BFBFBF"/>
                    <w:bottom w:val="single" w:sz="6" w:space="0" w:color="BFBFBF"/>
                  </w:tcBorders>
                  <w:shd w:val="clear" w:color="auto" w:fill="auto"/>
                  <w:tcMar>
                    <w:top w:w="28" w:type="dxa"/>
                  </w:tcMar>
                </w:tcPr>
                <w:p w14:paraId="65650647" w14:textId="77777777" w:rsidR="009C6940" w:rsidRPr="000E1825" w:rsidRDefault="009C6940" w:rsidP="009C6940">
                  <w:pPr>
                    <w:keepNext/>
                    <w:keepLines/>
                    <w:spacing w:before="80" w:after="80" w:line="200" w:lineRule="atLeast"/>
                    <w:ind w:left="227" w:right="28"/>
                    <w:rPr>
                      <w:rFonts w:ascii="Arial" w:hAnsi="Arial"/>
                      <w:i/>
                      <w:sz w:val="18"/>
                      <w:szCs w:val="20"/>
                    </w:rPr>
                  </w:pPr>
                  <w:r w:rsidRPr="000E1825">
                    <w:rPr>
                      <w:rFonts w:ascii="Arial" w:hAnsi="Arial"/>
                      <w:i/>
                      <w:sz w:val="18"/>
                      <w:szCs w:val="20"/>
                    </w:rPr>
                    <w:t>Source</w:t>
                  </w:r>
                </w:p>
              </w:tc>
            </w:tr>
            <w:tr w:rsidR="009C6940" w:rsidRPr="000E1825" w14:paraId="26B4FF0F" w14:textId="77777777" w:rsidTr="009C6940">
              <w:tc>
                <w:tcPr>
                  <w:tcW w:w="1500" w:type="pct"/>
                  <w:tcBorders>
                    <w:top w:val="single" w:sz="6" w:space="0" w:color="BFBFBF"/>
                  </w:tcBorders>
                  <w:shd w:val="clear" w:color="auto" w:fill="F2F2F2" w:themeFill="background1" w:themeFillShade="F2"/>
                </w:tcPr>
                <w:p w14:paraId="1E201351" w14:textId="77777777" w:rsidR="009C6940" w:rsidRPr="00176CD3" w:rsidRDefault="009C6940" w:rsidP="009C6940">
                  <w:pPr>
                    <w:keepNext/>
                    <w:keepLines/>
                    <w:spacing w:before="40" w:after="40" w:line="200" w:lineRule="atLeast"/>
                    <w:ind w:left="6" w:right="113"/>
                    <w:rPr>
                      <w:rFonts w:ascii="Arial" w:hAnsi="Arial"/>
                      <w:b/>
                      <w:sz w:val="18"/>
                      <w:szCs w:val="20"/>
                    </w:rPr>
                  </w:pPr>
                  <w:r>
                    <w:rPr>
                      <w:rFonts w:ascii="Arial" w:hAnsi="Arial"/>
                      <w:b/>
                      <w:sz w:val="18"/>
                      <w:szCs w:val="20"/>
                    </w:rPr>
                    <w:t>Suicide</w:t>
                  </w:r>
                </w:p>
              </w:tc>
              <w:tc>
                <w:tcPr>
                  <w:tcW w:w="511" w:type="pct"/>
                  <w:tcBorders>
                    <w:top w:val="single" w:sz="6" w:space="0" w:color="BFBFBF"/>
                  </w:tcBorders>
                  <w:shd w:val="clear" w:color="auto" w:fill="F2F2F2" w:themeFill="background1" w:themeFillShade="F2"/>
                </w:tcPr>
                <w:p w14:paraId="4F91BA9B" w14:textId="77777777" w:rsidR="009C6940" w:rsidRDefault="009C6940" w:rsidP="009C6940">
                  <w:pPr>
                    <w:keepNext/>
                    <w:keepLines/>
                    <w:spacing w:before="40" w:after="40" w:line="200" w:lineRule="atLeast"/>
                    <w:ind w:left="6" w:right="113"/>
                    <w:jc w:val="right"/>
                    <w:rPr>
                      <w:rFonts w:ascii="Arial" w:hAnsi="Arial"/>
                      <w:sz w:val="18"/>
                      <w:szCs w:val="20"/>
                    </w:rPr>
                  </w:pPr>
                </w:p>
              </w:tc>
              <w:tc>
                <w:tcPr>
                  <w:tcW w:w="2989" w:type="pct"/>
                  <w:tcBorders>
                    <w:top w:val="single" w:sz="6" w:space="0" w:color="BFBFBF"/>
                  </w:tcBorders>
                  <w:shd w:val="clear" w:color="auto" w:fill="F2F2F2" w:themeFill="background1" w:themeFillShade="F2"/>
                </w:tcPr>
                <w:p w14:paraId="24B09E48" w14:textId="77777777" w:rsidR="009C6940" w:rsidRDefault="009C6940" w:rsidP="009C6940">
                  <w:pPr>
                    <w:keepNext/>
                    <w:keepLines/>
                    <w:spacing w:before="40" w:after="40" w:line="200" w:lineRule="atLeast"/>
                    <w:ind w:left="227" w:right="113"/>
                    <w:rPr>
                      <w:rFonts w:ascii="Arial" w:hAnsi="Arial"/>
                      <w:sz w:val="18"/>
                      <w:szCs w:val="20"/>
                    </w:rPr>
                  </w:pPr>
                </w:p>
              </w:tc>
            </w:tr>
            <w:tr w:rsidR="009C6940" w:rsidRPr="000E1825" w14:paraId="70CC3D28" w14:textId="77777777" w:rsidTr="009C6940">
              <w:tc>
                <w:tcPr>
                  <w:tcW w:w="1500" w:type="pct"/>
                </w:tcPr>
                <w:p w14:paraId="08A9A032" w14:textId="77777777" w:rsidR="009C6940" w:rsidRPr="00176CD3" w:rsidRDefault="009C6940" w:rsidP="009C6940">
                  <w:pPr>
                    <w:keepNext/>
                    <w:keepLines/>
                    <w:spacing w:before="40" w:after="40" w:line="200" w:lineRule="atLeast"/>
                    <w:ind w:left="6" w:right="113"/>
                    <w:rPr>
                      <w:rFonts w:ascii="Arial" w:hAnsi="Arial"/>
                      <w:sz w:val="18"/>
                      <w:szCs w:val="20"/>
                    </w:rPr>
                  </w:pPr>
                  <w:r w:rsidRPr="00176CD3">
                    <w:rPr>
                      <w:rFonts w:ascii="Arial" w:hAnsi="Arial"/>
                      <w:sz w:val="18"/>
                      <w:szCs w:val="20"/>
                    </w:rPr>
                    <w:t xml:space="preserve">Years of life lost due to suicide </w:t>
                  </w:r>
                </w:p>
              </w:tc>
              <w:tc>
                <w:tcPr>
                  <w:tcW w:w="511" w:type="pct"/>
                </w:tcPr>
                <w:p w14:paraId="6E73450D" w14:textId="77777777" w:rsidR="009C6940" w:rsidRPr="000E1825" w:rsidRDefault="009C6940" w:rsidP="009C6940">
                  <w:pPr>
                    <w:keepNext/>
                    <w:keepLines/>
                    <w:spacing w:before="40" w:after="40" w:line="200" w:lineRule="atLeast"/>
                    <w:ind w:left="6" w:right="113"/>
                    <w:jc w:val="right"/>
                    <w:rPr>
                      <w:rFonts w:ascii="Arial" w:hAnsi="Arial"/>
                      <w:sz w:val="18"/>
                      <w:szCs w:val="20"/>
                    </w:rPr>
                  </w:pPr>
                  <w:r>
                    <w:rPr>
                      <w:rFonts w:ascii="Arial" w:hAnsi="Arial"/>
                      <w:sz w:val="18"/>
                      <w:szCs w:val="20"/>
                    </w:rPr>
                    <w:t>134 133</w:t>
                  </w:r>
                </w:p>
              </w:tc>
              <w:tc>
                <w:tcPr>
                  <w:tcW w:w="2989" w:type="pct"/>
                </w:tcPr>
                <w:p w14:paraId="572CE7FA" w14:textId="77777777" w:rsidR="009C6940" w:rsidRPr="000E1825" w:rsidRDefault="009C6940" w:rsidP="009C6940">
                  <w:pPr>
                    <w:keepNext/>
                    <w:keepLines/>
                    <w:spacing w:before="40" w:after="40" w:line="200" w:lineRule="atLeast"/>
                    <w:ind w:left="227" w:right="113"/>
                    <w:rPr>
                      <w:rFonts w:ascii="Arial" w:hAnsi="Arial"/>
                      <w:sz w:val="18"/>
                      <w:szCs w:val="20"/>
                    </w:rPr>
                  </w:pPr>
                  <w:r>
                    <w:rPr>
                      <w:rFonts w:ascii="Arial" w:hAnsi="Arial"/>
                      <w:sz w:val="18"/>
                      <w:szCs w:val="20"/>
                    </w:rPr>
                    <w:t>AIHW (</w:t>
                  </w:r>
                  <w:r w:rsidRPr="00176CD3">
                    <w:rPr>
                      <w:rFonts w:ascii="Arial" w:hAnsi="Arial"/>
                      <w:sz w:val="18"/>
                      <w:szCs w:val="20"/>
                    </w:rPr>
                    <w:t>A</w:t>
                  </w:r>
                  <w:r w:rsidRPr="00EA0946">
                    <w:rPr>
                      <w:rFonts w:ascii="Arial" w:hAnsi="Arial"/>
                      <w:i/>
                      <w:sz w:val="18"/>
                      <w:szCs w:val="20"/>
                    </w:rPr>
                    <w:t>ustralian Burden of Disease Study: impact and causes of illness and death in A</w:t>
                  </w:r>
                  <w:r w:rsidRPr="00F92C6C">
                    <w:rPr>
                      <w:rFonts w:ascii="Arial" w:hAnsi="Arial"/>
                      <w:i/>
                      <w:sz w:val="18"/>
                      <w:szCs w:val="20"/>
                    </w:rPr>
                    <w:t>ustralia 2015</w:t>
                  </w:r>
                  <w:r>
                    <w:rPr>
                      <w:rFonts w:ascii="Arial" w:hAnsi="Arial"/>
                      <w:sz w:val="18"/>
                      <w:szCs w:val="20"/>
                    </w:rPr>
                    <w:t xml:space="preserve">) </w:t>
                  </w:r>
                  <w:r w:rsidRPr="007F7BD0">
                    <w:rPr>
                      <w:rFonts w:ascii="Arial" w:hAnsi="Arial" w:cs="Arial"/>
                      <w:sz w:val="18"/>
                    </w:rPr>
                    <w:t>(AIHW 2019a)</w:t>
                  </w:r>
                </w:p>
              </w:tc>
            </w:tr>
            <w:tr w:rsidR="009C6940" w:rsidRPr="000E1825" w14:paraId="65CFA9D4" w14:textId="77777777" w:rsidTr="009C6940">
              <w:tc>
                <w:tcPr>
                  <w:tcW w:w="1500" w:type="pct"/>
                  <w:shd w:val="clear" w:color="auto" w:fill="F2F2F2" w:themeFill="background1" w:themeFillShade="F2"/>
                </w:tcPr>
                <w:p w14:paraId="6653117A" w14:textId="77777777" w:rsidR="009C6940" w:rsidRPr="000E1825" w:rsidRDefault="009C6940" w:rsidP="009C6940">
                  <w:pPr>
                    <w:keepNext/>
                    <w:keepLines/>
                    <w:spacing w:after="40" w:line="200" w:lineRule="atLeast"/>
                    <w:ind w:left="6" w:right="113"/>
                    <w:rPr>
                      <w:rFonts w:ascii="Arial" w:hAnsi="Arial"/>
                      <w:b/>
                      <w:sz w:val="18"/>
                      <w:szCs w:val="20"/>
                    </w:rPr>
                  </w:pPr>
                  <w:r w:rsidRPr="000E1825">
                    <w:rPr>
                      <w:rFonts w:ascii="Arial" w:hAnsi="Arial"/>
                      <w:b/>
                      <w:sz w:val="18"/>
                      <w:szCs w:val="20"/>
                    </w:rPr>
                    <w:t>Non</w:t>
                  </w:r>
                  <w:r w:rsidRPr="000E1825">
                    <w:rPr>
                      <w:rFonts w:ascii="Arial" w:hAnsi="Arial"/>
                      <w:b/>
                      <w:sz w:val="18"/>
                      <w:szCs w:val="20"/>
                    </w:rPr>
                    <w:noBreakHyphen/>
                    <w:t>fatal suicide attempts</w:t>
                  </w:r>
                </w:p>
              </w:tc>
              <w:tc>
                <w:tcPr>
                  <w:tcW w:w="500" w:type="pct"/>
                  <w:shd w:val="clear" w:color="auto" w:fill="F2F2F2" w:themeFill="background1" w:themeFillShade="F2"/>
                </w:tcPr>
                <w:p w14:paraId="1BD26F88" w14:textId="77777777" w:rsidR="009C6940" w:rsidRPr="000E1825" w:rsidRDefault="009C6940" w:rsidP="009C6940">
                  <w:pPr>
                    <w:keepNext/>
                    <w:keepLines/>
                    <w:spacing w:after="40" w:line="200" w:lineRule="atLeast"/>
                    <w:ind w:left="6" w:right="113"/>
                    <w:jc w:val="right"/>
                    <w:rPr>
                      <w:rFonts w:ascii="Arial" w:hAnsi="Arial"/>
                      <w:sz w:val="18"/>
                      <w:szCs w:val="20"/>
                    </w:rPr>
                  </w:pPr>
                </w:p>
              </w:tc>
              <w:tc>
                <w:tcPr>
                  <w:tcW w:w="3000" w:type="pct"/>
                  <w:shd w:val="clear" w:color="auto" w:fill="F2F2F2" w:themeFill="background1" w:themeFillShade="F2"/>
                </w:tcPr>
                <w:p w14:paraId="730D71B2" w14:textId="77777777" w:rsidR="009C6940" w:rsidRPr="000E1825" w:rsidRDefault="009C6940" w:rsidP="009C6940">
                  <w:pPr>
                    <w:keepNext/>
                    <w:keepLines/>
                    <w:spacing w:after="40" w:line="200" w:lineRule="atLeast"/>
                    <w:ind w:left="227" w:right="113"/>
                    <w:rPr>
                      <w:rFonts w:ascii="Arial" w:hAnsi="Arial"/>
                      <w:sz w:val="18"/>
                      <w:szCs w:val="20"/>
                    </w:rPr>
                  </w:pPr>
                </w:p>
              </w:tc>
            </w:tr>
            <w:tr w:rsidR="009C6940" w:rsidRPr="000E1825" w14:paraId="464BA641" w14:textId="77777777" w:rsidTr="009C6940">
              <w:tc>
                <w:tcPr>
                  <w:tcW w:w="1500" w:type="pct"/>
                </w:tcPr>
                <w:p w14:paraId="6AB32712" w14:textId="77777777" w:rsidR="009C6940" w:rsidRPr="000E1825" w:rsidRDefault="009C6940" w:rsidP="009C6940">
                  <w:pPr>
                    <w:keepNext/>
                    <w:keepLines/>
                    <w:spacing w:after="40" w:line="200" w:lineRule="atLeast"/>
                    <w:ind w:left="6" w:right="113"/>
                    <w:rPr>
                      <w:rFonts w:ascii="Arial" w:hAnsi="Arial"/>
                      <w:sz w:val="18"/>
                      <w:szCs w:val="20"/>
                    </w:rPr>
                  </w:pPr>
                  <w:r w:rsidRPr="00176CD3">
                    <w:rPr>
                      <w:rFonts w:ascii="Arial" w:hAnsi="Arial"/>
                      <w:sz w:val="18"/>
                      <w:szCs w:val="20"/>
                    </w:rPr>
                    <w:t>Years of life lost due to disability</w:t>
                  </w:r>
                </w:p>
              </w:tc>
              <w:tc>
                <w:tcPr>
                  <w:tcW w:w="511" w:type="pct"/>
                </w:tcPr>
                <w:p w14:paraId="75EEBD72" w14:textId="77777777" w:rsidR="009C6940" w:rsidRPr="000E1825"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1241</w:t>
                  </w:r>
                </w:p>
              </w:tc>
              <w:tc>
                <w:tcPr>
                  <w:tcW w:w="2989" w:type="pct"/>
                </w:tcPr>
                <w:p w14:paraId="62E6AB6F" w14:textId="77777777" w:rsidR="009C6940" w:rsidRPr="000E1825" w:rsidRDefault="009C6940" w:rsidP="009C6940">
                  <w:pPr>
                    <w:keepNext/>
                    <w:keepLines/>
                    <w:spacing w:after="40" w:line="200" w:lineRule="atLeast"/>
                    <w:ind w:left="227" w:right="113"/>
                    <w:rPr>
                      <w:rFonts w:ascii="Arial" w:hAnsi="Arial"/>
                      <w:spacing w:val="-4"/>
                      <w:sz w:val="18"/>
                    </w:rPr>
                  </w:pPr>
                  <w:r>
                    <w:rPr>
                      <w:rFonts w:ascii="Arial" w:hAnsi="Arial"/>
                      <w:sz w:val="18"/>
                      <w:szCs w:val="20"/>
                    </w:rPr>
                    <w:t>AIHW (</w:t>
                  </w:r>
                  <w:r w:rsidRPr="00EA0946">
                    <w:rPr>
                      <w:rFonts w:ascii="Arial" w:hAnsi="Arial"/>
                      <w:i/>
                      <w:sz w:val="18"/>
                      <w:szCs w:val="20"/>
                    </w:rPr>
                    <w:t>Australian Burden of Disease Study: impact and causes of illness and death in Australia 2015</w:t>
                  </w:r>
                  <w:r>
                    <w:rPr>
                      <w:rFonts w:ascii="Arial" w:hAnsi="Arial"/>
                      <w:sz w:val="18"/>
                      <w:szCs w:val="20"/>
                    </w:rPr>
                    <w:t xml:space="preserve">) </w:t>
                  </w:r>
                  <w:r w:rsidRPr="009816FF">
                    <w:rPr>
                      <w:rFonts w:ascii="Arial" w:hAnsi="Arial" w:cs="Arial"/>
                      <w:sz w:val="18"/>
                    </w:rPr>
                    <w:t>(AIHW 2019a)</w:t>
                  </w:r>
                </w:p>
              </w:tc>
            </w:tr>
            <w:tr w:rsidR="009C6940" w:rsidRPr="000E1825" w14:paraId="2EB8649A" w14:textId="77777777" w:rsidTr="009C6940">
              <w:tc>
                <w:tcPr>
                  <w:tcW w:w="1500" w:type="pct"/>
                </w:tcPr>
                <w:p w14:paraId="5F35D8CA" w14:textId="77777777" w:rsidR="009C6940" w:rsidRPr="000E1825" w:rsidRDefault="009C6940" w:rsidP="009C6940">
                  <w:pPr>
                    <w:keepNext/>
                    <w:keepLines/>
                    <w:spacing w:after="40" w:line="200" w:lineRule="atLeast"/>
                    <w:ind w:left="6" w:right="113"/>
                    <w:rPr>
                      <w:rFonts w:ascii="Arial" w:hAnsi="Arial"/>
                      <w:sz w:val="18"/>
                      <w:szCs w:val="20"/>
                    </w:rPr>
                  </w:pPr>
                  <w:r w:rsidRPr="000E1825">
                    <w:rPr>
                      <w:rFonts w:ascii="Arial" w:hAnsi="Arial"/>
                      <w:sz w:val="18"/>
                      <w:szCs w:val="20"/>
                    </w:rPr>
                    <w:t>Number of suicide attempts</w:t>
                  </w:r>
                </w:p>
              </w:tc>
              <w:tc>
                <w:tcPr>
                  <w:tcW w:w="511" w:type="pct"/>
                </w:tcPr>
                <w:p w14:paraId="2FCA9AAB" w14:textId="77777777" w:rsidR="009C6940" w:rsidRPr="000E1825" w:rsidRDefault="009C6940" w:rsidP="009C6940">
                  <w:pPr>
                    <w:keepNext/>
                    <w:keepLines/>
                    <w:spacing w:after="40" w:line="200" w:lineRule="atLeast"/>
                    <w:ind w:left="6" w:right="113"/>
                    <w:jc w:val="right"/>
                    <w:rPr>
                      <w:rFonts w:ascii="Arial" w:hAnsi="Arial"/>
                      <w:sz w:val="18"/>
                      <w:szCs w:val="20"/>
                    </w:rPr>
                  </w:pPr>
                  <w:r w:rsidRPr="000E1825">
                    <w:rPr>
                      <w:rFonts w:ascii="Arial" w:hAnsi="Arial"/>
                      <w:sz w:val="18"/>
                      <w:szCs w:val="20"/>
                    </w:rPr>
                    <w:t>78 319</w:t>
                  </w:r>
                </w:p>
              </w:tc>
              <w:tc>
                <w:tcPr>
                  <w:tcW w:w="2989" w:type="pct"/>
                </w:tcPr>
                <w:p w14:paraId="0A9C716F" w14:textId="77777777" w:rsidR="009C6940" w:rsidRPr="000E1825" w:rsidRDefault="009C6940" w:rsidP="009C6940">
                  <w:pPr>
                    <w:keepNext/>
                    <w:keepLines/>
                    <w:spacing w:after="40" w:line="200" w:lineRule="atLeast"/>
                    <w:ind w:left="227" w:right="113"/>
                    <w:rPr>
                      <w:rFonts w:ascii="Arial" w:hAnsi="Arial"/>
                      <w:spacing w:val="-4"/>
                      <w:sz w:val="18"/>
                    </w:rPr>
                  </w:pPr>
                  <w:r w:rsidRPr="000E1825">
                    <w:rPr>
                      <w:rFonts w:ascii="Arial" w:hAnsi="Arial"/>
                      <w:spacing w:val="-4"/>
                      <w:sz w:val="18"/>
                    </w:rPr>
                    <w:t>ABS (</w:t>
                  </w:r>
                  <w:r w:rsidRPr="00563B49">
                    <w:rPr>
                      <w:rFonts w:ascii="Arial" w:hAnsi="Arial"/>
                      <w:i/>
                      <w:spacing w:val="-4"/>
                      <w:sz w:val="18"/>
                    </w:rPr>
                    <w:t>National Survey of Mental Health and Wellbeing, 2007</w:t>
                  </w:r>
                  <w:r w:rsidRPr="000E1825">
                    <w:rPr>
                      <w:rFonts w:ascii="Arial" w:hAnsi="Arial"/>
                      <w:spacing w:val="-4"/>
                      <w:sz w:val="18"/>
                    </w:rPr>
                    <w:t xml:space="preserve">, Cat. no. 4326.0), updated using population growth rate </w:t>
                  </w:r>
                </w:p>
              </w:tc>
            </w:tr>
            <w:tr w:rsidR="009C6940" w:rsidRPr="000E1825" w14:paraId="0BD483CB" w14:textId="77777777" w:rsidTr="009C6940">
              <w:tc>
                <w:tcPr>
                  <w:tcW w:w="1500" w:type="pct"/>
                </w:tcPr>
                <w:p w14:paraId="72F8210A" w14:textId="77777777" w:rsidR="009C6940" w:rsidRPr="000E1825" w:rsidRDefault="009C6940" w:rsidP="009C6940">
                  <w:pPr>
                    <w:keepNext/>
                    <w:keepLines/>
                    <w:spacing w:after="40" w:line="200" w:lineRule="atLeast"/>
                    <w:ind w:left="6" w:right="113"/>
                    <w:rPr>
                      <w:rFonts w:ascii="Arial" w:hAnsi="Arial"/>
                      <w:sz w:val="18"/>
                      <w:szCs w:val="20"/>
                    </w:rPr>
                  </w:pPr>
                  <w:r>
                    <w:rPr>
                      <w:rFonts w:ascii="Arial" w:hAnsi="Arial"/>
                      <w:sz w:val="18"/>
                      <w:szCs w:val="20"/>
                    </w:rPr>
                    <w:t>Hospitalisation rate (per 100 000 people)</w:t>
                  </w:r>
                </w:p>
              </w:tc>
              <w:tc>
                <w:tcPr>
                  <w:tcW w:w="511" w:type="pct"/>
                </w:tcPr>
                <w:p w14:paraId="34186635" w14:textId="77777777" w:rsidR="009C6940"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118.8</w:t>
                  </w:r>
                </w:p>
              </w:tc>
              <w:tc>
                <w:tcPr>
                  <w:tcW w:w="2989" w:type="pct"/>
                </w:tcPr>
                <w:p w14:paraId="2715D68C" w14:textId="77777777" w:rsidR="009C6940" w:rsidRDefault="009C6940" w:rsidP="009C6940">
                  <w:pPr>
                    <w:keepNext/>
                    <w:keepLines/>
                    <w:spacing w:after="40" w:line="200" w:lineRule="atLeast"/>
                    <w:ind w:left="227" w:right="113"/>
                    <w:rPr>
                      <w:rFonts w:ascii="Arial" w:hAnsi="Arial"/>
                      <w:sz w:val="18"/>
                      <w:szCs w:val="20"/>
                    </w:rPr>
                  </w:pPr>
                  <w:r>
                    <w:rPr>
                      <w:rFonts w:ascii="Arial" w:hAnsi="Arial"/>
                      <w:sz w:val="18"/>
                      <w:szCs w:val="20"/>
                    </w:rPr>
                    <w:t xml:space="preserve">Harrison and Henley </w:t>
                  </w:r>
                  <w:r w:rsidRPr="000F2E2B">
                    <w:rPr>
                      <w:rFonts w:ascii="Arial" w:hAnsi="Arial" w:cs="Arial"/>
                      <w:sz w:val="18"/>
                    </w:rPr>
                    <w:t>(2014)</w:t>
                  </w:r>
                </w:p>
              </w:tc>
            </w:tr>
            <w:tr w:rsidR="009C6940" w:rsidRPr="000E1825" w14:paraId="20C46D26" w14:textId="77777777" w:rsidTr="009C6940">
              <w:tc>
                <w:tcPr>
                  <w:tcW w:w="1500" w:type="pct"/>
                </w:tcPr>
                <w:p w14:paraId="72D0A86F" w14:textId="77777777" w:rsidR="009C6940" w:rsidRPr="000E1825" w:rsidRDefault="009C6940" w:rsidP="009C6940">
                  <w:pPr>
                    <w:keepNext/>
                    <w:keepLines/>
                    <w:spacing w:after="40" w:line="200" w:lineRule="atLeast"/>
                    <w:ind w:left="6" w:right="113"/>
                    <w:rPr>
                      <w:rFonts w:ascii="Arial" w:hAnsi="Arial"/>
                      <w:sz w:val="18"/>
                      <w:szCs w:val="20"/>
                    </w:rPr>
                  </w:pPr>
                  <w:r w:rsidRPr="000E1825">
                    <w:rPr>
                      <w:rFonts w:ascii="Arial" w:hAnsi="Arial"/>
                      <w:sz w:val="18"/>
                      <w:szCs w:val="20"/>
                    </w:rPr>
                    <w:t>Proportion full incapacity</w:t>
                  </w:r>
                </w:p>
              </w:tc>
              <w:tc>
                <w:tcPr>
                  <w:tcW w:w="511" w:type="pct"/>
                </w:tcPr>
                <w:p w14:paraId="49DA922D" w14:textId="77777777" w:rsidR="009C6940"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0.6</w:t>
                  </w:r>
                  <w:r w:rsidRPr="000E1825">
                    <w:rPr>
                      <w:rFonts w:ascii="Arial" w:hAnsi="Arial"/>
                      <w:sz w:val="18"/>
                      <w:szCs w:val="20"/>
                    </w:rPr>
                    <w:t>%</w:t>
                  </w:r>
                </w:p>
              </w:tc>
              <w:tc>
                <w:tcPr>
                  <w:tcW w:w="2989" w:type="pct"/>
                </w:tcPr>
                <w:p w14:paraId="612698E5" w14:textId="77777777" w:rsidR="009C6940" w:rsidRDefault="009C6940" w:rsidP="009C6940">
                  <w:pPr>
                    <w:keepNext/>
                    <w:keepLines/>
                    <w:spacing w:after="40" w:line="200" w:lineRule="atLeast"/>
                    <w:ind w:left="227" w:right="113"/>
                    <w:rPr>
                      <w:rFonts w:ascii="Arial" w:hAnsi="Arial"/>
                      <w:sz w:val="18"/>
                      <w:szCs w:val="20"/>
                    </w:rPr>
                  </w:pPr>
                  <w:r>
                    <w:rPr>
                      <w:rFonts w:ascii="Arial" w:hAnsi="Arial"/>
                      <w:sz w:val="18"/>
                      <w:szCs w:val="20"/>
                    </w:rPr>
                    <w:t xml:space="preserve">Kinchin et al. </w:t>
                  </w:r>
                  <w:r w:rsidRPr="000F2E2B">
                    <w:rPr>
                      <w:rFonts w:ascii="Arial" w:hAnsi="Arial" w:cs="Arial"/>
                      <w:sz w:val="18"/>
                    </w:rPr>
                    <w:t>(2017)</w:t>
                  </w:r>
                  <w:r>
                    <w:rPr>
                      <w:rFonts w:ascii="Arial" w:hAnsi="Arial"/>
                      <w:sz w:val="18"/>
                      <w:szCs w:val="20"/>
                    </w:rPr>
                    <w:t xml:space="preserve"> using Harrison and Henley </w:t>
                  </w:r>
                  <w:r w:rsidRPr="000F2E2B">
                    <w:rPr>
                      <w:rFonts w:ascii="Arial" w:hAnsi="Arial" w:cs="Arial"/>
                      <w:sz w:val="18"/>
                    </w:rPr>
                    <w:t>(2014)</w:t>
                  </w:r>
                </w:p>
              </w:tc>
            </w:tr>
            <w:tr w:rsidR="009C6940" w:rsidRPr="000E1825" w14:paraId="0852F30C" w14:textId="77777777" w:rsidTr="009C6940">
              <w:tc>
                <w:tcPr>
                  <w:tcW w:w="1500" w:type="pct"/>
                </w:tcPr>
                <w:p w14:paraId="2A9C0A1F" w14:textId="77777777" w:rsidR="009C6940" w:rsidRPr="000E1825" w:rsidRDefault="009C6940" w:rsidP="009C6940">
                  <w:pPr>
                    <w:keepNext/>
                    <w:keepLines/>
                    <w:spacing w:after="40" w:line="200" w:lineRule="atLeast"/>
                    <w:ind w:left="6" w:right="113"/>
                    <w:rPr>
                      <w:rFonts w:ascii="Arial" w:hAnsi="Arial"/>
                      <w:sz w:val="18"/>
                      <w:szCs w:val="20"/>
                    </w:rPr>
                  </w:pPr>
                  <w:r w:rsidRPr="000E1825">
                    <w:rPr>
                      <w:rFonts w:ascii="Arial" w:hAnsi="Arial"/>
                      <w:sz w:val="18"/>
                      <w:szCs w:val="20"/>
                    </w:rPr>
                    <w:t>Proportion short absence</w:t>
                  </w:r>
                </w:p>
              </w:tc>
              <w:tc>
                <w:tcPr>
                  <w:tcW w:w="511" w:type="pct"/>
                </w:tcPr>
                <w:p w14:paraId="3F3D0D65" w14:textId="77777777" w:rsidR="009C6940"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99.4</w:t>
                  </w:r>
                  <w:r w:rsidRPr="000E1825">
                    <w:rPr>
                      <w:rFonts w:ascii="Arial" w:hAnsi="Arial"/>
                      <w:sz w:val="18"/>
                      <w:szCs w:val="20"/>
                    </w:rPr>
                    <w:t>%</w:t>
                  </w:r>
                </w:p>
              </w:tc>
              <w:tc>
                <w:tcPr>
                  <w:tcW w:w="2989" w:type="pct"/>
                </w:tcPr>
                <w:p w14:paraId="2437B622" w14:textId="77777777" w:rsidR="009C6940" w:rsidRDefault="009C6940" w:rsidP="009C6940">
                  <w:pPr>
                    <w:keepNext/>
                    <w:keepLines/>
                    <w:spacing w:after="40" w:line="200" w:lineRule="atLeast"/>
                    <w:ind w:left="227" w:right="113"/>
                    <w:rPr>
                      <w:rFonts w:ascii="Arial" w:hAnsi="Arial"/>
                      <w:sz w:val="18"/>
                      <w:szCs w:val="20"/>
                    </w:rPr>
                  </w:pPr>
                  <w:r>
                    <w:rPr>
                      <w:rFonts w:ascii="Arial" w:hAnsi="Arial"/>
                      <w:sz w:val="18"/>
                      <w:szCs w:val="20"/>
                    </w:rPr>
                    <w:t xml:space="preserve">Kinchin et al. </w:t>
                  </w:r>
                  <w:r w:rsidRPr="000F2E2B">
                    <w:rPr>
                      <w:rFonts w:ascii="Arial" w:hAnsi="Arial" w:cs="Arial"/>
                      <w:sz w:val="18"/>
                    </w:rPr>
                    <w:t>(2017)</w:t>
                  </w:r>
                  <w:r>
                    <w:rPr>
                      <w:rFonts w:ascii="Arial" w:hAnsi="Arial"/>
                      <w:sz w:val="18"/>
                      <w:szCs w:val="20"/>
                    </w:rPr>
                    <w:t xml:space="preserve"> using Harrison and Henley </w:t>
                  </w:r>
                  <w:r w:rsidRPr="000F2E2B">
                    <w:rPr>
                      <w:rFonts w:ascii="Arial" w:hAnsi="Arial" w:cs="Arial"/>
                      <w:sz w:val="18"/>
                    </w:rPr>
                    <w:t>(2014)</w:t>
                  </w:r>
                </w:p>
              </w:tc>
            </w:tr>
            <w:tr w:rsidR="009C6940" w:rsidRPr="000E1825" w14:paraId="7BE0FB29" w14:textId="77777777" w:rsidTr="009C6940">
              <w:tc>
                <w:tcPr>
                  <w:tcW w:w="1500" w:type="pct"/>
                </w:tcPr>
                <w:p w14:paraId="7142CBC7" w14:textId="77777777" w:rsidR="009C6940" w:rsidRPr="000E1825" w:rsidRDefault="009C6940" w:rsidP="009C6940">
                  <w:pPr>
                    <w:keepNext/>
                    <w:keepLines/>
                    <w:spacing w:after="40" w:line="200" w:lineRule="atLeast"/>
                    <w:ind w:left="6" w:right="113"/>
                    <w:rPr>
                      <w:rFonts w:ascii="Arial" w:hAnsi="Arial"/>
                      <w:sz w:val="18"/>
                      <w:szCs w:val="20"/>
                    </w:rPr>
                  </w:pPr>
                  <w:r>
                    <w:rPr>
                      <w:rFonts w:ascii="Arial" w:hAnsi="Arial"/>
                      <w:sz w:val="18"/>
                      <w:szCs w:val="20"/>
                    </w:rPr>
                    <w:t>E</w:t>
                  </w:r>
                  <w:r w:rsidRPr="000E1825">
                    <w:rPr>
                      <w:rFonts w:ascii="Arial" w:hAnsi="Arial"/>
                      <w:sz w:val="18"/>
                      <w:szCs w:val="20"/>
                    </w:rPr>
                    <w:t>mployed</w:t>
                  </w:r>
                </w:p>
              </w:tc>
              <w:tc>
                <w:tcPr>
                  <w:tcW w:w="511" w:type="pct"/>
                </w:tcPr>
                <w:p w14:paraId="2A9088E1" w14:textId="77777777" w:rsidR="009C6940" w:rsidRDefault="009C6940" w:rsidP="009C6940">
                  <w:pPr>
                    <w:keepNext/>
                    <w:keepLines/>
                    <w:spacing w:after="40" w:line="200" w:lineRule="atLeast"/>
                    <w:ind w:left="6" w:right="113"/>
                    <w:jc w:val="right"/>
                    <w:rPr>
                      <w:rFonts w:ascii="Arial" w:hAnsi="Arial"/>
                      <w:sz w:val="18"/>
                      <w:szCs w:val="20"/>
                    </w:rPr>
                  </w:pPr>
                  <w:r w:rsidRPr="000E1825">
                    <w:rPr>
                      <w:rFonts w:ascii="Arial" w:hAnsi="Arial"/>
                      <w:sz w:val="18"/>
                      <w:szCs w:val="20"/>
                    </w:rPr>
                    <w:t>41%</w:t>
                  </w:r>
                </w:p>
              </w:tc>
              <w:tc>
                <w:tcPr>
                  <w:tcW w:w="2989" w:type="pct"/>
                </w:tcPr>
                <w:p w14:paraId="05DFF5AF" w14:textId="77777777" w:rsidR="009C6940" w:rsidRDefault="009C6940" w:rsidP="009C6940">
                  <w:pPr>
                    <w:keepNext/>
                    <w:keepLines/>
                    <w:spacing w:after="40" w:line="200" w:lineRule="atLeast"/>
                    <w:ind w:left="227" w:right="113"/>
                    <w:rPr>
                      <w:rFonts w:ascii="Arial" w:hAnsi="Arial"/>
                      <w:sz w:val="18"/>
                      <w:szCs w:val="20"/>
                    </w:rPr>
                  </w:pPr>
                  <w:r w:rsidRPr="000E1825">
                    <w:rPr>
                      <w:rFonts w:ascii="Arial" w:hAnsi="Arial"/>
                      <w:sz w:val="18"/>
                      <w:szCs w:val="20"/>
                    </w:rPr>
                    <w:t>ABS (</w:t>
                  </w:r>
                  <w:r w:rsidRPr="00563B49">
                    <w:rPr>
                      <w:rFonts w:ascii="Arial" w:hAnsi="Arial" w:cs="Arial"/>
                      <w:i/>
                      <w:sz w:val="18"/>
                      <w:szCs w:val="20"/>
                    </w:rPr>
                    <w:t>National Survey of Mental Health and Wellbeing, 2007</w:t>
                  </w:r>
                  <w:r w:rsidRPr="000E1825">
                    <w:rPr>
                      <w:rFonts w:ascii="Arial" w:hAnsi="Arial" w:cs="Arial"/>
                      <w:sz w:val="18"/>
                      <w:szCs w:val="20"/>
                    </w:rPr>
                    <w:t>, Cat. no. 4326.0)</w:t>
                  </w:r>
                </w:p>
              </w:tc>
            </w:tr>
            <w:tr w:rsidR="009C6940" w:rsidRPr="000E1825" w14:paraId="3917913E" w14:textId="77777777" w:rsidTr="009C6940">
              <w:tc>
                <w:tcPr>
                  <w:tcW w:w="1500" w:type="pct"/>
                </w:tcPr>
                <w:p w14:paraId="011043C4" w14:textId="77777777" w:rsidR="009C6940" w:rsidRPr="000E1825" w:rsidRDefault="009C6940" w:rsidP="009C6940">
                  <w:pPr>
                    <w:keepNext/>
                    <w:keepLines/>
                    <w:spacing w:after="40" w:line="200" w:lineRule="atLeast"/>
                    <w:ind w:left="6" w:right="113"/>
                    <w:rPr>
                      <w:rFonts w:ascii="Arial" w:hAnsi="Arial"/>
                      <w:sz w:val="18"/>
                      <w:szCs w:val="20"/>
                    </w:rPr>
                  </w:pPr>
                  <w:r>
                    <w:rPr>
                      <w:rFonts w:ascii="Arial" w:hAnsi="Arial"/>
                      <w:sz w:val="18"/>
                      <w:szCs w:val="20"/>
                    </w:rPr>
                    <w:t>N</w:t>
                  </w:r>
                  <w:r w:rsidRPr="000E1825">
                    <w:rPr>
                      <w:rFonts w:ascii="Arial" w:hAnsi="Arial"/>
                      <w:sz w:val="18"/>
                      <w:szCs w:val="20"/>
                    </w:rPr>
                    <w:t>ot employed</w:t>
                  </w:r>
                </w:p>
              </w:tc>
              <w:tc>
                <w:tcPr>
                  <w:tcW w:w="511" w:type="pct"/>
                </w:tcPr>
                <w:p w14:paraId="68047105" w14:textId="77777777" w:rsidR="009C6940" w:rsidRPr="000E1825" w:rsidRDefault="009C6940" w:rsidP="009C6940">
                  <w:pPr>
                    <w:keepNext/>
                    <w:keepLines/>
                    <w:spacing w:after="40" w:line="200" w:lineRule="atLeast"/>
                    <w:ind w:left="6" w:right="113"/>
                    <w:jc w:val="right"/>
                    <w:rPr>
                      <w:rFonts w:ascii="Arial" w:hAnsi="Arial"/>
                      <w:sz w:val="18"/>
                      <w:szCs w:val="20"/>
                    </w:rPr>
                  </w:pPr>
                  <w:r w:rsidRPr="000E1825">
                    <w:rPr>
                      <w:rFonts w:ascii="Arial" w:hAnsi="Arial"/>
                      <w:sz w:val="18"/>
                      <w:szCs w:val="20"/>
                    </w:rPr>
                    <w:t>59%</w:t>
                  </w:r>
                </w:p>
              </w:tc>
              <w:tc>
                <w:tcPr>
                  <w:tcW w:w="2989" w:type="pct"/>
                </w:tcPr>
                <w:p w14:paraId="0D70BD37" w14:textId="77777777" w:rsidR="009C6940" w:rsidRPr="000E1825" w:rsidRDefault="009C6940" w:rsidP="009C6940">
                  <w:pPr>
                    <w:keepNext/>
                    <w:keepLines/>
                    <w:spacing w:after="40" w:line="200" w:lineRule="atLeast"/>
                    <w:ind w:left="227" w:right="113"/>
                    <w:rPr>
                      <w:rFonts w:ascii="Arial" w:hAnsi="Arial"/>
                      <w:sz w:val="18"/>
                      <w:szCs w:val="20"/>
                    </w:rPr>
                  </w:pPr>
                  <w:r w:rsidRPr="000E1825">
                    <w:rPr>
                      <w:rFonts w:ascii="Arial" w:hAnsi="Arial"/>
                      <w:sz w:val="18"/>
                      <w:szCs w:val="20"/>
                    </w:rPr>
                    <w:t>ABS (</w:t>
                  </w:r>
                  <w:r w:rsidRPr="00563B49">
                    <w:rPr>
                      <w:rFonts w:ascii="Arial" w:hAnsi="Arial" w:cs="Arial"/>
                      <w:i/>
                      <w:sz w:val="18"/>
                      <w:szCs w:val="20"/>
                    </w:rPr>
                    <w:t>National Survey of Mental Health and Wellbeing, 2007</w:t>
                  </w:r>
                  <w:r w:rsidRPr="000E1825">
                    <w:rPr>
                      <w:rFonts w:ascii="Arial" w:hAnsi="Arial" w:cs="Arial"/>
                      <w:sz w:val="18"/>
                      <w:szCs w:val="20"/>
                    </w:rPr>
                    <w:t>, Cat. no. 4326.0)</w:t>
                  </w:r>
                </w:p>
              </w:tc>
            </w:tr>
            <w:tr w:rsidR="009C6940" w:rsidRPr="000E1825" w14:paraId="0D9700D6" w14:textId="77777777" w:rsidTr="009C6940">
              <w:tc>
                <w:tcPr>
                  <w:tcW w:w="1500" w:type="pct"/>
                  <w:shd w:val="clear" w:color="auto" w:fill="F2F2F2" w:themeFill="background1" w:themeFillShade="F2"/>
                </w:tcPr>
                <w:p w14:paraId="582BBC15" w14:textId="77777777" w:rsidR="009C6940" w:rsidRPr="000E1825" w:rsidRDefault="009C6940" w:rsidP="009C6940">
                  <w:pPr>
                    <w:keepNext/>
                    <w:keepLines/>
                    <w:spacing w:after="40" w:line="200" w:lineRule="atLeast"/>
                    <w:ind w:left="6" w:right="113"/>
                    <w:rPr>
                      <w:rFonts w:ascii="Arial" w:hAnsi="Arial"/>
                      <w:b/>
                      <w:sz w:val="18"/>
                      <w:szCs w:val="20"/>
                    </w:rPr>
                  </w:pPr>
                  <w:r w:rsidRPr="000E1825">
                    <w:rPr>
                      <w:rFonts w:ascii="Arial" w:hAnsi="Arial"/>
                      <w:b/>
                      <w:sz w:val="18"/>
                      <w:szCs w:val="20"/>
                    </w:rPr>
                    <w:t>Productivity (% wage rate)</w:t>
                  </w:r>
                </w:p>
              </w:tc>
              <w:tc>
                <w:tcPr>
                  <w:tcW w:w="511" w:type="pct"/>
                  <w:shd w:val="clear" w:color="auto" w:fill="F2F2F2" w:themeFill="background1" w:themeFillShade="F2"/>
                </w:tcPr>
                <w:p w14:paraId="20DB5330" w14:textId="77777777" w:rsidR="009C6940" w:rsidRPr="000E1825" w:rsidRDefault="009C6940" w:rsidP="009C6940">
                  <w:pPr>
                    <w:keepNext/>
                    <w:keepLines/>
                    <w:spacing w:after="40" w:line="200" w:lineRule="atLeast"/>
                    <w:ind w:left="6" w:right="113"/>
                    <w:jc w:val="right"/>
                    <w:rPr>
                      <w:rFonts w:ascii="Arial" w:hAnsi="Arial"/>
                      <w:sz w:val="18"/>
                      <w:szCs w:val="20"/>
                    </w:rPr>
                  </w:pPr>
                </w:p>
              </w:tc>
              <w:tc>
                <w:tcPr>
                  <w:tcW w:w="2989" w:type="pct"/>
                  <w:shd w:val="clear" w:color="auto" w:fill="F2F2F2" w:themeFill="background1" w:themeFillShade="F2"/>
                </w:tcPr>
                <w:p w14:paraId="19131EF3" w14:textId="77777777" w:rsidR="009C6940" w:rsidRPr="000E1825" w:rsidRDefault="009C6940" w:rsidP="009C6940">
                  <w:pPr>
                    <w:keepNext/>
                    <w:keepLines/>
                    <w:spacing w:after="40" w:line="200" w:lineRule="atLeast"/>
                    <w:ind w:left="227" w:right="113"/>
                    <w:rPr>
                      <w:rFonts w:ascii="Arial" w:hAnsi="Arial"/>
                      <w:sz w:val="18"/>
                      <w:szCs w:val="20"/>
                    </w:rPr>
                  </w:pPr>
                </w:p>
              </w:tc>
            </w:tr>
            <w:tr w:rsidR="009C6940" w:rsidRPr="000E1825" w14:paraId="6945F69D" w14:textId="77777777" w:rsidTr="009C6940">
              <w:tc>
                <w:tcPr>
                  <w:tcW w:w="1500" w:type="pct"/>
                </w:tcPr>
                <w:p w14:paraId="7507B9D3" w14:textId="77777777" w:rsidR="009C6940" w:rsidRPr="000E1825" w:rsidRDefault="009C6940" w:rsidP="009C6940">
                  <w:pPr>
                    <w:keepNext/>
                    <w:keepLines/>
                    <w:spacing w:after="40" w:line="200" w:lineRule="atLeast"/>
                    <w:ind w:left="6" w:right="113"/>
                    <w:rPr>
                      <w:rFonts w:ascii="Arial" w:hAnsi="Arial"/>
                      <w:color w:val="000000" w:themeColor="text1"/>
                      <w:sz w:val="18"/>
                      <w:szCs w:val="20"/>
                    </w:rPr>
                  </w:pPr>
                  <w:r w:rsidRPr="000E1825">
                    <w:rPr>
                      <w:rFonts w:ascii="Arial" w:hAnsi="Arial"/>
                      <w:color w:val="000000" w:themeColor="text1"/>
                      <w:sz w:val="18"/>
                      <w:szCs w:val="20"/>
                    </w:rPr>
                    <w:t>Employed</w:t>
                  </w:r>
                </w:p>
              </w:tc>
              <w:tc>
                <w:tcPr>
                  <w:tcW w:w="511" w:type="pct"/>
                </w:tcPr>
                <w:p w14:paraId="4470DAAC" w14:textId="77777777" w:rsidR="009C6940" w:rsidRPr="000E1825" w:rsidRDefault="009C6940" w:rsidP="009C6940">
                  <w:pPr>
                    <w:keepNext/>
                    <w:keepLines/>
                    <w:spacing w:after="40" w:line="200" w:lineRule="atLeast"/>
                    <w:ind w:left="6" w:right="113"/>
                    <w:jc w:val="right"/>
                    <w:rPr>
                      <w:rFonts w:ascii="Arial" w:hAnsi="Arial"/>
                      <w:color w:val="000000" w:themeColor="text1"/>
                      <w:sz w:val="18"/>
                      <w:szCs w:val="20"/>
                    </w:rPr>
                  </w:pPr>
                  <w:r w:rsidRPr="000E1825">
                    <w:rPr>
                      <w:rFonts w:ascii="Arial" w:hAnsi="Arial"/>
                      <w:color w:val="000000" w:themeColor="text1"/>
                      <w:sz w:val="18"/>
                      <w:szCs w:val="20"/>
                    </w:rPr>
                    <w:t>100%</w:t>
                  </w:r>
                </w:p>
              </w:tc>
              <w:tc>
                <w:tcPr>
                  <w:tcW w:w="2989" w:type="pct"/>
                </w:tcPr>
                <w:p w14:paraId="3881DE9D" w14:textId="77777777" w:rsidR="009C6940" w:rsidRPr="000E1825" w:rsidRDefault="009C6940" w:rsidP="009C6940">
                  <w:pPr>
                    <w:keepNext/>
                    <w:keepLines/>
                    <w:spacing w:after="40" w:line="200" w:lineRule="atLeast"/>
                    <w:ind w:left="227" w:right="113"/>
                    <w:rPr>
                      <w:rFonts w:ascii="Arial" w:hAnsi="Arial"/>
                      <w:color w:val="000000" w:themeColor="text1"/>
                      <w:sz w:val="18"/>
                      <w:szCs w:val="20"/>
                    </w:rPr>
                  </w:pPr>
                  <w:r w:rsidRPr="000E1825">
                    <w:rPr>
                      <w:rFonts w:ascii="Arial" w:hAnsi="Arial"/>
                      <w:color w:val="000000" w:themeColor="text1"/>
                      <w:sz w:val="18"/>
                      <w:szCs w:val="20"/>
                    </w:rPr>
                    <w:t>Productivity Commission estimates</w:t>
                  </w:r>
                </w:p>
              </w:tc>
            </w:tr>
            <w:tr w:rsidR="009C6940" w:rsidRPr="000E1825" w14:paraId="6CED7C80" w14:textId="77777777" w:rsidTr="009C6940">
              <w:tc>
                <w:tcPr>
                  <w:tcW w:w="1500" w:type="pct"/>
                </w:tcPr>
                <w:p w14:paraId="3C12CD1C" w14:textId="77777777" w:rsidR="009C6940" w:rsidRPr="000E1825" w:rsidRDefault="009C6940" w:rsidP="009C6940">
                  <w:pPr>
                    <w:keepNext/>
                    <w:keepLines/>
                    <w:spacing w:after="40" w:line="200" w:lineRule="atLeast"/>
                    <w:ind w:left="6" w:right="113"/>
                    <w:rPr>
                      <w:rFonts w:ascii="Arial" w:hAnsi="Arial"/>
                      <w:color w:val="000000" w:themeColor="text1"/>
                      <w:sz w:val="18"/>
                      <w:szCs w:val="20"/>
                    </w:rPr>
                  </w:pPr>
                  <w:r w:rsidRPr="000E1825">
                    <w:rPr>
                      <w:rFonts w:ascii="Arial" w:hAnsi="Arial"/>
                      <w:color w:val="000000" w:themeColor="text1"/>
                      <w:sz w:val="18"/>
                      <w:szCs w:val="20"/>
                    </w:rPr>
                    <w:t>Non</w:t>
                  </w:r>
                  <w:r w:rsidRPr="000E1825">
                    <w:rPr>
                      <w:rFonts w:ascii="Arial" w:hAnsi="Arial"/>
                      <w:color w:val="000000" w:themeColor="text1"/>
                      <w:sz w:val="18"/>
                      <w:szCs w:val="20"/>
                    </w:rPr>
                    <w:noBreakHyphen/>
                    <w:t>employed</w:t>
                  </w:r>
                </w:p>
              </w:tc>
              <w:tc>
                <w:tcPr>
                  <w:tcW w:w="511" w:type="pct"/>
                </w:tcPr>
                <w:p w14:paraId="3853907A" w14:textId="77777777" w:rsidR="009C6940" w:rsidRPr="000E1825" w:rsidRDefault="009C6940" w:rsidP="009C6940">
                  <w:pPr>
                    <w:keepNext/>
                    <w:keepLines/>
                    <w:spacing w:after="40" w:line="200" w:lineRule="atLeast"/>
                    <w:ind w:left="6" w:right="113"/>
                    <w:jc w:val="right"/>
                    <w:rPr>
                      <w:rFonts w:ascii="Arial" w:hAnsi="Arial"/>
                      <w:color w:val="000000" w:themeColor="text1"/>
                      <w:sz w:val="18"/>
                      <w:szCs w:val="20"/>
                    </w:rPr>
                  </w:pPr>
                  <w:r w:rsidRPr="000E1825">
                    <w:rPr>
                      <w:rFonts w:ascii="Arial" w:hAnsi="Arial"/>
                      <w:color w:val="000000" w:themeColor="text1"/>
                      <w:sz w:val="18"/>
                      <w:szCs w:val="20"/>
                    </w:rPr>
                    <w:t>81%</w:t>
                  </w:r>
                </w:p>
              </w:tc>
              <w:tc>
                <w:tcPr>
                  <w:tcW w:w="2989" w:type="pct"/>
                </w:tcPr>
                <w:p w14:paraId="78DA61F9" w14:textId="77777777" w:rsidR="009C6940" w:rsidRPr="000E1825" w:rsidRDefault="009C6940" w:rsidP="009C6940">
                  <w:pPr>
                    <w:keepNext/>
                    <w:keepLines/>
                    <w:spacing w:after="40" w:line="200" w:lineRule="atLeast"/>
                    <w:ind w:left="227" w:right="113"/>
                    <w:rPr>
                      <w:rFonts w:ascii="Arial" w:hAnsi="Arial"/>
                      <w:color w:val="000000" w:themeColor="text1"/>
                      <w:sz w:val="18"/>
                      <w:szCs w:val="20"/>
                    </w:rPr>
                  </w:pPr>
                  <w:r w:rsidRPr="000E1825">
                    <w:rPr>
                      <w:rFonts w:ascii="Arial" w:hAnsi="Arial"/>
                      <w:color w:val="000000" w:themeColor="text1"/>
                      <w:sz w:val="18"/>
                      <w:szCs w:val="20"/>
                    </w:rPr>
                    <w:t>Productivity Commission estimates</w:t>
                  </w:r>
                </w:p>
              </w:tc>
            </w:tr>
            <w:tr w:rsidR="009C6940" w:rsidRPr="000E1825" w14:paraId="0AE53757" w14:textId="77777777" w:rsidTr="009C6940">
              <w:tc>
                <w:tcPr>
                  <w:tcW w:w="1500" w:type="pct"/>
                  <w:shd w:val="clear" w:color="auto" w:fill="F2F2F2" w:themeFill="background1" w:themeFillShade="F2"/>
                </w:tcPr>
                <w:p w14:paraId="6DCE1BD4" w14:textId="77777777" w:rsidR="009C6940" w:rsidRPr="000E1825" w:rsidRDefault="009C6940" w:rsidP="009C6940">
                  <w:pPr>
                    <w:keepNext/>
                    <w:keepLines/>
                    <w:spacing w:after="40" w:line="200" w:lineRule="atLeast"/>
                    <w:ind w:left="6" w:right="113"/>
                    <w:rPr>
                      <w:rFonts w:ascii="Arial" w:hAnsi="Arial"/>
                      <w:b/>
                      <w:sz w:val="18"/>
                      <w:szCs w:val="20"/>
                    </w:rPr>
                  </w:pPr>
                  <w:r>
                    <w:rPr>
                      <w:rFonts w:ascii="Arial" w:hAnsi="Arial"/>
                      <w:b/>
                      <w:sz w:val="18"/>
                      <w:szCs w:val="20"/>
                    </w:rPr>
                    <w:t>Other parameters</w:t>
                  </w:r>
                </w:p>
              </w:tc>
              <w:tc>
                <w:tcPr>
                  <w:tcW w:w="511" w:type="pct"/>
                  <w:shd w:val="clear" w:color="auto" w:fill="F2F2F2" w:themeFill="background1" w:themeFillShade="F2"/>
                </w:tcPr>
                <w:p w14:paraId="170E926C" w14:textId="77777777" w:rsidR="009C6940" w:rsidRPr="000E1825" w:rsidRDefault="009C6940" w:rsidP="009C6940">
                  <w:pPr>
                    <w:keepNext/>
                    <w:keepLines/>
                    <w:spacing w:after="40" w:line="200" w:lineRule="atLeast"/>
                    <w:ind w:left="6" w:right="113"/>
                    <w:jc w:val="right"/>
                    <w:rPr>
                      <w:rFonts w:ascii="Arial" w:hAnsi="Arial"/>
                      <w:sz w:val="18"/>
                      <w:szCs w:val="20"/>
                    </w:rPr>
                  </w:pPr>
                </w:p>
              </w:tc>
              <w:tc>
                <w:tcPr>
                  <w:tcW w:w="2989" w:type="pct"/>
                  <w:shd w:val="clear" w:color="auto" w:fill="F2F2F2" w:themeFill="background1" w:themeFillShade="F2"/>
                </w:tcPr>
                <w:p w14:paraId="2513FD32" w14:textId="77777777" w:rsidR="009C6940" w:rsidRPr="000E1825" w:rsidRDefault="009C6940" w:rsidP="009C6940">
                  <w:pPr>
                    <w:keepNext/>
                    <w:keepLines/>
                    <w:spacing w:after="40" w:line="200" w:lineRule="atLeast"/>
                    <w:ind w:left="227" w:right="113"/>
                    <w:rPr>
                      <w:rFonts w:ascii="Arial" w:hAnsi="Arial"/>
                      <w:sz w:val="18"/>
                      <w:szCs w:val="20"/>
                    </w:rPr>
                  </w:pPr>
                </w:p>
              </w:tc>
            </w:tr>
            <w:tr w:rsidR="009C6940" w:rsidRPr="000E1825" w14:paraId="243940EA" w14:textId="77777777" w:rsidTr="009C6940">
              <w:tc>
                <w:tcPr>
                  <w:tcW w:w="1500" w:type="pct"/>
                </w:tcPr>
                <w:p w14:paraId="1688C5B9" w14:textId="77777777" w:rsidR="009C6940" w:rsidRPr="000E1825" w:rsidRDefault="009C6940" w:rsidP="009C6940">
                  <w:pPr>
                    <w:keepNext/>
                    <w:keepLines/>
                    <w:spacing w:after="40" w:line="200" w:lineRule="atLeast"/>
                    <w:ind w:left="6" w:right="113"/>
                    <w:rPr>
                      <w:rFonts w:ascii="Arial" w:hAnsi="Arial"/>
                      <w:sz w:val="18"/>
                      <w:szCs w:val="20"/>
                    </w:rPr>
                  </w:pPr>
                  <w:r w:rsidRPr="00176CD3">
                    <w:rPr>
                      <w:rFonts w:ascii="Arial" w:hAnsi="Arial"/>
                      <w:sz w:val="18"/>
                      <w:szCs w:val="20"/>
                    </w:rPr>
                    <w:t>Value of a statistical life year</w:t>
                  </w:r>
                </w:p>
              </w:tc>
              <w:tc>
                <w:tcPr>
                  <w:tcW w:w="511" w:type="pct"/>
                </w:tcPr>
                <w:p w14:paraId="1815F7C4" w14:textId="77777777" w:rsidR="009C6940" w:rsidRPr="000E1825" w:rsidRDefault="009C6940" w:rsidP="009C6940">
                  <w:pPr>
                    <w:keepNext/>
                    <w:keepLines/>
                    <w:spacing w:after="40" w:line="200" w:lineRule="atLeast"/>
                    <w:ind w:left="6" w:right="113"/>
                    <w:jc w:val="right"/>
                    <w:rPr>
                      <w:rFonts w:ascii="Arial" w:hAnsi="Arial"/>
                      <w:sz w:val="18"/>
                      <w:szCs w:val="20"/>
                    </w:rPr>
                  </w:pPr>
                  <w:r>
                    <w:rPr>
                      <w:rFonts w:ascii="Arial" w:hAnsi="Arial"/>
                      <w:sz w:val="18"/>
                      <w:szCs w:val="20"/>
                    </w:rPr>
                    <w:t>$213 000</w:t>
                  </w:r>
                </w:p>
              </w:tc>
              <w:tc>
                <w:tcPr>
                  <w:tcW w:w="2989" w:type="pct"/>
                </w:tcPr>
                <w:p w14:paraId="1DCEDE77" w14:textId="77777777" w:rsidR="009C6940" w:rsidRPr="000E1825" w:rsidRDefault="009C6940" w:rsidP="009C6940">
                  <w:pPr>
                    <w:keepNext/>
                    <w:keepLines/>
                    <w:spacing w:after="40" w:line="200" w:lineRule="atLeast"/>
                    <w:ind w:left="227" w:right="113"/>
                    <w:rPr>
                      <w:rFonts w:ascii="Arial" w:hAnsi="Arial"/>
                      <w:sz w:val="18"/>
                      <w:szCs w:val="20"/>
                    </w:rPr>
                  </w:pPr>
                  <w:r>
                    <w:rPr>
                      <w:rFonts w:ascii="Arial" w:hAnsi="Arial"/>
                      <w:sz w:val="18"/>
                      <w:szCs w:val="20"/>
                    </w:rPr>
                    <w:t xml:space="preserve">OBPR </w:t>
                  </w:r>
                  <w:r w:rsidRPr="00C9357A">
                    <w:rPr>
                      <w:rFonts w:ascii="Arial" w:hAnsi="Arial" w:cs="Arial"/>
                      <w:sz w:val="18"/>
                    </w:rPr>
                    <w:t>(2019)</w:t>
                  </w:r>
                </w:p>
              </w:tc>
            </w:tr>
            <w:tr w:rsidR="009C6940" w:rsidRPr="000E1825" w14:paraId="289AB223" w14:textId="77777777" w:rsidTr="009C6940">
              <w:tc>
                <w:tcPr>
                  <w:tcW w:w="1500" w:type="pct"/>
                </w:tcPr>
                <w:p w14:paraId="437C2800" w14:textId="77777777" w:rsidR="009C6940" w:rsidRPr="00D70AAB" w:rsidRDefault="009C6940" w:rsidP="009C6940">
                  <w:pPr>
                    <w:keepNext/>
                    <w:keepLines/>
                    <w:spacing w:after="40" w:line="200" w:lineRule="atLeast"/>
                    <w:ind w:left="6" w:right="113"/>
                    <w:rPr>
                      <w:rFonts w:ascii="Arial" w:hAnsi="Arial"/>
                      <w:sz w:val="18"/>
                      <w:szCs w:val="20"/>
                    </w:rPr>
                  </w:pPr>
                  <w:r w:rsidRPr="00D70AAB">
                    <w:rPr>
                      <w:rFonts w:ascii="Arial" w:hAnsi="Arial"/>
                      <w:sz w:val="18"/>
                      <w:szCs w:val="20"/>
                    </w:rPr>
                    <w:t>Costs inflated to 2018 dollars</w:t>
                  </w:r>
                </w:p>
              </w:tc>
              <w:tc>
                <w:tcPr>
                  <w:tcW w:w="511" w:type="pct"/>
                </w:tcPr>
                <w:p w14:paraId="0D175D6C" w14:textId="77777777" w:rsidR="009C6940" w:rsidRPr="00D70AAB" w:rsidRDefault="009C6940" w:rsidP="009C6940">
                  <w:pPr>
                    <w:keepNext/>
                    <w:keepLines/>
                    <w:spacing w:after="40" w:line="200" w:lineRule="atLeast"/>
                    <w:ind w:left="6" w:right="113"/>
                    <w:jc w:val="right"/>
                    <w:rPr>
                      <w:rFonts w:ascii="Arial" w:hAnsi="Arial"/>
                      <w:sz w:val="18"/>
                      <w:szCs w:val="20"/>
                    </w:rPr>
                  </w:pPr>
                  <w:r w:rsidRPr="00D70AAB">
                    <w:rPr>
                      <w:rFonts w:ascii="Arial" w:hAnsi="Arial"/>
                      <w:sz w:val="18"/>
                      <w:szCs w:val="20"/>
                    </w:rPr>
                    <w:t>7%</w:t>
                  </w:r>
                </w:p>
              </w:tc>
              <w:tc>
                <w:tcPr>
                  <w:tcW w:w="2989" w:type="pct"/>
                </w:tcPr>
                <w:p w14:paraId="5467AE68" w14:textId="77777777" w:rsidR="009C6940" w:rsidRPr="00D70AAB" w:rsidRDefault="009C6940" w:rsidP="009C6940">
                  <w:pPr>
                    <w:keepNext/>
                    <w:keepLines/>
                    <w:spacing w:after="40" w:line="200" w:lineRule="atLeast"/>
                    <w:ind w:left="227" w:right="113"/>
                    <w:rPr>
                      <w:rFonts w:ascii="Arial" w:hAnsi="Arial"/>
                      <w:sz w:val="18"/>
                      <w:szCs w:val="20"/>
                    </w:rPr>
                  </w:pPr>
                  <w:r w:rsidRPr="00D70AAB">
                    <w:rPr>
                      <w:rFonts w:ascii="Arial" w:hAnsi="Arial"/>
                      <w:sz w:val="18"/>
                      <w:szCs w:val="20"/>
                    </w:rPr>
                    <w:t>ABS (</w:t>
                  </w:r>
                  <w:r w:rsidRPr="00D70AAB">
                    <w:rPr>
                      <w:rFonts w:ascii="Arial" w:hAnsi="Arial"/>
                      <w:i/>
                      <w:sz w:val="18"/>
                      <w:szCs w:val="20"/>
                    </w:rPr>
                    <w:t>C</w:t>
                  </w:r>
                  <w:r>
                    <w:rPr>
                      <w:rFonts w:ascii="Arial" w:hAnsi="Arial"/>
                      <w:i/>
                      <w:sz w:val="18"/>
                      <w:szCs w:val="20"/>
                    </w:rPr>
                    <w:t xml:space="preserve">onsumer </w:t>
                  </w:r>
                  <w:r w:rsidRPr="00D70AAB">
                    <w:rPr>
                      <w:rFonts w:ascii="Arial" w:hAnsi="Arial"/>
                      <w:i/>
                      <w:sz w:val="18"/>
                      <w:szCs w:val="20"/>
                    </w:rPr>
                    <w:t>P</w:t>
                  </w:r>
                  <w:r>
                    <w:rPr>
                      <w:rFonts w:ascii="Arial" w:hAnsi="Arial"/>
                      <w:i/>
                      <w:sz w:val="18"/>
                      <w:szCs w:val="20"/>
                    </w:rPr>
                    <w:t xml:space="preserve">rice </w:t>
                  </w:r>
                  <w:r w:rsidRPr="00D70AAB">
                    <w:rPr>
                      <w:rFonts w:ascii="Arial" w:hAnsi="Arial"/>
                      <w:i/>
                      <w:sz w:val="18"/>
                      <w:szCs w:val="20"/>
                    </w:rPr>
                    <w:t>I</w:t>
                  </w:r>
                  <w:r>
                    <w:rPr>
                      <w:rFonts w:ascii="Arial" w:hAnsi="Arial"/>
                      <w:i/>
                      <w:sz w:val="18"/>
                      <w:szCs w:val="20"/>
                    </w:rPr>
                    <w:t>ndex</w:t>
                  </w:r>
                  <w:r w:rsidRPr="00D70AAB">
                    <w:rPr>
                      <w:rFonts w:ascii="Arial" w:hAnsi="Arial"/>
                      <w:i/>
                      <w:sz w:val="18"/>
                      <w:szCs w:val="20"/>
                    </w:rPr>
                    <w:t>, June 2019</w:t>
                  </w:r>
                  <w:r w:rsidRPr="00D70AAB">
                    <w:rPr>
                      <w:rFonts w:ascii="Arial" w:hAnsi="Arial"/>
                      <w:sz w:val="18"/>
                      <w:szCs w:val="20"/>
                    </w:rPr>
                    <w:t xml:space="preserve">, </w:t>
                  </w:r>
                  <w:r w:rsidRPr="00D70AAB">
                    <w:rPr>
                      <w:rFonts w:ascii="Arial" w:hAnsi="Arial" w:cs="Arial"/>
                      <w:sz w:val="18"/>
                    </w:rPr>
                    <w:t>Cat. no. 6401.0</w:t>
                  </w:r>
                  <w:r w:rsidRPr="00D70AAB">
                    <w:rPr>
                      <w:rFonts w:ascii="Arial" w:hAnsi="Arial"/>
                      <w:sz w:val="18"/>
                      <w:szCs w:val="20"/>
                    </w:rPr>
                    <w:t>) inflation rate from June 2014 to June 2018</w:t>
                  </w:r>
                </w:p>
              </w:tc>
            </w:tr>
            <w:tr w:rsidR="009C6940" w:rsidRPr="000E1825" w14:paraId="3D84FD21" w14:textId="77777777" w:rsidTr="009C6940">
              <w:tc>
                <w:tcPr>
                  <w:tcW w:w="1500" w:type="pct"/>
                  <w:tcBorders>
                    <w:bottom w:val="single" w:sz="6" w:space="0" w:color="BFBFBF"/>
                  </w:tcBorders>
                  <w:shd w:val="clear" w:color="auto" w:fill="auto"/>
                </w:tcPr>
                <w:p w14:paraId="51B0A0D6" w14:textId="77777777" w:rsidR="009C6940" w:rsidRPr="000E1825" w:rsidRDefault="009C6940" w:rsidP="009C6940">
                  <w:pPr>
                    <w:keepNext/>
                    <w:keepLines/>
                    <w:spacing w:after="40" w:line="200" w:lineRule="atLeast"/>
                    <w:ind w:left="6" w:right="113"/>
                    <w:rPr>
                      <w:rFonts w:ascii="Arial" w:hAnsi="Arial"/>
                      <w:sz w:val="18"/>
                      <w:szCs w:val="20"/>
                    </w:rPr>
                  </w:pPr>
                  <w:r w:rsidRPr="000E1825">
                    <w:rPr>
                      <w:rFonts w:ascii="Arial" w:hAnsi="Arial"/>
                      <w:sz w:val="18"/>
                      <w:szCs w:val="20"/>
                    </w:rPr>
                    <w:t>Population growth rate</w:t>
                  </w:r>
                </w:p>
              </w:tc>
              <w:tc>
                <w:tcPr>
                  <w:tcW w:w="511" w:type="pct"/>
                  <w:tcBorders>
                    <w:bottom w:val="single" w:sz="6" w:space="0" w:color="BFBFBF"/>
                  </w:tcBorders>
                </w:tcPr>
                <w:p w14:paraId="00170D75" w14:textId="77777777" w:rsidR="009C6940" w:rsidRPr="000E1825" w:rsidRDefault="009C6940" w:rsidP="009C6940">
                  <w:pPr>
                    <w:keepNext/>
                    <w:keepLines/>
                    <w:spacing w:after="40" w:line="200" w:lineRule="atLeast"/>
                    <w:ind w:left="6" w:right="113"/>
                    <w:jc w:val="right"/>
                    <w:rPr>
                      <w:rFonts w:ascii="Arial" w:hAnsi="Arial"/>
                      <w:sz w:val="18"/>
                      <w:szCs w:val="20"/>
                    </w:rPr>
                  </w:pPr>
                  <w:r w:rsidRPr="000E1825">
                    <w:rPr>
                      <w:rFonts w:ascii="Arial" w:hAnsi="Arial"/>
                      <w:sz w:val="18"/>
                      <w:szCs w:val="20"/>
                    </w:rPr>
                    <w:t>20%</w:t>
                  </w:r>
                </w:p>
              </w:tc>
              <w:tc>
                <w:tcPr>
                  <w:tcW w:w="2989" w:type="pct"/>
                  <w:tcBorders>
                    <w:bottom w:val="single" w:sz="6" w:space="0" w:color="BFBFBF"/>
                  </w:tcBorders>
                  <w:shd w:val="clear" w:color="auto" w:fill="auto"/>
                </w:tcPr>
                <w:p w14:paraId="0F6C0192" w14:textId="77777777" w:rsidR="009C6940" w:rsidRPr="000E1825" w:rsidRDefault="009C6940" w:rsidP="009C6940">
                  <w:pPr>
                    <w:keepNext/>
                    <w:keepLines/>
                    <w:spacing w:after="40" w:line="200" w:lineRule="atLeast"/>
                    <w:ind w:left="227" w:right="113"/>
                    <w:rPr>
                      <w:rFonts w:ascii="Arial" w:hAnsi="Arial"/>
                      <w:sz w:val="18"/>
                      <w:szCs w:val="20"/>
                    </w:rPr>
                  </w:pPr>
                  <w:r w:rsidRPr="000E1825">
                    <w:rPr>
                      <w:rFonts w:ascii="Arial" w:hAnsi="Arial"/>
                      <w:sz w:val="18"/>
                      <w:szCs w:val="20"/>
                    </w:rPr>
                    <w:t>ABS (</w:t>
                  </w:r>
                  <w:r w:rsidRPr="00563B49">
                    <w:rPr>
                      <w:rFonts w:ascii="Arial" w:hAnsi="Arial"/>
                      <w:i/>
                      <w:sz w:val="18"/>
                      <w:szCs w:val="20"/>
                    </w:rPr>
                    <w:t>Australian Demographic Statistics, December 2018</w:t>
                  </w:r>
                  <w:r w:rsidRPr="000E1825">
                    <w:rPr>
                      <w:rFonts w:ascii="Arial" w:hAnsi="Arial"/>
                      <w:sz w:val="18"/>
                      <w:szCs w:val="20"/>
                    </w:rPr>
                    <w:t>, Cat. no. 3101.0) inflation rate from June 2007 to June 2018</w:t>
                  </w:r>
                </w:p>
              </w:tc>
            </w:tr>
          </w:tbl>
          <w:p w14:paraId="31EFC03C" w14:textId="77777777" w:rsidR="009C6940" w:rsidRPr="000E1825" w:rsidRDefault="009C6940" w:rsidP="009C6940">
            <w:pPr>
              <w:keepNext/>
              <w:spacing w:before="120" w:line="260" w:lineRule="atLeast"/>
              <w:jc w:val="both"/>
              <w:rPr>
                <w:rFonts w:ascii="Arial" w:hAnsi="Arial"/>
                <w:sz w:val="20"/>
                <w:szCs w:val="20"/>
              </w:rPr>
            </w:pPr>
          </w:p>
        </w:tc>
      </w:tr>
      <w:tr w:rsidR="009C6940" w:rsidRPr="000E1825" w14:paraId="0A6E7C25" w14:textId="77777777" w:rsidTr="009C6940">
        <w:tc>
          <w:tcPr>
            <w:tcW w:w="5000" w:type="pct"/>
            <w:tcBorders>
              <w:top w:val="nil"/>
              <w:left w:val="nil"/>
              <w:bottom w:val="single" w:sz="6" w:space="0" w:color="78A22F"/>
              <w:right w:val="nil"/>
            </w:tcBorders>
            <w:shd w:val="clear" w:color="auto" w:fill="auto"/>
          </w:tcPr>
          <w:p w14:paraId="2715CD37" w14:textId="77777777" w:rsidR="009C6940" w:rsidRPr="000E1825" w:rsidRDefault="009C6940" w:rsidP="009C6940">
            <w:pPr>
              <w:keepNext/>
              <w:spacing w:line="120" w:lineRule="exact"/>
              <w:jc w:val="both"/>
              <w:rPr>
                <w:rFonts w:ascii="Arial" w:hAnsi="Arial"/>
                <w:sz w:val="20"/>
                <w:szCs w:val="20"/>
              </w:rPr>
            </w:pPr>
          </w:p>
        </w:tc>
      </w:tr>
      <w:tr w:rsidR="009C6940" w:rsidRPr="000E1825" w14:paraId="6A5321EE" w14:textId="77777777" w:rsidTr="009C6940">
        <w:tc>
          <w:tcPr>
            <w:tcW w:w="5000" w:type="pct"/>
            <w:tcBorders>
              <w:top w:val="single" w:sz="6" w:space="0" w:color="78A22F"/>
              <w:left w:val="nil"/>
              <w:bottom w:val="nil"/>
              <w:right w:val="nil"/>
            </w:tcBorders>
          </w:tcPr>
          <w:p w14:paraId="4B9D3DA8" w14:textId="77777777" w:rsidR="009C6940" w:rsidRPr="000E1825" w:rsidRDefault="009C6940" w:rsidP="009C6940">
            <w:pPr>
              <w:spacing w:before="60" w:after="60" w:line="80" w:lineRule="exact"/>
              <w:jc w:val="both"/>
              <w:rPr>
                <w:rFonts w:ascii="Arial" w:hAnsi="Arial"/>
                <w:sz w:val="14"/>
                <w:szCs w:val="20"/>
              </w:rPr>
            </w:pPr>
          </w:p>
        </w:tc>
      </w:tr>
    </w:tbl>
    <w:p w14:paraId="1249A7BE"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6904A21F" w14:textId="77777777" w:rsidTr="009C6940">
        <w:trPr>
          <w:tblHeader/>
        </w:trPr>
        <w:tc>
          <w:tcPr>
            <w:tcW w:w="5000" w:type="pct"/>
            <w:tcBorders>
              <w:top w:val="single" w:sz="6" w:space="0" w:color="78A22F"/>
              <w:left w:val="nil"/>
              <w:bottom w:val="nil"/>
              <w:right w:val="nil"/>
            </w:tcBorders>
            <w:shd w:val="clear" w:color="auto" w:fill="auto"/>
          </w:tcPr>
          <w:p w14:paraId="2EB4D64D" w14:textId="77777777" w:rsidR="009C6940" w:rsidRDefault="009C6940" w:rsidP="009C6940">
            <w:pPr>
              <w:pStyle w:val="TableTitle"/>
            </w:pPr>
            <w:r>
              <w:rPr>
                <w:b w:val="0"/>
              </w:rPr>
              <w:t>Table H.</w:t>
            </w:r>
            <w:r>
              <w:rPr>
                <w:b w:val="0"/>
                <w:noProof/>
              </w:rPr>
              <w:t>8</w:t>
            </w:r>
            <w:r>
              <w:tab/>
            </w:r>
            <w:r w:rsidRPr="008E6E5B">
              <w:t>Costs of suicide and non</w:t>
            </w:r>
            <w:r w:rsidRPr="008E6E5B">
              <w:noBreakHyphen/>
              <w:t>fatal suicide behaviour</w:t>
            </w:r>
          </w:p>
          <w:p w14:paraId="6A8E1D3D" w14:textId="77777777" w:rsidR="009C6940" w:rsidRPr="00784A05" w:rsidRDefault="009C6940" w:rsidP="009C6940">
            <w:pPr>
              <w:pStyle w:val="Subtitle"/>
            </w:pPr>
            <w:r>
              <w:t>2018 dollars</w:t>
            </w:r>
          </w:p>
        </w:tc>
      </w:tr>
      <w:tr w:rsidR="009C6940" w14:paraId="23BAB09F" w14:textId="77777777" w:rsidTr="009C6940">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713"/>
              <w:gridCol w:w="1131"/>
              <w:gridCol w:w="1133"/>
              <w:gridCol w:w="1131"/>
              <w:gridCol w:w="1133"/>
              <w:gridCol w:w="1131"/>
              <w:gridCol w:w="1133"/>
            </w:tblGrid>
            <w:tr w:rsidR="009C6940" w14:paraId="7A91F606" w14:textId="77777777" w:rsidTr="00E555DF">
              <w:tc>
                <w:tcPr>
                  <w:tcW w:w="1007" w:type="pct"/>
                  <w:tcBorders>
                    <w:top w:val="single" w:sz="6" w:space="0" w:color="BFBFBF"/>
                  </w:tcBorders>
                  <w:shd w:val="clear" w:color="auto" w:fill="auto"/>
                  <w:tcMar>
                    <w:top w:w="28" w:type="dxa"/>
                  </w:tcMar>
                </w:tcPr>
                <w:p w14:paraId="71CC6DDA" w14:textId="77777777" w:rsidR="009C6940" w:rsidRDefault="009C6940" w:rsidP="009C6940">
                  <w:pPr>
                    <w:pStyle w:val="TableColumnHeading"/>
                  </w:pPr>
                </w:p>
              </w:tc>
              <w:tc>
                <w:tcPr>
                  <w:tcW w:w="1331" w:type="pct"/>
                  <w:gridSpan w:val="2"/>
                  <w:tcBorders>
                    <w:top w:val="single" w:sz="6" w:space="0" w:color="BFBFBF"/>
                    <w:bottom w:val="single" w:sz="6" w:space="0" w:color="BFBFBF"/>
                    <w:right w:val="dashed" w:sz="4" w:space="0" w:color="BFBFBF"/>
                  </w:tcBorders>
                  <w:vAlign w:val="bottom"/>
                </w:tcPr>
                <w:p w14:paraId="4A9F484B" w14:textId="77777777" w:rsidR="009C6940" w:rsidRDefault="009C6940" w:rsidP="009C6940">
                  <w:pPr>
                    <w:pStyle w:val="TableColumnHeading"/>
                    <w:ind w:right="11"/>
                    <w:jc w:val="center"/>
                  </w:pPr>
                  <w:r>
                    <w:t>Suicide deaths</w:t>
                  </w:r>
                  <w:r w:rsidRPr="00D84B76">
                    <w:rPr>
                      <w:rStyle w:val="NoteLabel"/>
                      <w:i w:val="0"/>
                      <w:iCs/>
                    </w:rPr>
                    <w:t>a</w:t>
                  </w:r>
                </w:p>
              </w:tc>
              <w:tc>
                <w:tcPr>
                  <w:tcW w:w="1331" w:type="pct"/>
                  <w:gridSpan w:val="2"/>
                  <w:tcBorders>
                    <w:top w:val="single" w:sz="6" w:space="0" w:color="BFBFBF"/>
                    <w:left w:val="dashed" w:sz="4" w:space="0" w:color="BFBFBF"/>
                    <w:bottom w:val="single" w:sz="6" w:space="0" w:color="BFBFBF"/>
                    <w:right w:val="dashed" w:sz="4" w:space="0" w:color="BFBFBF"/>
                  </w:tcBorders>
                  <w:vAlign w:val="bottom"/>
                </w:tcPr>
                <w:p w14:paraId="5BA54813" w14:textId="77777777" w:rsidR="009C6940" w:rsidRDefault="009C6940" w:rsidP="009C6940">
                  <w:pPr>
                    <w:pStyle w:val="TableColumnHeading"/>
                    <w:jc w:val="center"/>
                  </w:pPr>
                  <w:r>
                    <w:t>Non-fatal suicide behaviour</w:t>
                  </w:r>
                  <w:r>
                    <w:br/>
                    <w:t>(</w:t>
                  </w:r>
                  <w:r w:rsidRPr="00EF0A10">
                    <w:t>full incapacity</w:t>
                  </w:r>
                  <w:r>
                    <w:t>)</w:t>
                  </w:r>
                </w:p>
              </w:tc>
              <w:tc>
                <w:tcPr>
                  <w:tcW w:w="1331" w:type="pct"/>
                  <w:gridSpan w:val="2"/>
                  <w:tcBorders>
                    <w:top w:val="single" w:sz="6" w:space="0" w:color="BFBFBF"/>
                    <w:left w:val="dashed" w:sz="4" w:space="0" w:color="BFBFBF"/>
                    <w:bottom w:val="single" w:sz="6" w:space="0" w:color="BFBFBF"/>
                  </w:tcBorders>
                  <w:shd w:val="clear" w:color="auto" w:fill="auto"/>
                  <w:tcMar>
                    <w:top w:w="28" w:type="dxa"/>
                  </w:tcMar>
                  <w:vAlign w:val="bottom"/>
                </w:tcPr>
                <w:p w14:paraId="6ECAF124" w14:textId="77777777" w:rsidR="009C6940" w:rsidRDefault="009C6940" w:rsidP="009C6940">
                  <w:pPr>
                    <w:pStyle w:val="TableColumnHeading"/>
                    <w:jc w:val="center"/>
                  </w:pPr>
                  <w:r>
                    <w:t>Non-fatal suicide behaviour</w:t>
                  </w:r>
                  <w:r>
                    <w:br/>
                    <w:t>(short absence)</w:t>
                  </w:r>
                </w:p>
              </w:tc>
            </w:tr>
            <w:tr w:rsidR="009C6940" w14:paraId="239232AD" w14:textId="77777777" w:rsidTr="00E555DF">
              <w:tc>
                <w:tcPr>
                  <w:tcW w:w="1007" w:type="pct"/>
                  <w:tcBorders>
                    <w:bottom w:val="single" w:sz="4" w:space="0" w:color="BFBFBF" w:themeColor="background1" w:themeShade="BF"/>
                  </w:tcBorders>
                </w:tcPr>
                <w:p w14:paraId="4C983F70" w14:textId="77777777" w:rsidR="009C6940" w:rsidRDefault="009C6940" w:rsidP="009C6940">
                  <w:pPr>
                    <w:pStyle w:val="TableColumnHeading"/>
                  </w:pPr>
                </w:p>
              </w:tc>
              <w:tc>
                <w:tcPr>
                  <w:tcW w:w="665" w:type="pct"/>
                  <w:tcBorders>
                    <w:top w:val="single" w:sz="6" w:space="0" w:color="BFBFBF"/>
                    <w:bottom w:val="single" w:sz="4" w:space="0" w:color="BFBFBF" w:themeColor="background1" w:themeShade="BF"/>
                  </w:tcBorders>
                  <w:vAlign w:val="bottom"/>
                </w:tcPr>
                <w:p w14:paraId="07C67DE3" w14:textId="77777777" w:rsidR="009C6940" w:rsidRDefault="009C6940" w:rsidP="009C6940">
                  <w:pPr>
                    <w:pStyle w:val="TableColumnHeading"/>
                  </w:pPr>
                  <w:r>
                    <w:t>Employed</w:t>
                  </w:r>
                </w:p>
              </w:tc>
              <w:tc>
                <w:tcPr>
                  <w:tcW w:w="666" w:type="pct"/>
                  <w:tcBorders>
                    <w:top w:val="single" w:sz="6" w:space="0" w:color="BFBFBF"/>
                    <w:bottom w:val="single" w:sz="4" w:space="0" w:color="BFBFBF" w:themeColor="background1" w:themeShade="BF"/>
                    <w:right w:val="dashed" w:sz="4" w:space="0" w:color="BFBFBF"/>
                  </w:tcBorders>
                  <w:shd w:val="clear" w:color="auto" w:fill="auto"/>
                  <w:vAlign w:val="bottom"/>
                </w:tcPr>
                <w:p w14:paraId="64D82AE7" w14:textId="77777777" w:rsidR="009C6940" w:rsidRDefault="009C6940" w:rsidP="009C6940">
                  <w:pPr>
                    <w:pStyle w:val="TableColumnHeading"/>
                  </w:pPr>
                  <w:r>
                    <w:t>Not</w:t>
                  </w:r>
                  <w:r>
                    <w:br/>
                    <w:t xml:space="preserve"> employed</w:t>
                  </w:r>
                </w:p>
              </w:tc>
              <w:tc>
                <w:tcPr>
                  <w:tcW w:w="665" w:type="pct"/>
                  <w:tcBorders>
                    <w:top w:val="single" w:sz="6" w:space="0" w:color="BFBFBF"/>
                    <w:left w:val="dashed" w:sz="4" w:space="0" w:color="BFBFBF"/>
                    <w:bottom w:val="single" w:sz="4" w:space="0" w:color="BFBFBF" w:themeColor="background1" w:themeShade="BF"/>
                  </w:tcBorders>
                  <w:vAlign w:val="bottom"/>
                </w:tcPr>
                <w:p w14:paraId="53F2DE05" w14:textId="77777777" w:rsidR="009C6940" w:rsidRDefault="009C6940" w:rsidP="009C6940">
                  <w:pPr>
                    <w:pStyle w:val="TableColumnHeading"/>
                  </w:pPr>
                  <w:r>
                    <w:t>Employed</w:t>
                  </w:r>
                </w:p>
              </w:tc>
              <w:tc>
                <w:tcPr>
                  <w:tcW w:w="666" w:type="pct"/>
                  <w:tcBorders>
                    <w:top w:val="single" w:sz="6" w:space="0" w:color="BFBFBF"/>
                    <w:bottom w:val="single" w:sz="4" w:space="0" w:color="BFBFBF" w:themeColor="background1" w:themeShade="BF"/>
                    <w:right w:val="dashed" w:sz="4" w:space="0" w:color="BFBFBF"/>
                  </w:tcBorders>
                  <w:shd w:val="clear" w:color="auto" w:fill="auto"/>
                  <w:vAlign w:val="bottom"/>
                </w:tcPr>
                <w:p w14:paraId="273C5A8E" w14:textId="77777777" w:rsidR="009C6940" w:rsidRDefault="009C6940" w:rsidP="009C6940">
                  <w:pPr>
                    <w:pStyle w:val="TableColumnHeading"/>
                  </w:pPr>
                  <w:r>
                    <w:t>Not</w:t>
                  </w:r>
                  <w:r>
                    <w:br/>
                    <w:t>employed</w:t>
                  </w:r>
                </w:p>
              </w:tc>
              <w:tc>
                <w:tcPr>
                  <w:tcW w:w="665" w:type="pct"/>
                  <w:tcBorders>
                    <w:top w:val="single" w:sz="6" w:space="0" w:color="BFBFBF"/>
                    <w:left w:val="dashed" w:sz="4" w:space="0" w:color="BFBFBF"/>
                    <w:bottom w:val="single" w:sz="4" w:space="0" w:color="BFBFBF" w:themeColor="background1" w:themeShade="BF"/>
                  </w:tcBorders>
                  <w:vAlign w:val="bottom"/>
                </w:tcPr>
                <w:p w14:paraId="516AD346" w14:textId="77777777" w:rsidR="009C6940" w:rsidRDefault="009C6940" w:rsidP="009C6940">
                  <w:pPr>
                    <w:pStyle w:val="TableColumnHeading"/>
                  </w:pPr>
                  <w:r>
                    <w:t>Hospitalised</w:t>
                  </w:r>
                </w:p>
              </w:tc>
              <w:tc>
                <w:tcPr>
                  <w:tcW w:w="666" w:type="pct"/>
                  <w:tcBorders>
                    <w:top w:val="single" w:sz="6" w:space="0" w:color="BFBFBF"/>
                    <w:bottom w:val="single" w:sz="4" w:space="0" w:color="BFBFBF" w:themeColor="background1" w:themeShade="BF"/>
                  </w:tcBorders>
                  <w:shd w:val="clear" w:color="auto" w:fill="auto"/>
                </w:tcPr>
                <w:p w14:paraId="0A380E88" w14:textId="77777777" w:rsidR="009C6940" w:rsidRDefault="009C6940" w:rsidP="009C6940">
                  <w:pPr>
                    <w:pStyle w:val="TableColumnHeading"/>
                  </w:pPr>
                  <w:r>
                    <w:t>Not requiring hospitali-sation</w:t>
                  </w:r>
                </w:p>
              </w:tc>
            </w:tr>
            <w:tr w:rsidR="009C6940" w:rsidRPr="009B139B" w14:paraId="6CAE45B5" w14:textId="77777777" w:rsidTr="00E555DF">
              <w:tc>
                <w:tcPr>
                  <w:tcW w:w="1007" w:type="pct"/>
                  <w:tcBorders>
                    <w:top w:val="single" w:sz="4" w:space="0" w:color="BFBFBF" w:themeColor="background1" w:themeShade="BF"/>
                  </w:tcBorders>
                  <w:shd w:val="clear" w:color="auto" w:fill="F2F2F2" w:themeFill="background1" w:themeFillShade="F2"/>
                  <w:vAlign w:val="bottom"/>
                </w:tcPr>
                <w:p w14:paraId="3AAEE453" w14:textId="77777777" w:rsidR="009C6940" w:rsidRPr="009B139B" w:rsidRDefault="009C6940" w:rsidP="009C6940">
                  <w:pPr>
                    <w:pStyle w:val="TableBodyText"/>
                    <w:jc w:val="left"/>
                  </w:pPr>
                  <w:r w:rsidRPr="009B139B">
                    <w:t>Average intangible costs</w:t>
                  </w:r>
                </w:p>
              </w:tc>
              <w:tc>
                <w:tcPr>
                  <w:tcW w:w="665" w:type="pct"/>
                  <w:tcBorders>
                    <w:top w:val="single" w:sz="4" w:space="0" w:color="BFBFBF" w:themeColor="background1" w:themeShade="BF"/>
                  </w:tcBorders>
                  <w:shd w:val="clear" w:color="auto" w:fill="F2F2F2" w:themeFill="background1" w:themeFillShade="F2"/>
                  <w:vAlign w:val="bottom"/>
                </w:tcPr>
                <w:p w14:paraId="627A16F2" w14:textId="77777777" w:rsidR="009C6940" w:rsidRPr="009B139B" w:rsidRDefault="009C6940" w:rsidP="009C6940">
                  <w:pPr>
                    <w:pStyle w:val="TableBodyText"/>
                    <w:jc w:val="left"/>
                  </w:pPr>
                </w:p>
              </w:tc>
              <w:tc>
                <w:tcPr>
                  <w:tcW w:w="666" w:type="pct"/>
                  <w:tcBorders>
                    <w:top w:val="single" w:sz="4" w:space="0" w:color="BFBFBF" w:themeColor="background1" w:themeShade="BF"/>
                    <w:right w:val="dashed" w:sz="4" w:space="0" w:color="BFBFBF"/>
                  </w:tcBorders>
                  <w:shd w:val="clear" w:color="auto" w:fill="F2F2F2" w:themeFill="background1" w:themeFillShade="F2"/>
                </w:tcPr>
                <w:p w14:paraId="00CF371B" w14:textId="77777777" w:rsidR="009C6940" w:rsidRPr="009B139B" w:rsidRDefault="009C6940" w:rsidP="009C6940">
                  <w:pPr>
                    <w:pStyle w:val="TableBodyText"/>
                  </w:pPr>
                </w:p>
              </w:tc>
              <w:tc>
                <w:tcPr>
                  <w:tcW w:w="665" w:type="pct"/>
                  <w:tcBorders>
                    <w:top w:val="single" w:sz="4" w:space="0" w:color="BFBFBF" w:themeColor="background1" w:themeShade="BF"/>
                    <w:left w:val="dashed" w:sz="4" w:space="0" w:color="BFBFBF"/>
                  </w:tcBorders>
                  <w:shd w:val="clear" w:color="auto" w:fill="F2F2F2" w:themeFill="background1" w:themeFillShade="F2"/>
                </w:tcPr>
                <w:p w14:paraId="2881BD95" w14:textId="77777777" w:rsidR="009C6940" w:rsidRPr="009B139B" w:rsidRDefault="009C6940" w:rsidP="009C6940">
                  <w:pPr>
                    <w:pStyle w:val="TableBodyText"/>
                  </w:pPr>
                </w:p>
              </w:tc>
              <w:tc>
                <w:tcPr>
                  <w:tcW w:w="666" w:type="pct"/>
                  <w:tcBorders>
                    <w:top w:val="single" w:sz="4" w:space="0" w:color="BFBFBF" w:themeColor="background1" w:themeShade="BF"/>
                    <w:right w:val="dashed" w:sz="4" w:space="0" w:color="BFBFBF"/>
                  </w:tcBorders>
                  <w:shd w:val="clear" w:color="auto" w:fill="F2F2F2" w:themeFill="background1" w:themeFillShade="F2"/>
                </w:tcPr>
                <w:p w14:paraId="1452CE81" w14:textId="77777777" w:rsidR="009C6940" w:rsidRPr="009B139B" w:rsidRDefault="009C6940" w:rsidP="009C6940">
                  <w:pPr>
                    <w:pStyle w:val="TableBodyText"/>
                  </w:pPr>
                </w:p>
              </w:tc>
              <w:tc>
                <w:tcPr>
                  <w:tcW w:w="665" w:type="pct"/>
                  <w:tcBorders>
                    <w:top w:val="single" w:sz="4" w:space="0" w:color="BFBFBF" w:themeColor="background1" w:themeShade="BF"/>
                    <w:left w:val="dashed" w:sz="4" w:space="0" w:color="BFBFBF"/>
                  </w:tcBorders>
                  <w:shd w:val="clear" w:color="auto" w:fill="F2F2F2" w:themeFill="background1" w:themeFillShade="F2"/>
                </w:tcPr>
                <w:p w14:paraId="47C8F3E1" w14:textId="77777777" w:rsidR="009C6940" w:rsidRPr="009B139B" w:rsidRDefault="009C6940" w:rsidP="009C6940">
                  <w:pPr>
                    <w:pStyle w:val="TableBodyText"/>
                  </w:pPr>
                </w:p>
              </w:tc>
              <w:tc>
                <w:tcPr>
                  <w:tcW w:w="666" w:type="pct"/>
                  <w:tcBorders>
                    <w:top w:val="single" w:sz="4" w:space="0" w:color="BFBFBF" w:themeColor="background1" w:themeShade="BF"/>
                  </w:tcBorders>
                  <w:shd w:val="clear" w:color="auto" w:fill="F2F2F2" w:themeFill="background1" w:themeFillShade="F2"/>
                </w:tcPr>
                <w:p w14:paraId="0340EC1A" w14:textId="77777777" w:rsidR="009C6940" w:rsidRPr="009B139B" w:rsidRDefault="009C6940" w:rsidP="009C6940">
                  <w:pPr>
                    <w:pStyle w:val="TableBodyText"/>
                  </w:pPr>
                </w:p>
              </w:tc>
            </w:tr>
            <w:tr w:rsidR="009C6940" w14:paraId="09FFC64A" w14:textId="77777777" w:rsidTr="00E555DF">
              <w:tc>
                <w:tcPr>
                  <w:tcW w:w="1007" w:type="pct"/>
                  <w:vAlign w:val="bottom"/>
                </w:tcPr>
                <w:p w14:paraId="74B52DA9" w14:textId="77777777" w:rsidR="009C6940" w:rsidRDefault="009C6940" w:rsidP="009C6940">
                  <w:pPr>
                    <w:pStyle w:val="TableBodyText"/>
                    <w:jc w:val="left"/>
                  </w:pPr>
                  <w:r>
                    <w:t>Year of l</w:t>
                  </w:r>
                  <w:r w:rsidRPr="00B9181B">
                    <w:t>ife lost</w:t>
                  </w:r>
                </w:p>
              </w:tc>
              <w:tc>
                <w:tcPr>
                  <w:tcW w:w="665" w:type="pct"/>
                  <w:vAlign w:val="center"/>
                </w:tcPr>
                <w:p w14:paraId="65A5955E" w14:textId="77777777" w:rsidR="009C6940" w:rsidRPr="00C32F08" w:rsidRDefault="009C6940" w:rsidP="009C6940">
                  <w:pPr>
                    <w:pStyle w:val="TableBodyText"/>
                  </w:pPr>
                  <w:r w:rsidRPr="00C32F08">
                    <w:rPr>
                      <w:rFonts w:cs="Arial"/>
                      <w:color w:val="000000"/>
                      <w:szCs w:val="18"/>
                    </w:rPr>
                    <w:t>43.</w:t>
                  </w:r>
                  <w:r>
                    <w:rPr>
                      <w:rFonts w:cs="Arial"/>
                      <w:color w:val="000000"/>
                      <w:szCs w:val="18"/>
                    </w:rPr>
                    <w:t>4</w:t>
                  </w:r>
                </w:p>
              </w:tc>
              <w:tc>
                <w:tcPr>
                  <w:tcW w:w="666" w:type="pct"/>
                  <w:tcBorders>
                    <w:right w:val="dashed" w:sz="4" w:space="0" w:color="BFBFBF"/>
                  </w:tcBorders>
                  <w:shd w:val="clear" w:color="auto" w:fill="auto"/>
                  <w:vAlign w:val="center"/>
                </w:tcPr>
                <w:p w14:paraId="1C60236C" w14:textId="77777777" w:rsidR="009C6940" w:rsidRPr="00C32F08" w:rsidRDefault="009C6940" w:rsidP="009C6940">
                  <w:pPr>
                    <w:pStyle w:val="TableBodyText"/>
                  </w:pPr>
                  <w:r w:rsidRPr="00C32F08">
                    <w:rPr>
                      <w:rFonts w:cs="Arial"/>
                      <w:color w:val="000000"/>
                      <w:szCs w:val="18"/>
                    </w:rPr>
                    <w:t>43.</w:t>
                  </w:r>
                  <w:r>
                    <w:rPr>
                      <w:rFonts w:cs="Arial"/>
                      <w:color w:val="000000"/>
                      <w:szCs w:val="18"/>
                    </w:rPr>
                    <w:t>4</w:t>
                  </w:r>
                </w:p>
              </w:tc>
              <w:tc>
                <w:tcPr>
                  <w:tcW w:w="665" w:type="pct"/>
                  <w:tcBorders>
                    <w:left w:val="dashed" w:sz="4" w:space="0" w:color="BFBFBF"/>
                  </w:tcBorders>
                  <w:vAlign w:val="center"/>
                </w:tcPr>
                <w:p w14:paraId="2F3BABC5" w14:textId="77777777" w:rsidR="009C6940" w:rsidRPr="00C32F08" w:rsidRDefault="009C6940" w:rsidP="009C6940">
                  <w:pPr>
                    <w:pStyle w:val="TableBodyText"/>
                  </w:pPr>
                  <w:r w:rsidRPr="00D30259">
                    <w:rPr>
                      <w:rFonts w:cs="Arial"/>
                      <w:color w:val="000000"/>
                      <w:szCs w:val="18"/>
                    </w:rPr>
                    <w:t>2.6</w:t>
                  </w:r>
                </w:p>
              </w:tc>
              <w:tc>
                <w:tcPr>
                  <w:tcW w:w="666" w:type="pct"/>
                  <w:tcBorders>
                    <w:right w:val="dashed" w:sz="4" w:space="0" w:color="BFBFBF"/>
                  </w:tcBorders>
                  <w:shd w:val="clear" w:color="auto" w:fill="auto"/>
                  <w:vAlign w:val="center"/>
                </w:tcPr>
                <w:p w14:paraId="1F396DA0" w14:textId="77777777" w:rsidR="009C6940" w:rsidRPr="00C32F08" w:rsidRDefault="009C6940" w:rsidP="009C6940">
                  <w:pPr>
                    <w:pStyle w:val="TableBodyText"/>
                  </w:pPr>
                  <w:r w:rsidRPr="00D30259">
                    <w:rPr>
                      <w:rFonts w:cs="Arial"/>
                      <w:color w:val="000000"/>
                      <w:szCs w:val="18"/>
                    </w:rPr>
                    <w:t>2.6</w:t>
                  </w:r>
                </w:p>
              </w:tc>
              <w:tc>
                <w:tcPr>
                  <w:tcW w:w="665" w:type="pct"/>
                  <w:tcBorders>
                    <w:left w:val="dashed" w:sz="4" w:space="0" w:color="BFBFBF"/>
                  </w:tcBorders>
                  <w:vAlign w:val="center"/>
                </w:tcPr>
                <w:p w14:paraId="792F4A6B" w14:textId="77777777" w:rsidR="009C6940" w:rsidRPr="00DD1067" w:rsidRDefault="009C6940" w:rsidP="009C6940">
                  <w:pPr>
                    <w:pStyle w:val="TableBodyText"/>
                    <w:rPr>
                      <w:b/>
                    </w:rPr>
                  </w:pPr>
                  <w:r w:rsidRPr="00DD1067">
                    <w:rPr>
                      <w:rFonts w:cs="Arial"/>
                      <w:b/>
                      <w:color w:val="000000"/>
                      <w:szCs w:val="18"/>
                    </w:rPr>
                    <w:t>..</w:t>
                  </w:r>
                </w:p>
              </w:tc>
              <w:tc>
                <w:tcPr>
                  <w:tcW w:w="666" w:type="pct"/>
                  <w:shd w:val="clear" w:color="auto" w:fill="auto"/>
                  <w:vAlign w:val="center"/>
                </w:tcPr>
                <w:p w14:paraId="2646ED06" w14:textId="77777777" w:rsidR="009C6940" w:rsidRDefault="009C6940" w:rsidP="009C6940">
                  <w:pPr>
                    <w:pStyle w:val="TableBodyText"/>
                  </w:pPr>
                  <w:r w:rsidRPr="00DD1067">
                    <w:rPr>
                      <w:rFonts w:cs="Arial"/>
                      <w:b/>
                      <w:color w:val="000000"/>
                      <w:szCs w:val="18"/>
                    </w:rPr>
                    <w:t>..</w:t>
                  </w:r>
                </w:p>
              </w:tc>
            </w:tr>
            <w:tr w:rsidR="009C6940" w14:paraId="5A130F1C" w14:textId="77777777" w:rsidTr="00E555DF">
              <w:tc>
                <w:tcPr>
                  <w:tcW w:w="1007" w:type="pct"/>
                  <w:vAlign w:val="bottom"/>
                </w:tcPr>
                <w:p w14:paraId="3466C6D2" w14:textId="77777777" w:rsidR="009C6940" w:rsidRDefault="009C6940" w:rsidP="009C6940">
                  <w:pPr>
                    <w:pStyle w:val="TableBodyText"/>
                    <w:jc w:val="left"/>
                  </w:pPr>
                  <w:r w:rsidRPr="00EF0A10">
                    <w:t xml:space="preserve">Costs </w:t>
                  </w:r>
                  <w:r>
                    <w:t>($)</w:t>
                  </w:r>
                </w:p>
              </w:tc>
              <w:tc>
                <w:tcPr>
                  <w:tcW w:w="665" w:type="pct"/>
                  <w:vAlign w:val="center"/>
                </w:tcPr>
                <w:p w14:paraId="65E63A22" w14:textId="77777777" w:rsidR="009C6940" w:rsidRPr="00C32F08" w:rsidRDefault="009C6940" w:rsidP="009C6940">
                  <w:pPr>
                    <w:pStyle w:val="TableBodyText"/>
                  </w:pPr>
                  <w:r w:rsidRPr="00C32F08">
                    <w:rPr>
                      <w:rFonts w:cs="Arial"/>
                      <w:color w:val="000000"/>
                      <w:szCs w:val="18"/>
                    </w:rPr>
                    <w:t>9.</w:t>
                  </w:r>
                  <w:r w:rsidRPr="00D30259">
                    <w:rPr>
                      <w:rFonts w:cs="Arial"/>
                      <w:color w:val="000000"/>
                      <w:szCs w:val="18"/>
                    </w:rPr>
                    <w:t>2</w:t>
                  </w:r>
                  <w:r>
                    <w:rPr>
                      <w:rFonts w:cs="Arial"/>
                      <w:color w:val="000000"/>
                      <w:szCs w:val="18"/>
                    </w:rPr>
                    <w:t> </w:t>
                  </w:r>
                  <w:r w:rsidRPr="00C32F08">
                    <w:rPr>
                      <w:rFonts w:cs="Arial"/>
                      <w:color w:val="000000"/>
                      <w:szCs w:val="18"/>
                    </w:rPr>
                    <w:t>m</w:t>
                  </w:r>
                </w:p>
              </w:tc>
              <w:tc>
                <w:tcPr>
                  <w:tcW w:w="666" w:type="pct"/>
                  <w:tcBorders>
                    <w:right w:val="dashed" w:sz="4" w:space="0" w:color="BFBFBF"/>
                  </w:tcBorders>
                  <w:shd w:val="clear" w:color="auto" w:fill="auto"/>
                  <w:vAlign w:val="center"/>
                </w:tcPr>
                <w:p w14:paraId="4C510E01" w14:textId="77777777" w:rsidR="009C6940" w:rsidRPr="00C32F08" w:rsidRDefault="009C6940" w:rsidP="009C6940">
                  <w:pPr>
                    <w:pStyle w:val="TableBodyText"/>
                  </w:pPr>
                  <w:r w:rsidRPr="00C32F08">
                    <w:rPr>
                      <w:rFonts w:cs="Arial"/>
                      <w:color w:val="000000"/>
                      <w:szCs w:val="18"/>
                    </w:rPr>
                    <w:t>9.</w:t>
                  </w:r>
                  <w:r w:rsidRPr="00D30259">
                    <w:rPr>
                      <w:rFonts w:cs="Arial"/>
                      <w:color w:val="000000"/>
                      <w:szCs w:val="18"/>
                    </w:rPr>
                    <w:t>2</w:t>
                  </w:r>
                  <w:r>
                    <w:rPr>
                      <w:rFonts w:cs="Arial"/>
                      <w:color w:val="000000"/>
                      <w:szCs w:val="18"/>
                    </w:rPr>
                    <w:t> </w:t>
                  </w:r>
                  <w:r w:rsidRPr="00C32F08">
                    <w:rPr>
                      <w:rFonts w:cs="Arial"/>
                      <w:color w:val="000000"/>
                      <w:szCs w:val="18"/>
                    </w:rPr>
                    <w:t>m</w:t>
                  </w:r>
                </w:p>
              </w:tc>
              <w:tc>
                <w:tcPr>
                  <w:tcW w:w="665" w:type="pct"/>
                  <w:tcBorders>
                    <w:left w:val="dashed" w:sz="4" w:space="0" w:color="BFBFBF"/>
                  </w:tcBorders>
                  <w:vAlign w:val="center"/>
                </w:tcPr>
                <w:p w14:paraId="5C932C88" w14:textId="77777777" w:rsidR="009C6940" w:rsidRDefault="009C6940" w:rsidP="009C6940">
                  <w:pPr>
                    <w:pStyle w:val="TableBodyText"/>
                  </w:pPr>
                  <w:r>
                    <w:rPr>
                      <w:rFonts w:cs="Arial"/>
                      <w:color w:val="000000"/>
                      <w:szCs w:val="18"/>
                    </w:rPr>
                    <w:t>562 514</w:t>
                  </w:r>
                </w:p>
              </w:tc>
              <w:tc>
                <w:tcPr>
                  <w:tcW w:w="666" w:type="pct"/>
                  <w:tcBorders>
                    <w:right w:val="dashed" w:sz="4" w:space="0" w:color="BFBFBF"/>
                  </w:tcBorders>
                  <w:shd w:val="clear" w:color="auto" w:fill="auto"/>
                  <w:vAlign w:val="center"/>
                </w:tcPr>
                <w:p w14:paraId="15203407" w14:textId="77777777" w:rsidR="009C6940" w:rsidRDefault="009C6940" w:rsidP="009C6940">
                  <w:pPr>
                    <w:pStyle w:val="TableBodyText"/>
                  </w:pPr>
                  <w:r>
                    <w:rPr>
                      <w:rFonts w:cs="Arial"/>
                      <w:color w:val="000000"/>
                      <w:szCs w:val="18"/>
                    </w:rPr>
                    <w:t>562 514</w:t>
                  </w:r>
                </w:p>
              </w:tc>
              <w:tc>
                <w:tcPr>
                  <w:tcW w:w="665" w:type="pct"/>
                  <w:tcBorders>
                    <w:left w:val="dashed" w:sz="4" w:space="0" w:color="BFBFBF"/>
                  </w:tcBorders>
                  <w:vAlign w:val="center"/>
                </w:tcPr>
                <w:p w14:paraId="0F78A31F" w14:textId="77777777" w:rsidR="009C6940" w:rsidRDefault="009C6940" w:rsidP="009C6940">
                  <w:pPr>
                    <w:pStyle w:val="TableBodyText"/>
                  </w:pPr>
                  <w:r w:rsidRPr="00DD1067">
                    <w:rPr>
                      <w:rFonts w:cs="Arial"/>
                      <w:b/>
                      <w:color w:val="000000"/>
                      <w:szCs w:val="18"/>
                    </w:rPr>
                    <w:t>..</w:t>
                  </w:r>
                </w:p>
              </w:tc>
              <w:tc>
                <w:tcPr>
                  <w:tcW w:w="666" w:type="pct"/>
                  <w:shd w:val="clear" w:color="auto" w:fill="auto"/>
                  <w:vAlign w:val="center"/>
                </w:tcPr>
                <w:p w14:paraId="2216A70B" w14:textId="77777777" w:rsidR="009C6940" w:rsidRDefault="009C6940" w:rsidP="009C6940">
                  <w:pPr>
                    <w:pStyle w:val="TableBodyText"/>
                  </w:pPr>
                  <w:r w:rsidRPr="00DD1067">
                    <w:rPr>
                      <w:rFonts w:cs="Arial"/>
                      <w:b/>
                      <w:color w:val="000000"/>
                      <w:szCs w:val="18"/>
                    </w:rPr>
                    <w:t>..</w:t>
                  </w:r>
                </w:p>
              </w:tc>
            </w:tr>
            <w:tr w:rsidR="009C6940" w14:paraId="65A0D28D" w14:textId="77777777" w:rsidTr="00E555DF">
              <w:tc>
                <w:tcPr>
                  <w:tcW w:w="1007" w:type="pct"/>
                  <w:shd w:val="clear" w:color="auto" w:fill="F2F2F2" w:themeFill="background1" w:themeFillShade="F2"/>
                </w:tcPr>
                <w:p w14:paraId="28379544" w14:textId="77777777" w:rsidR="009C6940" w:rsidRPr="00C42AFB" w:rsidRDefault="009C6940" w:rsidP="009C6940">
                  <w:pPr>
                    <w:pStyle w:val="TableBodyText"/>
                    <w:jc w:val="left"/>
                    <w:rPr>
                      <w:b/>
                      <w:bCs/>
                    </w:rPr>
                  </w:pPr>
                  <w:r>
                    <w:rPr>
                      <w:b/>
                      <w:bCs/>
                    </w:rPr>
                    <w:t>Average i</w:t>
                  </w:r>
                  <w:r w:rsidRPr="00C42AFB">
                    <w:rPr>
                      <w:b/>
                      <w:bCs/>
                    </w:rPr>
                    <w:t>ndirect</w:t>
                  </w:r>
                  <w:r>
                    <w:rPr>
                      <w:b/>
                      <w:bCs/>
                    </w:rPr>
                    <w:t xml:space="preserve"> cost</w:t>
                  </w:r>
                </w:p>
              </w:tc>
              <w:tc>
                <w:tcPr>
                  <w:tcW w:w="665" w:type="pct"/>
                  <w:shd w:val="clear" w:color="auto" w:fill="F2F2F2" w:themeFill="background1" w:themeFillShade="F2"/>
                  <w:vAlign w:val="center"/>
                </w:tcPr>
                <w:p w14:paraId="77662159" w14:textId="77777777" w:rsidR="009C6940" w:rsidRDefault="009C6940" w:rsidP="009C6940">
                  <w:pPr>
                    <w:pStyle w:val="TableBodyText"/>
                  </w:pPr>
                </w:p>
              </w:tc>
              <w:tc>
                <w:tcPr>
                  <w:tcW w:w="666" w:type="pct"/>
                  <w:tcBorders>
                    <w:right w:val="dashed" w:sz="4" w:space="0" w:color="BFBFBF"/>
                  </w:tcBorders>
                  <w:shd w:val="clear" w:color="auto" w:fill="F2F2F2" w:themeFill="background1" w:themeFillShade="F2"/>
                  <w:vAlign w:val="center"/>
                </w:tcPr>
                <w:p w14:paraId="241A56C2" w14:textId="77777777" w:rsidR="009C6940" w:rsidRDefault="009C6940" w:rsidP="009C6940">
                  <w:pPr>
                    <w:pStyle w:val="TableBodyText"/>
                  </w:pPr>
                </w:p>
              </w:tc>
              <w:tc>
                <w:tcPr>
                  <w:tcW w:w="665" w:type="pct"/>
                  <w:tcBorders>
                    <w:left w:val="dashed" w:sz="4" w:space="0" w:color="BFBFBF"/>
                  </w:tcBorders>
                  <w:shd w:val="clear" w:color="auto" w:fill="F2F2F2" w:themeFill="background1" w:themeFillShade="F2"/>
                  <w:vAlign w:val="center"/>
                </w:tcPr>
                <w:p w14:paraId="217F1B08" w14:textId="77777777" w:rsidR="009C6940" w:rsidRDefault="009C6940" w:rsidP="009C6940">
                  <w:pPr>
                    <w:pStyle w:val="TableBodyText"/>
                  </w:pPr>
                </w:p>
              </w:tc>
              <w:tc>
                <w:tcPr>
                  <w:tcW w:w="666" w:type="pct"/>
                  <w:tcBorders>
                    <w:right w:val="dashed" w:sz="4" w:space="0" w:color="BFBFBF"/>
                  </w:tcBorders>
                  <w:shd w:val="clear" w:color="auto" w:fill="F2F2F2" w:themeFill="background1" w:themeFillShade="F2"/>
                  <w:vAlign w:val="center"/>
                </w:tcPr>
                <w:p w14:paraId="243CD17B" w14:textId="77777777" w:rsidR="009C6940" w:rsidRDefault="009C6940" w:rsidP="009C6940">
                  <w:pPr>
                    <w:pStyle w:val="TableBodyText"/>
                  </w:pPr>
                </w:p>
              </w:tc>
              <w:tc>
                <w:tcPr>
                  <w:tcW w:w="665" w:type="pct"/>
                  <w:tcBorders>
                    <w:left w:val="dashed" w:sz="4" w:space="0" w:color="BFBFBF"/>
                  </w:tcBorders>
                  <w:shd w:val="clear" w:color="auto" w:fill="F2F2F2" w:themeFill="background1" w:themeFillShade="F2"/>
                  <w:vAlign w:val="center"/>
                </w:tcPr>
                <w:p w14:paraId="4C3D31C7" w14:textId="77777777" w:rsidR="009C6940" w:rsidRDefault="009C6940" w:rsidP="009C6940">
                  <w:pPr>
                    <w:pStyle w:val="TableBodyText"/>
                  </w:pPr>
                </w:p>
              </w:tc>
              <w:tc>
                <w:tcPr>
                  <w:tcW w:w="666" w:type="pct"/>
                  <w:shd w:val="clear" w:color="auto" w:fill="F2F2F2" w:themeFill="background1" w:themeFillShade="F2"/>
                  <w:vAlign w:val="center"/>
                </w:tcPr>
                <w:p w14:paraId="62AB6DD1" w14:textId="77777777" w:rsidR="009C6940" w:rsidRDefault="009C6940" w:rsidP="009C6940">
                  <w:pPr>
                    <w:pStyle w:val="TableBodyText"/>
                  </w:pPr>
                </w:p>
              </w:tc>
            </w:tr>
            <w:tr w:rsidR="009C6940" w14:paraId="25150E7E" w14:textId="77777777" w:rsidTr="00E555DF">
              <w:tc>
                <w:tcPr>
                  <w:tcW w:w="1007" w:type="pct"/>
                  <w:vAlign w:val="bottom"/>
                </w:tcPr>
                <w:p w14:paraId="65BA4D14" w14:textId="77777777" w:rsidR="009C6940" w:rsidRDefault="009C6940">
                  <w:pPr>
                    <w:pStyle w:val="TableBodyText"/>
                    <w:jc w:val="left"/>
                  </w:pPr>
                  <w:r w:rsidRPr="00EF0A10">
                    <w:t>Production disturbance</w:t>
                  </w:r>
                  <w:r>
                    <w:t xml:space="preserve"> ($) </w:t>
                  </w:r>
                </w:p>
              </w:tc>
              <w:tc>
                <w:tcPr>
                  <w:tcW w:w="665" w:type="pct"/>
                  <w:vAlign w:val="center"/>
                </w:tcPr>
                <w:p w14:paraId="372BDAA6" w14:textId="77777777" w:rsidR="009C6940" w:rsidRDefault="009C6940" w:rsidP="009C6940">
                  <w:pPr>
                    <w:pStyle w:val="TableBodyText"/>
                  </w:pPr>
                  <w:r>
                    <w:rPr>
                      <w:rFonts w:cs="Arial"/>
                      <w:color w:val="000000"/>
                      <w:szCs w:val="18"/>
                    </w:rPr>
                    <w:t>40 549</w:t>
                  </w:r>
                </w:p>
              </w:tc>
              <w:tc>
                <w:tcPr>
                  <w:tcW w:w="666" w:type="pct"/>
                  <w:tcBorders>
                    <w:right w:val="dashed" w:sz="4" w:space="0" w:color="BFBFBF"/>
                  </w:tcBorders>
                  <w:shd w:val="clear" w:color="auto" w:fill="auto"/>
                  <w:vAlign w:val="center"/>
                </w:tcPr>
                <w:p w14:paraId="286FD8BD" w14:textId="77777777" w:rsidR="009C6940" w:rsidRDefault="009C6940" w:rsidP="009C6940">
                  <w:pPr>
                    <w:pStyle w:val="TableBodyText"/>
                  </w:pPr>
                  <w:r w:rsidRPr="00DD1067">
                    <w:rPr>
                      <w:rFonts w:cs="Arial"/>
                      <w:b/>
                      <w:color w:val="000000"/>
                      <w:szCs w:val="18"/>
                    </w:rPr>
                    <w:t>..</w:t>
                  </w:r>
                </w:p>
              </w:tc>
              <w:tc>
                <w:tcPr>
                  <w:tcW w:w="665" w:type="pct"/>
                  <w:tcBorders>
                    <w:left w:val="dashed" w:sz="4" w:space="0" w:color="BFBFBF"/>
                  </w:tcBorders>
                  <w:vAlign w:val="center"/>
                </w:tcPr>
                <w:p w14:paraId="65DA9A9B" w14:textId="77777777" w:rsidR="009C6940" w:rsidRDefault="009C6940" w:rsidP="009C6940">
                  <w:pPr>
                    <w:pStyle w:val="TableBodyText"/>
                  </w:pPr>
                  <w:r>
                    <w:rPr>
                      <w:rFonts w:cs="Arial"/>
                      <w:color w:val="000000"/>
                      <w:szCs w:val="18"/>
                    </w:rPr>
                    <w:t>40 549</w:t>
                  </w:r>
                </w:p>
              </w:tc>
              <w:tc>
                <w:tcPr>
                  <w:tcW w:w="666" w:type="pct"/>
                  <w:tcBorders>
                    <w:right w:val="dashed" w:sz="4" w:space="0" w:color="BFBFBF"/>
                  </w:tcBorders>
                  <w:shd w:val="clear" w:color="auto" w:fill="auto"/>
                  <w:vAlign w:val="center"/>
                </w:tcPr>
                <w:p w14:paraId="0E6A253F" w14:textId="77777777" w:rsidR="009C6940" w:rsidRDefault="009C6940" w:rsidP="009C6940">
                  <w:pPr>
                    <w:pStyle w:val="TableBodyText"/>
                  </w:pPr>
                  <w:r w:rsidRPr="00DD1067">
                    <w:rPr>
                      <w:rFonts w:cs="Arial"/>
                      <w:b/>
                      <w:color w:val="000000"/>
                      <w:szCs w:val="18"/>
                    </w:rPr>
                    <w:t>..</w:t>
                  </w:r>
                </w:p>
              </w:tc>
              <w:tc>
                <w:tcPr>
                  <w:tcW w:w="665" w:type="pct"/>
                  <w:tcBorders>
                    <w:left w:val="dashed" w:sz="4" w:space="0" w:color="BFBFBF"/>
                  </w:tcBorders>
                  <w:vAlign w:val="center"/>
                </w:tcPr>
                <w:p w14:paraId="19239BCF" w14:textId="77777777" w:rsidR="009C6940" w:rsidRDefault="009C6940" w:rsidP="009C6940">
                  <w:pPr>
                    <w:pStyle w:val="TableBodyText"/>
                  </w:pPr>
                  <w:r>
                    <w:rPr>
                      <w:rFonts w:cs="Arial"/>
                      <w:color w:val="000000"/>
                      <w:szCs w:val="18"/>
                    </w:rPr>
                    <w:t>353</w:t>
                  </w:r>
                  <w:r>
                    <w:rPr>
                      <w:rStyle w:val="NoteLabel"/>
                    </w:rPr>
                    <w:t>b</w:t>
                  </w:r>
                </w:p>
              </w:tc>
              <w:tc>
                <w:tcPr>
                  <w:tcW w:w="666" w:type="pct"/>
                  <w:shd w:val="clear" w:color="auto" w:fill="auto"/>
                  <w:vAlign w:val="center"/>
                </w:tcPr>
                <w:p w14:paraId="061D1757" w14:textId="77777777" w:rsidR="009C6940" w:rsidRDefault="009C6940" w:rsidP="009C6940">
                  <w:pPr>
                    <w:pStyle w:val="TableBodyText"/>
                    <w:ind w:right="28"/>
                  </w:pPr>
                  <w:r>
                    <w:rPr>
                      <w:rFonts w:cs="Arial"/>
                      <w:color w:val="000000"/>
                      <w:szCs w:val="18"/>
                    </w:rPr>
                    <w:t>353</w:t>
                  </w:r>
                  <w:r>
                    <w:rPr>
                      <w:rStyle w:val="NoteLabel"/>
                    </w:rPr>
                    <w:t>b</w:t>
                  </w:r>
                  <w:r>
                    <w:rPr>
                      <w:rFonts w:cs="Arial"/>
                      <w:color w:val="000000"/>
                      <w:szCs w:val="18"/>
                    </w:rPr>
                    <w:t xml:space="preserve"> </w:t>
                  </w:r>
                </w:p>
              </w:tc>
            </w:tr>
            <w:tr w:rsidR="009C6940" w14:paraId="487ABB82" w14:textId="77777777" w:rsidTr="00E555DF">
              <w:tc>
                <w:tcPr>
                  <w:tcW w:w="1007" w:type="pct"/>
                  <w:vAlign w:val="bottom"/>
                </w:tcPr>
                <w:p w14:paraId="33D9BFDB" w14:textId="77777777" w:rsidR="009C6940" w:rsidRDefault="009C6940">
                  <w:pPr>
                    <w:pStyle w:val="TableBodyText"/>
                    <w:jc w:val="left"/>
                  </w:pPr>
                  <w:r w:rsidRPr="00EF0A10">
                    <w:t>Human capital</w:t>
                  </w:r>
                  <w:r>
                    <w:t xml:space="preserve"> ($)</w:t>
                  </w:r>
                </w:p>
              </w:tc>
              <w:tc>
                <w:tcPr>
                  <w:tcW w:w="665" w:type="pct"/>
                  <w:vAlign w:val="center"/>
                </w:tcPr>
                <w:p w14:paraId="43A2045B" w14:textId="77777777" w:rsidR="009C6940" w:rsidRDefault="009C6940" w:rsidP="009C6940">
                  <w:pPr>
                    <w:pStyle w:val="TableBodyText"/>
                  </w:pPr>
                </w:p>
              </w:tc>
              <w:tc>
                <w:tcPr>
                  <w:tcW w:w="666" w:type="pct"/>
                  <w:tcBorders>
                    <w:right w:val="dashed" w:sz="4" w:space="0" w:color="BFBFBF"/>
                  </w:tcBorders>
                  <w:shd w:val="clear" w:color="auto" w:fill="auto"/>
                  <w:vAlign w:val="center"/>
                </w:tcPr>
                <w:p w14:paraId="398E020F" w14:textId="77777777" w:rsidR="009C6940" w:rsidRDefault="009C6940" w:rsidP="009C6940">
                  <w:pPr>
                    <w:pStyle w:val="TableBodyText"/>
                  </w:pPr>
                  <w:r w:rsidRPr="00DD1067">
                    <w:rPr>
                      <w:rFonts w:cs="Arial"/>
                      <w:b/>
                      <w:color w:val="000000"/>
                      <w:szCs w:val="18"/>
                    </w:rPr>
                    <w:t>..</w:t>
                  </w:r>
                </w:p>
              </w:tc>
              <w:tc>
                <w:tcPr>
                  <w:tcW w:w="665" w:type="pct"/>
                  <w:tcBorders>
                    <w:left w:val="dashed" w:sz="4" w:space="0" w:color="BFBFBF"/>
                  </w:tcBorders>
                  <w:vAlign w:val="center"/>
                </w:tcPr>
                <w:p w14:paraId="17F1BB9D" w14:textId="77777777" w:rsidR="009C6940" w:rsidRDefault="009C6940" w:rsidP="009C6940">
                  <w:pPr>
                    <w:pStyle w:val="TableBodyText"/>
                  </w:pPr>
                  <w:r>
                    <w:rPr>
                      <w:rFonts w:cs="Arial"/>
                      <w:color w:val="000000"/>
                      <w:szCs w:val="18"/>
                    </w:rPr>
                    <w:t>2.1 m</w:t>
                  </w:r>
                </w:p>
              </w:tc>
              <w:tc>
                <w:tcPr>
                  <w:tcW w:w="666" w:type="pct"/>
                  <w:tcBorders>
                    <w:right w:val="dashed" w:sz="4" w:space="0" w:color="BFBFBF"/>
                  </w:tcBorders>
                  <w:shd w:val="clear" w:color="auto" w:fill="auto"/>
                  <w:vAlign w:val="center"/>
                </w:tcPr>
                <w:p w14:paraId="2FB7386C" w14:textId="77777777" w:rsidR="009C6940" w:rsidRDefault="009C6940" w:rsidP="009C6940">
                  <w:pPr>
                    <w:pStyle w:val="TableBodyText"/>
                  </w:pPr>
                  <w:r>
                    <w:rPr>
                      <w:rFonts w:cs="Arial"/>
                      <w:color w:val="000000"/>
                      <w:szCs w:val="18"/>
                    </w:rPr>
                    <w:t>1.7 m</w:t>
                  </w:r>
                </w:p>
              </w:tc>
              <w:tc>
                <w:tcPr>
                  <w:tcW w:w="665" w:type="pct"/>
                  <w:tcBorders>
                    <w:left w:val="dashed" w:sz="4" w:space="0" w:color="BFBFBF"/>
                  </w:tcBorders>
                  <w:vAlign w:val="center"/>
                </w:tcPr>
                <w:p w14:paraId="22FC5E87" w14:textId="77777777" w:rsidR="009C6940" w:rsidRDefault="009C6940" w:rsidP="009C6940">
                  <w:pPr>
                    <w:pStyle w:val="TableBodyText"/>
                  </w:pPr>
                  <w:r w:rsidRPr="00DD1067">
                    <w:rPr>
                      <w:rFonts w:cs="Arial"/>
                      <w:b/>
                      <w:color w:val="000000"/>
                      <w:szCs w:val="18"/>
                    </w:rPr>
                    <w:t>..</w:t>
                  </w:r>
                </w:p>
              </w:tc>
              <w:tc>
                <w:tcPr>
                  <w:tcW w:w="666" w:type="pct"/>
                  <w:shd w:val="clear" w:color="auto" w:fill="auto"/>
                  <w:vAlign w:val="center"/>
                </w:tcPr>
                <w:p w14:paraId="46C32BF9" w14:textId="77777777" w:rsidR="009C6940" w:rsidRDefault="009C6940" w:rsidP="009C6940">
                  <w:pPr>
                    <w:pStyle w:val="TableBodyText"/>
                  </w:pPr>
                  <w:r w:rsidRPr="00DD1067">
                    <w:rPr>
                      <w:rFonts w:cs="Arial"/>
                      <w:b/>
                      <w:color w:val="000000"/>
                      <w:szCs w:val="18"/>
                    </w:rPr>
                    <w:t>..</w:t>
                  </w:r>
                </w:p>
              </w:tc>
            </w:tr>
            <w:tr w:rsidR="009C6940" w14:paraId="49C2526C" w14:textId="77777777" w:rsidTr="00E555DF">
              <w:tc>
                <w:tcPr>
                  <w:tcW w:w="1007" w:type="pct"/>
                  <w:shd w:val="clear" w:color="auto" w:fill="F2F2F2" w:themeFill="background1" w:themeFillShade="F2"/>
                  <w:vAlign w:val="bottom"/>
                </w:tcPr>
                <w:p w14:paraId="27785214" w14:textId="77777777" w:rsidR="009C6940" w:rsidRDefault="009C6940" w:rsidP="009C6940">
                  <w:pPr>
                    <w:pStyle w:val="TableBodyText"/>
                    <w:jc w:val="left"/>
                  </w:pPr>
                  <w:r>
                    <w:rPr>
                      <w:b/>
                    </w:rPr>
                    <w:t>Average d</w:t>
                  </w:r>
                  <w:r w:rsidRPr="00EF0A10">
                    <w:rPr>
                      <w:b/>
                    </w:rPr>
                    <w:t>irect</w:t>
                  </w:r>
                  <w:r>
                    <w:rPr>
                      <w:b/>
                    </w:rPr>
                    <w:t xml:space="preserve"> costs</w:t>
                  </w:r>
                </w:p>
              </w:tc>
              <w:tc>
                <w:tcPr>
                  <w:tcW w:w="665" w:type="pct"/>
                  <w:shd w:val="clear" w:color="auto" w:fill="F2F2F2" w:themeFill="background1" w:themeFillShade="F2"/>
                  <w:vAlign w:val="center"/>
                </w:tcPr>
                <w:p w14:paraId="4DF199AA" w14:textId="77777777" w:rsidR="009C6940" w:rsidRDefault="009C6940" w:rsidP="009C6940">
                  <w:pPr>
                    <w:pStyle w:val="TableBodyText"/>
                  </w:pPr>
                </w:p>
              </w:tc>
              <w:tc>
                <w:tcPr>
                  <w:tcW w:w="666" w:type="pct"/>
                  <w:tcBorders>
                    <w:right w:val="dashed" w:sz="4" w:space="0" w:color="BFBFBF"/>
                  </w:tcBorders>
                  <w:shd w:val="clear" w:color="auto" w:fill="F2F2F2" w:themeFill="background1" w:themeFillShade="F2"/>
                  <w:vAlign w:val="center"/>
                </w:tcPr>
                <w:p w14:paraId="48A0E4C6" w14:textId="77777777" w:rsidR="009C6940" w:rsidRDefault="009C6940" w:rsidP="009C6940">
                  <w:pPr>
                    <w:pStyle w:val="TableBodyText"/>
                  </w:pPr>
                </w:p>
              </w:tc>
              <w:tc>
                <w:tcPr>
                  <w:tcW w:w="665" w:type="pct"/>
                  <w:tcBorders>
                    <w:left w:val="dashed" w:sz="4" w:space="0" w:color="BFBFBF"/>
                  </w:tcBorders>
                  <w:shd w:val="clear" w:color="auto" w:fill="F2F2F2" w:themeFill="background1" w:themeFillShade="F2"/>
                  <w:vAlign w:val="center"/>
                </w:tcPr>
                <w:p w14:paraId="5F756DD9" w14:textId="77777777" w:rsidR="009C6940" w:rsidRDefault="009C6940" w:rsidP="009C6940">
                  <w:pPr>
                    <w:pStyle w:val="TableBodyText"/>
                  </w:pPr>
                </w:p>
              </w:tc>
              <w:tc>
                <w:tcPr>
                  <w:tcW w:w="666" w:type="pct"/>
                  <w:tcBorders>
                    <w:right w:val="dashed" w:sz="4" w:space="0" w:color="BFBFBF"/>
                  </w:tcBorders>
                  <w:shd w:val="clear" w:color="auto" w:fill="F2F2F2" w:themeFill="background1" w:themeFillShade="F2"/>
                  <w:vAlign w:val="center"/>
                </w:tcPr>
                <w:p w14:paraId="37040994" w14:textId="77777777" w:rsidR="009C6940" w:rsidRDefault="009C6940" w:rsidP="009C6940">
                  <w:pPr>
                    <w:pStyle w:val="TableBodyText"/>
                  </w:pPr>
                </w:p>
              </w:tc>
              <w:tc>
                <w:tcPr>
                  <w:tcW w:w="665" w:type="pct"/>
                  <w:tcBorders>
                    <w:left w:val="dashed" w:sz="4" w:space="0" w:color="BFBFBF"/>
                  </w:tcBorders>
                  <w:shd w:val="clear" w:color="auto" w:fill="F2F2F2" w:themeFill="background1" w:themeFillShade="F2"/>
                  <w:vAlign w:val="center"/>
                </w:tcPr>
                <w:p w14:paraId="30F05440" w14:textId="77777777" w:rsidR="009C6940" w:rsidRDefault="009C6940" w:rsidP="009C6940">
                  <w:pPr>
                    <w:pStyle w:val="TableBodyText"/>
                  </w:pPr>
                </w:p>
              </w:tc>
              <w:tc>
                <w:tcPr>
                  <w:tcW w:w="666" w:type="pct"/>
                  <w:shd w:val="clear" w:color="auto" w:fill="F2F2F2" w:themeFill="background1" w:themeFillShade="F2"/>
                  <w:vAlign w:val="center"/>
                </w:tcPr>
                <w:p w14:paraId="0EDCDACB" w14:textId="77777777" w:rsidR="009C6940" w:rsidRDefault="009C6940" w:rsidP="009C6940">
                  <w:pPr>
                    <w:pStyle w:val="TableBodyText"/>
                  </w:pPr>
                </w:p>
              </w:tc>
            </w:tr>
            <w:tr w:rsidR="009C6940" w14:paraId="6F674E09" w14:textId="77777777" w:rsidTr="00E555DF">
              <w:tc>
                <w:tcPr>
                  <w:tcW w:w="1007" w:type="pct"/>
                  <w:vAlign w:val="bottom"/>
                </w:tcPr>
                <w:p w14:paraId="3EE0C74F" w14:textId="77777777" w:rsidR="009C6940" w:rsidRDefault="009C6940">
                  <w:pPr>
                    <w:pStyle w:val="TableBodyText"/>
                    <w:jc w:val="left"/>
                  </w:pPr>
                  <w:r w:rsidRPr="00EF0A10">
                    <w:t>Medical</w:t>
                  </w:r>
                  <w:r>
                    <w:t xml:space="preserve"> ($)</w:t>
                  </w:r>
                </w:p>
              </w:tc>
              <w:tc>
                <w:tcPr>
                  <w:tcW w:w="665" w:type="pct"/>
                  <w:vAlign w:val="center"/>
                </w:tcPr>
                <w:p w14:paraId="504B05E1" w14:textId="77777777" w:rsidR="009C6940" w:rsidRDefault="009C6940" w:rsidP="009C6940">
                  <w:pPr>
                    <w:pStyle w:val="TableBodyText"/>
                  </w:pPr>
                  <w:r>
                    <w:rPr>
                      <w:rFonts w:cs="Arial"/>
                      <w:color w:val="000000"/>
                      <w:szCs w:val="18"/>
                    </w:rPr>
                    <w:t>2 593</w:t>
                  </w:r>
                </w:p>
              </w:tc>
              <w:tc>
                <w:tcPr>
                  <w:tcW w:w="666" w:type="pct"/>
                  <w:tcBorders>
                    <w:right w:val="dashed" w:sz="4" w:space="0" w:color="BFBFBF"/>
                  </w:tcBorders>
                  <w:shd w:val="clear" w:color="auto" w:fill="auto"/>
                  <w:vAlign w:val="center"/>
                </w:tcPr>
                <w:p w14:paraId="692D5CF5" w14:textId="77777777" w:rsidR="009C6940" w:rsidRDefault="009C6940" w:rsidP="009C6940">
                  <w:pPr>
                    <w:pStyle w:val="TableBodyText"/>
                  </w:pPr>
                  <w:r>
                    <w:rPr>
                      <w:rFonts w:cs="Arial"/>
                      <w:color w:val="000000"/>
                      <w:szCs w:val="18"/>
                    </w:rPr>
                    <w:t>2 593</w:t>
                  </w:r>
                </w:p>
              </w:tc>
              <w:tc>
                <w:tcPr>
                  <w:tcW w:w="665" w:type="pct"/>
                  <w:tcBorders>
                    <w:left w:val="dashed" w:sz="4" w:space="0" w:color="BFBFBF"/>
                  </w:tcBorders>
                  <w:vAlign w:val="center"/>
                </w:tcPr>
                <w:p w14:paraId="0C540324" w14:textId="77777777" w:rsidR="009C6940" w:rsidRDefault="009C6940" w:rsidP="009C6940">
                  <w:pPr>
                    <w:pStyle w:val="TableBodyText"/>
                  </w:pPr>
                  <w:r>
                    <w:rPr>
                      <w:rFonts w:cs="Arial"/>
                      <w:color w:val="000000"/>
                      <w:szCs w:val="18"/>
                    </w:rPr>
                    <w:t>13 354</w:t>
                  </w:r>
                </w:p>
              </w:tc>
              <w:tc>
                <w:tcPr>
                  <w:tcW w:w="666" w:type="pct"/>
                  <w:tcBorders>
                    <w:right w:val="dashed" w:sz="4" w:space="0" w:color="BFBFBF"/>
                  </w:tcBorders>
                  <w:shd w:val="clear" w:color="auto" w:fill="auto"/>
                  <w:vAlign w:val="center"/>
                </w:tcPr>
                <w:p w14:paraId="0E093148" w14:textId="77777777" w:rsidR="009C6940" w:rsidRDefault="009C6940" w:rsidP="009C6940">
                  <w:pPr>
                    <w:pStyle w:val="TableBodyText"/>
                  </w:pPr>
                  <w:r>
                    <w:rPr>
                      <w:rFonts w:cs="Arial"/>
                      <w:color w:val="000000"/>
                      <w:szCs w:val="18"/>
                    </w:rPr>
                    <w:t>13 354</w:t>
                  </w:r>
                </w:p>
              </w:tc>
              <w:tc>
                <w:tcPr>
                  <w:tcW w:w="665" w:type="pct"/>
                  <w:tcBorders>
                    <w:left w:val="dashed" w:sz="4" w:space="0" w:color="BFBFBF"/>
                  </w:tcBorders>
                  <w:vAlign w:val="center"/>
                </w:tcPr>
                <w:p w14:paraId="11B44949" w14:textId="77777777" w:rsidR="009C6940" w:rsidRDefault="009C6940" w:rsidP="009C6940">
                  <w:pPr>
                    <w:pStyle w:val="TableBodyText"/>
                  </w:pPr>
                  <w:r>
                    <w:rPr>
                      <w:rFonts w:cs="Arial"/>
                      <w:color w:val="000000"/>
                      <w:szCs w:val="18"/>
                    </w:rPr>
                    <w:t>4 961</w:t>
                  </w:r>
                </w:p>
              </w:tc>
              <w:tc>
                <w:tcPr>
                  <w:tcW w:w="666" w:type="pct"/>
                  <w:shd w:val="clear" w:color="auto" w:fill="auto"/>
                  <w:vAlign w:val="center"/>
                </w:tcPr>
                <w:p w14:paraId="4C6C3CDA" w14:textId="77777777" w:rsidR="009C6940" w:rsidRDefault="009C6940" w:rsidP="009C6940">
                  <w:pPr>
                    <w:pStyle w:val="TableBodyText"/>
                  </w:pPr>
                  <w:r>
                    <w:rPr>
                      <w:rFonts w:cs="Arial"/>
                      <w:color w:val="000000"/>
                      <w:szCs w:val="18"/>
                    </w:rPr>
                    <w:t xml:space="preserve">875 </w:t>
                  </w:r>
                </w:p>
              </w:tc>
            </w:tr>
            <w:tr w:rsidR="009C6940" w14:paraId="14023443" w14:textId="77777777" w:rsidTr="00E555DF">
              <w:tc>
                <w:tcPr>
                  <w:tcW w:w="1007" w:type="pct"/>
                  <w:vAlign w:val="bottom"/>
                </w:tcPr>
                <w:p w14:paraId="69299D1D" w14:textId="77777777" w:rsidR="009C6940" w:rsidRDefault="009C6940" w:rsidP="009C6940">
                  <w:pPr>
                    <w:pStyle w:val="TableBodyText"/>
                    <w:jc w:val="left"/>
                  </w:pPr>
                  <w:r>
                    <w:t>Administrative ($)</w:t>
                  </w:r>
                </w:p>
              </w:tc>
              <w:tc>
                <w:tcPr>
                  <w:tcW w:w="665" w:type="pct"/>
                  <w:vAlign w:val="center"/>
                </w:tcPr>
                <w:p w14:paraId="7C7D4676" w14:textId="77777777" w:rsidR="009C6940" w:rsidRDefault="009C6940" w:rsidP="009C6940">
                  <w:pPr>
                    <w:pStyle w:val="TableBodyText"/>
                  </w:pPr>
                  <w:r>
                    <w:rPr>
                      <w:rFonts w:cs="Arial"/>
                      <w:color w:val="000000"/>
                      <w:szCs w:val="18"/>
                    </w:rPr>
                    <w:t>7 501</w:t>
                  </w:r>
                </w:p>
              </w:tc>
              <w:tc>
                <w:tcPr>
                  <w:tcW w:w="666" w:type="pct"/>
                  <w:tcBorders>
                    <w:right w:val="dashed" w:sz="4" w:space="0" w:color="BFBFBF"/>
                  </w:tcBorders>
                  <w:shd w:val="clear" w:color="auto" w:fill="auto"/>
                  <w:vAlign w:val="center"/>
                </w:tcPr>
                <w:p w14:paraId="6D051067" w14:textId="77777777" w:rsidR="009C6940" w:rsidRDefault="009C6940" w:rsidP="009C6940">
                  <w:pPr>
                    <w:pStyle w:val="TableBodyText"/>
                  </w:pPr>
                  <w:r>
                    <w:rPr>
                      <w:rFonts w:cs="Arial"/>
                      <w:color w:val="000000"/>
                      <w:szCs w:val="18"/>
                    </w:rPr>
                    <w:t>7 501</w:t>
                  </w:r>
                </w:p>
              </w:tc>
              <w:tc>
                <w:tcPr>
                  <w:tcW w:w="665" w:type="pct"/>
                  <w:tcBorders>
                    <w:left w:val="dashed" w:sz="4" w:space="0" w:color="BFBFBF"/>
                  </w:tcBorders>
                  <w:vAlign w:val="center"/>
                </w:tcPr>
                <w:p w14:paraId="76534337" w14:textId="77777777" w:rsidR="009C6940" w:rsidRDefault="009C6940" w:rsidP="009C6940">
                  <w:pPr>
                    <w:pStyle w:val="TableBodyText"/>
                  </w:pPr>
                  <w:r>
                    <w:rPr>
                      <w:rFonts w:cs="Arial"/>
                      <w:color w:val="000000"/>
                      <w:szCs w:val="18"/>
                    </w:rPr>
                    <w:t>2 811</w:t>
                  </w:r>
                </w:p>
              </w:tc>
              <w:tc>
                <w:tcPr>
                  <w:tcW w:w="666" w:type="pct"/>
                  <w:tcBorders>
                    <w:right w:val="dashed" w:sz="4" w:space="0" w:color="BFBFBF"/>
                  </w:tcBorders>
                  <w:shd w:val="clear" w:color="auto" w:fill="auto"/>
                  <w:vAlign w:val="center"/>
                </w:tcPr>
                <w:p w14:paraId="7346824C" w14:textId="77777777" w:rsidR="009C6940" w:rsidRDefault="009C6940" w:rsidP="009C6940">
                  <w:pPr>
                    <w:pStyle w:val="TableBodyText"/>
                  </w:pPr>
                  <w:r>
                    <w:rPr>
                      <w:rFonts w:cs="Arial"/>
                      <w:color w:val="000000"/>
                      <w:szCs w:val="18"/>
                    </w:rPr>
                    <w:t>2 811</w:t>
                  </w:r>
                </w:p>
              </w:tc>
              <w:tc>
                <w:tcPr>
                  <w:tcW w:w="665" w:type="pct"/>
                  <w:tcBorders>
                    <w:left w:val="dashed" w:sz="4" w:space="0" w:color="BFBFBF"/>
                  </w:tcBorders>
                  <w:vAlign w:val="center"/>
                </w:tcPr>
                <w:p w14:paraId="73019E69" w14:textId="77777777" w:rsidR="009C6940" w:rsidRDefault="009C6940" w:rsidP="009C6940">
                  <w:pPr>
                    <w:pStyle w:val="TableBodyText"/>
                  </w:pPr>
                  <w:r>
                    <w:rPr>
                      <w:rFonts w:cs="Arial"/>
                      <w:color w:val="000000"/>
                      <w:szCs w:val="18"/>
                    </w:rPr>
                    <w:t>35</w:t>
                  </w:r>
                </w:p>
              </w:tc>
              <w:tc>
                <w:tcPr>
                  <w:tcW w:w="666" w:type="pct"/>
                  <w:shd w:val="clear" w:color="auto" w:fill="auto"/>
                  <w:vAlign w:val="center"/>
                </w:tcPr>
                <w:p w14:paraId="20270547" w14:textId="77777777" w:rsidR="009C6940" w:rsidRDefault="009C6940" w:rsidP="009C6940">
                  <w:pPr>
                    <w:pStyle w:val="TableBodyText"/>
                  </w:pPr>
                  <w:r>
                    <w:rPr>
                      <w:rFonts w:cs="Arial"/>
                      <w:color w:val="000000"/>
                      <w:szCs w:val="18"/>
                    </w:rPr>
                    <w:t xml:space="preserve">35 </w:t>
                  </w:r>
                </w:p>
              </w:tc>
            </w:tr>
            <w:tr w:rsidR="009C6940" w14:paraId="6A6CEF78" w14:textId="77777777" w:rsidTr="00E555DF">
              <w:tc>
                <w:tcPr>
                  <w:tcW w:w="1007" w:type="pct"/>
                  <w:vAlign w:val="bottom"/>
                </w:tcPr>
                <w:p w14:paraId="339B9C0C" w14:textId="77777777" w:rsidR="009C6940" w:rsidRDefault="009C6940">
                  <w:pPr>
                    <w:pStyle w:val="TableBodyText"/>
                    <w:jc w:val="left"/>
                  </w:pPr>
                  <w:r>
                    <w:t>Other ($)</w:t>
                  </w:r>
                </w:p>
              </w:tc>
              <w:tc>
                <w:tcPr>
                  <w:tcW w:w="665" w:type="pct"/>
                  <w:vAlign w:val="center"/>
                </w:tcPr>
                <w:p w14:paraId="73BE4A8E" w14:textId="77777777" w:rsidR="009C6940" w:rsidRDefault="009C6940" w:rsidP="009C6940">
                  <w:pPr>
                    <w:pStyle w:val="TableBodyText"/>
                  </w:pPr>
                  <w:r>
                    <w:rPr>
                      <w:rFonts w:cs="Arial"/>
                      <w:color w:val="000000"/>
                      <w:szCs w:val="18"/>
                    </w:rPr>
                    <w:t>123 884</w:t>
                  </w:r>
                </w:p>
              </w:tc>
              <w:tc>
                <w:tcPr>
                  <w:tcW w:w="666" w:type="pct"/>
                  <w:tcBorders>
                    <w:right w:val="dashed" w:sz="4" w:space="0" w:color="BFBFBF"/>
                  </w:tcBorders>
                  <w:shd w:val="clear" w:color="auto" w:fill="auto"/>
                  <w:vAlign w:val="center"/>
                </w:tcPr>
                <w:p w14:paraId="663F0D63" w14:textId="77777777" w:rsidR="009C6940" w:rsidRDefault="009C6940" w:rsidP="009C6940">
                  <w:pPr>
                    <w:pStyle w:val="TableBodyText"/>
                  </w:pPr>
                  <w:r>
                    <w:rPr>
                      <w:rFonts w:cs="Arial"/>
                      <w:color w:val="000000"/>
                      <w:szCs w:val="18"/>
                    </w:rPr>
                    <w:t>123 884</w:t>
                  </w:r>
                </w:p>
              </w:tc>
              <w:tc>
                <w:tcPr>
                  <w:tcW w:w="665" w:type="pct"/>
                  <w:tcBorders>
                    <w:left w:val="dashed" w:sz="4" w:space="0" w:color="BFBFBF"/>
                  </w:tcBorders>
                  <w:vAlign w:val="center"/>
                </w:tcPr>
                <w:p w14:paraId="1BF18D12" w14:textId="77777777" w:rsidR="009C6940" w:rsidRDefault="009C6940" w:rsidP="009C6940">
                  <w:pPr>
                    <w:pStyle w:val="TableBodyText"/>
                  </w:pPr>
                  <w:r>
                    <w:rPr>
                      <w:rFonts w:cs="Arial"/>
                      <w:color w:val="000000"/>
                      <w:szCs w:val="18"/>
                    </w:rPr>
                    <w:t>85 532</w:t>
                  </w:r>
                </w:p>
              </w:tc>
              <w:tc>
                <w:tcPr>
                  <w:tcW w:w="666" w:type="pct"/>
                  <w:tcBorders>
                    <w:right w:val="dashed" w:sz="4" w:space="0" w:color="BFBFBF"/>
                  </w:tcBorders>
                  <w:shd w:val="clear" w:color="auto" w:fill="auto"/>
                  <w:vAlign w:val="center"/>
                </w:tcPr>
                <w:p w14:paraId="1CBDB9EB" w14:textId="77777777" w:rsidR="009C6940" w:rsidRDefault="009C6940" w:rsidP="009C6940">
                  <w:pPr>
                    <w:pStyle w:val="TableBodyText"/>
                  </w:pPr>
                  <w:r>
                    <w:rPr>
                      <w:rFonts w:cs="Arial"/>
                      <w:color w:val="000000"/>
                      <w:szCs w:val="18"/>
                    </w:rPr>
                    <w:t>85 532</w:t>
                  </w:r>
                </w:p>
              </w:tc>
              <w:tc>
                <w:tcPr>
                  <w:tcW w:w="665" w:type="pct"/>
                  <w:tcBorders>
                    <w:left w:val="dashed" w:sz="4" w:space="0" w:color="BFBFBF"/>
                  </w:tcBorders>
                  <w:vAlign w:val="center"/>
                </w:tcPr>
                <w:p w14:paraId="35921FB3" w14:textId="77777777" w:rsidR="009C6940" w:rsidRDefault="009C6940" w:rsidP="009C6940">
                  <w:pPr>
                    <w:pStyle w:val="TableBodyText"/>
                  </w:pPr>
                  <w:r w:rsidRPr="00DD1067">
                    <w:rPr>
                      <w:rFonts w:cs="Arial"/>
                      <w:b/>
                      <w:color w:val="000000"/>
                      <w:szCs w:val="18"/>
                    </w:rPr>
                    <w:t>..</w:t>
                  </w:r>
                </w:p>
              </w:tc>
              <w:tc>
                <w:tcPr>
                  <w:tcW w:w="666" w:type="pct"/>
                  <w:shd w:val="clear" w:color="auto" w:fill="auto"/>
                  <w:vAlign w:val="center"/>
                </w:tcPr>
                <w:p w14:paraId="41D6D9C3" w14:textId="77777777" w:rsidR="009C6940" w:rsidRDefault="009C6940" w:rsidP="009C6940">
                  <w:pPr>
                    <w:pStyle w:val="TableBodyText"/>
                  </w:pPr>
                  <w:r w:rsidRPr="00DD1067">
                    <w:rPr>
                      <w:rFonts w:cs="Arial"/>
                      <w:b/>
                      <w:color w:val="000000"/>
                      <w:szCs w:val="18"/>
                    </w:rPr>
                    <w:t>..</w:t>
                  </w:r>
                </w:p>
              </w:tc>
            </w:tr>
            <w:tr w:rsidR="009C6940" w14:paraId="0BA4E6BD" w14:textId="77777777" w:rsidTr="00E555DF">
              <w:tc>
                <w:tcPr>
                  <w:tcW w:w="1007" w:type="pct"/>
                  <w:shd w:val="clear" w:color="auto" w:fill="F2F2F2" w:themeFill="background1" w:themeFillShade="F2"/>
                  <w:vAlign w:val="bottom"/>
                </w:tcPr>
                <w:p w14:paraId="702BC26E" w14:textId="77777777" w:rsidR="009C6940" w:rsidRPr="008E6130" w:rsidRDefault="009C6940" w:rsidP="009C6940">
                  <w:pPr>
                    <w:pStyle w:val="TableBodyText"/>
                    <w:jc w:val="left"/>
                    <w:rPr>
                      <w:b/>
                    </w:rPr>
                  </w:pPr>
                  <w:r>
                    <w:rPr>
                      <w:b/>
                    </w:rPr>
                    <w:t>Average cost per person ($)</w:t>
                  </w:r>
                </w:p>
              </w:tc>
              <w:tc>
                <w:tcPr>
                  <w:tcW w:w="665" w:type="pct"/>
                  <w:shd w:val="clear" w:color="auto" w:fill="F2F2F2" w:themeFill="background1" w:themeFillShade="F2"/>
                  <w:vAlign w:val="center"/>
                </w:tcPr>
                <w:p w14:paraId="59CEEF1E" w14:textId="77777777" w:rsidR="009C6940" w:rsidRPr="008E6130" w:rsidRDefault="009C6940" w:rsidP="009C6940">
                  <w:pPr>
                    <w:pStyle w:val="TableBodyText"/>
                    <w:rPr>
                      <w:b/>
                    </w:rPr>
                  </w:pPr>
                  <w:r w:rsidRPr="008E6130">
                    <w:rPr>
                      <w:rFonts w:cs="Arial"/>
                      <w:b/>
                      <w:color w:val="000000"/>
                      <w:szCs w:val="18"/>
                    </w:rPr>
                    <w:t>9.4 m</w:t>
                  </w:r>
                </w:p>
              </w:tc>
              <w:tc>
                <w:tcPr>
                  <w:tcW w:w="666" w:type="pct"/>
                  <w:tcBorders>
                    <w:right w:val="dashed" w:sz="4" w:space="0" w:color="BFBFBF"/>
                  </w:tcBorders>
                  <w:shd w:val="clear" w:color="auto" w:fill="F2F2F2" w:themeFill="background1" w:themeFillShade="F2"/>
                  <w:vAlign w:val="center"/>
                </w:tcPr>
                <w:p w14:paraId="72B84729" w14:textId="77777777" w:rsidR="009C6940" w:rsidRPr="008E6130" w:rsidRDefault="009C6940" w:rsidP="009C6940">
                  <w:pPr>
                    <w:pStyle w:val="TableBodyText"/>
                    <w:rPr>
                      <w:b/>
                    </w:rPr>
                  </w:pPr>
                  <w:r w:rsidRPr="008E6130">
                    <w:rPr>
                      <w:rFonts w:cs="Arial"/>
                      <w:b/>
                      <w:color w:val="000000"/>
                      <w:szCs w:val="18"/>
                    </w:rPr>
                    <w:t>9.4 m</w:t>
                  </w:r>
                </w:p>
              </w:tc>
              <w:tc>
                <w:tcPr>
                  <w:tcW w:w="665" w:type="pct"/>
                  <w:tcBorders>
                    <w:left w:val="dashed" w:sz="4" w:space="0" w:color="BFBFBF"/>
                  </w:tcBorders>
                  <w:shd w:val="clear" w:color="auto" w:fill="F2F2F2" w:themeFill="background1" w:themeFillShade="F2"/>
                  <w:vAlign w:val="center"/>
                </w:tcPr>
                <w:p w14:paraId="228ED400" w14:textId="77777777" w:rsidR="009C6940" w:rsidRPr="008E6130" w:rsidRDefault="009C6940" w:rsidP="009C6940">
                  <w:pPr>
                    <w:pStyle w:val="TableBodyText"/>
                    <w:rPr>
                      <w:b/>
                    </w:rPr>
                  </w:pPr>
                  <w:r w:rsidRPr="008E6130">
                    <w:rPr>
                      <w:rFonts w:cs="Arial"/>
                      <w:b/>
                      <w:color w:val="000000"/>
                      <w:szCs w:val="18"/>
                    </w:rPr>
                    <w:t>2.3 m</w:t>
                  </w:r>
                </w:p>
              </w:tc>
              <w:tc>
                <w:tcPr>
                  <w:tcW w:w="666" w:type="pct"/>
                  <w:tcBorders>
                    <w:right w:val="dashed" w:sz="4" w:space="0" w:color="BFBFBF"/>
                  </w:tcBorders>
                  <w:shd w:val="clear" w:color="auto" w:fill="F2F2F2" w:themeFill="background1" w:themeFillShade="F2"/>
                  <w:vAlign w:val="center"/>
                </w:tcPr>
                <w:p w14:paraId="5C67D140" w14:textId="77777777" w:rsidR="009C6940" w:rsidRPr="008E6130" w:rsidRDefault="009C6940" w:rsidP="009C6940">
                  <w:pPr>
                    <w:pStyle w:val="TableBodyText"/>
                    <w:rPr>
                      <w:b/>
                    </w:rPr>
                  </w:pPr>
                  <w:r w:rsidRPr="008E6130">
                    <w:rPr>
                      <w:rFonts w:cs="Arial"/>
                      <w:b/>
                      <w:color w:val="000000"/>
                      <w:szCs w:val="18"/>
                    </w:rPr>
                    <w:t>1.8</w:t>
                  </w:r>
                  <w:r>
                    <w:rPr>
                      <w:rFonts w:cs="Arial"/>
                      <w:b/>
                      <w:color w:val="000000"/>
                      <w:szCs w:val="18"/>
                    </w:rPr>
                    <w:t> </w:t>
                  </w:r>
                  <w:r w:rsidRPr="008E6130">
                    <w:rPr>
                      <w:rFonts w:cs="Arial"/>
                      <w:b/>
                      <w:color w:val="000000"/>
                      <w:szCs w:val="18"/>
                    </w:rPr>
                    <w:t>m</w:t>
                  </w:r>
                </w:p>
              </w:tc>
              <w:tc>
                <w:tcPr>
                  <w:tcW w:w="665" w:type="pct"/>
                  <w:tcBorders>
                    <w:left w:val="dashed" w:sz="4" w:space="0" w:color="BFBFBF"/>
                  </w:tcBorders>
                  <w:shd w:val="clear" w:color="auto" w:fill="F2F2F2" w:themeFill="background1" w:themeFillShade="F2"/>
                  <w:vAlign w:val="center"/>
                </w:tcPr>
                <w:p w14:paraId="15D36882" w14:textId="77777777" w:rsidR="009C6940" w:rsidRPr="008E6130" w:rsidRDefault="009C6940" w:rsidP="009C6940">
                  <w:pPr>
                    <w:pStyle w:val="TableBodyText"/>
                    <w:rPr>
                      <w:b/>
                    </w:rPr>
                  </w:pPr>
                  <w:r w:rsidRPr="008E6130">
                    <w:rPr>
                      <w:rFonts w:cs="Arial"/>
                      <w:b/>
                      <w:color w:val="000000"/>
                      <w:szCs w:val="18"/>
                    </w:rPr>
                    <w:t>5</w:t>
                  </w:r>
                  <w:r>
                    <w:rPr>
                      <w:rFonts w:cs="Arial"/>
                      <w:b/>
                      <w:color w:val="000000"/>
                      <w:szCs w:val="18"/>
                    </w:rPr>
                    <w:t> </w:t>
                  </w:r>
                  <w:r w:rsidRPr="008E6130">
                    <w:rPr>
                      <w:rFonts w:cs="Arial"/>
                      <w:b/>
                      <w:color w:val="000000"/>
                      <w:szCs w:val="18"/>
                    </w:rPr>
                    <w:t xml:space="preserve">349 </w:t>
                  </w:r>
                </w:p>
              </w:tc>
              <w:tc>
                <w:tcPr>
                  <w:tcW w:w="666" w:type="pct"/>
                  <w:shd w:val="clear" w:color="auto" w:fill="F2F2F2" w:themeFill="background1" w:themeFillShade="F2"/>
                  <w:vAlign w:val="center"/>
                </w:tcPr>
                <w:p w14:paraId="6A5CF80C" w14:textId="77777777" w:rsidR="009C6940" w:rsidRPr="008E6130" w:rsidRDefault="009C6940" w:rsidP="009C6940">
                  <w:pPr>
                    <w:pStyle w:val="TableBodyText"/>
                    <w:rPr>
                      <w:b/>
                    </w:rPr>
                  </w:pPr>
                  <w:r w:rsidRPr="008E6130">
                    <w:rPr>
                      <w:rFonts w:cs="Arial"/>
                      <w:b/>
                      <w:color w:val="000000"/>
                      <w:szCs w:val="18"/>
                    </w:rPr>
                    <w:t xml:space="preserve">1 263 </w:t>
                  </w:r>
                </w:p>
              </w:tc>
            </w:tr>
            <w:tr w:rsidR="009C6940" w14:paraId="0A2E0B21" w14:textId="77777777" w:rsidTr="00E555DF">
              <w:tc>
                <w:tcPr>
                  <w:tcW w:w="1007" w:type="pct"/>
                  <w:shd w:val="clear" w:color="auto" w:fill="auto"/>
                  <w:vAlign w:val="bottom"/>
                </w:tcPr>
                <w:p w14:paraId="5034963C" w14:textId="77777777" w:rsidR="009C6940" w:rsidRDefault="009C6940" w:rsidP="009C6940">
                  <w:pPr>
                    <w:pStyle w:val="TableBodyText"/>
                    <w:spacing w:before="60" w:after="60"/>
                    <w:jc w:val="left"/>
                  </w:pPr>
                  <w:r w:rsidRPr="00EF0A10">
                    <w:t>Number</w:t>
                  </w:r>
                  <w:r>
                    <w:t xml:space="preserve"> of people</w:t>
                  </w:r>
                </w:p>
              </w:tc>
              <w:tc>
                <w:tcPr>
                  <w:tcW w:w="665" w:type="pct"/>
                  <w:vAlign w:val="center"/>
                </w:tcPr>
                <w:p w14:paraId="0C7450C5" w14:textId="77777777" w:rsidR="009C6940" w:rsidRPr="00C32F08" w:rsidRDefault="009C6940" w:rsidP="009C6940">
                  <w:pPr>
                    <w:pStyle w:val="TableBodyText"/>
                    <w:spacing w:before="60" w:after="60"/>
                  </w:pPr>
                  <w:r w:rsidRPr="00C32F08">
                    <w:rPr>
                      <w:rFonts w:cs="Arial"/>
                      <w:color w:val="000000"/>
                      <w:szCs w:val="18"/>
                    </w:rPr>
                    <w:t>1</w:t>
                  </w:r>
                  <w:r>
                    <w:rPr>
                      <w:rFonts w:cs="Arial"/>
                      <w:color w:val="000000"/>
                      <w:szCs w:val="18"/>
                    </w:rPr>
                    <w:t> </w:t>
                  </w:r>
                  <w:r w:rsidRPr="00C32F08">
                    <w:rPr>
                      <w:rFonts w:cs="Arial"/>
                      <w:color w:val="000000"/>
                      <w:szCs w:val="18"/>
                    </w:rPr>
                    <w:t>268</w:t>
                  </w:r>
                </w:p>
              </w:tc>
              <w:tc>
                <w:tcPr>
                  <w:tcW w:w="666" w:type="pct"/>
                  <w:tcBorders>
                    <w:right w:val="dashed" w:sz="4" w:space="0" w:color="BFBFBF"/>
                  </w:tcBorders>
                  <w:shd w:val="clear" w:color="auto" w:fill="auto"/>
                  <w:vAlign w:val="center"/>
                </w:tcPr>
                <w:p w14:paraId="654B484A" w14:textId="77777777" w:rsidR="009C6940" w:rsidRPr="00C32F08" w:rsidRDefault="009C6940" w:rsidP="009C6940">
                  <w:pPr>
                    <w:pStyle w:val="TableBodyText"/>
                    <w:spacing w:before="60" w:after="60"/>
                  </w:pPr>
                  <w:r w:rsidRPr="00C32F08">
                    <w:rPr>
                      <w:rFonts w:cs="Arial"/>
                      <w:color w:val="000000"/>
                      <w:szCs w:val="18"/>
                    </w:rPr>
                    <w:t>1</w:t>
                  </w:r>
                  <w:r>
                    <w:rPr>
                      <w:rFonts w:cs="Arial"/>
                      <w:color w:val="000000"/>
                      <w:szCs w:val="18"/>
                    </w:rPr>
                    <w:t> </w:t>
                  </w:r>
                  <w:r w:rsidRPr="00C32F08">
                    <w:rPr>
                      <w:rFonts w:cs="Arial"/>
                      <w:color w:val="000000"/>
                      <w:szCs w:val="18"/>
                    </w:rPr>
                    <w:t>825</w:t>
                  </w:r>
                </w:p>
              </w:tc>
              <w:tc>
                <w:tcPr>
                  <w:tcW w:w="665" w:type="pct"/>
                  <w:tcBorders>
                    <w:left w:val="dashed" w:sz="4" w:space="0" w:color="BFBFBF"/>
                  </w:tcBorders>
                  <w:vAlign w:val="center"/>
                </w:tcPr>
                <w:p w14:paraId="14213DF7" w14:textId="77777777" w:rsidR="009C6940" w:rsidRDefault="009C6940" w:rsidP="009C6940">
                  <w:pPr>
                    <w:pStyle w:val="TableBodyText"/>
                    <w:spacing w:before="60" w:after="60"/>
                  </w:pPr>
                  <w:r>
                    <w:rPr>
                      <w:rFonts w:cs="Arial"/>
                      <w:color w:val="000000"/>
                      <w:szCs w:val="18"/>
                    </w:rPr>
                    <w:t>193</w:t>
                  </w:r>
                </w:p>
              </w:tc>
              <w:tc>
                <w:tcPr>
                  <w:tcW w:w="666" w:type="pct"/>
                  <w:tcBorders>
                    <w:right w:val="dashed" w:sz="4" w:space="0" w:color="BFBFBF"/>
                  </w:tcBorders>
                  <w:shd w:val="clear" w:color="auto" w:fill="auto"/>
                  <w:vAlign w:val="center"/>
                </w:tcPr>
                <w:p w14:paraId="5A52E29A" w14:textId="77777777" w:rsidR="009C6940" w:rsidRDefault="009C6940" w:rsidP="009C6940">
                  <w:pPr>
                    <w:pStyle w:val="TableBodyText"/>
                    <w:spacing w:before="60" w:after="60"/>
                  </w:pPr>
                  <w:r>
                    <w:rPr>
                      <w:rFonts w:cs="Arial"/>
                      <w:color w:val="000000"/>
                      <w:szCs w:val="18"/>
                    </w:rPr>
                    <w:t>277</w:t>
                  </w:r>
                </w:p>
              </w:tc>
              <w:tc>
                <w:tcPr>
                  <w:tcW w:w="665" w:type="pct"/>
                  <w:tcBorders>
                    <w:left w:val="dashed" w:sz="4" w:space="0" w:color="BFBFBF"/>
                  </w:tcBorders>
                  <w:shd w:val="clear" w:color="auto" w:fill="auto"/>
                  <w:vAlign w:val="center"/>
                </w:tcPr>
                <w:p w14:paraId="38CC1ECA" w14:textId="77777777" w:rsidR="009C6940" w:rsidRDefault="009C6940" w:rsidP="009C6940">
                  <w:pPr>
                    <w:pStyle w:val="TableBodyText"/>
                    <w:spacing w:before="60" w:after="60"/>
                  </w:pPr>
                  <w:r>
                    <w:rPr>
                      <w:rFonts w:cs="Arial"/>
                      <w:color w:val="000000"/>
                      <w:szCs w:val="18"/>
                    </w:rPr>
                    <w:t>29 191</w:t>
                  </w:r>
                </w:p>
              </w:tc>
              <w:tc>
                <w:tcPr>
                  <w:tcW w:w="666" w:type="pct"/>
                  <w:shd w:val="clear" w:color="auto" w:fill="auto"/>
                  <w:vAlign w:val="center"/>
                </w:tcPr>
                <w:p w14:paraId="09C5F3FE" w14:textId="77777777" w:rsidR="009C6940" w:rsidRDefault="009C6940" w:rsidP="009C6940">
                  <w:pPr>
                    <w:pStyle w:val="TableBodyText"/>
                    <w:spacing w:before="60" w:after="60"/>
                  </w:pPr>
                  <w:r>
                    <w:rPr>
                      <w:rFonts w:cs="Arial"/>
                      <w:color w:val="000000"/>
                      <w:szCs w:val="18"/>
                    </w:rPr>
                    <w:t>48 658</w:t>
                  </w:r>
                </w:p>
              </w:tc>
            </w:tr>
            <w:tr w:rsidR="009C6940" w:rsidRPr="003A0F02" w14:paraId="24A2042A" w14:textId="77777777" w:rsidTr="00E555DF">
              <w:tc>
                <w:tcPr>
                  <w:tcW w:w="1007" w:type="pct"/>
                  <w:tcBorders>
                    <w:bottom w:val="single" w:sz="4" w:space="0" w:color="BFBFBF" w:themeColor="background1" w:themeShade="BF"/>
                  </w:tcBorders>
                  <w:shd w:val="clear" w:color="auto" w:fill="F2F2F2" w:themeFill="background1" w:themeFillShade="F2"/>
                </w:tcPr>
                <w:p w14:paraId="236D98C7" w14:textId="77777777" w:rsidR="009C6940" w:rsidRDefault="009C6940" w:rsidP="009C6940">
                  <w:pPr>
                    <w:pStyle w:val="TableBodyText"/>
                    <w:spacing w:before="60" w:after="60"/>
                    <w:jc w:val="left"/>
                    <w:rPr>
                      <w:b/>
                    </w:rPr>
                  </w:pPr>
                  <w:r>
                    <w:rPr>
                      <w:b/>
                    </w:rPr>
                    <w:t>Total costs ($b)</w:t>
                  </w:r>
                </w:p>
              </w:tc>
              <w:tc>
                <w:tcPr>
                  <w:tcW w:w="665" w:type="pct"/>
                  <w:tcBorders>
                    <w:bottom w:val="single" w:sz="4" w:space="0" w:color="BFBFBF" w:themeColor="background1" w:themeShade="BF"/>
                  </w:tcBorders>
                  <w:shd w:val="clear" w:color="auto" w:fill="F2F2F2" w:themeFill="background1" w:themeFillShade="F2"/>
                  <w:vAlign w:val="center"/>
                </w:tcPr>
                <w:p w14:paraId="3E8ACF14" w14:textId="77777777" w:rsidR="009C6940" w:rsidRPr="003A0F02" w:rsidRDefault="009C6940" w:rsidP="009C6940">
                  <w:pPr>
                    <w:pStyle w:val="TableBodyText"/>
                    <w:spacing w:before="60" w:after="60"/>
                    <w:rPr>
                      <w:rFonts w:cs="Arial"/>
                      <w:b/>
                      <w:color w:val="000000"/>
                      <w:szCs w:val="18"/>
                    </w:rPr>
                  </w:pPr>
                  <w:r w:rsidRPr="003A0F02">
                    <w:rPr>
                      <w:rFonts w:cs="Arial"/>
                      <w:b/>
                      <w:color w:val="000000"/>
                      <w:szCs w:val="18"/>
                    </w:rPr>
                    <w:t>11.9</w:t>
                  </w:r>
                </w:p>
              </w:tc>
              <w:tc>
                <w:tcPr>
                  <w:tcW w:w="666" w:type="pct"/>
                  <w:tcBorders>
                    <w:bottom w:val="single" w:sz="4" w:space="0" w:color="BFBFBF" w:themeColor="background1" w:themeShade="BF"/>
                    <w:right w:val="dashed" w:sz="4" w:space="0" w:color="BFBFBF"/>
                  </w:tcBorders>
                  <w:shd w:val="clear" w:color="auto" w:fill="F2F2F2" w:themeFill="background1" w:themeFillShade="F2"/>
                  <w:vAlign w:val="center"/>
                </w:tcPr>
                <w:p w14:paraId="6E37025D" w14:textId="77777777" w:rsidR="009C6940" w:rsidRPr="003A0F02" w:rsidRDefault="009C6940" w:rsidP="009C6940">
                  <w:pPr>
                    <w:pStyle w:val="TableBodyText"/>
                    <w:spacing w:before="60" w:after="60"/>
                    <w:rPr>
                      <w:rFonts w:cs="Arial"/>
                      <w:b/>
                      <w:color w:val="000000"/>
                      <w:szCs w:val="18"/>
                    </w:rPr>
                  </w:pPr>
                  <w:r w:rsidRPr="003A0F02">
                    <w:rPr>
                      <w:rFonts w:cs="Arial"/>
                      <w:b/>
                      <w:color w:val="000000"/>
                      <w:szCs w:val="18"/>
                    </w:rPr>
                    <w:t>17.1</w:t>
                  </w:r>
                </w:p>
              </w:tc>
              <w:tc>
                <w:tcPr>
                  <w:tcW w:w="665" w:type="pct"/>
                  <w:tcBorders>
                    <w:left w:val="dashed" w:sz="4" w:space="0" w:color="BFBFBF"/>
                    <w:bottom w:val="single" w:sz="4" w:space="0" w:color="BFBFBF" w:themeColor="background1" w:themeShade="BF"/>
                  </w:tcBorders>
                  <w:shd w:val="clear" w:color="auto" w:fill="F2F2F2" w:themeFill="background1" w:themeFillShade="F2"/>
                  <w:vAlign w:val="center"/>
                </w:tcPr>
                <w:p w14:paraId="4F628A4B" w14:textId="77777777" w:rsidR="009C6940" w:rsidRPr="003A0F02" w:rsidRDefault="009C6940" w:rsidP="009C6940">
                  <w:pPr>
                    <w:pStyle w:val="TableBodyText"/>
                    <w:spacing w:before="60" w:after="60"/>
                    <w:rPr>
                      <w:rFonts w:cs="Arial"/>
                      <w:b/>
                      <w:color w:val="000000"/>
                      <w:szCs w:val="18"/>
                    </w:rPr>
                  </w:pPr>
                  <w:r>
                    <w:rPr>
                      <w:rFonts w:cs="Arial"/>
                      <w:b/>
                      <w:color w:val="000000"/>
                      <w:szCs w:val="18"/>
                    </w:rPr>
                    <w:t>0.6</w:t>
                  </w:r>
                </w:p>
              </w:tc>
              <w:tc>
                <w:tcPr>
                  <w:tcW w:w="666" w:type="pct"/>
                  <w:tcBorders>
                    <w:bottom w:val="single" w:sz="4" w:space="0" w:color="BFBFBF" w:themeColor="background1" w:themeShade="BF"/>
                    <w:right w:val="dashed" w:sz="4" w:space="0" w:color="BFBFBF"/>
                  </w:tcBorders>
                  <w:shd w:val="clear" w:color="auto" w:fill="F2F2F2" w:themeFill="background1" w:themeFillShade="F2"/>
                  <w:vAlign w:val="center"/>
                </w:tcPr>
                <w:p w14:paraId="1260374A" w14:textId="77777777" w:rsidR="009C6940" w:rsidRPr="003A0F02" w:rsidRDefault="009C6940" w:rsidP="009C6940">
                  <w:pPr>
                    <w:pStyle w:val="TableBodyText"/>
                    <w:spacing w:before="60" w:after="60"/>
                    <w:rPr>
                      <w:rFonts w:cs="Arial"/>
                      <w:b/>
                      <w:color w:val="000000"/>
                      <w:szCs w:val="18"/>
                    </w:rPr>
                  </w:pPr>
                  <w:r>
                    <w:rPr>
                      <w:rFonts w:cs="Arial"/>
                      <w:b/>
                      <w:color w:val="000000"/>
                      <w:szCs w:val="18"/>
                    </w:rPr>
                    <w:t>0.7</w:t>
                  </w:r>
                </w:p>
              </w:tc>
              <w:tc>
                <w:tcPr>
                  <w:tcW w:w="665" w:type="pct"/>
                  <w:tcBorders>
                    <w:left w:val="dashed" w:sz="4" w:space="0" w:color="BFBFBF"/>
                    <w:bottom w:val="single" w:sz="4" w:space="0" w:color="BFBFBF" w:themeColor="background1" w:themeShade="BF"/>
                  </w:tcBorders>
                  <w:shd w:val="clear" w:color="auto" w:fill="F2F2F2" w:themeFill="background1" w:themeFillShade="F2"/>
                  <w:vAlign w:val="center"/>
                </w:tcPr>
                <w:p w14:paraId="1035D5C5" w14:textId="77777777" w:rsidR="009C6940" w:rsidRPr="003A0F02" w:rsidRDefault="009C6940" w:rsidP="009C6940">
                  <w:pPr>
                    <w:pStyle w:val="TableBodyText"/>
                    <w:spacing w:before="60" w:after="60"/>
                    <w:rPr>
                      <w:rFonts w:cs="Arial"/>
                      <w:b/>
                      <w:color w:val="000000"/>
                      <w:szCs w:val="18"/>
                    </w:rPr>
                  </w:pPr>
                  <w:r>
                    <w:rPr>
                      <w:rFonts w:cs="Arial"/>
                      <w:b/>
                      <w:color w:val="000000"/>
                      <w:szCs w:val="18"/>
                    </w:rPr>
                    <w:t>0.2</w:t>
                  </w:r>
                </w:p>
              </w:tc>
              <w:tc>
                <w:tcPr>
                  <w:tcW w:w="666" w:type="pct"/>
                  <w:tcBorders>
                    <w:bottom w:val="single" w:sz="4" w:space="0" w:color="BFBFBF" w:themeColor="background1" w:themeShade="BF"/>
                  </w:tcBorders>
                  <w:shd w:val="clear" w:color="auto" w:fill="F2F2F2" w:themeFill="background1" w:themeFillShade="F2"/>
                  <w:vAlign w:val="center"/>
                </w:tcPr>
                <w:p w14:paraId="7C56AFC5" w14:textId="77777777" w:rsidR="009C6940" w:rsidRPr="003A0F02" w:rsidRDefault="009C6940" w:rsidP="009C6940">
                  <w:pPr>
                    <w:pStyle w:val="TableBodyText"/>
                    <w:spacing w:before="60" w:after="60"/>
                    <w:rPr>
                      <w:rFonts w:cs="Arial"/>
                      <w:b/>
                      <w:color w:val="000000"/>
                      <w:szCs w:val="18"/>
                    </w:rPr>
                  </w:pPr>
                  <w:r>
                    <w:rPr>
                      <w:rFonts w:cs="Arial"/>
                      <w:b/>
                      <w:color w:val="000000"/>
                      <w:szCs w:val="18"/>
                    </w:rPr>
                    <w:t>0.0</w:t>
                  </w:r>
                  <w:r w:rsidRPr="003A0F02">
                    <w:rPr>
                      <w:rFonts w:cs="Arial"/>
                      <w:b/>
                      <w:color w:val="000000"/>
                      <w:szCs w:val="18"/>
                    </w:rPr>
                    <w:t>6</w:t>
                  </w:r>
                </w:p>
              </w:tc>
            </w:tr>
          </w:tbl>
          <w:p w14:paraId="768692CD" w14:textId="77777777" w:rsidR="009C6940" w:rsidRDefault="009C6940" w:rsidP="009C6940">
            <w:pPr>
              <w:pStyle w:val="Box"/>
            </w:pPr>
          </w:p>
        </w:tc>
      </w:tr>
      <w:tr w:rsidR="009C6940" w14:paraId="15002FCD" w14:textId="77777777" w:rsidTr="009C6940">
        <w:tc>
          <w:tcPr>
            <w:tcW w:w="5000" w:type="pct"/>
            <w:tcBorders>
              <w:top w:val="nil"/>
              <w:left w:val="nil"/>
              <w:bottom w:val="nil"/>
              <w:right w:val="nil"/>
            </w:tcBorders>
            <w:shd w:val="clear" w:color="auto" w:fill="auto"/>
          </w:tcPr>
          <w:p w14:paraId="4C1677D6" w14:textId="77777777" w:rsidR="009C6940" w:rsidRPr="00CA5787" w:rsidRDefault="009C6940" w:rsidP="009C6940">
            <w:pPr>
              <w:pStyle w:val="Note"/>
            </w:pPr>
            <w:r w:rsidRPr="008E77FE">
              <w:rPr>
                <w:rStyle w:val="NoteLabel"/>
              </w:rPr>
              <w:t>a</w:t>
            </w:r>
            <w:r>
              <w:t xml:space="preserve"> As years of life lost to suicide and self-inflicted injury data are from 2015, the number of deaths by suicide is also taken from that year.</w:t>
            </w:r>
            <w:r w:rsidDel="008B6D1D">
              <w:rPr>
                <w:rStyle w:val="NoteLabel"/>
              </w:rPr>
              <w:t xml:space="preserve"> </w:t>
            </w:r>
            <w:r>
              <w:rPr>
                <w:rStyle w:val="NoteLabel"/>
              </w:rPr>
              <w:t>b</w:t>
            </w:r>
            <w:r>
              <w:t xml:space="preserve"> Production disturbance costs are included only for those people who were employed at the time of their non-fatal suicide behaviour. </w:t>
            </w:r>
            <w:r w:rsidRPr="00DD1067">
              <w:rPr>
                <w:rFonts w:cs="Arial"/>
                <w:b/>
                <w:color w:val="000000"/>
                <w:szCs w:val="18"/>
              </w:rPr>
              <w:t>..</w:t>
            </w:r>
            <w:r w:rsidRPr="00DD1067">
              <w:rPr>
                <w:rFonts w:cs="Arial"/>
                <w:color w:val="000000"/>
                <w:szCs w:val="18"/>
              </w:rPr>
              <w:t xml:space="preserve"> Not applicable.</w:t>
            </w:r>
          </w:p>
        </w:tc>
      </w:tr>
      <w:tr w:rsidR="009C6940" w14:paraId="1D6EB96B" w14:textId="77777777" w:rsidTr="009C6940">
        <w:tc>
          <w:tcPr>
            <w:tcW w:w="5000" w:type="pct"/>
            <w:tcBorders>
              <w:top w:val="nil"/>
              <w:left w:val="nil"/>
              <w:bottom w:val="nil"/>
              <w:right w:val="nil"/>
            </w:tcBorders>
            <w:shd w:val="clear" w:color="auto" w:fill="auto"/>
          </w:tcPr>
          <w:p w14:paraId="433683E5" w14:textId="77777777" w:rsidR="009C6940" w:rsidRDefault="009C6940" w:rsidP="009C6940">
            <w:pPr>
              <w:pStyle w:val="Source"/>
            </w:pPr>
            <w:r>
              <w:rPr>
                <w:i/>
              </w:rPr>
              <w:t>Source</w:t>
            </w:r>
            <w:r w:rsidRPr="00167F06">
              <w:t xml:space="preserve">: </w:t>
            </w:r>
            <w:r>
              <w:t>Productivity Commission estimates.</w:t>
            </w:r>
          </w:p>
        </w:tc>
      </w:tr>
      <w:tr w:rsidR="009C6940" w14:paraId="19613BBB" w14:textId="77777777" w:rsidTr="009C6940">
        <w:tc>
          <w:tcPr>
            <w:tcW w:w="5000" w:type="pct"/>
            <w:tcBorders>
              <w:top w:val="nil"/>
              <w:left w:val="nil"/>
              <w:bottom w:val="single" w:sz="6" w:space="0" w:color="78A22F"/>
              <w:right w:val="nil"/>
            </w:tcBorders>
            <w:shd w:val="clear" w:color="auto" w:fill="auto"/>
          </w:tcPr>
          <w:p w14:paraId="3BCBED73" w14:textId="77777777" w:rsidR="009C6940" w:rsidRDefault="009C6940" w:rsidP="009C6940">
            <w:pPr>
              <w:pStyle w:val="Box"/>
              <w:spacing w:before="0" w:line="120" w:lineRule="exact"/>
            </w:pPr>
          </w:p>
        </w:tc>
      </w:tr>
      <w:tr w:rsidR="009C6940" w:rsidRPr="000863A5" w14:paraId="42912FCB" w14:textId="77777777" w:rsidTr="009C6940">
        <w:tc>
          <w:tcPr>
            <w:tcW w:w="5000" w:type="pct"/>
            <w:tcBorders>
              <w:top w:val="single" w:sz="6" w:space="0" w:color="78A22F"/>
              <w:left w:val="nil"/>
              <w:bottom w:val="nil"/>
              <w:right w:val="nil"/>
            </w:tcBorders>
          </w:tcPr>
          <w:p w14:paraId="423D3E70" w14:textId="77777777" w:rsidR="009C6940" w:rsidRPr="00626D32" w:rsidRDefault="009C6940" w:rsidP="009C6940">
            <w:pPr>
              <w:pStyle w:val="BoxSpaceBelow"/>
            </w:pPr>
          </w:p>
        </w:tc>
      </w:tr>
    </w:tbl>
    <w:p w14:paraId="56E3682B" w14:textId="77777777" w:rsidR="009C6940" w:rsidRDefault="009C6940" w:rsidP="009C6940">
      <w:pPr>
        <w:pStyle w:val="Heading1"/>
        <w:pageBreakBefore/>
        <w:rPr>
          <w:lang w:eastAsia="en-US" w:bidi="he-IL"/>
        </w:rPr>
      </w:pPr>
      <w:r>
        <w:rPr>
          <w:lang w:eastAsia="en-US" w:bidi="he-IL"/>
        </w:rPr>
        <w:lastRenderedPageBreak/>
        <w:t>References</w:t>
      </w:r>
    </w:p>
    <w:p w14:paraId="6D202943" w14:textId="77777777" w:rsidR="009C6940" w:rsidRPr="004C0A6F" w:rsidRDefault="009C6940" w:rsidP="009C6940">
      <w:pPr>
        <w:pStyle w:val="Reference"/>
        <w:spacing w:before="100" w:line="260" w:lineRule="atLeast"/>
        <w:rPr>
          <w:spacing w:val="-4"/>
          <w:sz w:val="20"/>
        </w:rPr>
      </w:pPr>
      <w:r w:rsidRPr="004C0A6F">
        <w:rPr>
          <w:spacing w:val="-4"/>
          <w:sz w:val="20"/>
        </w:rPr>
        <w:t>Abelson, P. 2008, Establishing a Monetary Value for Lives Saved: Issues and Controversies, Office of Best Practice Regulation, Canberra.</w:t>
      </w:r>
    </w:p>
    <w:p w14:paraId="05DBE1E9" w14:textId="77777777" w:rsidR="009C6940" w:rsidRPr="004C0A6F" w:rsidRDefault="009C6940" w:rsidP="009C6940">
      <w:pPr>
        <w:pStyle w:val="Reference"/>
        <w:spacing w:before="100" w:line="260" w:lineRule="atLeast"/>
        <w:rPr>
          <w:spacing w:val="-4"/>
          <w:sz w:val="20"/>
        </w:rPr>
      </w:pPr>
      <w:r w:rsidRPr="004C0A6F">
        <w:rPr>
          <w:spacing w:val="-4"/>
          <w:sz w:val="20"/>
        </w:rPr>
        <w:t>ABS (Australian Bureau of Statistics) 2018, Microdata: Multi-Agency Data Integration Project, Australia, Cat. no. 1700.0, Canberra.</w:t>
      </w:r>
    </w:p>
    <w:p w14:paraId="5F7650C7" w14:textId="77777777" w:rsidR="009C6940" w:rsidRPr="004C0A6F" w:rsidRDefault="009C6940" w:rsidP="009C6940">
      <w:pPr>
        <w:pStyle w:val="Reference"/>
        <w:spacing w:before="100" w:line="260" w:lineRule="atLeast"/>
        <w:rPr>
          <w:spacing w:val="-4"/>
          <w:sz w:val="20"/>
        </w:rPr>
      </w:pPr>
      <w:r w:rsidRPr="004C0A6F">
        <w:rPr>
          <w:spacing w:val="-4"/>
          <w:sz w:val="20"/>
        </w:rPr>
        <w:t>—— 2019a, National Health Survey 2017-18, Basic Confidentialised Unit Record File (CURF), Cat. no. 4324.0.55.001, Canberra.</w:t>
      </w:r>
    </w:p>
    <w:p w14:paraId="5905D7C8" w14:textId="77777777" w:rsidR="009C6940" w:rsidRPr="004C0A6F" w:rsidRDefault="009C6940" w:rsidP="009C6940">
      <w:pPr>
        <w:pStyle w:val="Reference"/>
        <w:spacing w:before="100" w:line="260" w:lineRule="atLeast"/>
        <w:rPr>
          <w:spacing w:val="-4"/>
          <w:sz w:val="20"/>
        </w:rPr>
      </w:pPr>
      <w:r w:rsidRPr="004C0A6F">
        <w:rPr>
          <w:spacing w:val="-4"/>
          <w:sz w:val="20"/>
        </w:rPr>
        <w:t>AIHW (Australian Institute of Health and Welfare) 2017, National Social Housing Survey 2016 — Online and Supplementary Data Tables, Canberra.</w:t>
      </w:r>
    </w:p>
    <w:p w14:paraId="5033E64D" w14:textId="77777777" w:rsidR="009C6940" w:rsidRPr="004C0A6F" w:rsidRDefault="009C6940" w:rsidP="009C6940">
      <w:pPr>
        <w:pStyle w:val="Reference"/>
        <w:spacing w:before="100" w:line="260" w:lineRule="atLeast"/>
        <w:rPr>
          <w:spacing w:val="-4"/>
          <w:sz w:val="20"/>
        </w:rPr>
      </w:pPr>
      <w:r w:rsidRPr="004C0A6F">
        <w:rPr>
          <w:spacing w:val="-4"/>
          <w:sz w:val="20"/>
        </w:rPr>
        <w:t>—— 2019a, Australian Burden of Disease Study: Impact and Causes of Illness and Death in Australia 2015, Cat. no. BOD 22, Canberra.</w:t>
      </w:r>
    </w:p>
    <w:p w14:paraId="7216FF39" w14:textId="77777777" w:rsidR="009C6940" w:rsidRPr="004C0A6F" w:rsidRDefault="009C6940" w:rsidP="009C6940">
      <w:pPr>
        <w:pStyle w:val="Reference"/>
        <w:spacing w:before="100" w:line="260" w:lineRule="atLeast"/>
        <w:rPr>
          <w:spacing w:val="-4"/>
          <w:sz w:val="20"/>
        </w:rPr>
      </w:pPr>
      <w:r w:rsidRPr="004C0A6F">
        <w:rPr>
          <w:spacing w:val="-4"/>
          <w:sz w:val="20"/>
        </w:rPr>
        <w:t>—— 2019b, Mental Health Services in Australia – Specialist Homelessness Services, Canberra.</w:t>
      </w:r>
    </w:p>
    <w:p w14:paraId="774A1315" w14:textId="77777777" w:rsidR="009C6940" w:rsidRPr="004C0A6F" w:rsidRDefault="009C6940" w:rsidP="009C6940">
      <w:pPr>
        <w:pStyle w:val="Reference"/>
        <w:spacing w:before="100" w:line="260" w:lineRule="atLeast"/>
        <w:rPr>
          <w:spacing w:val="-4"/>
          <w:sz w:val="20"/>
        </w:rPr>
      </w:pPr>
      <w:r w:rsidRPr="004C0A6F">
        <w:rPr>
          <w:spacing w:val="-4"/>
          <w:sz w:val="20"/>
        </w:rPr>
        <w:t>—— 2020a, Mental Health Services in Australia - Expenditure on Mental Health Services 2017-18 Tables, Canberra.</w:t>
      </w:r>
    </w:p>
    <w:p w14:paraId="6FCB03B0" w14:textId="77777777" w:rsidR="009C6940" w:rsidRPr="004C0A6F" w:rsidRDefault="009C6940" w:rsidP="009C6940">
      <w:pPr>
        <w:pStyle w:val="Reference"/>
        <w:spacing w:before="100" w:line="260" w:lineRule="atLeast"/>
        <w:rPr>
          <w:spacing w:val="-4"/>
          <w:sz w:val="20"/>
        </w:rPr>
      </w:pPr>
      <w:r w:rsidRPr="004C0A6F">
        <w:rPr>
          <w:spacing w:val="-4"/>
          <w:sz w:val="20"/>
        </w:rPr>
        <w:t>—— 2020b, Mental health services in Australia, Data Source, https://www.aihw.gov.au/reports/mental-health-services/mental-health-services-in-australia/report-contents/expenditure-on-mental-health-related-services/data-source (accessed 19 March 2020).</w:t>
      </w:r>
    </w:p>
    <w:p w14:paraId="5A5968E7" w14:textId="77777777" w:rsidR="009C6940" w:rsidRPr="004C0A6F" w:rsidRDefault="009C6940" w:rsidP="009C6940">
      <w:pPr>
        <w:pStyle w:val="Reference"/>
        <w:spacing w:before="100" w:line="260" w:lineRule="atLeast"/>
        <w:rPr>
          <w:spacing w:val="-4"/>
          <w:sz w:val="20"/>
        </w:rPr>
      </w:pPr>
      <w:r w:rsidRPr="004C0A6F">
        <w:rPr>
          <w:spacing w:val="-4"/>
          <w:sz w:val="20"/>
        </w:rPr>
        <w:t>ASCC (Australian Safety and Compensation Council) 2008, The Health of Nations: The Value of a Statistical Life, Canberra.</w:t>
      </w:r>
    </w:p>
    <w:p w14:paraId="331A4A66" w14:textId="77777777" w:rsidR="009C6940" w:rsidRPr="004C0A6F" w:rsidRDefault="009C6940" w:rsidP="009C6940">
      <w:pPr>
        <w:pStyle w:val="Reference"/>
        <w:spacing w:before="100" w:line="260" w:lineRule="atLeast"/>
        <w:rPr>
          <w:spacing w:val="-4"/>
          <w:sz w:val="20"/>
        </w:rPr>
      </w:pPr>
      <w:r w:rsidRPr="004C0A6F">
        <w:rPr>
          <w:spacing w:val="-4"/>
          <w:sz w:val="20"/>
        </w:rPr>
        <w:t>BITRE (Bureau of Infrastructure, Transport and Regional Economics) 2009, Cost of Road Crashes in Australia 2006, Research report, 118, Department of Infrastructure, Transport, Regional Development and Local Government, Canberra.</w:t>
      </w:r>
    </w:p>
    <w:p w14:paraId="12A4F4CA" w14:textId="77777777" w:rsidR="009C6940" w:rsidRPr="004C0A6F" w:rsidRDefault="009C6940" w:rsidP="009C6940">
      <w:pPr>
        <w:pStyle w:val="Reference"/>
        <w:spacing w:before="100" w:line="260" w:lineRule="atLeast"/>
        <w:rPr>
          <w:spacing w:val="-4"/>
          <w:sz w:val="20"/>
        </w:rPr>
      </w:pPr>
      <w:r w:rsidRPr="004C0A6F">
        <w:rPr>
          <w:spacing w:val="-4"/>
          <w:sz w:val="20"/>
        </w:rPr>
        <w:t>ConNetica (ConNetica Consulting Pty Ltd) 2010, Suicide and Suicide Prevention in Australia: Breaking the Silence, Lifeline Australian and Suicide Prevention Australia.</w:t>
      </w:r>
    </w:p>
    <w:p w14:paraId="5D4F92AB" w14:textId="77777777" w:rsidR="009C6940" w:rsidRPr="004C0A6F" w:rsidRDefault="009C6940" w:rsidP="009C6940">
      <w:pPr>
        <w:pStyle w:val="Reference"/>
        <w:spacing w:before="100" w:line="260" w:lineRule="atLeast"/>
        <w:rPr>
          <w:spacing w:val="-4"/>
          <w:sz w:val="20"/>
        </w:rPr>
      </w:pPr>
      <w:r w:rsidRPr="004C0A6F">
        <w:rPr>
          <w:spacing w:val="-4"/>
          <w:sz w:val="20"/>
        </w:rPr>
        <w:t>Diminic, S., Hielscher, E., Lee, Y.Y., Harris, M., Schess, J., Kealton, J. and Whiteford, H. 2017, The Economic Value of Informal Mental Health Care in Australia: Summary Report, Commissioned by Mind Australia, University of Queensland, Brisbane.</w:t>
      </w:r>
    </w:p>
    <w:p w14:paraId="50BA872E" w14:textId="77777777" w:rsidR="009C6940" w:rsidRPr="004C0A6F" w:rsidRDefault="009C6940" w:rsidP="009C6940">
      <w:pPr>
        <w:pStyle w:val="Reference"/>
        <w:spacing w:before="100" w:line="260" w:lineRule="atLeast"/>
        <w:rPr>
          <w:spacing w:val="-4"/>
          <w:sz w:val="20"/>
        </w:rPr>
      </w:pPr>
      <w:r w:rsidRPr="004C0A6F">
        <w:rPr>
          <w:spacing w:val="-4"/>
          <w:sz w:val="20"/>
        </w:rPr>
        <w:t>DJSB (Department of Jobs and Small Business) 2019, Budget 2019-20: Jobs and Small Business Portfolio, Portfolio Budget Statements 2019-20, Budget Related Paper No. 1.13, Canberra.</w:t>
      </w:r>
    </w:p>
    <w:p w14:paraId="1EE0E07B" w14:textId="77777777" w:rsidR="009C6940" w:rsidRPr="004C0A6F" w:rsidRDefault="009C6940" w:rsidP="009C6940">
      <w:pPr>
        <w:pStyle w:val="Reference"/>
        <w:spacing w:before="100" w:line="260" w:lineRule="atLeast"/>
        <w:rPr>
          <w:spacing w:val="-4"/>
          <w:sz w:val="20"/>
        </w:rPr>
      </w:pPr>
      <w:r w:rsidRPr="004C0A6F">
        <w:rPr>
          <w:spacing w:val="-4"/>
          <w:sz w:val="20"/>
        </w:rPr>
        <w:t>DoH (Department of Health) 2020, Out of pocket costs, www.health.gov.au/health-topics/private-health-insurance/what-private-health-insurance-covers/out-of-pocket-costs (accessed 12 February 2020).</w:t>
      </w:r>
    </w:p>
    <w:p w14:paraId="34109052" w14:textId="77777777" w:rsidR="009C6940" w:rsidRPr="004C0A6F" w:rsidRDefault="009C6940" w:rsidP="009C6940">
      <w:pPr>
        <w:pStyle w:val="Reference"/>
        <w:spacing w:before="100" w:line="260" w:lineRule="atLeast"/>
        <w:rPr>
          <w:spacing w:val="-4"/>
          <w:sz w:val="20"/>
        </w:rPr>
      </w:pPr>
      <w:r w:rsidRPr="004C0A6F">
        <w:rPr>
          <w:spacing w:val="-4"/>
          <w:sz w:val="20"/>
        </w:rPr>
        <w:t>—— 2019, Mental Health: Key Statistics Fact Sheet, Canberra.</w:t>
      </w:r>
    </w:p>
    <w:p w14:paraId="7A7D781F" w14:textId="77777777" w:rsidR="009C6940" w:rsidRPr="004C0A6F" w:rsidRDefault="009C6940" w:rsidP="009C6940">
      <w:pPr>
        <w:pStyle w:val="Reference"/>
        <w:spacing w:before="100" w:line="260" w:lineRule="atLeast"/>
        <w:rPr>
          <w:spacing w:val="-4"/>
          <w:sz w:val="20"/>
        </w:rPr>
      </w:pPr>
      <w:r w:rsidRPr="004C0A6F">
        <w:rPr>
          <w:spacing w:val="-4"/>
          <w:sz w:val="20"/>
        </w:rPr>
        <w:t>DSS (Department of Social Services) 2019, Budget 2019-20: Social Services Portfolio, Portfolio Budget Statements 2019-20, Budget Related Paper No. 1.15A, Canberra.</w:t>
      </w:r>
    </w:p>
    <w:p w14:paraId="3A763167" w14:textId="77777777" w:rsidR="009C6940" w:rsidRPr="004C0A6F" w:rsidRDefault="009C6940" w:rsidP="009C6940">
      <w:pPr>
        <w:pStyle w:val="Reference"/>
        <w:spacing w:before="100" w:line="260" w:lineRule="atLeast"/>
        <w:rPr>
          <w:spacing w:val="-4"/>
          <w:sz w:val="20"/>
        </w:rPr>
      </w:pPr>
      <w:r w:rsidRPr="004C0A6F">
        <w:rPr>
          <w:spacing w:val="-4"/>
          <w:sz w:val="20"/>
        </w:rPr>
        <w:t>Harrison, J.E. and Henley, G. 2014, Suicide and Hospitalised Self-harm in Australia: Trends and Analysis, Injury research and statistics series no. 93, Cat. no. INJCAT 169, Australian Institute of Health and Welfare, Canberra.</w:t>
      </w:r>
    </w:p>
    <w:p w14:paraId="635204DF" w14:textId="77777777" w:rsidR="009C6940" w:rsidRPr="004C0A6F" w:rsidRDefault="009C6940" w:rsidP="009C6940">
      <w:pPr>
        <w:pStyle w:val="Reference"/>
        <w:spacing w:before="100" w:line="260" w:lineRule="atLeast"/>
        <w:rPr>
          <w:spacing w:val="-4"/>
          <w:sz w:val="20"/>
        </w:rPr>
      </w:pPr>
      <w:r w:rsidRPr="004C0A6F">
        <w:rPr>
          <w:spacing w:val="-4"/>
          <w:sz w:val="20"/>
        </w:rPr>
        <w:lastRenderedPageBreak/>
        <w:t>Kinchin, I. and Doran, C.M. 2017, ‘The economic cost of suicide and non-fatal suicide behavior in the Australian workforce and the potential impact of a Workplace Suicide Prevention Strategy’, International Journal of Environmental Research and Public Health, vol. 14, no. 4, p. 347.</w:t>
      </w:r>
    </w:p>
    <w:p w14:paraId="5C91D1A7" w14:textId="77777777" w:rsidR="009C6940" w:rsidRPr="004C0A6F" w:rsidRDefault="009C6940" w:rsidP="009C6940">
      <w:pPr>
        <w:pStyle w:val="Reference"/>
        <w:spacing w:before="100" w:line="260" w:lineRule="atLeast"/>
        <w:rPr>
          <w:spacing w:val="-4"/>
          <w:sz w:val="20"/>
        </w:rPr>
      </w:pPr>
      <w:r w:rsidRPr="004C0A6F">
        <w:rPr>
          <w:spacing w:val="-4"/>
          <w:sz w:val="20"/>
        </w:rPr>
        <w:t>——, ——, Hall, W.D. and Meurk, C. 2017, ‘Understanding the true economic impact of self-harming behaviour’, The Lancet Psychiatry, vol. 4, no. 12, pp. 900–901.</w:t>
      </w:r>
    </w:p>
    <w:p w14:paraId="6124CA0F" w14:textId="77777777" w:rsidR="009C6940" w:rsidRPr="004C0A6F" w:rsidRDefault="009C6940" w:rsidP="009C6940">
      <w:pPr>
        <w:pStyle w:val="Reference"/>
        <w:spacing w:before="100" w:line="260" w:lineRule="atLeast"/>
        <w:rPr>
          <w:spacing w:val="-4"/>
          <w:sz w:val="20"/>
        </w:rPr>
      </w:pPr>
      <w:r w:rsidRPr="004C0A6F">
        <w:rPr>
          <w:spacing w:val="-4"/>
          <w:sz w:val="20"/>
        </w:rPr>
        <w:t>OBPR (Office of Best Practice Regulation) 2014, Best Practice Regulation Guidance Note Value of statistical life, Canberra.</w:t>
      </w:r>
    </w:p>
    <w:p w14:paraId="5B688BD9" w14:textId="77777777" w:rsidR="009C6940" w:rsidRPr="004C0A6F" w:rsidRDefault="009C6940" w:rsidP="009C6940">
      <w:pPr>
        <w:pStyle w:val="Reference"/>
        <w:spacing w:before="100" w:line="260" w:lineRule="atLeast"/>
        <w:rPr>
          <w:spacing w:val="-4"/>
          <w:sz w:val="20"/>
        </w:rPr>
      </w:pPr>
      <w:r w:rsidRPr="004C0A6F">
        <w:rPr>
          <w:spacing w:val="-4"/>
          <w:sz w:val="20"/>
        </w:rPr>
        <w:t>—— 2019, Best Practice Regulation Guidance Note Value of statistical</w:t>
      </w:r>
      <w:r w:rsidRPr="004C0A6F" w:rsidDel="00F92C6C">
        <w:rPr>
          <w:spacing w:val="-4"/>
          <w:sz w:val="20"/>
        </w:rPr>
        <w:t xml:space="preserve"> </w:t>
      </w:r>
      <w:r w:rsidRPr="004C0A6F">
        <w:rPr>
          <w:spacing w:val="-4"/>
          <w:sz w:val="20"/>
        </w:rPr>
        <w:t>life, Canberra.</w:t>
      </w:r>
    </w:p>
    <w:p w14:paraId="54C9DAF9" w14:textId="77777777" w:rsidR="009C6940" w:rsidRPr="004C0A6F" w:rsidRDefault="009C6940" w:rsidP="009C6940">
      <w:pPr>
        <w:pStyle w:val="Reference"/>
        <w:spacing w:before="100" w:line="260" w:lineRule="atLeast"/>
        <w:rPr>
          <w:spacing w:val="-4"/>
          <w:sz w:val="20"/>
        </w:rPr>
      </w:pPr>
      <w:r w:rsidRPr="004C0A6F">
        <w:rPr>
          <w:spacing w:val="-4"/>
          <w:sz w:val="20"/>
        </w:rPr>
        <w:t>Ritter, A., Berends, L., Chalmers, J., Hull, P., Lancaster, K. and Gomez, M. 2014, New Horizons: The Review of Alcohol and Other Drug Treatment Services in Australia, National Drug and Alcohol Research Centre, University of New South Wales, Sydney.</w:t>
      </w:r>
    </w:p>
    <w:p w14:paraId="5EE265CF" w14:textId="77777777" w:rsidR="009C6940" w:rsidRPr="004C0A6F" w:rsidRDefault="009C6940" w:rsidP="009C6940">
      <w:pPr>
        <w:pStyle w:val="Reference"/>
        <w:spacing w:before="100" w:line="260" w:lineRule="atLeast"/>
        <w:rPr>
          <w:spacing w:val="-4"/>
          <w:sz w:val="20"/>
        </w:rPr>
      </w:pPr>
      <w:r w:rsidRPr="004C0A6F">
        <w:rPr>
          <w:spacing w:val="-4"/>
          <w:sz w:val="20"/>
        </w:rPr>
        <w:t>SCRGSP (Steering Committee for the Review of Government Service Provision) 2020a, Report on Government Services 2020 – Part C Justice, Productivity Commission, Canberra.</w:t>
      </w:r>
    </w:p>
    <w:p w14:paraId="2E68B0DC" w14:textId="77777777" w:rsidR="009C6940" w:rsidRPr="004C0A6F" w:rsidRDefault="009C6940" w:rsidP="009C6940">
      <w:pPr>
        <w:pStyle w:val="Reference"/>
        <w:spacing w:before="100" w:line="260" w:lineRule="atLeast"/>
        <w:rPr>
          <w:spacing w:val="-4"/>
          <w:sz w:val="20"/>
        </w:rPr>
      </w:pPr>
      <w:r w:rsidRPr="004C0A6F">
        <w:rPr>
          <w:spacing w:val="-4"/>
          <w:sz w:val="20"/>
        </w:rPr>
        <w:t>—— 2020b, Report on Government Services 2020 – Part G Housing and Homelessness, Productivity Commission, Canberra.</w:t>
      </w:r>
    </w:p>
    <w:p w14:paraId="0155A8AA" w14:textId="77777777" w:rsidR="009C6940" w:rsidRDefault="009C6940" w:rsidP="009C6940">
      <w:pPr>
        <w:sectPr w:rsidR="009C6940" w:rsidSect="009C6940">
          <w:headerReference w:type="even" r:id="rId74"/>
          <w:headerReference w:type="default" r:id="rId75"/>
          <w:footerReference w:type="even" r:id="rId76"/>
          <w:footerReference w:type="default" r:id="rId77"/>
          <w:type w:val="oddPage"/>
          <w:pgSz w:w="11907" w:h="16840" w:code="9"/>
          <w:pgMar w:top="1985" w:right="1304" w:bottom="1247" w:left="1814" w:header="1701" w:footer="397" w:gutter="0"/>
          <w:pgNumType w:chapSep="period"/>
          <w:cols w:space="720"/>
          <w:docGrid w:linePitch="326"/>
        </w:sectPr>
      </w:pPr>
    </w:p>
    <w:p w14:paraId="4E3432D6" w14:textId="77777777" w:rsidR="009C6940" w:rsidRDefault="009C6940" w:rsidP="0085206F">
      <w:pPr>
        <w:pStyle w:val="Heading1"/>
      </w:pPr>
      <w:r>
        <w:lastRenderedPageBreak/>
        <w:t>I</w:t>
      </w:r>
      <w:r>
        <w:tab/>
        <w:t>Benefits and costs of improved mental health</w:t>
      </w:r>
    </w:p>
    <w:p w14:paraId="438F149C" w14:textId="77777777" w:rsidR="009C6940" w:rsidRDefault="009C6940" w:rsidP="009C6940">
      <w:pPr>
        <w:pStyle w:val="BodyText"/>
      </w:pPr>
      <w:r>
        <w:t xml:space="preserve">This analysis looks at the health benefits that are likely to stem from the main Inquiry actions, and provides an indication of how much health improvements that result from the recommended actions are likely to cost. This serves several purposes — it demonstrates that the recommended actions provide relatively good value for money in terms of health returns for government expenditure and provides an indication of what actions give the biggest health returns for a given amount of expenditure. </w:t>
      </w:r>
    </w:p>
    <w:p w14:paraId="631673F2" w14:textId="77777777" w:rsidR="009C6940" w:rsidRDefault="009C6940" w:rsidP="009C6940">
      <w:pPr>
        <w:pStyle w:val="BodyText"/>
      </w:pPr>
      <w:r>
        <w:t>A number of terms that are used throughout the appendix are defined in box I.1.</w:t>
      </w:r>
    </w:p>
    <w:p w14:paraId="6F6AEB7E" w14:textId="77777777" w:rsidR="009C6940" w:rsidRDefault="009C6940" w:rsidP="009C6940">
      <w:pPr>
        <w:pStyle w:val="Heading2"/>
      </w:pPr>
      <w:r>
        <w:t>I.</w:t>
      </w:r>
      <w:r>
        <w:rPr>
          <w:noProof/>
        </w:rPr>
        <w:t>1</w:t>
      </w:r>
      <w:r>
        <w:tab/>
        <w:t>Benefits and costs framework</w:t>
      </w:r>
    </w:p>
    <w:p w14:paraId="73D94625" w14:textId="77777777" w:rsidR="009C6940" w:rsidRDefault="009C6940" w:rsidP="009C6940">
      <w:pPr>
        <w:pStyle w:val="BodyText"/>
      </w:pPr>
      <w:r>
        <w:t>The benefits of improved mental health that were readily quantified are:</w:t>
      </w:r>
    </w:p>
    <w:p w14:paraId="7164DF91" w14:textId="77777777" w:rsidR="009C6940" w:rsidRDefault="009C6940" w:rsidP="009C6940">
      <w:pPr>
        <w:pStyle w:val="ListBullet"/>
        <w:spacing w:before="80"/>
      </w:pPr>
      <w:r>
        <w:t>improved employment prospects</w:t>
      </w:r>
    </w:p>
    <w:p w14:paraId="45E1ADB2" w14:textId="77777777" w:rsidR="009C6940" w:rsidRDefault="009C6940" w:rsidP="009C6940">
      <w:pPr>
        <w:pStyle w:val="ListBullet"/>
        <w:spacing w:before="80"/>
      </w:pPr>
      <w:r>
        <w:t>increased labour income (wages)</w:t>
      </w:r>
    </w:p>
    <w:p w14:paraId="7DD14E6A" w14:textId="77777777" w:rsidR="009C6940" w:rsidRDefault="009C6940" w:rsidP="009C6940">
      <w:pPr>
        <w:pStyle w:val="ListBullet"/>
        <w:spacing w:before="80"/>
      </w:pPr>
      <w:r>
        <w:t>improved health</w:t>
      </w:r>
      <w:r>
        <w:noBreakHyphen/>
        <w:t>related quality of life (in terms of quality</w:t>
      </w:r>
      <w:r>
        <w:noBreakHyphen/>
        <w:t>adjusted life years, or QALYs) (box I.2).</w:t>
      </w:r>
    </w:p>
    <w:p w14:paraId="61BA4705" w14:textId="77777777" w:rsidR="009C6940" w:rsidRDefault="009C6940" w:rsidP="009C6940">
      <w:pPr>
        <w:pStyle w:val="BodyText"/>
      </w:pPr>
      <w:r>
        <w:t>Estimating the expected benefits of the actions involved two steps:</w:t>
      </w:r>
    </w:p>
    <w:p w14:paraId="4243773D" w14:textId="77777777" w:rsidR="009C6940" w:rsidRDefault="009C6940" w:rsidP="009C6940">
      <w:pPr>
        <w:pStyle w:val="ListBullet"/>
        <w:spacing w:before="80"/>
      </w:pPr>
      <w:r>
        <w:t xml:space="preserve">The </w:t>
      </w:r>
      <w:r w:rsidRPr="00575A9C">
        <w:t>relationship between mental health and wages, labour market outcomes</w:t>
      </w:r>
      <w:r>
        <w:t>, and health</w:t>
      </w:r>
      <w:r>
        <w:noBreakHyphen/>
        <w:t xml:space="preserve">related </w:t>
      </w:r>
      <w:r w:rsidRPr="00575A9C">
        <w:t>quality of life</w:t>
      </w:r>
      <w:r>
        <w:t xml:space="preserve"> was quantified, using an econometric model based on representative population (HILDA) data. This model is described in detail in appendix J.</w:t>
      </w:r>
    </w:p>
    <w:p w14:paraId="314232A2" w14:textId="77777777" w:rsidR="009C6940" w:rsidRDefault="009C6940" w:rsidP="009C6940">
      <w:pPr>
        <w:pStyle w:val="ListBullet"/>
        <w:spacing w:before="80"/>
      </w:pPr>
      <w:r>
        <w:t>The econometric results were combined with information from the existing mental health literature that describes the possible effect of policy changes on the mental health of people targeted by an action. This allowed the calculation of estimates of expected changes in employment, wages, and health</w:t>
      </w:r>
      <w:r>
        <w:noBreakHyphen/>
        <w:t>related quality of life. Information about possible health effects, costs and cost savings are outlined in appendix K.</w:t>
      </w:r>
    </w:p>
    <w:p w14:paraId="539D31AA" w14:textId="77777777" w:rsidR="009C6940" w:rsidRDefault="009C6940" w:rsidP="009C6940">
      <w:pPr>
        <w:pStyle w:val="BodyText"/>
      </w:pPr>
      <w:r>
        <w:t>This is a relatively straight</w:t>
      </w:r>
      <w:r>
        <w:noBreakHyphen/>
        <w:t>forward approach to estimating the health and labour market benefits that result from improved mental health. However,</w:t>
      </w:r>
      <w:r w:rsidRPr="00596CDF">
        <w:t xml:space="preserve"> </w:t>
      </w:r>
      <w:r>
        <w:t>there are some important limitations to this approach.</w:t>
      </w:r>
    </w:p>
    <w:p w14:paraId="5087252B" w14:textId="77777777" w:rsidR="009C6940" w:rsidRPr="00810814" w:rsidRDefault="009C6940" w:rsidP="009C6940">
      <w:pPr>
        <w:pStyle w:val="ListBullet"/>
      </w:pPr>
      <w:r w:rsidRPr="00810814">
        <w:t>Spillover benefits are not fully captured in this model. For example</w:t>
      </w:r>
      <w:r>
        <w:t>,</w:t>
      </w:r>
      <w:r w:rsidRPr="00810814">
        <w:t xml:space="preserve"> improving someone’s housing situation can facilitate better access to other services, which in turn is likely to improve overall outcomes (chapter</w:t>
      </w:r>
      <w:r>
        <w:t> 20</w:t>
      </w:r>
      <w:r w:rsidRPr="00810814">
        <w:t>).</w:t>
      </w:r>
    </w:p>
    <w:p w14:paraId="6BA9B75D" w14:textId="77777777" w:rsidR="009C6940" w:rsidRPr="00810814" w:rsidRDefault="009C6940">
      <w:pPr>
        <w:pStyle w:val="ListBullet"/>
      </w:pPr>
      <w:r>
        <w:lastRenderedPageBreak/>
        <w:t>Quantified benefits are limited to short</w:t>
      </w:r>
      <w:r>
        <w:noBreakHyphen/>
        <w:t>term benefits that directly result from improved mental health. This means that long</w:t>
      </w:r>
      <w:r>
        <w:noBreakHyphen/>
        <w:t>run benefits, such as the labour market benefits that result from improving the mental health and wellbeing of children are not estimated.</w:t>
      </w:r>
    </w:p>
    <w:p w14:paraId="68EC5555"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8BC8BDD" w14:textId="77777777" w:rsidTr="009C6940">
        <w:trPr>
          <w:tblHeader/>
        </w:trPr>
        <w:tc>
          <w:tcPr>
            <w:tcW w:w="5000" w:type="pct"/>
            <w:tcBorders>
              <w:top w:val="single" w:sz="6" w:space="0" w:color="78A22F"/>
              <w:left w:val="nil"/>
              <w:bottom w:val="nil"/>
              <w:right w:val="nil"/>
            </w:tcBorders>
            <w:shd w:val="clear" w:color="auto" w:fill="F2F2F2"/>
          </w:tcPr>
          <w:p w14:paraId="4D92831B" w14:textId="77777777" w:rsidR="009C6940" w:rsidRDefault="009C6940" w:rsidP="009C6940">
            <w:pPr>
              <w:pStyle w:val="BoxTitle"/>
            </w:pPr>
            <w:r w:rsidRPr="005946DB">
              <w:rPr>
                <w:b w:val="0"/>
              </w:rPr>
              <w:t xml:space="preserve">Box </w:t>
            </w:r>
            <w:r>
              <w:rPr>
                <w:b w:val="0"/>
              </w:rPr>
              <w:t>I.1</w:t>
            </w:r>
            <w:r>
              <w:tab/>
              <w:t>Definitions used in this discussion</w:t>
            </w:r>
          </w:p>
        </w:tc>
      </w:tr>
      <w:tr w:rsidR="009C6940" w14:paraId="3BD895BE" w14:textId="77777777" w:rsidTr="009C6940">
        <w:tc>
          <w:tcPr>
            <w:tcW w:w="5000" w:type="pct"/>
            <w:tcBorders>
              <w:top w:val="nil"/>
              <w:left w:val="nil"/>
              <w:bottom w:val="nil"/>
              <w:right w:val="nil"/>
            </w:tcBorders>
            <w:shd w:val="clear" w:color="auto" w:fill="F2F2F2"/>
          </w:tcPr>
          <w:p w14:paraId="444E43B9" w14:textId="77777777" w:rsidR="009C6940" w:rsidRPr="00F778BB" w:rsidRDefault="009C6940" w:rsidP="009C6940">
            <w:pPr>
              <w:pStyle w:val="BoxHeading1"/>
            </w:pPr>
            <w:r w:rsidRPr="00F778BB">
              <w:t>Increased costs/expenditures</w:t>
            </w:r>
          </w:p>
          <w:p w14:paraId="0988F105" w14:textId="77777777" w:rsidR="009C6940" w:rsidRDefault="009C6940" w:rsidP="009C6940">
            <w:pPr>
              <w:pStyle w:val="Box"/>
            </w:pPr>
            <w:r>
              <w:t>Increases in costs/expenditures refers to the additional annual government expenditures required to implement a recommended action, such as the Medicare costs associated with the increased use of group therapies.</w:t>
            </w:r>
          </w:p>
          <w:p w14:paraId="6592F400" w14:textId="77777777" w:rsidR="009C6940" w:rsidRPr="00556B45" w:rsidRDefault="009C6940" w:rsidP="009C6940">
            <w:pPr>
              <w:pStyle w:val="BoxHeading1"/>
              <w:rPr>
                <w:b w:val="0"/>
              </w:rPr>
            </w:pPr>
            <w:r w:rsidRPr="00660801">
              <w:t>Cost savings</w:t>
            </w:r>
          </w:p>
          <w:p w14:paraId="51A7A420" w14:textId="77777777" w:rsidR="009C6940" w:rsidRDefault="009C6940" w:rsidP="009C6940">
            <w:pPr>
              <w:pStyle w:val="Box"/>
            </w:pPr>
            <w:r w:rsidRPr="00A94E77">
              <w:rPr>
                <w:bCs/>
              </w:rPr>
              <w:t>Cost savings are</w:t>
            </w:r>
            <w:r>
              <w:rPr>
                <w:bCs/>
              </w:rPr>
              <w:t xml:space="preserve"> expenditures that are offset by the implementation of an action. For example, increases in Medicare expenditures for group therapies are likely to be partially offset by a reduction in expenditures associated with individual therapies.</w:t>
            </w:r>
          </w:p>
          <w:p w14:paraId="275050B2" w14:textId="77777777" w:rsidR="009C6940" w:rsidRPr="00556B45" w:rsidRDefault="009C6940" w:rsidP="009C6940">
            <w:pPr>
              <w:pStyle w:val="BoxHeading1"/>
              <w:rPr>
                <w:b w:val="0"/>
              </w:rPr>
            </w:pPr>
            <w:r w:rsidRPr="00660801">
              <w:t>Additional income</w:t>
            </w:r>
          </w:p>
          <w:p w14:paraId="4F3473D0" w14:textId="77777777" w:rsidR="009C6940" w:rsidRDefault="009C6940" w:rsidP="009C6940">
            <w:pPr>
              <w:pStyle w:val="Box"/>
            </w:pPr>
            <w:r>
              <w:t xml:space="preserve">The majority of actions are likely to result in improvements in the mental health of people affected (the target population). Consequently, improvements in mental health are likely to result in increases in employment and wages. The additional labour market income can then be aggregated as an indicator of the economic benefits associated with an action. </w:t>
            </w:r>
          </w:p>
          <w:p w14:paraId="2A4BC06A" w14:textId="77777777" w:rsidR="009C6940" w:rsidRPr="00556B45" w:rsidRDefault="009C6940" w:rsidP="009C6940">
            <w:pPr>
              <w:pStyle w:val="BoxHeading1"/>
              <w:rPr>
                <w:b w:val="0"/>
              </w:rPr>
            </w:pPr>
            <w:r w:rsidRPr="00660801">
              <w:t>Additional Quality</w:t>
            </w:r>
            <w:r w:rsidRPr="00556B45">
              <w:noBreakHyphen/>
              <w:t>Adjusted Life Years (QALYs)</w:t>
            </w:r>
          </w:p>
          <w:p w14:paraId="372171C8" w14:textId="77777777" w:rsidR="009C6940" w:rsidRPr="00064EE3" w:rsidRDefault="009C6940" w:rsidP="009C6940">
            <w:pPr>
              <w:pStyle w:val="Box"/>
              <w:rPr>
                <w:bCs/>
              </w:rPr>
            </w:pPr>
            <w:r>
              <w:rPr>
                <w:bCs/>
              </w:rPr>
              <w:t>Improvements in mental health are reflected in better health</w:t>
            </w:r>
            <w:r>
              <w:rPr>
                <w:bCs/>
              </w:rPr>
              <w:noBreakHyphen/>
              <w:t>related quality of life, measured in quality</w:t>
            </w:r>
            <w:r>
              <w:rPr>
                <w:bCs/>
              </w:rPr>
              <w:noBreakHyphen/>
              <w:t>adjusted life years (box I.2). Additional QALYs that are associated with the mental health improvements resulting from an action are aggregated as a measure of the benefits of that action.</w:t>
            </w:r>
          </w:p>
          <w:p w14:paraId="1916E63E" w14:textId="77777777" w:rsidR="009C6940" w:rsidRPr="00556B45" w:rsidRDefault="009C6940" w:rsidP="009C6940">
            <w:pPr>
              <w:pStyle w:val="BoxHeading1"/>
              <w:rPr>
                <w:b w:val="0"/>
              </w:rPr>
            </w:pPr>
            <w:r w:rsidRPr="00660801">
              <w:t>Net cost</w:t>
            </w:r>
          </w:p>
          <w:p w14:paraId="1E8B912C" w14:textId="77777777" w:rsidR="009C6940" w:rsidRDefault="009C6940" w:rsidP="009C6940">
            <w:pPr>
              <w:pStyle w:val="Box"/>
            </w:pPr>
            <w:r>
              <w:t xml:space="preserve">The net costs associated with an action are the increases in expenditures required to implement the action, minus any cost savings and additional incomes that may result from the action. Where the cost savings and additional incomes are greater than the costs, an action is considered to be </w:t>
            </w:r>
            <w:r w:rsidRPr="00B131CC">
              <w:rPr>
                <w:i/>
                <w:iCs/>
              </w:rPr>
              <w:t>net cost saving</w:t>
            </w:r>
            <w:r>
              <w:t xml:space="preserve"> — </w:t>
            </w:r>
            <w:r w:rsidRPr="00703822">
              <w:t>the additional expenditures associated with their recommendation is more than completely offset by the expenditure savings and expected</w:t>
            </w:r>
            <w:r>
              <w:t xml:space="preserve"> increases in aggregate income.</w:t>
            </w:r>
          </w:p>
          <w:p w14:paraId="6B4D04BF" w14:textId="77777777" w:rsidR="009C6940" w:rsidRPr="00556B45" w:rsidRDefault="009C6940" w:rsidP="009C6940">
            <w:pPr>
              <w:pStyle w:val="BoxHeading1"/>
              <w:rPr>
                <w:b w:val="0"/>
              </w:rPr>
            </w:pPr>
            <w:r w:rsidRPr="00660801">
              <w:t>Net cost per QALY</w:t>
            </w:r>
          </w:p>
          <w:p w14:paraId="04BC0355" w14:textId="77777777" w:rsidR="009C6940" w:rsidRPr="00C56251" w:rsidRDefault="009C6940" w:rsidP="009C6940">
            <w:pPr>
              <w:pStyle w:val="Box"/>
              <w:rPr>
                <w:spacing w:val="-4"/>
              </w:rPr>
            </w:pPr>
            <w:r w:rsidRPr="00C56251">
              <w:rPr>
                <w:spacing w:val="-4"/>
              </w:rPr>
              <w:t>The net cost per QALY is the average cost of an additional QALY gained by implementing a</w:t>
            </w:r>
            <w:r>
              <w:rPr>
                <w:spacing w:val="-4"/>
              </w:rPr>
              <w:t>n</w:t>
            </w:r>
            <w:r w:rsidRPr="00C56251">
              <w:rPr>
                <w:spacing w:val="-4"/>
              </w:rPr>
              <w:t xml:space="preserve"> </w:t>
            </w:r>
            <w:r>
              <w:rPr>
                <w:spacing w:val="-4"/>
              </w:rPr>
              <w:t>act</w:t>
            </w:r>
            <w:r w:rsidRPr="00C56251">
              <w:rPr>
                <w:spacing w:val="-4"/>
              </w:rPr>
              <w:t xml:space="preserve">ion. It reflects the likely effect of additional expenditure on mortality and morbidity associated with mental illness, and can be used to assess the value of that </w:t>
            </w:r>
            <w:r>
              <w:rPr>
                <w:spacing w:val="-4"/>
              </w:rPr>
              <w:t>act</w:t>
            </w:r>
            <w:r w:rsidRPr="00C56251">
              <w:rPr>
                <w:spacing w:val="-4"/>
              </w:rPr>
              <w:t xml:space="preserve">ion relative to other forms of health expenditure. Where a group </w:t>
            </w:r>
            <w:r>
              <w:rPr>
                <w:spacing w:val="-4"/>
              </w:rPr>
              <w:t>of actions are likely to</w:t>
            </w:r>
            <w:r w:rsidRPr="00C56251">
              <w:rPr>
                <w:spacing w:val="-4"/>
              </w:rPr>
              <w:t xml:space="preserve"> be net cost saving, the net cost per QALY is less than zero. This means that not only is the </w:t>
            </w:r>
            <w:r>
              <w:rPr>
                <w:spacing w:val="-4"/>
              </w:rPr>
              <w:t>act</w:t>
            </w:r>
            <w:r w:rsidRPr="00C56251">
              <w:rPr>
                <w:spacing w:val="-4"/>
              </w:rPr>
              <w:t xml:space="preserve">ion expected to result in net savings, but it is also expected to lead to improved health. </w:t>
            </w:r>
          </w:p>
        </w:tc>
      </w:tr>
      <w:tr w:rsidR="009C6940" w14:paraId="27796D55" w14:textId="77777777" w:rsidTr="009C6940">
        <w:tc>
          <w:tcPr>
            <w:tcW w:w="5000" w:type="pct"/>
            <w:tcBorders>
              <w:top w:val="nil"/>
              <w:left w:val="nil"/>
              <w:bottom w:val="single" w:sz="6" w:space="0" w:color="78A22F"/>
              <w:right w:val="nil"/>
            </w:tcBorders>
            <w:shd w:val="clear" w:color="auto" w:fill="F2F2F2"/>
          </w:tcPr>
          <w:p w14:paraId="7EF566E5" w14:textId="77777777" w:rsidR="009C6940" w:rsidRDefault="009C6940" w:rsidP="009C6940">
            <w:pPr>
              <w:pStyle w:val="Box"/>
              <w:spacing w:before="0" w:line="120" w:lineRule="exact"/>
            </w:pPr>
          </w:p>
        </w:tc>
      </w:tr>
      <w:tr w:rsidR="009C6940" w:rsidRPr="000863A5" w14:paraId="3414D3B6" w14:textId="77777777" w:rsidTr="009C6940">
        <w:tc>
          <w:tcPr>
            <w:tcW w:w="5000" w:type="pct"/>
            <w:tcBorders>
              <w:top w:val="single" w:sz="6" w:space="0" w:color="78A22F"/>
              <w:left w:val="nil"/>
              <w:bottom w:val="nil"/>
              <w:right w:val="nil"/>
            </w:tcBorders>
          </w:tcPr>
          <w:p w14:paraId="78641F61" w14:textId="77777777" w:rsidR="009C6940" w:rsidRPr="00626D32" w:rsidRDefault="009C6940" w:rsidP="009C6940">
            <w:pPr>
              <w:pStyle w:val="BoxSpaceBelow"/>
            </w:pPr>
          </w:p>
        </w:tc>
      </w:tr>
    </w:tbl>
    <w:p w14:paraId="1E0AB02E"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75AE57A" w14:textId="77777777" w:rsidTr="009C6940">
        <w:trPr>
          <w:tblHeader/>
        </w:trPr>
        <w:tc>
          <w:tcPr>
            <w:tcW w:w="5000" w:type="pct"/>
            <w:tcBorders>
              <w:top w:val="single" w:sz="6" w:space="0" w:color="78A22F"/>
              <w:left w:val="nil"/>
              <w:bottom w:val="nil"/>
              <w:right w:val="nil"/>
            </w:tcBorders>
            <w:shd w:val="clear" w:color="auto" w:fill="F2F2F2"/>
          </w:tcPr>
          <w:p w14:paraId="1B159DFE" w14:textId="77777777" w:rsidR="009C6940" w:rsidRDefault="009C6940" w:rsidP="009C6940">
            <w:pPr>
              <w:pStyle w:val="BoxTitle"/>
            </w:pPr>
            <w:r>
              <w:rPr>
                <w:b w:val="0"/>
              </w:rPr>
              <w:t>Box I.2</w:t>
            </w:r>
            <w:r>
              <w:tab/>
              <w:t xml:space="preserve">What are quality-adjusted life years? </w:t>
            </w:r>
          </w:p>
        </w:tc>
      </w:tr>
      <w:tr w:rsidR="009C6940" w14:paraId="025FC231" w14:textId="77777777" w:rsidTr="009C6940">
        <w:tc>
          <w:tcPr>
            <w:tcW w:w="5000" w:type="pct"/>
            <w:tcBorders>
              <w:top w:val="nil"/>
              <w:left w:val="nil"/>
              <w:bottom w:val="nil"/>
              <w:right w:val="nil"/>
            </w:tcBorders>
            <w:shd w:val="clear" w:color="auto" w:fill="F2F2F2"/>
          </w:tcPr>
          <w:p w14:paraId="652248BE" w14:textId="77777777" w:rsidR="009C6940" w:rsidRDefault="009C6940" w:rsidP="009C6940">
            <w:pPr>
              <w:pStyle w:val="Box"/>
            </w:pPr>
            <w:r>
              <w:t xml:space="preserve">In this analysis, the potential health benefit associated with a recommended action has been measured in </w:t>
            </w:r>
            <w:r w:rsidRPr="00533471">
              <w:t>quality</w:t>
            </w:r>
            <w:r>
              <w:noBreakHyphen/>
            </w:r>
            <w:r w:rsidRPr="00533471">
              <w:t>adjusted life</w:t>
            </w:r>
            <w:r>
              <w:t xml:space="preserve"> </w:t>
            </w:r>
            <w:r w:rsidRPr="00533471">
              <w:t>years (QALYs)</w:t>
            </w:r>
            <w:r>
              <w:t>.</w:t>
            </w:r>
          </w:p>
          <w:p w14:paraId="6F4D8F8A" w14:textId="77777777" w:rsidR="009C6940" w:rsidRDefault="009C6940" w:rsidP="009C6940">
            <w:pPr>
              <w:pStyle w:val="Box"/>
            </w:pPr>
            <w:r>
              <w:t xml:space="preserve">QALYs provide a measure of the effect that illness — including mental illness — has on the quality of life experienced by people affected. The effect of an illness on quality of life is reflected by a ‘utility weight’ (derived from standard valuations), where a weight of 1 equates to perfect health, and a weight of 0 is equated with death. Certain health states can be assigned a negative value as they may be characterised by severe disability and/or pain that are regarded as worse than death </w:t>
            </w:r>
            <w:r w:rsidRPr="00933976">
              <w:rPr>
                <w:rFonts w:cs="Arial"/>
                <w:szCs w:val="24"/>
              </w:rPr>
              <w:t>(Whitehead and Ali 2010)</w:t>
            </w:r>
            <w:r>
              <w:t>. QALYs can be calculated using questionnaires which cover general aspects of health. For example, a commonly used questionnaire is the SF</w:t>
            </w:r>
            <w:r>
              <w:noBreakHyphen/>
              <w:t xml:space="preserve">6D, which allocates a person to one of 18 000 potential health states using their responses to the questionnaire </w:t>
            </w:r>
            <w:r w:rsidRPr="005B0A4F">
              <w:rPr>
                <w:rFonts w:cs="Arial"/>
                <w:szCs w:val="24"/>
              </w:rPr>
              <w:t>(Norman et al. 2014)</w:t>
            </w:r>
            <w:r>
              <w:t>.</w:t>
            </w:r>
          </w:p>
          <w:p w14:paraId="0D889E44" w14:textId="77777777" w:rsidR="009C6940" w:rsidRDefault="009C6940" w:rsidP="009C6940">
            <w:pPr>
              <w:pStyle w:val="Box"/>
            </w:pPr>
            <w:r>
              <w:t>E</w:t>
            </w:r>
            <w:r w:rsidRPr="009529D9">
              <w:t>conomic evaluation</w:t>
            </w:r>
            <w:r>
              <w:t>s</w:t>
            </w:r>
            <w:r w:rsidRPr="009529D9">
              <w:t xml:space="preserve"> </w:t>
            </w:r>
            <w:r>
              <w:t xml:space="preserve">can </w:t>
            </w:r>
            <w:r w:rsidRPr="009529D9">
              <w:t>assess the value of interventions</w:t>
            </w:r>
            <w:r>
              <w:t xml:space="preserve"> by calculating the cost per unit of health improvement. In our case, units of improved health are measured by improvements in QALYs. A successful intervention may reduce the duration a person has a mental illness, or the severity of that illness. This may be conceptualised as an increase in the utility weight that reflects a person’s health</w:t>
            </w:r>
            <w:r>
              <w:noBreakHyphen/>
              <w:t>related quality of life, in terms of QALYs. The health benefit in QALYs attributed to a recommended action is the determined by the difference in the utility weights associated with the action, and the time over which the difference persists (figure).</w:t>
            </w:r>
          </w:p>
          <w:p w14:paraId="4D2C575E" w14:textId="77777777" w:rsidR="009C6940" w:rsidRPr="005C6AAF" w:rsidRDefault="009C6940" w:rsidP="009C6940">
            <w:pPr>
              <w:pStyle w:val="BoxHeading1"/>
              <w:rPr>
                <w:rFonts w:ascii="Arial Bold" w:hAnsi="Arial Bold"/>
                <w:spacing w:val="-4"/>
              </w:rPr>
            </w:pPr>
            <w:r w:rsidRPr="005C6AAF">
              <w:rPr>
                <w:rFonts w:ascii="Arial Bold" w:hAnsi="Arial Bold"/>
                <w:spacing w:val="-4"/>
              </w:rPr>
              <w:t xml:space="preserve">Stylised increase in quality-adjusted life years associated with a recommended action </w:t>
            </w:r>
          </w:p>
          <w:p w14:paraId="3920819F" w14:textId="77777777" w:rsidR="009C6940" w:rsidRPr="00300818" w:rsidRDefault="009C6940" w:rsidP="009C6940">
            <w:pPr>
              <w:pStyle w:val="Box"/>
            </w:pPr>
            <w:r>
              <w:rPr>
                <w:noProof/>
              </w:rPr>
              <w:drawing>
                <wp:inline distT="0" distB="0" distL="0" distR="0" wp14:anchorId="0375C64D" wp14:editId="58452634">
                  <wp:extent cx="5391515" cy="2918129"/>
                  <wp:effectExtent l="0" t="0" r="0" b="0"/>
                  <wp:docPr id="100" name="Picture 100" descr="This figure illustrates a stylised increase in quality-adjusted life years associated with a recommended action. It shows that the health benefit in QALYs attributed to a recommended action is the determined by the difference in the utility weights associated with the action, and the time over which the difference pers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example_qaly.emf"/>
                          <pic:cNvPicPr/>
                        </pic:nvPicPr>
                        <pic:blipFill>
                          <a:blip r:embed="rId78" cstate="print">
                            <a:extLst>
                              <a:ext uri="{28A0092B-C50C-407E-A947-70E740481C1C}">
                                <a14:useLocalDpi xmlns:a14="http://schemas.microsoft.com/office/drawing/2010/main" val="0"/>
                              </a:ext>
                            </a:extLst>
                          </a:blip>
                          <a:stretch>
                            <a:fillRect/>
                          </a:stretch>
                        </pic:blipFill>
                        <pic:spPr>
                          <a:xfrm>
                            <a:off x="0" y="0"/>
                            <a:ext cx="5395612" cy="2920346"/>
                          </a:xfrm>
                          <a:prstGeom prst="rect">
                            <a:avLst/>
                          </a:prstGeom>
                        </pic:spPr>
                      </pic:pic>
                    </a:graphicData>
                  </a:graphic>
                </wp:inline>
              </w:drawing>
            </w:r>
          </w:p>
          <w:p w14:paraId="2F198DC0" w14:textId="77777777" w:rsidR="009C6940" w:rsidRPr="00200223" w:rsidRDefault="009C6940" w:rsidP="009C6940">
            <w:pPr>
              <w:pStyle w:val="Box"/>
            </w:pPr>
            <w:r>
              <w:t>The improvements in health can be measured as an increase in the number of QALYs experienced by the people affected. In the diagram above, the total health benefit attributable to a recommended action, measured in QALYs gained, is the area between the two curves. However, in the analysis presented in table I.1, it is assumed that benefits ‘decay’ after a single year, meaning that only the yellow health effects are counted. This is a conservative assumption, and the effects of this assumption are shown in table I.4</w:t>
            </w:r>
          </w:p>
        </w:tc>
      </w:tr>
      <w:tr w:rsidR="009C6940" w14:paraId="35686921" w14:textId="77777777" w:rsidTr="009C6940">
        <w:tc>
          <w:tcPr>
            <w:tcW w:w="5000" w:type="pct"/>
            <w:tcBorders>
              <w:top w:val="nil"/>
              <w:left w:val="nil"/>
              <w:bottom w:val="single" w:sz="6" w:space="0" w:color="78A22F"/>
              <w:right w:val="nil"/>
            </w:tcBorders>
            <w:shd w:val="clear" w:color="auto" w:fill="F2F2F2"/>
          </w:tcPr>
          <w:p w14:paraId="2EA97132" w14:textId="77777777" w:rsidR="009C6940" w:rsidRDefault="009C6940" w:rsidP="009C6940">
            <w:pPr>
              <w:pStyle w:val="Box"/>
              <w:spacing w:before="0" w:line="120" w:lineRule="exact"/>
            </w:pPr>
          </w:p>
        </w:tc>
      </w:tr>
      <w:tr w:rsidR="009C6940" w:rsidRPr="000863A5" w14:paraId="6CAFCFF1" w14:textId="77777777" w:rsidTr="009C6940">
        <w:tc>
          <w:tcPr>
            <w:tcW w:w="5000" w:type="pct"/>
            <w:tcBorders>
              <w:top w:val="single" w:sz="6" w:space="0" w:color="78A22F"/>
              <w:left w:val="nil"/>
              <w:bottom w:val="nil"/>
              <w:right w:val="nil"/>
            </w:tcBorders>
          </w:tcPr>
          <w:p w14:paraId="0195D8EE" w14:textId="77777777" w:rsidR="009C6940" w:rsidRPr="00626D32" w:rsidRDefault="009C6940" w:rsidP="009C6940">
            <w:pPr>
              <w:pStyle w:val="BoxSpaceBelow"/>
            </w:pPr>
          </w:p>
        </w:tc>
      </w:tr>
    </w:tbl>
    <w:p w14:paraId="2FC93435" w14:textId="77777777" w:rsidR="009C6940" w:rsidRDefault="009C6940" w:rsidP="009C6940">
      <w:pPr>
        <w:pStyle w:val="BodyText"/>
      </w:pPr>
      <w:r>
        <w:lastRenderedPageBreak/>
        <w:t>In addition to possible benefits, many of the recommended actions have substantial cost implications. New programs have implementation and ongoing costs, but also result in cost savings as demand for other services is reduced. Costs considered include direct expenditures to government that are required to implement actions, and cost savings include government expenditures that are reduced as a result of a recommended action. Where possible, time and out</w:t>
      </w:r>
      <w:r>
        <w:noBreakHyphen/>
        <w:t>of</w:t>
      </w:r>
      <w:r>
        <w:noBreakHyphen/>
        <w:t>pocket costs to individuals are incorporated in estimates of costs and cost savings. As with benefits over the longer term, it is likely that there are reductions in government expenditures (cost savings) over the longer term that are not taken into account, meaning that cost savings are also likely to be understated.</w:t>
      </w:r>
    </w:p>
    <w:p w14:paraId="54E4AA99" w14:textId="77777777" w:rsidR="009C6940" w:rsidRDefault="009C6940" w:rsidP="009C6940">
      <w:pPr>
        <w:pStyle w:val="Heading3"/>
      </w:pPr>
      <w:r>
        <w:t>Cost effectiveness</w:t>
      </w:r>
    </w:p>
    <w:p w14:paraId="63718526" w14:textId="77777777" w:rsidR="009C6940" w:rsidRDefault="009C6940" w:rsidP="009C6940">
      <w:pPr>
        <w:pStyle w:val="BodyText"/>
      </w:pPr>
      <w:r>
        <w:t xml:space="preserve">The expected costs of an action or suite of actions can be combined with estimates of the mental health benefits expected, to indicate priority areas for change. In this analysis, the cost per QALY is used as a measure of cost effectiveness — that is, for a given action or group of actions, how much is an additional QALY likely to cost, on average? </w:t>
      </w:r>
    </w:p>
    <w:p w14:paraId="150DED48" w14:textId="77777777" w:rsidR="009C6940" w:rsidRDefault="009C6940" w:rsidP="009C6940">
      <w:pPr>
        <w:pStyle w:val="BodyText"/>
      </w:pPr>
      <w:r>
        <w:t>In order to assess whether this represents value for money, the costs per QALY estimates can be compared to benchmark values that indicate the opportunity costs with respect to the next best uses of funding within the healthcare system. However, there is considerable diversity in the benchmarks used for cost effectiveness:</w:t>
      </w:r>
    </w:p>
    <w:p w14:paraId="52549AE7" w14:textId="77777777" w:rsidR="009C6940" w:rsidRDefault="009C6940" w:rsidP="009C6940">
      <w:pPr>
        <w:pStyle w:val="ListBullet"/>
      </w:pPr>
      <w:r>
        <w:t>An early analysis of cost effectiveness in Australia found that the Pharmaceutical Benefits Advisory Committee was unlikely to reject medication when the cost of an additional life year was less than $42 000 (in 1998</w:t>
      </w:r>
      <w:r>
        <w:noBreakHyphen/>
        <w:t>99 dollars). This is around $96 000 in 2019 dollars.</w:t>
      </w:r>
    </w:p>
    <w:p w14:paraId="12C76F28" w14:textId="77777777" w:rsidR="009C6940" w:rsidRDefault="009C6940" w:rsidP="009C6940">
      <w:pPr>
        <w:pStyle w:val="ListBullet"/>
      </w:pPr>
      <w:r w:rsidRPr="00096346">
        <w:t>The Assessing Cost Effectiveness in Prevention study in 2010 assumed a threshold value of $50 000 per Disability</w:t>
      </w:r>
      <w:r>
        <w:noBreakHyphen/>
      </w:r>
      <w:r w:rsidRPr="00096346">
        <w:t xml:space="preserve">Adjusted Life Year averted as a decision threshold to determine whether or not an intervention was effective or not </w:t>
      </w:r>
      <w:r w:rsidRPr="00933976">
        <w:rPr>
          <w:szCs w:val="24"/>
        </w:rPr>
        <w:t>(Vos et al. 2010)</w:t>
      </w:r>
      <w:r w:rsidRPr="00096346">
        <w:t>. This is around $</w:t>
      </w:r>
      <w:r>
        <w:t>64 </w:t>
      </w:r>
      <w:r w:rsidRPr="00096346">
        <w:t>000 in 2019 dollars.</w:t>
      </w:r>
      <w:r w:rsidRPr="00150144">
        <w:rPr>
          <w:rStyle w:val="FootnoteReference"/>
        </w:rPr>
        <w:footnoteReference w:id="18"/>
      </w:r>
    </w:p>
    <w:p w14:paraId="07FFFFD7" w14:textId="77777777" w:rsidR="009C6940" w:rsidRPr="00050069" w:rsidRDefault="009C6940" w:rsidP="009C6940">
      <w:pPr>
        <w:pStyle w:val="ListBullet"/>
      </w:pPr>
      <w:r w:rsidRPr="00050069">
        <w:t>More recently, Edney et al. (2018) estimate</w:t>
      </w:r>
      <w:r>
        <w:t>d</w:t>
      </w:r>
      <w:r w:rsidRPr="00050069">
        <w:t xml:space="preserve"> the expected QALY gains from additional government health expenditure, finding that there is an opportunity cost of 1 QALY for every additional $33 000 of government expenditure (2019 dollars).</w:t>
      </w:r>
    </w:p>
    <w:p w14:paraId="03069853" w14:textId="77777777" w:rsidR="009C6940" w:rsidRDefault="009C6940" w:rsidP="009C6940">
      <w:pPr>
        <w:pStyle w:val="BodyText"/>
      </w:pPr>
      <w:r>
        <w:t>This provides three thresholds by which the actions included below may be assessed:</w:t>
      </w:r>
    </w:p>
    <w:p w14:paraId="2F0E6AFD" w14:textId="77777777" w:rsidR="009C6940" w:rsidRDefault="009C6940" w:rsidP="005B2660">
      <w:pPr>
        <w:pStyle w:val="BodyText"/>
        <w:numPr>
          <w:ilvl w:val="0"/>
          <w:numId w:val="28"/>
        </w:numPr>
        <w:spacing w:before="80"/>
        <w:ind w:left="714" w:hanging="357"/>
      </w:pPr>
      <w:r>
        <w:t>Very cost effective — cost is less than $33 000 per QALY.</w:t>
      </w:r>
    </w:p>
    <w:p w14:paraId="572B46A6" w14:textId="77777777" w:rsidR="009C6940" w:rsidRDefault="009C6940" w:rsidP="005B2660">
      <w:pPr>
        <w:pStyle w:val="BodyText"/>
        <w:numPr>
          <w:ilvl w:val="0"/>
          <w:numId w:val="28"/>
        </w:numPr>
        <w:spacing w:before="80"/>
        <w:ind w:left="714" w:hanging="357"/>
      </w:pPr>
      <w:r>
        <w:t>Cost effective — cost is less than $64 000 per QALY.</w:t>
      </w:r>
    </w:p>
    <w:p w14:paraId="32423DE0" w14:textId="77777777" w:rsidR="009C6940" w:rsidRDefault="009C6940" w:rsidP="005B2660">
      <w:pPr>
        <w:pStyle w:val="BodyText"/>
        <w:numPr>
          <w:ilvl w:val="0"/>
          <w:numId w:val="28"/>
        </w:numPr>
        <w:spacing w:before="80"/>
        <w:ind w:left="714" w:hanging="357"/>
      </w:pPr>
      <w:r>
        <w:t xml:space="preserve">Marginally cost effective — cost is less than $96 000 per QALY. </w:t>
      </w:r>
    </w:p>
    <w:p w14:paraId="324C7F9C" w14:textId="77777777" w:rsidR="009C6940" w:rsidRDefault="009C6940" w:rsidP="009C6940">
      <w:pPr>
        <w:pStyle w:val="Heading4"/>
      </w:pPr>
      <w:r>
        <w:lastRenderedPageBreak/>
        <w:t>Calculating cost per QALY</w:t>
      </w:r>
    </w:p>
    <w:p w14:paraId="3BC85738" w14:textId="77777777" w:rsidR="009C6940" w:rsidRDefault="009C6940" w:rsidP="009C6940">
      <w:pPr>
        <w:pStyle w:val="BodyText"/>
      </w:pPr>
      <w:r>
        <w:t>To calculate the cost per QALY, the monetary values from the actions are combined into a net cost. The net costs included here are:</w:t>
      </w:r>
    </w:p>
    <w:p w14:paraId="0FC6C721" w14:textId="77777777" w:rsidR="009C6940" w:rsidRDefault="009C6940" w:rsidP="009C6940">
      <w:pPr>
        <w:pStyle w:val="ListBullet"/>
      </w:pPr>
      <w:r>
        <w:t>additional annual expenditure associated with implementing an action</w:t>
      </w:r>
    </w:p>
    <w:p w14:paraId="57D1F0EA" w14:textId="77777777" w:rsidR="009C6940" w:rsidRPr="005C6AAF" w:rsidRDefault="009C6940" w:rsidP="009C6940">
      <w:pPr>
        <w:pStyle w:val="ListBullet"/>
        <w:rPr>
          <w:spacing w:val="-4"/>
        </w:rPr>
      </w:pPr>
      <w:r w:rsidRPr="005C6AAF">
        <w:rPr>
          <w:spacing w:val="-4"/>
        </w:rPr>
        <w:t>any cost savings that are likely to be realised as a result of the implementation of an action</w:t>
      </w:r>
    </w:p>
    <w:p w14:paraId="2C141621" w14:textId="77777777" w:rsidR="009C6940" w:rsidRDefault="009C6940" w:rsidP="009C6940">
      <w:pPr>
        <w:pStyle w:val="ListBullet"/>
      </w:pPr>
      <w:r>
        <w:t>any additional wages that result from improved mental health leading to changes in expected employment and labour productivity.</w:t>
      </w:r>
    </w:p>
    <w:p w14:paraId="19A1B0A7" w14:textId="77777777" w:rsidR="009C6940" w:rsidRPr="006073D1" w:rsidRDefault="009C6940" w:rsidP="009C6940">
      <w:pPr>
        <w:pStyle w:val="BodyText"/>
      </w:pPr>
      <w:r w:rsidRPr="006073D1">
        <w:t>Costs and cost savings are simulated from triangular distributions, with the lower and upper bounds taken from the lower and h</w:t>
      </w:r>
      <w:r>
        <w:t>igher cost estimates (appendix K</w:t>
      </w:r>
      <w:r w:rsidRPr="006073D1">
        <w:t>)</w:t>
      </w:r>
      <w:r>
        <w:t>.</w:t>
      </w:r>
      <w:r w:rsidRPr="00EF4F19">
        <w:rPr>
          <w:rStyle w:val="FootnoteTextChar"/>
          <w:vertAlign w:val="superscript"/>
        </w:rPr>
        <w:footnoteReference w:id="19"/>
      </w:r>
      <w:r w:rsidRPr="006073D1">
        <w:t xml:space="preserve"> Changes in income and QALYs are simulated from their respective posterior distributions implied by the econometric model. It is assumed that these distributions are independent. The simulated values for cost, cost savings, and changes in income are</w:t>
      </w:r>
      <w:r>
        <w:t xml:space="preserve"> then</w:t>
      </w:r>
      <w:r w:rsidRPr="006073D1">
        <w:t xml:space="preserve"> aggregated together to calculate a simulated value for net cost</w:t>
      </w:r>
      <w:r>
        <w:t xml:space="preserve"> and</w:t>
      </w:r>
      <w:r w:rsidRPr="006073D1">
        <w:t xml:space="preserve"> net cost per QALY. This process is repeated 100 000 times to construct a distribution</w:t>
      </w:r>
      <w:r>
        <w:t xml:space="preserve"> of net cost per QALY</w:t>
      </w:r>
      <w:r w:rsidRPr="006073D1">
        <w:t>. Table</w:t>
      </w:r>
      <w:r>
        <w:t> I.</w:t>
      </w:r>
      <w:r w:rsidRPr="006073D1">
        <w:t>1 presents the 10</w:t>
      </w:r>
      <w:r w:rsidRPr="00844675">
        <w:rPr>
          <w:vertAlign w:val="superscript"/>
        </w:rPr>
        <w:t>th</w:t>
      </w:r>
      <w:r w:rsidRPr="006073D1">
        <w:t xml:space="preserve"> to 90</w:t>
      </w:r>
      <w:r w:rsidRPr="00844675">
        <w:rPr>
          <w:vertAlign w:val="superscript"/>
        </w:rPr>
        <w:t>th</w:t>
      </w:r>
      <w:r w:rsidRPr="006073D1">
        <w:t xml:space="preserve"> percentile of these distributions.</w:t>
      </w:r>
    </w:p>
    <w:p w14:paraId="6B02C723" w14:textId="77777777" w:rsidR="009C6940" w:rsidRDefault="009C6940" w:rsidP="009C6940">
      <w:pPr>
        <w:pStyle w:val="Heading4"/>
      </w:pPr>
      <w:r>
        <w:t>Grouping of actions</w:t>
      </w:r>
    </w:p>
    <w:p w14:paraId="649E8D10" w14:textId="77777777" w:rsidR="009C6940" w:rsidRDefault="009C6940" w:rsidP="009C6940">
      <w:pPr>
        <w:pStyle w:val="BodyText"/>
      </w:pPr>
      <w:r>
        <w:t>The report includes a large number of recommended actions over a broad range of policy areas, and there is potential for complementarities and substitution effects between the policy changes recommended. That is, the effects of some actions are likely to be greater if other changes are instituted, and other actions may have a smaller effect with other changes in place. It is not possible to model the interactions between actions due to a lack of information due to a lack of information about how this might play out.</w:t>
      </w:r>
    </w:p>
    <w:p w14:paraId="319688B0" w14:textId="77777777" w:rsidR="009C6940" w:rsidRDefault="009C6940" w:rsidP="009C6940">
      <w:pPr>
        <w:pStyle w:val="BodyText"/>
      </w:pPr>
      <w:r>
        <w:t>There is a large scope for overlap and double counting of benefits in terms of improved mental health. This makes the presentation of aggregate benefits and cost savings difficult. For example, aggregating effects of healthcare changes with those associated with improvements in psychosocial supports is likely overstate benefits given likely overlap of benefits between those areas. This was a problem discussed at a roundtable discussion with a number of experts in early 2020, and it was agreed that the best approach was to ‘group’ actions so as to minimise overlap.</w:t>
      </w:r>
    </w:p>
    <w:p w14:paraId="770694A9" w14:textId="77777777" w:rsidR="009C6940" w:rsidRDefault="009C6940" w:rsidP="009C6940">
      <w:pPr>
        <w:pStyle w:val="Heading4"/>
      </w:pPr>
      <w:r>
        <w:lastRenderedPageBreak/>
        <w:t>Other caveats</w:t>
      </w:r>
    </w:p>
    <w:p w14:paraId="52821799" w14:textId="77777777" w:rsidR="009C6940" w:rsidRDefault="009C6940" w:rsidP="009C6940">
      <w:pPr>
        <w:pStyle w:val="BodyText"/>
      </w:pPr>
      <w:r>
        <w:t>This analysis can only be considered indicative of the potential benefits and costs that are associated with actions in the final report. There are a number of caveats that need to be considered.</w:t>
      </w:r>
    </w:p>
    <w:p w14:paraId="63D01A54" w14:textId="77777777" w:rsidR="009C6940" w:rsidRDefault="009C6940" w:rsidP="009C6940">
      <w:pPr>
        <w:pStyle w:val="ListBullet"/>
      </w:pPr>
      <w:r>
        <w:t>The labour market model is based on an assumption that labour demand is completely responsive to labour supply. That is, it assumes that firms are able to create jobs to meet the increased supply of workers.</w:t>
      </w:r>
    </w:p>
    <w:p w14:paraId="418EE8E0" w14:textId="77777777" w:rsidR="009C6940" w:rsidRDefault="009C6940" w:rsidP="009C6940">
      <w:pPr>
        <w:pStyle w:val="ListBullet"/>
      </w:pPr>
      <w:r>
        <w:t>Information about the mental health effects of some actions is limited. In cases where benefits have been estimated, the effect sizes which have been used to represent an improvement in mental health are based on standardising them for comparability. This is similar to what is done in meta</w:t>
      </w:r>
      <w:r>
        <w:noBreakHyphen/>
        <w:t>analyses, where multiple studies which use different scales are combined together.</w:t>
      </w:r>
    </w:p>
    <w:p w14:paraId="2288A37B" w14:textId="77777777" w:rsidR="009C6940" w:rsidRPr="00F5580B" w:rsidRDefault="009C6940" w:rsidP="009C6940">
      <w:pPr>
        <w:pStyle w:val="ListBullet"/>
        <w:rPr>
          <w:spacing w:val="-4"/>
        </w:rPr>
      </w:pPr>
      <w:r w:rsidRPr="00F5580B">
        <w:rPr>
          <w:spacing w:val="-4"/>
        </w:rPr>
        <w:t xml:space="preserve">The evidence for the scalability of some </w:t>
      </w:r>
      <w:r>
        <w:rPr>
          <w:spacing w:val="-4"/>
        </w:rPr>
        <w:t>ac</w:t>
      </w:r>
      <w:r w:rsidRPr="00F5580B">
        <w:rPr>
          <w:spacing w:val="-4"/>
        </w:rPr>
        <w:t>tions is limited</w:t>
      </w:r>
      <w:r>
        <w:rPr>
          <w:spacing w:val="-4"/>
        </w:rPr>
        <w:t>, with some actions requiring substantial scaling.</w:t>
      </w:r>
      <w:r w:rsidRPr="00F5580B">
        <w:rPr>
          <w:spacing w:val="-4"/>
        </w:rPr>
        <w:t xml:space="preserve"> For example, the benefits and costs of rolling out a national </w:t>
      </w:r>
      <w:r>
        <w:rPr>
          <w:spacing w:val="-4"/>
        </w:rPr>
        <w:t>I</w:t>
      </w:r>
      <w:r w:rsidRPr="00F5580B">
        <w:rPr>
          <w:spacing w:val="-4"/>
        </w:rPr>
        <w:t xml:space="preserve">ndividual </w:t>
      </w:r>
      <w:r>
        <w:rPr>
          <w:spacing w:val="-4"/>
        </w:rPr>
        <w:t>P</w:t>
      </w:r>
      <w:r w:rsidRPr="00F5580B">
        <w:rPr>
          <w:spacing w:val="-4"/>
        </w:rPr>
        <w:t xml:space="preserve">lacement and </w:t>
      </w:r>
      <w:r>
        <w:rPr>
          <w:spacing w:val="-4"/>
        </w:rPr>
        <w:t>S</w:t>
      </w:r>
      <w:r w:rsidRPr="00F5580B">
        <w:rPr>
          <w:spacing w:val="-4"/>
        </w:rPr>
        <w:t xml:space="preserve">upport </w:t>
      </w:r>
      <w:r>
        <w:rPr>
          <w:spacing w:val="-4"/>
        </w:rPr>
        <w:t xml:space="preserve">(IPS) </w:t>
      </w:r>
      <w:r w:rsidRPr="00F5580B">
        <w:rPr>
          <w:spacing w:val="-4"/>
        </w:rPr>
        <w:t>program have been estimated on the basis that 40 000</w:t>
      </w:r>
      <w:r>
        <w:rPr>
          <w:spacing w:val="-4"/>
        </w:rPr>
        <w:t> </w:t>
      </w:r>
      <w:r w:rsidRPr="00F5580B">
        <w:rPr>
          <w:spacing w:val="-4"/>
        </w:rPr>
        <w:t>people will end up using these services. However</w:t>
      </w:r>
      <w:r>
        <w:rPr>
          <w:spacing w:val="-4"/>
        </w:rPr>
        <w:t>,</w:t>
      </w:r>
      <w:r w:rsidRPr="00F5580B">
        <w:rPr>
          <w:spacing w:val="-4"/>
        </w:rPr>
        <w:t xml:space="preserve"> it is estimated that only 1</w:t>
      </w:r>
      <w:r>
        <w:rPr>
          <w:spacing w:val="-4"/>
        </w:rPr>
        <w:t>8</w:t>
      </w:r>
      <w:r w:rsidRPr="00F5580B">
        <w:rPr>
          <w:spacing w:val="-4"/>
        </w:rPr>
        <w:t>00</w:t>
      </w:r>
      <w:r>
        <w:rPr>
          <w:spacing w:val="-4"/>
        </w:rPr>
        <w:t> </w:t>
      </w:r>
      <w:r w:rsidRPr="00F5580B">
        <w:rPr>
          <w:spacing w:val="-4"/>
        </w:rPr>
        <w:t xml:space="preserve">people were using </w:t>
      </w:r>
      <w:r>
        <w:rPr>
          <w:spacing w:val="-4"/>
        </w:rPr>
        <w:t>IPS</w:t>
      </w:r>
      <w:r w:rsidRPr="00F5580B">
        <w:rPr>
          <w:spacing w:val="-4"/>
        </w:rPr>
        <w:t xml:space="preserve"> employment</w:t>
      </w:r>
      <w:r>
        <w:rPr>
          <w:spacing w:val="-4"/>
        </w:rPr>
        <w:t xml:space="preserve"> </w:t>
      </w:r>
      <w:r w:rsidRPr="00F5580B">
        <w:rPr>
          <w:spacing w:val="-4"/>
        </w:rPr>
        <w:t>s</w:t>
      </w:r>
      <w:r>
        <w:rPr>
          <w:spacing w:val="-4"/>
        </w:rPr>
        <w:t>upport</w:t>
      </w:r>
      <w:r w:rsidRPr="00F5580B">
        <w:rPr>
          <w:spacing w:val="-4"/>
        </w:rPr>
        <w:t xml:space="preserve"> in mid</w:t>
      </w:r>
      <w:r>
        <w:rPr>
          <w:spacing w:val="-4"/>
        </w:rPr>
        <w:noBreakHyphen/>
      </w:r>
      <w:r w:rsidRPr="00F5580B">
        <w:rPr>
          <w:spacing w:val="-4"/>
        </w:rPr>
        <w:t>2018.</w:t>
      </w:r>
    </w:p>
    <w:p w14:paraId="6EF471CF" w14:textId="77777777" w:rsidR="009C6940" w:rsidRDefault="009C6940" w:rsidP="009C6940">
      <w:pPr>
        <w:pStyle w:val="ListBullet"/>
      </w:pPr>
      <w:r>
        <w:t>There are many actions included in the report for which it was not possible to estimate expected costs and benefits. This includes instances where the Productivity Commission recommends reviews be undertaken, or where there is an absence of sufficient evidence to indicate possible costs and benefits. Similarly, actions that affect governance arrangements for the provision of services have not been quantitatively assessed.</w:t>
      </w:r>
    </w:p>
    <w:p w14:paraId="32BF0105" w14:textId="77777777" w:rsidR="009C6940" w:rsidRDefault="009C6940" w:rsidP="009C6940">
      <w:pPr>
        <w:pStyle w:val="Heading2"/>
      </w:pPr>
      <w:r>
        <w:t>I.</w:t>
      </w:r>
      <w:r>
        <w:rPr>
          <w:noProof/>
        </w:rPr>
        <w:t>2</w:t>
      </w:r>
      <w:r>
        <w:tab/>
        <w:t>Results</w:t>
      </w:r>
    </w:p>
    <w:p w14:paraId="6496E92B" w14:textId="77777777" w:rsidR="009C6940" w:rsidRDefault="009C6940" w:rsidP="009C6940">
      <w:pPr>
        <w:pStyle w:val="BodyText"/>
        <w:rPr>
          <w:spacing w:val="-4"/>
        </w:rPr>
      </w:pPr>
      <w:r w:rsidRPr="00C56251">
        <w:rPr>
          <w:spacing w:val="-4"/>
        </w:rPr>
        <w:t>This analysis shows that there are a nu</w:t>
      </w:r>
      <w:r>
        <w:rPr>
          <w:spacing w:val="-4"/>
        </w:rPr>
        <w:t xml:space="preserve">mber of actions that governments </w:t>
      </w:r>
      <w:r w:rsidRPr="00C56251">
        <w:rPr>
          <w:spacing w:val="-4"/>
        </w:rPr>
        <w:t>can take that are likely to be cost effective in improving the health</w:t>
      </w:r>
      <w:r>
        <w:rPr>
          <w:spacing w:val="-4"/>
        </w:rPr>
        <w:noBreakHyphen/>
      </w:r>
      <w:r w:rsidRPr="00C56251">
        <w:rPr>
          <w:spacing w:val="-4"/>
        </w:rPr>
        <w:t>related quality of life of people living with mental illness</w:t>
      </w:r>
      <w:r>
        <w:rPr>
          <w:spacing w:val="-4"/>
        </w:rPr>
        <w:t xml:space="preserve">. There are also a range of actions that </w:t>
      </w:r>
      <w:r w:rsidRPr="00C56251">
        <w:rPr>
          <w:spacing w:val="-4"/>
        </w:rPr>
        <w:t xml:space="preserve">may also result in net cost savings </w:t>
      </w:r>
      <w:r>
        <w:rPr>
          <w:spacing w:val="-4"/>
        </w:rPr>
        <w:t>and improvements in health (figure</w:t>
      </w:r>
      <w:r w:rsidRPr="00C56251">
        <w:rPr>
          <w:spacing w:val="-4"/>
        </w:rPr>
        <w:t> </w:t>
      </w:r>
      <w:r>
        <w:rPr>
          <w:spacing w:val="-4"/>
        </w:rPr>
        <w:t xml:space="preserve">I.1) </w:t>
      </w:r>
    </w:p>
    <w:p w14:paraId="0C7BF3FC"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8A2E863" w14:textId="77777777" w:rsidTr="009C6940">
        <w:trPr>
          <w:tblHeader/>
        </w:trPr>
        <w:tc>
          <w:tcPr>
            <w:tcW w:w="5000" w:type="pct"/>
            <w:tcBorders>
              <w:top w:val="single" w:sz="6" w:space="0" w:color="78A22F"/>
              <w:left w:val="nil"/>
              <w:bottom w:val="nil"/>
              <w:right w:val="nil"/>
            </w:tcBorders>
            <w:shd w:val="clear" w:color="auto" w:fill="auto"/>
          </w:tcPr>
          <w:p w14:paraId="0A4BCA77" w14:textId="77777777" w:rsidR="009C6940" w:rsidRPr="00AF7BB3" w:rsidRDefault="009C6940" w:rsidP="009C6940">
            <w:pPr>
              <w:pStyle w:val="FigureTitle"/>
            </w:pPr>
            <w:r w:rsidRPr="00784A05">
              <w:rPr>
                <w:b w:val="0"/>
              </w:rPr>
              <w:t xml:space="preserve">Figure </w:t>
            </w:r>
            <w:r>
              <w:rPr>
                <w:b w:val="0"/>
              </w:rPr>
              <w:t>I.1</w:t>
            </w:r>
            <w:r>
              <w:tab/>
              <w:t>Cost-effectiveness of recommended actions</w:t>
            </w:r>
          </w:p>
        </w:tc>
      </w:tr>
      <w:tr w:rsidR="009C6940" w14:paraId="256AAB08" w14:textId="77777777" w:rsidTr="009C6940">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9C6940" w:rsidRPr="00B1465D" w14:paraId="408AA360" w14:textId="77777777" w:rsidTr="009C6940">
              <w:trPr>
                <w:tblHeader/>
                <w:jc w:val="center"/>
              </w:trPr>
              <w:tc>
                <w:tcPr>
                  <w:tcW w:w="8505" w:type="dxa"/>
                  <w:tcBorders>
                    <w:top w:val="nil"/>
                    <w:bottom w:val="nil"/>
                  </w:tcBorders>
                </w:tcPr>
                <w:p w14:paraId="3CB9D76F" w14:textId="77777777" w:rsidR="009C6940" w:rsidRPr="00B1465D" w:rsidRDefault="009C6940" w:rsidP="009C6940">
                  <w:pPr>
                    <w:pStyle w:val="Figure"/>
                    <w:spacing w:before="60" w:after="60"/>
                    <w:rPr>
                      <w:rFonts w:ascii="Arial" w:hAnsi="Arial" w:cs="Arial"/>
                      <w:sz w:val="18"/>
                      <w:szCs w:val="18"/>
                    </w:rPr>
                  </w:pPr>
                  <w:r w:rsidRPr="001823C4">
                    <w:rPr>
                      <w:rFonts w:ascii="Arial" w:hAnsi="Arial" w:cs="Arial"/>
                      <w:noProof/>
                      <w:sz w:val="18"/>
                      <w:szCs w:val="18"/>
                    </w:rPr>
                    <w:drawing>
                      <wp:inline distT="0" distB="0" distL="0" distR="0" wp14:anchorId="6FD77580" wp14:editId="37C39CD2">
                        <wp:extent cx="5372100" cy="2773680"/>
                        <wp:effectExtent l="0" t="0" r="0" b="7620"/>
                        <wp:docPr id="45" name="Picture 45" descr="This figure shows the percent of simulated outcomes for which each of the action groupings are deemed to be cost saving, very cost effective, cost effective, margninally cost effecice and not cost effective. Action groupings for workplaces, social participation, income and employment support and suicide prevention are found to be cost saving in 100 per cent of simul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372100" cy="2773680"/>
                                </a:xfrm>
                                <a:prstGeom prst="rect">
                                  <a:avLst/>
                                </a:prstGeom>
                                <a:noFill/>
                                <a:ln>
                                  <a:noFill/>
                                </a:ln>
                              </pic:spPr>
                            </pic:pic>
                          </a:graphicData>
                        </a:graphic>
                      </wp:inline>
                    </w:drawing>
                  </w:r>
                </w:p>
              </w:tc>
            </w:tr>
          </w:tbl>
          <w:p w14:paraId="21AA82DA" w14:textId="77777777" w:rsidR="009C6940" w:rsidRDefault="009C6940" w:rsidP="009C6940">
            <w:pPr>
              <w:pStyle w:val="Figure"/>
            </w:pPr>
          </w:p>
        </w:tc>
      </w:tr>
      <w:tr w:rsidR="009C6940" w:rsidRPr="00176D3F" w14:paraId="36F4BF22" w14:textId="77777777" w:rsidTr="009C6940">
        <w:tc>
          <w:tcPr>
            <w:tcW w:w="5000" w:type="pct"/>
            <w:tcBorders>
              <w:top w:val="nil"/>
              <w:left w:val="nil"/>
              <w:bottom w:val="nil"/>
              <w:right w:val="nil"/>
            </w:tcBorders>
            <w:shd w:val="clear" w:color="auto" w:fill="auto"/>
          </w:tcPr>
          <w:p w14:paraId="0830107A" w14:textId="77777777" w:rsidR="009C6940" w:rsidRPr="00176D3F" w:rsidRDefault="009C6940" w:rsidP="009C6940">
            <w:pPr>
              <w:pStyle w:val="Note"/>
            </w:pPr>
            <w:r>
              <w:rPr>
                <w:rStyle w:val="NoteLabel"/>
              </w:rPr>
              <w:t>a</w:t>
            </w:r>
            <w:r>
              <w:t xml:space="preserve"> Actions are cost saving if the net cost per quality</w:t>
            </w:r>
            <w:r>
              <w:noBreakHyphen/>
              <w:t>adjusted life year (QALY) is negative, very cost effective if the net cost per QALY is less than $33 000, cost effective if net cost per QALY is less than $64 000; marginally cost effective if the net cost per QALY is less than $96 000; and not cost effective if the net cost per QALY is greater than $96 000.</w:t>
            </w:r>
          </w:p>
        </w:tc>
      </w:tr>
      <w:tr w:rsidR="009C6940" w:rsidRPr="00176D3F" w14:paraId="73364485" w14:textId="77777777" w:rsidTr="009C6940">
        <w:tc>
          <w:tcPr>
            <w:tcW w:w="5000" w:type="pct"/>
            <w:tcBorders>
              <w:top w:val="nil"/>
              <w:left w:val="nil"/>
              <w:bottom w:val="nil"/>
              <w:right w:val="nil"/>
            </w:tcBorders>
            <w:shd w:val="clear" w:color="auto" w:fill="auto"/>
          </w:tcPr>
          <w:p w14:paraId="665558A3" w14:textId="77777777" w:rsidR="009C6940" w:rsidRPr="00176D3F" w:rsidRDefault="009C6940" w:rsidP="009C6940">
            <w:pPr>
              <w:pStyle w:val="Source"/>
            </w:pPr>
            <w:r>
              <w:rPr>
                <w:i/>
              </w:rPr>
              <w:t>S</w:t>
            </w:r>
            <w:r w:rsidRPr="00784A05">
              <w:rPr>
                <w:i/>
              </w:rPr>
              <w:t>ource</w:t>
            </w:r>
            <w:r w:rsidRPr="00176D3F">
              <w:t xml:space="preserve">: </w:t>
            </w:r>
            <w:r>
              <w:t xml:space="preserve">Productivity Commission estimates. </w:t>
            </w:r>
          </w:p>
        </w:tc>
      </w:tr>
      <w:tr w:rsidR="009C6940" w14:paraId="1B7F96F6" w14:textId="77777777" w:rsidTr="009C6940">
        <w:tc>
          <w:tcPr>
            <w:tcW w:w="5000" w:type="pct"/>
            <w:tcBorders>
              <w:top w:val="nil"/>
              <w:left w:val="nil"/>
              <w:bottom w:val="single" w:sz="6" w:space="0" w:color="78A22F"/>
              <w:right w:val="nil"/>
            </w:tcBorders>
            <w:shd w:val="clear" w:color="auto" w:fill="auto"/>
          </w:tcPr>
          <w:p w14:paraId="03EFA452" w14:textId="77777777" w:rsidR="009C6940" w:rsidRDefault="009C6940" w:rsidP="009C6940">
            <w:pPr>
              <w:pStyle w:val="Figurespace"/>
            </w:pPr>
          </w:p>
        </w:tc>
      </w:tr>
      <w:tr w:rsidR="009C6940" w:rsidRPr="000863A5" w14:paraId="0DE03EF5" w14:textId="77777777" w:rsidTr="009C6940">
        <w:tc>
          <w:tcPr>
            <w:tcW w:w="5000" w:type="pct"/>
            <w:tcBorders>
              <w:top w:val="single" w:sz="6" w:space="0" w:color="78A22F"/>
              <w:left w:val="nil"/>
              <w:bottom w:val="nil"/>
              <w:right w:val="nil"/>
            </w:tcBorders>
          </w:tcPr>
          <w:p w14:paraId="08CF258D" w14:textId="77777777" w:rsidR="009C6940" w:rsidRPr="00626D32" w:rsidRDefault="009C6940" w:rsidP="009C6940">
            <w:pPr>
              <w:pStyle w:val="BoxSpaceBelow"/>
            </w:pPr>
          </w:p>
        </w:tc>
      </w:tr>
    </w:tbl>
    <w:p w14:paraId="6EDC0156" w14:textId="77777777" w:rsidR="009C6940" w:rsidRPr="005C6AAF" w:rsidRDefault="009C6940" w:rsidP="009C6940">
      <w:pPr>
        <w:pStyle w:val="BodyText"/>
        <w:rPr>
          <w:spacing w:val="-2"/>
        </w:rPr>
      </w:pPr>
      <w:r w:rsidRPr="005C6AAF">
        <w:rPr>
          <w:spacing w:val="-2"/>
        </w:rPr>
        <w:t>Assumptions about the persistence of mental health benefits resulting from actions have a substantial effect on estimates of total QALYs and cost</w:t>
      </w:r>
      <w:r w:rsidRPr="005C6AAF">
        <w:rPr>
          <w:spacing w:val="-2"/>
        </w:rPr>
        <w:noBreakHyphen/>
        <w:t>effectiveness. In this model, it has been assumed that all benefits ‘decay’ after a single year — in most cases this is a very conservative assumption, and suggests that the benefits in table I.1 should considered as understating likely effects. For example, if the assumption of full annual decay of benefits is replaced by an assumption that benefits decay by 50% each year (over 5 years with a 3% real discount rate), then the net cost per QALY for early childhood and school recommended actions decreases from $3000</w:t>
      </w:r>
      <w:r w:rsidRPr="005C6AAF">
        <w:rPr>
          <w:spacing w:val="-2"/>
        </w:rPr>
        <w:noBreakHyphen/>
        <w:t>$7000 per QALY to $1000–$3000 per QALY. The effects of persistence assumptions and discount rates on cost per QALY estimates are shown in table I.4.</w:t>
      </w:r>
    </w:p>
    <w:p w14:paraId="092C3343"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3628D42E" w14:textId="77777777" w:rsidTr="009C6940">
        <w:trPr>
          <w:tblHeader/>
        </w:trPr>
        <w:tc>
          <w:tcPr>
            <w:tcW w:w="5000" w:type="pct"/>
            <w:tcBorders>
              <w:top w:val="single" w:sz="6" w:space="0" w:color="78A22F"/>
              <w:left w:val="nil"/>
              <w:bottom w:val="nil"/>
              <w:right w:val="nil"/>
            </w:tcBorders>
            <w:shd w:val="clear" w:color="auto" w:fill="auto"/>
          </w:tcPr>
          <w:p w14:paraId="7FB73DEB" w14:textId="77777777" w:rsidR="009C6940" w:rsidRDefault="009C6940" w:rsidP="009C6940">
            <w:pPr>
              <w:pStyle w:val="TableTitle"/>
            </w:pPr>
            <w:r>
              <w:rPr>
                <w:b w:val="0"/>
              </w:rPr>
              <w:t>Table I.1</w:t>
            </w:r>
            <w:r>
              <w:tab/>
              <w:t>Estimated benefits and costs by action group</w:t>
            </w:r>
          </w:p>
          <w:p w14:paraId="33CF637F" w14:textId="77777777" w:rsidR="009C6940" w:rsidRPr="00EF6E5A" w:rsidRDefault="009C6940" w:rsidP="009C6940">
            <w:pPr>
              <w:pStyle w:val="Subtitle"/>
            </w:pPr>
            <w:r>
              <w:t>A</w:t>
            </w:r>
            <w:r w:rsidRPr="00EF6E5A">
              <w:t>ll benefits decay after one year</w:t>
            </w:r>
          </w:p>
        </w:tc>
      </w:tr>
      <w:tr w:rsidR="009C6940" w14:paraId="36794072" w14:textId="77777777" w:rsidTr="009C6940">
        <w:tc>
          <w:tcPr>
            <w:tcW w:w="5000" w:type="pct"/>
            <w:tcBorders>
              <w:top w:val="nil"/>
              <w:left w:val="nil"/>
              <w:bottom w:val="nil"/>
              <w:right w:val="nil"/>
            </w:tcBorders>
            <w:shd w:val="clear" w:color="auto" w:fill="auto"/>
          </w:tcPr>
          <w:tbl>
            <w:tblPr>
              <w:tblW w:w="8522" w:type="dxa"/>
              <w:tblCellMar>
                <w:top w:w="28" w:type="dxa"/>
                <w:left w:w="0" w:type="dxa"/>
                <w:right w:w="0" w:type="dxa"/>
              </w:tblCellMar>
              <w:tblLook w:val="0000" w:firstRow="0" w:lastRow="0" w:firstColumn="0" w:lastColumn="0" w:noHBand="0" w:noVBand="0"/>
            </w:tblPr>
            <w:tblGrid>
              <w:gridCol w:w="2574"/>
              <w:gridCol w:w="972"/>
              <w:gridCol w:w="1445"/>
              <w:gridCol w:w="1031"/>
              <w:gridCol w:w="1094"/>
              <w:gridCol w:w="1406"/>
            </w:tblGrid>
            <w:tr w:rsidR="009C6940" w14:paraId="52CD4EC6" w14:textId="77777777" w:rsidTr="009C6940">
              <w:trPr>
                <w:tblHeader/>
              </w:trPr>
              <w:tc>
                <w:tcPr>
                  <w:tcW w:w="1510" w:type="pct"/>
                  <w:tcBorders>
                    <w:top w:val="single" w:sz="6" w:space="0" w:color="BFBFBF"/>
                  </w:tcBorders>
                  <w:shd w:val="clear" w:color="auto" w:fill="auto"/>
                  <w:tcMar>
                    <w:top w:w="28" w:type="dxa"/>
                  </w:tcMar>
                </w:tcPr>
                <w:p w14:paraId="5760C8C5" w14:textId="77777777" w:rsidR="009C6940" w:rsidRDefault="009C6940" w:rsidP="009C6940">
                  <w:pPr>
                    <w:pStyle w:val="TableColumnHeading"/>
                    <w:jc w:val="left"/>
                  </w:pPr>
                </w:p>
              </w:tc>
              <w:tc>
                <w:tcPr>
                  <w:tcW w:w="1418" w:type="pct"/>
                  <w:gridSpan w:val="2"/>
                  <w:tcBorders>
                    <w:top w:val="single" w:sz="6" w:space="0" w:color="BFBFBF"/>
                    <w:bottom w:val="single" w:sz="6" w:space="0" w:color="BFBFBF"/>
                  </w:tcBorders>
                </w:tcPr>
                <w:p w14:paraId="37030229" w14:textId="77777777" w:rsidR="009C6940" w:rsidRDefault="009C6940" w:rsidP="009C6940">
                  <w:pPr>
                    <w:pStyle w:val="TableColumnHeading"/>
                    <w:jc w:val="center"/>
                  </w:pPr>
                  <w:r>
                    <w:t>Benefits</w:t>
                  </w:r>
                </w:p>
              </w:tc>
              <w:tc>
                <w:tcPr>
                  <w:tcW w:w="1247" w:type="pct"/>
                  <w:gridSpan w:val="2"/>
                  <w:tcBorders>
                    <w:top w:val="single" w:sz="6" w:space="0" w:color="BFBFBF"/>
                    <w:bottom w:val="single" w:sz="6" w:space="0" w:color="BFBFBF"/>
                  </w:tcBorders>
                  <w:shd w:val="clear" w:color="auto" w:fill="auto"/>
                  <w:tcMar>
                    <w:top w:w="28" w:type="dxa"/>
                  </w:tcMar>
                </w:tcPr>
                <w:p w14:paraId="0976BB82" w14:textId="77777777" w:rsidR="009C6940" w:rsidRDefault="009C6940" w:rsidP="009C6940">
                  <w:pPr>
                    <w:pStyle w:val="TableColumnHeading"/>
                    <w:ind w:right="28"/>
                    <w:jc w:val="center"/>
                  </w:pPr>
                  <w:r>
                    <w:t>Costs</w:t>
                  </w:r>
                </w:p>
              </w:tc>
              <w:tc>
                <w:tcPr>
                  <w:tcW w:w="826" w:type="pct"/>
                  <w:vMerge w:val="restart"/>
                  <w:tcBorders>
                    <w:top w:val="single" w:sz="6" w:space="0" w:color="BFBFBF"/>
                  </w:tcBorders>
                </w:tcPr>
                <w:p w14:paraId="2B04312F" w14:textId="77777777" w:rsidR="009C6940" w:rsidRDefault="009C6940" w:rsidP="009C6940">
                  <w:pPr>
                    <w:pStyle w:val="TableColumnHeading"/>
                    <w:ind w:right="28"/>
                  </w:pPr>
                </w:p>
                <w:p w14:paraId="5ADFB270" w14:textId="77777777" w:rsidR="009C6940" w:rsidRDefault="009C6940" w:rsidP="009C6940">
                  <w:pPr>
                    <w:pStyle w:val="TableColumnHeading"/>
                    <w:ind w:right="28"/>
                  </w:pPr>
                  <w:r>
                    <w:t>Net cost per QALY</w:t>
                  </w:r>
                  <w:r w:rsidRPr="00CE56FE">
                    <w:rPr>
                      <w:rStyle w:val="NoteLabel"/>
                      <w:i w:val="0"/>
                      <w:iCs/>
                    </w:rPr>
                    <w:t>a</w:t>
                  </w:r>
                  <w:r>
                    <w:rPr>
                      <w:rStyle w:val="NoteLabel"/>
                      <w:i w:val="0"/>
                      <w:iCs/>
                    </w:rPr>
                    <w:t>,c</w:t>
                  </w:r>
                </w:p>
              </w:tc>
            </w:tr>
            <w:tr w:rsidR="009C6940" w14:paraId="2DBB612D" w14:textId="77777777" w:rsidTr="009C6940">
              <w:trPr>
                <w:tblHeader/>
              </w:trPr>
              <w:tc>
                <w:tcPr>
                  <w:tcW w:w="1510" w:type="pct"/>
                  <w:tcBorders>
                    <w:bottom w:val="single" w:sz="6" w:space="0" w:color="BFBFBF"/>
                  </w:tcBorders>
                  <w:shd w:val="clear" w:color="auto" w:fill="auto"/>
                  <w:tcMar>
                    <w:top w:w="28" w:type="dxa"/>
                  </w:tcMar>
                </w:tcPr>
                <w:p w14:paraId="2953E4D6" w14:textId="77777777" w:rsidR="009C6940" w:rsidRDefault="009C6940" w:rsidP="009C6940">
                  <w:pPr>
                    <w:pStyle w:val="TableColumnHeading"/>
                    <w:jc w:val="left"/>
                  </w:pPr>
                  <w:r>
                    <w:t>Action group</w:t>
                  </w:r>
                </w:p>
              </w:tc>
              <w:tc>
                <w:tcPr>
                  <w:tcW w:w="570" w:type="pct"/>
                  <w:tcBorders>
                    <w:top w:val="single" w:sz="6" w:space="0" w:color="BFBFBF"/>
                    <w:bottom w:val="single" w:sz="6" w:space="0" w:color="BFBFBF"/>
                  </w:tcBorders>
                </w:tcPr>
                <w:p w14:paraId="127EB698" w14:textId="77777777" w:rsidR="009C6940" w:rsidRPr="00CE56FE" w:rsidRDefault="009C6940" w:rsidP="009C6940">
                  <w:pPr>
                    <w:pStyle w:val="TableColumnHeading"/>
                    <w:rPr>
                      <w:i w:val="0"/>
                    </w:rPr>
                  </w:pPr>
                  <w:r>
                    <w:rPr>
                      <w:rFonts w:cs="Arial"/>
                      <w:szCs w:val="18"/>
                    </w:rPr>
                    <w:t>Additional</w:t>
                  </w:r>
                  <w:r>
                    <w:rPr>
                      <w:rFonts w:cs="Arial"/>
                      <w:szCs w:val="18"/>
                    </w:rPr>
                    <w:br/>
                  </w:r>
                  <w:r>
                    <w:t>income</w:t>
                  </w:r>
                  <w:r w:rsidRPr="00CE56FE">
                    <w:rPr>
                      <w:rStyle w:val="NoteLabel"/>
                      <w:i w:val="0"/>
                      <w:iCs/>
                    </w:rPr>
                    <w:t>a</w:t>
                  </w:r>
                </w:p>
              </w:tc>
              <w:tc>
                <w:tcPr>
                  <w:tcW w:w="847" w:type="pct"/>
                  <w:tcBorders>
                    <w:top w:val="single" w:sz="6" w:space="0" w:color="BFBFBF"/>
                    <w:bottom w:val="single" w:sz="6" w:space="0" w:color="BFBFBF"/>
                  </w:tcBorders>
                  <w:shd w:val="clear" w:color="auto" w:fill="auto"/>
                  <w:tcMar>
                    <w:top w:w="28" w:type="dxa"/>
                  </w:tcMar>
                </w:tcPr>
                <w:p w14:paraId="222F9852" w14:textId="77777777" w:rsidR="009C6940" w:rsidRDefault="009C6940" w:rsidP="009C6940">
                  <w:pPr>
                    <w:pStyle w:val="TableColumnHeading"/>
                  </w:pPr>
                  <w:r>
                    <w:t>Additional QALYs</w:t>
                  </w:r>
                  <w:r w:rsidRPr="00CE56FE">
                    <w:rPr>
                      <w:rStyle w:val="NoteLabel"/>
                      <w:i w:val="0"/>
                      <w:iCs/>
                    </w:rPr>
                    <w:t>a</w:t>
                  </w:r>
                </w:p>
              </w:tc>
              <w:tc>
                <w:tcPr>
                  <w:tcW w:w="605" w:type="pct"/>
                  <w:tcBorders>
                    <w:top w:val="single" w:sz="6" w:space="0" w:color="BFBFBF"/>
                    <w:bottom w:val="single" w:sz="6" w:space="0" w:color="BFBFBF"/>
                  </w:tcBorders>
                  <w:shd w:val="clear" w:color="auto" w:fill="auto"/>
                  <w:tcMar>
                    <w:top w:w="28" w:type="dxa"/>
                  </w:tcMar>
                </w:tcPr>
                <w:p w14:paraId="16F356FC" w14:textId="77777777" w:rsidR="009C6940" w:rsidRDefault="009C6940" w:rsidP="009C6940">
                  <w:pPr>
                    <w:pStyle w:val="TableColumnHeading"/>
                    <w:ind w:right="28"/>
                  </w:pPr>
                  <w:r>
                    <w:t>Additional costs</w:t>
                  </w:r>
                  <w:r>
                    <w:rPr>
                      <w:rStyle w:val="NoteLabel"/>
                      <w:i w:val="0"/>
                      <w:iCs/>
                    </w:rPr>
                    <w:t>b</w:t>
                  </w:r>
                </w:p>
              </w:tc>
              <w:tc>
                <w:tcPr>
                  <w:tcW w:w="642" w:type="pct"/>
                  <w:tcBorders>
                    <w:top w:val="single" w:sz="6" w:space="0" w:color="BFBFBF"/>
                    <w:bottom w:val="single" w:sz="6" w:space="0" w:color="BFBFBF"/>
                  </w:tcBorders>
                </w:tcPr>
                <w:p w14:paraId="105CC92E" w14:textId="77777777" w:rsidR="009C6940" w:rsidRDefault="009C6940" w:rsidP="009C6940">
                  <w:pPr>
                    <w:pStyle w:val="TableColumnHeading"/>
                    <w:ind w:right="28"/>
                  </w:pPr>
                  <w:r>
                    <w:t>Cost</w:t>
                  </w:r>
                  <w:r>
                    <w:br/>
                    <w:t>saving</w:t>
                  </w:r>
                  <w:r>
                    <w:rPr>
                      <w:rStyle w:val="NoteLabel"/>
                      <w:i w:val="0"/>
                      <w:iCs/>
                    </w:rPr>
                    <w:t>b</w:t>
                  </w:r>
                </w:p>
              </w:tc>
              <w:tc>
                <w:tcPr>
                  <w:tcW w:w="826" w:type="pct"/>
                  <w:vMerge/>
                  <w:tcBorders>
                    <w:bottom w:val="single" w:sz="6" w:space="0" w:color="BFBFBF"/>
                  </w:tcBorders>
                </w:tcPr>
                <w:p w14:paraId="529EB610" w14:textId="77777777" w:rsidR="009C6940" w:rsidRDefault="009C6940" w:rsidP="009C6940">
                  <w:pPr>
                    <w:pStyle w:val="TableColumnHeading"/>
                    <w:ind w:right="28"/>
                  </w:pPr>
                </w:p>
              </w:tc>
            </w:tr>
            <w:tr w:rsidR="009C6940" w14:paraId="49E274B2" w14:textId="77777777" w:rsidTr="009C6940">
              <w:trPr>
                <w:tblHeader/>
              </w:trPr>
              <w:tc>
                <w:tcPr>
                  <w:tcW w:w="1510" w:type="pct"/>
                  <w:tcBorders>
                    <w:top w:val="single" w:sz="6" w:space="0" w:color="BFBFBF"/>
                    <w:bottom w:val="single" w:sz="6" w:space="0" w:color="BFBFBF"/>
                  </w:tcBorders>
                  <w:shd w:val="clear" w:color="auto" w:fill="auto"/>
                  <w:tcMar>
                    <w:top w:w="28" w:type="dxa"/>
                  </w:tcMar>
                </w:tcPr>
                <w:p w14:paraId="088BBB44" w14:textId="77777777" w:rsidR="009C6940" w:rsidRDefault="009C6940" w:rsidP="009C6940">
                  <w:pPr>
                    <w:pStyle w:val="TableUnitsRow"/>
                  </w:pPr>
                </w:p>
              </w:tc>
              <w:tc>
                <w:tcPr>
                  <w:tcW w:w="570" w:type="pct"/>
                  <w:tcBorders>
                    <w:top w:val="single" w:sz="6" w:space="0" w:color="BFBFBF"/>
                    <w:bottom w:val="single" w:sz="6" w:space="0" w:color="BFBFBF"/>
                  </w:tcBorders>
                </w:tcPr>
                <w:p w14:paraId="739BD0DA" w14:textId="77777777" w:rsidR="009C6940" w:rsidRDefault="009C6940" w:rsidP="009C6940">
                  <w:pPr>
                    <w:pStyle w:val="TableUnitsRow"/>
                  </w:pPr>
                  <w:r>
                    <w:t>$ million</w:t>
                  </w:r>
                </w:p>
              </w:tc>
              <w:tc>
                <w:tcPr>
                  <w:tcW w:w="847" w:type="pct"/>
                  <w:tcBorders>
                    <w:top w:val="single" w:sz="6" w:space="0" w:color="BFBFBF"/>
                    <w:bottom w:val="single" w:sz="6" w:space="0" w:color="BFBFBF"/>
                  </w:tcBorders>
                  <w:shd w:val="clear" w:color="auto" w:fill="auto"/>
                  <w:tcMar>
                    <w:top w:w="28" w:type="dxa"/>
                  </w:tcMar>
                </w:tcPr>
                <w:p w14:paraId="3BA84164" w14:textId="77777777" w:rsidR="009C6940" w:rsidRDefault="009C6940" w:rsidP="009C6940">
                  <w:pPr>
                    <w:pStyle w:val="TableUnitsRow"/>
                  </w:pPr>
                </w:p>
              </w:tc>
              <w:tc>
                <w:tcPr>
                  <w:tcW w:w="605" w:type="pct"/>
                  <w:tcBorders>
                    <w:top w:val="single" w:sz="6" w:space="0" w:color="BFBFBF"/>
                    <w:bottom w:val="single" w:sz="6" w:space="0" w:color="BFBFBF"/>
                  </w:tcBorders>
                  <w:shd w:val="clear" w:color="auto" w:fill="auto"/>
                  <w:tcMar>
                    <w:top w:w="28" w:type="dxa"/>
                  </w:tcMar>
                </w:tcPr>
                <w:p w14:paraId="40E17F75" w14:textId="77777777" w:rsidR="009C6940" w:rsidRDefault="009C6940" w:rsidP="009C6940">
                  <w:pPr>
                    <w:pStyle w:val="TableUnitsRow"/>
                  </w:pPr>
                  <w:r>
                    <w:t xml:space="preserve">$ million </w:t>
                  </w:r>
                </w:p>
              </w:tc>
              <w:tc>
                <w:tcPr>
                  <w:tcW w:w="642" w:type="pct"/>
                  <w:tcBorders>
                    <w:top w:val="single" w:sz="6" w:space="0" w:color="BFBFBF"/>
                    <w:bottom w:val="single" w:sz="6" w:space="0" w:color="BFBFBF"/>
                  </w:tcBorders>
                </w:tcPr>
                <w:p w14:paraId="25E37516" w14:textId="77777777" w:rsidR="009C6940" w:rsidRDefault="009C6940" w:rsidP="009C6940">
                  <w:pPr>
                    <w:pStyle w:val="TableUnitsRow"/>
                  </w:pPr>
                  <w:r>
                    <w:t>$ million</w:t>
                  </w:r>
                </w:p>
              </w:tc>
              <w:tc>
                <w:tcPr>
                  <w:tcW w:w="826" w:type="pct"/>
                  <w:tcBorders>
                    <w:top w:val="single" w:sz="6" w:space="0" w:color="BFBFBF"/>
                    <w:bottom w:val="single" w:sz="6" w:space="0" w:color="BFBFBF"/>
                  </w:tcBorders>
                </w:tcPr>
                <w:p w14:paraId="220F8EB5" w14:textId="77777777" w:rsidR="009C6940" w:rsidRDefault="009C6940" w:rsidP="009C6940">
                  <w:pPr>
                    <w:pStyle w:val="TableUnitsRow"/>
                  </w:pPr>
                  <w:r>
                    <w:t>$ ‘000</w:t>
                  </w:r>
                </w:p>
              </w:tc>
            </w:tr>
            <w:tr w:rsidR="009C6940" w14:paraId="34DA5D7B" w14:textId="77777777" w:rsidTr="009C6940">
              <w:tc>
                <w:tcPr>
                  <w:tcW w:w="1510" w:type="pct"/>
                  <w:tcBorders>
                    <w:top w:val="single" w:sz="6" w:space="0" w:color="BFBFBF"/>
                  </w:tcBorders>
                  <w:shd w:val="clear" w:color="auto" w:fill="F2F2F2" w:themeFill="background1" w:themeFillShade="F2"/>
                  <w:vAlign w:val="center"/>
                </w:tcPr>
                <w:p w14:paraId="0FA39A52" w14:textId="77777777" w:rsidR="009C6940" w:rsidRDefault="009C6940" w:rsidP="009C6940">
                  <w:pPr>
                    <w:pStyle w:val="TableUnitsRow"/>
                    <w:jc w:val="left"/>
                  </w:pPr>
                  <w:r>
                    <w:t>Access to healthcare</w:t>
                  </w:r>
                </w:p>
              </w:tc>
              <w:tc>
                <w:tcPr>
                  <w:tcW w:w="570" w:type="pct"/>
                  <w:tcBorders>
                    <w:top w:val="single" w:sz="6" w:space="0" w:color="BFBFBF"/>
                  </w:tcBorders>
                  <w:shd w:val="clear" w:color="auto" w:fill="F2F2F2" w:themeFill="background1" w:themeFillShade="F2"/>
                  <w:vAlign w:val="bottom"/>
                </w:tcPr>
                <w:p w14:paraId="12640479" w14:textId="77777777" w:rsidR="009C6940" w:rsidRDefault="009C6940" w:rsidP="009C6940">
                  <w:pPr>
                    <w:pStyle w:val="TableUnitsRow"/>
                  </w:pPr>
                  <w:r>
                    <w:t>501-718</w:t>
                  </w:r>
                </w:p>
              </w:tc>
              <w:tc>
                <w:tcPr>
                  <w:tcW w:w="847" w:type="pct"/>
                  <w:tcBorders>
                    <w:top w:val="single" w:sz="6" w:space="0" w:color="BFBFBF"/>
                  </w:tcBorders>
                  <w:shd w:val="clear" w:color="auto" w:fill="F2F2F2" w:themeFill="background1" w:themeFillShade="F2"/>
                  <w:vAlign w:val="bottom"/>
                </w:tcPr>
                <w:p w14:paraId="220C50C7" w14:textId="77777777" w:rsidR="009C6940" w:rsidRDefault="009C6940" w:rsidP="009C6940">
                  <w:pPr>
                    <w:pStyle w:val="TableUnitsRow"/>
                  </w:pPr>
                  <w:r>
                    <w:t>10 280-15 280</w:t>
                  </w:r>
                </w:p>
              </w:tc>
              <w:tc>
                <w:tcPr>
                  <w:tcW w:w="605" w:type="pct"/>
                  <w:tcBorders>
                    <w:top w:val="single" w:sz="6" w:space="0" w:color="BFBFBF"/>
                  </w:tcBorders>
                  <w:shd w:val="clear" w:color="auto" w:fill="F2F2F2" w:themeFill="background1" w:themeFillShade="F2"/>
                  <w:vAlign w:val="bottom"/>
                </w:tcPr>
                <w:p w14:paraId="4D83AC52" w14:textId="77777777" w:rsidR="009C6940" w:rsidRDefault="009C6940" w:rsidP="009C6940">
                  <w:pPr>
                    <w:pStyle w:val="TableUnitsRow"/>
                  </w:pPr>
                  <w:r>
                    <w:t>900-910</w:t>
                  </w:r>
                </w:p>
              </w:tc>
              <w:tc>
                <w:tcPr>
                  <w:tcW w:w="642" w:type="pct"/>
                  <w:tcBorders>
                    <w:top w:val="single" w:sz="6" w:space="0" w:color="BFBFBF"/>
                  </w:tcBorders>
                  <w:shd w:val="clear" w:color="auto" w:fill="F2F2F2" w:themeFill="background1" w:themeFillShade="F2"/>
                  <w:vAlign w:val="bottom"/>
                </w:tcPr>
                <w:p w14:paraId="4F76B14F" w14:textId="77777777" w:rsidR="009C6940" w:rsidRDefault="009C6940" w:rsidP="009C6940">
                  <w:pPr>
                    <w:pStyle w:val="TableUnitsRow"/>
                  </w:pPr>
                  <w:r>
                    <w:t>30-50</w:t>
                  </w:r>
                </w:p>
              </w:tc>
              <w:tc>
                <w:tcPr>
                  <w:tcW w:w="826" w:type="pct"/>
                  <w:tcBorders>
                    <w:top w:val="single" w:sz="6" w:space="0" w:color="BFBFBF"/>
                  </w:tcBorders>
                  <w:shd w:val="clear" w:color="auto" w:fill="F2F2F2" w:themeFill="background1" w:themeFillShade="F2"/>
                  <w:vAlign w:val="bottom"/>
                </w:tcPr>
                <w:p w14:paraId="177D16A4" w14:textId="77777777" w:rsidR="009C6940" w:rsidRDefault="009C6940" w:rsidP="009C6940">
                  <w:pPr>
                    <w:pStyle w:val="TableUnitsRow"/>
                  </w:pPr>
                  <w:r>
                    <w:t>11-30</w:t>
                  </w:r>
                </w:p>
              </w:tc>
            </w:tr>
            <w:tr w:rsidR="009C6940" w14:paraId="661D757D" w14:textId="77777777" w:rsidTr="009C6940">
              <w:tc>
                <w:tcPr>
                  <w:tcW w:w="1510" w:type="pct"/>
                  <w:shd w:val="clear" w:color="auto" w:fill="auto"/>
                  <w:vAlign w:val="center"/>
                </w:tcPr>
                <w:p w14:paraId="38411199" w14:textId="77777777" w:rsidR="009C6940" w:rsidRDefault="009C6940" w:rsidP="009C6940">
                  <w:pPr>
                    <w:pStyle w:val="TableUnitsRow"/>
                    <w:jc w:val="left"/>
                  </w:pPr>
                  <w:r>
                    <w:t>Carers and families</w:t>
                  </w:r>
                </w:p>
              </w:tc>
              <w:tc>
                <w:tcPr>
                  <w:tcW w:w="570" w:type="pct"/>
                  <w:vAlign w:val="bottom"/>
                </w:tcPr>
                <w:p w14:paraId="334CF339" w14:textId="77777777" w:rsidR="009C6940" w:rsidRDefault="009C6940" w:rsidP="009C6940">
                  <w:pPr>
                    <w:pStyle w:val="TableUnitsRow"/>
                  </w:pPr>
                  <w:r>
                    <w:t>124</w:t>
                  </w:r>
                  <w:r>
                    <w:noBreakHyphen/>
                    <w:t>245</w:t>
                  </w:r>
                </w:p>
              </w:tc>
              <w:tc>
                <w:tcPr>
                  <w:tcW w:w="847" w:type="pct"/>
                  <w:shd w:val="clear" w:color="auto" w:fill="auto"/>
                  <w:vAlign w:val="bottom"/>
                </w:tcPr>
                <w:p w14:paraId="2A1BA6FA" w14:textId="77777777" w:rsidR="009C6940" w:rsidRDefault="009C6940" w:rsidP="009C6940">
                  <w:pPr>
                    <w:pStyle w:val="TableUnitsRow"/>
                  </w:pPr>
                  <w:r>
                    <w:t>4 390-6 390</w:t>
                  </w:r>
                </w:p>
              </w:tc>
              <w:tc>
                <w:tcPr>
                  <w:tcW w:w="605" w:type="pct"/>
                  <w:shd w:val="clear" w:color="auto" w:fill="auto"/>
                  <w:vAlign w:val="bottom"/>
                </w:tcPr>
                <w:p w14:paraId="01E1936D" w14:textId="77777777" w:rsidR="009C6940" w:rsidRDefault="009C6940" w:rsidP="009C6940">
                  <w:pPr>
                    <w:pStyle w:val="TableUnitsRow"/>
                  </w:pPr>
                  <w:r>
                    <w:t>160</w:t>
                  </w:r>
                  <w:r>
                    <w:noBreakHyphen/>
                    <w:t>189</w:t>
                  </w:r>
                </w:p>
              </w:tc>
              <w:tc>
                <w:tcPr>
                  <w:tcW w:w="642" w:type="pct"/>
                  <w:vAlign w:val="bottom"/>
                </w:tcPr>
                <w:p w14:paraId="45E15E77" w14:textId="77777777" w:rsidR="009C6940" w:rsidRDefault="009C6940" w:rsidP="009C6940">
                  <w:pPr>
                    <w:pStyle w:val="TableUnitsRow"/>
                  </w:pPr>
                  <w:r>
                    <w:t>40</w:t>
                  </w:r>
                  <w:r>
                    <w:noBreakHyphen/>
                    <w:t>73</w:t>
                  </w:r>
                </w:p>
              </w:tc>
              <w:tc>
                <w:tcPr>
                  <w:tcW w:w="826" w:type="pct"/>
                  <w:shd w:val="clear" w:color="auto" w:fill="auto"/>
                  <w:vAlign w:val="bottom"/>
                </w:tcPr>
                <w:p w14:paraId="71F1D8F7" w14:textId="77777777" w:rsidR="009C6940" w:rsidRDefault="009C6940" w:rsidP="009C6940">
                  <w:pPr>
                    <w:pStyle w:val="TableUnitsRow"/>
                  </w:pPr>
                  <w:r>
                    <w:t>Cost saving</w:t>
                  </w:r>
                </w:p>
              </w:tc>
            </w:tr>
            <w:tr w:rsidR="009C6940" w14:paraId="55EAD8C8" w14:textId="77777777" w:rsidTr="009C6940">
              <w:tc>
                <w:tcPr>
                  <w:tcW w:w="1510" w:type="pct"/>
                  <w:shd w:val="clear" w:color="auto" w:fill="F2F2F2" w:themeFill="background1" w:themeFillShade="F2"/>
                  <w:vAlign w:val="center"/>
                </w:tcPr>
                <w:p w14:paraId="13311CB2" w14:textId="77777777" w:rsidR="009C6940" w:rsidRDefault="009C6940" w:rsidP="009C6940">
                  <w:pPr>
                    <w:pStyle w:val="TableUnitsRow"/>
                    <w:jc w:val="left"/>
                  </w:pPr>
                  <w:r>
                    <w:t>Income &amp; employment support</w:t>
                  </w:r>
                </w:p>
              </w:tc>
              <w:tc>
                <w:tcPr>
                  <w:tcW w:w="570" w:type="pct"/>
                  <w:shd w:val="clear" w:color="auto" w:fill="F2F2F2" w:themeFill="background1" w:themeFillShade="F2"/>
                  <w:vAlign w:val="bottom"/>
                </w:tcPr>
                <w:p w14:paraId="5E269BCC" w14:textId="77777777" w:rsidR="009C6940" w:rsidRDefault="009C6940" w:rsidP="009C6940">
                  <w:pPr>
                    <w:pStyle w:val="TableUnitsRow"/>
                  </w:pPr>
                  <w:r>
                    <w:t>42</w:t>
                  </w:r>
                  <w:r>
                    <w:noBreakHyphen/>
                    <w:t>90</w:t>
                  </w:r>
                </w:p>
              </w:tc>
              <w:tc>
                <w:tcPr>
                  <w:tcW w:w="847" w:type="pct"/>
                  <w:shd w:val="clear" w:color="auto" w:fill="F2F2F2" w:themeFill="background1" w:themeFillShade="F2"/>
                  <w:vAlign w:val="bottom"/>
                </w:tcPr>
                <w:p w14:paraId="0A33D7B9" w14:textId="77777777" w:rsidR="009C6940" w:rsidRDefault="009C6940" w:rsidP="009C6940">
                  <w:pPr>
                    <w:pStyle w:val="TableUnitsRow"/>
                  </w:pPr>
                  <w:r>
                    <w:t>240</w:t>
                  </w:r>
                  <w:r>
                    <w:noBreakHyphen/>
                    <w:t>430</w:t>
                  </w:r>
                </w:p>
              </w:tc>
              <w:tc>
                <w:tcPr>
                  <w:tcW w:w="605" w:type="pct"/>
                  <w:shd w:val="clear" w:color="auto" w:fill="F2F2F2" w:themeFill="background1" w:themeFillShade="F2"/>
                  <w:vAlign w:val="bottom"/>
                </w:tcPr>
                <w:p w14:paraId="01E79C4B" w14:textId="77777777" w:rsidR="009C6940" w:rsidRDefault="009C6940" w:rsidP="009C6940">
                  <w:pPr>
                    <w:pStyle w:val="TableUnitsRow"/>
                  </w:pPr>
                  <w:r>
                    <w:t>108</w:t>
                  </w:r>
                  <w:r>
                    <w:noBreakHyphen/>
                    <w:t>286</w:t>
                  </w:r>
                </w:p>
              </w:tc>
              <w:tc>
                <w:tcPr>
                  <w:tcW w:w="642" w:type="pct"/>
                  <w:shd w:val="clear" w:color="auto" w:fill="F2F2F2" w:themeFill="background1" w:themeFillShade="F2"/>
                  <w:vAlign w:val="bottom"/>
                </w:tcPr>
                <w:p w14:paraId="2D6392AF" w14:textId="77777777" w:rsidR="009C6940" w:rsidRDefault="009C6940" w:rsidP="009C6940">
                  <w:pPr>
                    <w:pStyle w:val="TableUnitsRow"/>
                  </w:pPr>
                  <w:r>
                    <w:t>186</w:t>
                  </w:r>
                  <w:r>
                    <w:noBreakHyphen/>
                    <w:t>624</w:t>
                  </w:r>
                </w:p>
              </w:tc>
              <w:tc>
                <w:tcPr>
                  <w:tcW w:w="826" w:type="pct"/>
                  <w:shd w:val="clear" w:color="auto" w:fill="F2F2F2" w:themeFill="background1" w:themeFillShade="F2"/>
                  <w:vAlign w:val="bottom"/>
                </w:tcPr>
                <w:p w14:paraId="5FFF0836" w14:textId="77777777" w:rsidR="009C6940" w:rsidRDefault="009C6940" w:rsidP="009C6940">
                  <w:pPr>
                    <w:pStyle w:val="TableUnitsRow"/>
                  </w:pPr>
                  <w:r>
                    <w:t>Cost saving</w:t>
                  </w:r>
                </w:p>
              </w:tc>
            </w:tr>
            <w:tr w:rsidR="009C6940" w14:paraId="33420AB2" w14:textId="77777777" w:rsidTr="009C6940">
              <w:tc>
                <w:tcPr>
                  <w:tcW w:w="1510" w:type="pct"/>
                  <w:shd w:val="clear" w:color="auto" w:fill="auto"/>
                  <w:vAlign w:val="center"/>
                </w:tcPr>
                <w:p w14:paraId="2D8B5057" w14:textId="77777777" w:rsidR="009C6940" w:rsidRDefault="009C6940" w:rsidP="009C6940">
                  <w:pPr>
                    <w:pStyle w:val="TableUnitsRow"/>
                    <w:jc w:val="left"/>
                  </w:pPr>
                  <w:r>
                    <w:t>Housing</w:t>
                  </w:r>
                </w:p>
              </w:tc>
              <w:tc>
                <w:tcPr>
                  <w:tcW w:w="570" w:type="pct"/>
                  <w:vAlign w:val="bottom"/>
                </w:tcPr>
                <w:p w14:paraId="5495F1B8" w14:textId="77777777" w:rsidR="009C6940" w:rsidRDefault="009C6940" w:rsidP="009C6940">
                  <w:pPr>
                    <w:pStyle w:val="TableUnitsRow"/>
                  </w:pPr>
                  <w:r>
                    <w:t>8</w:t>
                  </w:r>
                  <w:r>
                    <w:noBreakHyphen/>
                    <w:t>21</w:t>
                  </w:r>
                </w:p>
              </w:tc>
              <w:tc>
                <w:tcPr>
                  <w:tcW w:w="847" w:type="pct"/>
                  <w:shd w:val="clear" w:color="auto" w:fill="auto"/>
                  <w:vAlign w:val="bottom"/>
                </w:tcPr>
                <w:p w14:paraId="17671110" w14:textId="77777777" w:rsidR="009C6940" w:rsidRDefault="009C6940" w:rsidP="009C6940">
                  <w:pPr>
                    <w:pStyle w:val="TableUnitsRow"/>
                  </w:pPr>
                  <w:r>
                    <w:t>920</w:t>
                  </w:r>
                  <w:r>
                    <w:noBreakHyphen/>
                    <w:t>4 780</w:t>
                  </w:r>
                </w:p>
              </w:tc>
              <w:tc>
                <w:tcPr>
                  <w:tcW w:w="605" w:type="pct"/>
                  <w:shd w:val="clear" w:color="auto" w:fill="auto"/>
                  <w:vAlign w:val="bottom"/>
                </w:tcPr>
                <w:p w14:paraId="680657E5" w14:textId="77777777" w:rsidR="009C6940" w:rsidRDefault="009C6940" w:rsidP="009C6940">
                  <w:pPr>
                    <w:pStyle w:val="TableUnitsRow"/>
                  </w:pPr>
                  <w:r>
                    <w:t>740-940</w:t>
                  </w:r>
                </w:p>
              </w:tc>
              <w:tc>
                <w:tcPr>
                  <w:tcW w:w="642" w:type="pct"/>
                  <w:vAlign w:val="bottom"/>
                </w:tcPr>
                <w:p w14:paraId="5666D829" w14:textId="77777777" w:rsidR="009C6940" w:rsidRDefault="009C6940" w:rsidP="009C6940">
                  <w:pPr>
                    <w:pStyle w:val="TableUnitsRow"/>
                  </w:pPr>
                  <w:r>
                    <w:t>450-790</w:t>
                  </w:r>
                </w:p>
              </w:tc>
              <w:tc>
                <w:tcPr>
                  <w:tcW w:w="826" w:type="pct"/>
                  <w:shd w:val="clear" w:color="auto" w:fill="auto"/>
                  <w:vAlign w:val="bottom"/>
                </w:tcPr>
                <w:p w14:paraId="427F9348" w14:textId="77777777" w:rsidR="009C6940" w:rsidRDefault="009C6940" w:rsidP="009C6940">
                  <w:pPr>
                    <w:pStyle w:val="TableUnitsRow"/>
                  </w:pPr>
                  <w:r>
                    <w:t>47-199</w:t>
                  </w:r>
                </w:p>
              </w:tc>
            </w:tr>
            <w:tr w:rsidR="009C6940" w14:paraId="1A0111A2" w14:textId="77777777" w:rsidTr="009C6940">
              <w:tc>
                <w:tcPr>
                  <w:tcW w:w="1510" w:type="pct"/>
                  <w:shd w:val="clear" w:color="auto" w:fill="F2F2F2" w:themeFill="background1" w:themeFillShade="F2"/>
                  <w:vAlign w:val="center"/>
                </w:tcPr>
                <w:p w14:paraId="07A12AD4" w14:textId="77777777" w:rsidR="009C6940" w:rsidRDefault="009C6940" w:rsidP="009C6940">
                  <w:pPr>
                    <w:pStyle w:val="TableUnitsRow"/>
                    <w:jc w:val="left"/>
                  </w:pPr>
                  <w:r>
                    <w:t>Psychosocial supports</w:t>
                  </w:r>
                </w:p>
              </w:tc>
              <w:tc>
                <w:tcPr>
                  <w:tcW w:w="570" w:type="pct"/>
                  <w:shd w:val="clear" w:color="auto" w:fill="F2F2F2" w:themeFill="background1" w:themeFillShade="F2"/>
                  <w:vAlign w:val="bottom"/>
                </w:tcPr>
                <w:p w14:paraId="4CF4CA87" w14:textId="77777777" w:rsidR="009C6940" w:rsidRDefault="009C6940" w:rsidP="009C6940">
                  <w:pPr>
                    <w:pStyle w:val="TableUnitsRow"/>
                  </w:pPr>
                  <w:r>
                    <w:t>79</w:t>
                  </w:r>
                  <w:r>
                    <w:noBreakHyphen/>
                    <w:t>177</w:t>
                  </w:r>
                </w:p>
              </w:tc>
              <w:tc>
                <w:tcPr>
                  <w:tcW w:w="847" w:type="pct"/>
                  <w:shd w:val="clear" w:color="auto" w:fill="F2F2F2" w:themeFill="background1" w:themeFillShade="F2"/>
                  <w:vAlign w:val="bottom"/>
                </w:tcPr>
                <w:p w14:paraId="660A69C4" w14:textId="77777777" w:rsidR="009C6940" w:rsidRDefault="009C6940" w:rsidP="009C6940">
                  <w:pPr>
                    <w:pStyle w:val="TableUnitsRow"/>
                  </w:pPr>
                  <w:r>
                    <w:t>4 910</w:t>
                  </w:r>
                  <w:r>
                    <w:noBreakHyphen/>
                    <w:t>8 900</w:t>
                  </w:r>
                </w:p>
              </w:tc>
              <w:tc>
                <w:tcPr>
                  <w:tcW w:w="605" w:type="pct"/>
                  <w:shd w:val="clear" w:color="auto" w:fill="F2F2F2" w:themeFill="background1" w:themeFillShade="F2"/>
                  <w:vAlign w:val="bottom"/>
                </w:tcPr>
                <w:p w14:paraId="38888468" w14:textId="77777777" w:rsidR="009C6940" w:rsidRDefault="009C6940" w:rsidP="009C6940">
                  <w:pPr>
                    <w:pStyle w:val="TableUnitsRow"/>
                  </w:pPr>
                  <w:r>
                    <w:t>373</w:t>
                  </w:r>
                  <w:r>
                    <w:noBreakHyphen/>
                    <w:t>1 085</w:t>
                  </w:r>
                </w:p>
              </w:tc>
              <w:tc>
                <w:tcPr>
                  <w:tcW w:w="642" w:type="pct"/>
                  <w:shd w:val="clear" w:color="auto" w:fill="F2F2F2" w:themeFill="background1" w:themeFillShade="F2"/>
                  <w:vAlign w:val="bottom"/>
                </w:tcPr>
                <w:p w14:paraId="684C5B73" w14:textId="77777777" w:rsidR="009C6940" w:rsidRDefault="009C6940" w:rsidP="009C6940">
                  <w:pPr>
                    <w:pStyle w:val="TableUnitsRow"/>
                  </w:pPr>
                  <w:r>
                    <w:t>—</w:t>
                  </w:r>
                </w:p>
              </w:tc>
              <w:tc>
                <w:tcPr>
                  <w:tcW w:w="826" w:type="pct"/>
                  <w:shd w:val="clear" w:color="auto" w:fill="F2F2F2" w:themeFill="background1" w:themeFillShade="F2"/>
                  <w:vAlign w:val="bottom"/>
                </w:tcPr>
                <w:p w14:paraId="545D4A87" w14:textId="77777777" w:rsidR="009C6940" w:rsidRDefault="009C6940" w:rsidP="009C6940">
                  <w:pPr>
                    <w:pStyle w:val="TableUnitsRow"/>
                  </w:pPr>
                  <w:r>
                    <w:t>45</w:t>
                  </w:r>
                  <w:r>
                    <w:noBreakHyphen/>
                    <w:t>136</w:t>
                  </w:r>
                </w:p>
              </w:tc>
            </w:tr>
            <w:tr w:rsidR="009C6940" w14:paraId="1813315E" w14:textId="77777777" w:rsidTr="009C6940">
              <w:tc>
                <w:tcPr>
                  <w:tcW w:w="1510" w:type="pct"/>
                  <w:shd w:val="clear" w:color="auto" w:fill="auto"/>
                  <w:vAlign w:val="center"/>
                </w:tcPr>
                <w:p w14:paraId="360E3F9B" w14:textId="77777777" w:rsidR="009C6940" w:rsidRDefault="009C6940" w:rsidP="009C6940">
                  <w:pPr>
                    <w:pStyle w:val="TableUnitsRow"/>
                    <w:jc w:val="left"/>
                  </w:pPr>
                  <w:r>
                    <w:t>Justice</w:t>
                  </w:r>
                  <w:r>
                    <w:rPr>
                      <w:rStyle w:val="NoteLabel"/>
                    </w:rPr>
                    <w:t>d</w:t>
                  </w:r>
                </w:p>
              </w:tc>
              <w:tc>
                <w:tcPr>
                  <w:tcW w:w="570" w:type="pct"/>
                  <w:vAlign w:val="bottom"/>
                </w:tcPr>
                <w:p w14:paraId="5BAAE949" w14:textId="77777777" w:rsidR="009C6940" w:rsidRDefault="009C6940" w:rsidP="009C6940">
                  <w:pPr>
                    <w:pStyle w:val="TableUnitsRow"/>
                  </w:pPr>
                  <w:r>
                    <w:t>..</w:t>
                  </w:r>
                </w:p>
              </w:tc>
              <w:tc>
                <w:tcPr>
                  <w:tcW w:w="847" w:type="pct"/>
                  <w:shd w:val="clear" w:color="auto" w:fill="auto"/>
                  <w:vAlign w:val="bottom"/>
                </w:tcPr>
                <w:p w14:paraId="46C47667" w14:textId="77777777" w:rsidR="009C6940" w:rsidRDefault="009C6940" w:rsidP="009C6940">
                  <w:pPr>
                    <w:pStyle w:val="TableUnitsRow"/>
                  </w:pPr>
                  <w:r>
                    <w:t>..</w:t>
                  </w:r>
                </w:p>
              </w:tc>
              <w:tc>
                <w:tcPr>
                  <w:tcW w:w="605" w:type="pct"/>
                  <w:shd w:val="clear" w:color="auto" w:fill="auto"/>
                  <w:vAlign w:val="bottom"/>
                </w:tcPr>
                <w:p w14:paraId="79FF21EF" w14:textId="77777777" w:rsidR="009C6940" w:rsidRDefault="009C6940" w:rsidP="009C6940">
                  <w:pPr>
                    <w:pStyle w:val="TableUnitsRow"/>
                  </w:pPr>
                  <w:r>
                    <w:t>380-420</w:t>
                  </w:r>
                </w:p>
              </w:tc>
              <w:tc>
                <w:tcPr>
                  <w:tcW w:w="642" w:type="pct"/>
                  <w:vAlign w:val="bottom"/>
                </w:tcPr>
                <w:p w14:paraId="4BC5C9D5" w14:textId="77777777" w:rsidR="009C6940" w:rsidRDefault="009C6940" w:rsidP="009C6940">
                  <w:pPr>
                    <w:pStyle w:val="TableUnitsRow"/>
                  </w:pPr>
                  <w:r>
                    <w:t>12</w:t>
                  </w:r>
                  <w:r>
                    <w:noBreakHyphen/>
                    <w:t>18</w:t>
                  </w:r>
                </w:p>
              </w:tc>
              <w:tc>
                <w:tcPr>
                  <w:tcW w:w="826" w:type="pct"/>
                  <w:vAlign w:val="bottom"/>
                </w:tcPr>
                <w:p w14:paraId="7DDCBB87" w14:textId="77777777" w:rsidR="009C6940" w:rsidRDefault="009C6940" w:rsidP="009C6940">
                  <w:pPr>
                    <w:pStyle w:val="TableUnitsRow"/>
                  </w:pPr>
                  <w:r>
                    <w:t>..</w:t>
                  </w:r>
                </w:p>
              </w:tc>
            </w:tr>
            <w:tr w:rsidR="009C6940" w14:paraId="4506C194" w14:textId="77777777" w:rsidTr="009C6940">
              <w:tc>
                <w:tcPr>
                  <w:tcW w:w="1510" w:type="pct"/>
                  <w:shd w:val="clear" w:color="auto" w:fill="F2F2F2" w:themeFill="background1" w:themeFillShade="F2"/>
                  <w:vAlign w:val="center"/>
                </w:tcPr>
                <w:p w14:paraId="3359986C" w14:textId="77777777" w:rsidR="009C6940" w:rsidRDefault="009C6940" w:rsidP="009C6940">
                  <w:pPr>
                    <w:pStyle w:val="TableUnitsRow"/>
                    <w:jc w:val="left"/>
                  </w:pPr>
                  <w:r>
                    <w:t>Early childhood &amp; school</w:t>
                  </w:r>
                </w:p>
              </w:tc>
              <w:tc>
                <w:tcPr>
                  <w:tcW w:w="570" w:type="pct"/>
                  <w:shd w:val="clear" w:color="auto" w:fill="F2F2F2" w:themeFill="background1" w:themeFillShade="F2"/>
                  <w:vAlign w:val="bottom"/>
                </w:tcPr>
                <w:p w14:paraId="0F3946B2" w14:textId="77777777" w:rsidR="009C6940" w:rsidRDefault="009C6940" w:rsidP="009C6940">
                  <w:pPr>
                    <w:pStyle w:val="TableUnitsRow"/>
                  </w:pPr>
                  <w:r>
                    <w:t>46-86</w:t>
                  </w:r>
                </w:p>
              </w:tc>
              <w:tc>
                <w:tcPr>
                  <w:tcW w:w="847" w:type="pct"/>
                  <w:shd w:val="clear" w:color="auto" w:fill="F2F2F2" w:themeFill="background1" w:themeFillShade="F2"/>
                  <w:vAlign w:val="bottom"/>
                </w:tcPr>
                <w:p w14:paraId="2359DDE0" w14:textId="77777777" w:rsidR="009C6940" w:rsidRDefault="009C6940" w:rsidP="009C6940">
                  <w:pPr>
                    <w:pStyle w:val="TableUnitsRow"/>
                  </w:pPr>
                  <w:r>
                    <w:t>29 300-52 860</w:t>
                  </w:r>
                </w:p>
              </w:tc>
              <w:tc>
                <w:tcPr>
                  <w:tcW w:w="605" w:type="pct"/>
                  <w:shd w:val="clear" w:color="auto" w:fill="F2F2F2" w:themeFill="background1" w:themeFillShade="F2"/>
                  <w:vAlign w:val="bottom"/>
                </w:tcPr>
                <w:p w14:paraId="49A1B197" w14:textId="77777777" w:rsidR="009C6940" w:rsidRDefault="009C6940" w:rsidP="009C6940">
                  <w:pPr>
                    <w:pStyle w:val="TableUnitsRow"/>
                  </w:pPr>
                  <w:r>
                    <w:t>260-260</w:t>
                  </w:r>
                </w:p>
              </w:tc>
              <w:tc>
                <w:tcPr>
                  <w:tcW w:w="642" w:type="pct"/>
                  <w:shd w:val="clear" w:color="auto" w:fill="F2F2F2" w:themeFill="background1" w:themeFillShade="F2"/>
                  <w:vAlign w:val="bottom"/>
                </w:tcPr>
                <w:p w14:paraId="5B26D82D" w14:textId="77777777" w:rsidR="009C6940" w:rsidRDefault="009C6940" w:rsidP="009C6940">
                  <w:pPr>
                    <w:pStyle w:val="TableUnitsRow"/>
                  </w:pPr>
                  <w:r>
                    <w:t>2</w:t>
                  </w:r>
                </w:p>
              </w:tc>
              <w:tc>
                <w:tcPr>
                  <w:tcW w:w="826" w:type="pct"/>
                  <w:shd w:val="clear" w:color="auto" w:fill="F2F2F2" w:themeFill="background1" w:themeFillShade="F2"/>
                  <w:vAlign w:val="bottom"/>
                </w:tcPr>
                <w:p w14:paraId="7C402CE1" w14:textId="77777777" w:rsidR="009C6940" w:rsidRDefault="009C6940" w:rsidP="009C6940">
                  <w:pPr>
                    <w:pStyle w:val="TableUnitsRow"/>
                  </w:pPr>
                  <w:r>
                    <w:t>3-7</w:t>
                  </w:r>
                </w:p>
              </w:tc>
            </w:tr>
            <w:tr w:rsidR="009C6940" w14:paraId="7EC0DF34" w14:textId="77777777" w:rsidTr="009C6940">
              <w:tc>
                <w:tcPr>
                  <w:tcW w:w="1510" w:type="pct"/>
                  <w:shd w:val="clear" w:color="auto" w:fill="auto"/>
                  <w:vAlign w:val="center"/>
                </w:tcPr>
                <w:p w14:paraId="2F3D1EC3" w14:textId="77777777" w:rsidR="009C6940" w:rsidRDefault="009C6940" w:rsidP="009C6940">
                  <w:pPr>
                    <w:pStyle w:val="TableUnitsRow"/>
                    <w:jc w:val="left"/>
                  </w:pPr>
                  <w:r>
                    <w:t>Young adults</w:t>
                  </w:r>
                </w:p>
              </w:tc>
              <w:tc>
                <w:tcPr>
                  <w:tcW w:w="570" w:type="pct"/>
                  <w:vAlign w:val="bottom"/>
                </w:tcPr>
                <w:p w14:paraId="56D1EA11" w14:textId="77777777" w:rsidR="009C6940" w:rsidRDefault="009C6940" w:rsidP="009C6940">
                  <w:pPr>
                    <w:pStyle w:val="TableUnitsRow"/>
                  </w:pPr>
                  <w:r>
                    <w:t>..</w:t>
                  </w:r>
                </w:p>
              </w:tc>
              <w:tc>
                <w:tcPr>
                  <w:tcW w:w="847" w:type="pct"/>
                  <w:shd w:val="clear" w:color="auto" w:fill="auto"/>
                  <w:vAlign w:val="bottom"/>
                </w:tcPr>
                <w:p w14:paraId="4E0D761A" w14:textId="77777777" w:rsidR="009C6940" w:rsidRDefault="009C6940" w:rsidP="009C6940">
                  <w:pPr>
                    <w:pStyle w:val="TableUnitsRow"/>
                  </w:pPr>
                  <w:r>
                    <w:t>980</w:t>
                  </w:r>
                  <w:r>
                    <w:noBreakHyphen/>
                    <w:t>1 790</w:t>
                  </w:r>
                </w:p>
              </w:tc>
              <w:tc>
                <w:tcPr>
                  <w:tcW w:w="605" w:type="pct"/>
                  <w:shd w:val="clear" w:color="auto" w:fill="auto"/>
                  <w:vAlign w:val="bottom"/>
                </w:tcPr>
                <w:p w14:paraId="75789ACF" w14:textId="77777777" w:rsidR="009C6940" w:rsidRDefault="009C6940" w:rsidP="009C6940">
                  <w:pPr>
                    <w:pStyle w:val="TableUnitsRow"/>
                  </w:pPr>
                  <w:r>
                    <w:t>60</w:t>
                  </w:r>
                  <w:r>
                    <w:noBreakHyphen/>
                    <w:t>87</w:t>
                  </w:r>
                </w:p>
              </w:tc>
              <w:tc>
                <w:tcPr>
                  <w:tcW w:w="642" w:type="pct"/>
                  <w:shd w:val="clear" w:color="auto" w:fill="auto"/>
                  <w:vAlign w:val="bottom"/>
                </w:tcPr>
                <w:p w14:paraId="2ED7EF76" w14:textId="77777777" w:rsidR="009C6940" w:rsidRDefault="009C6940" w:rsidP="009C6940">
                  <w:pPr>
                    <w:pStyle w:val="TableUnitsRow"/>
                  </w:pPr>
                  <w:r>
                    <w:t>—</w:t>
                  </w:r>
                </w:p>
              </w:tc>
              <w:tc>
                <w:tcPr>
                  <w:tcW w:w="826" w:type="pct"/>
                  <w:shd w:val="clear" w:color="auto" w:fill="auto"/>
                  <w:vAlign w:val="bottom"/>
                </w:tcPr>
                <w:p w14:paraId="2D0A49E0" w14:textId="77777777" w:rsidR="009C6940" w:rsidRDefault="009C6940" w:rsidP="009C6940">
                  <w:pPr>
                    <w:pStyle w:val="TableUnitsRow"/>
                  </w:pPr>
                  <w:r>
                    <w:t>40</w:t>
                  </w:r>
                  <w:r>
                    <w:noBreakHyphen/>
                    <w:t>76</w:t>
                  </w:r>
                </w:p>
              </w:tc>
            </w:tr>
            <w:tr w:rsidR="009C6940" w14:paraId="6DE4C85A" w14:textId="77777777" w:rsidTr="009C6940">
              <w:tc>
                <w:tcPr>
                  <w:tcW w:w="1510" w:type="pct"/>
                  <w:shd w:val="clear" w:color="auto" w:fill="F2F2F2" w:themeFill="background1" w:themeFillShade="F2"/>
                  <w:vAlign w:val="center"/>
                </w:tcPr>
                <w:p w14:paraId="483FBD02" w14:textId="77777777" w:rsidR="009C6940" w:rsidRDefault="009C6940" w:rsidP="009C6940">
                  <w:pPr>
                    <w:pStyle w:val="TableUnitsRow"/>
                    <w:jc w:val="left"/>
                  </w:pPr>
                  <w:r>
                    <w:t>Workplaces</w:t>
                  </w:r>
                </w:p>
              </w:tc>
              <w:tc>
                <w:tcPr>
                  <w:tcW w:w="570" w:type="pct"/>
                  <w:shd w:val="clear" w:color="auto" w:fill="F2F2F2" w:themeFill="background1" w:themeFillShade="F2"/>
                  <w:vAlign w:val="bottom"/>
                </w:tcPr>
                <w:p w14:paraId="5042DDF3" w14:textId="77777777" w:rsidR="009C6940" w:rsidRDefault="009C6940" w:rsidP="009C6940">
                  <w:pPr>
                    <w:pStyle w:val="TableUnitsRow"/>
                  </w:pPr>
                  <w:r>
                    <w:t>12</w:t>
                  </w:r>
                </w:p>
              </w:tc>
              <w:tc>
                <w:tcPr>
                  <w:tcW w:w="847" w:type="pct"/>
                  <w:shd w:val="clear" w:color="auto" w:fill="F2F2F2" w:themeFill="background1" w:themeFillShade="F2"/>
                  <w:vAlign w:val="bottom"/>
                </w:tcPr>
                <w:p w14:paraId="3049A685" w14:textId="77777777" w:rsidR="009C6940" w:rsidRDefault="009C6940" w:rsidP="009C6940">
                  <w:pPr>
                    <w:pStyle w:val="TableUnitsRow"/>
                  </w:pPr>
                  <w:r>
                    <w:t>170</w:t>
                  </w:r>
                  <w:r>
                    <w:noBreakHyphen/>
                    <w:t>310</w:t>
                  </w:r>
                </w:p>
              </w:tc>
              <w:tc>
                <w:tcPr>
                  <w:tcW w:w="605" w:type="pct"/>
                  <w:shd w:val="clear" w:color="auto" w:fill="F2F2F2" w:themeFill="background1" w:themeFillShade="F2"/>
                  <w:vAlign w:val="bottom"/>
                </w:tcPr>
                <w:p w14:paraId="1485FDBB" w14:textId="77777777" w:rsidR="009C6940" w:rsidRDefault="009C6940" w:rsidP="009C6940">
                  <w:pPr>
                    <w:pStyle w:val="TableUnitsRow"/>
                  </w:pPr>
                  <w:r>
                    <w:t>60-60</w:t>
                  </w:r>
                </w:p>
              </w:tc>
              <w:tc>
                <w:tcPr>
                  <w:tcW w:w="642" w:type="pct"/>
                  <w:shd w:val="clear" w:color="auto" w:fill="F2F2F2" w:themeFill="background1" w:themeFillShade="F2"/>
                  <w:vAlign w:val="bottom"/>
                </w:tcPr>
                <w:p w14:paraId="7363B85C" w14:textId="77777777" w:rsidR="009C6940" w:rsidRDefault="009C6940" w:rsidP="009C6940">
                  <w:pPr>
                    <w:pStyle w:val="TableUnitsRow"/>
                  </w:pPr>
                  <w:r>
                    <w:t>67</w:t>
                  </w:r>
                </w:p>
              </w:tc>
              <w:tc>
                <w:tcPr>
                  <w:tcW w:w="826" w:type="pct"/>
                  <w:shd w:val="clear" w:color="auto" w:fill="F2F2F2" w:themeFill="background1" w:themeFillShade="F2"/>
                  <w:vAlign w:val="bottom"/>
                </w:tcPr>
                <w:p w14:paraId="53A4A1EC" w14:textId="77777777" w:rsidR="009C6940" w:rsidRDefault="009C6940" w:rsidP="009C6940">
                  <w:pPr>
                    <w:pStyle w:val="TableUnitsRow"/>
                  </w:pPr>
                  <w:r>
                    <w:t>Cost saving</w:t>
                  </w:r>
                </w:p>
              </w:tc>
            </w:tr>
            <w:tr w:rsidR="009C6940" w14:paraId="45840B58" w14:textId="77777777" w:rsidTr="009C6940">
              <w:tc>
                <w:tcPr>
                  <w:tcW w:w="1510" w:type="pct"/>
                  <w:shd w:val="clear" w:color="auto" w:fill="auto"/>
                  <w:vAlign w:val="center"/>
                </w:tcPr>
                <w:p w14:paraId="7CE71AEE" w14:textId="77777777" w:rsidR="009C6940" w:rsidRDefault="009C6940" w:rsidP="009C6940">
                  <w:pPr>
                    <w:pStyle w:val="TableUnitsRow"/>
                    <w:jc w:val="left"/>
                  </w:pPr>
                  <w:r>
                    <w:t>Social participation</w:t>
                  </w:r>
                </w:p>
              </w:tc>
              <w:tc>
                <w:tcPr>
                  <w:tcW w:w="570" w:type="pct"/>
                  <w:shd w:val="clear" w:color="auto" w:fill="auto"/>
                  <w:vAlign w:val="bottom"/>
                </w:tcPr>
                <w:p w14:paraId="49010E94" w14:textId="77777777" w:rsidR="009C6940" w:rsidRDefault="009C6940" w:rsidP="009C6940">
                  <w:pPr>
                    <w:pStyle w:val="TableUnitsRow"/>
                  </w:pPr>
                  <w:r>
                    <w:t>22</w:t>
                  </w:r>
                  <w:r>
                    <w:noBreakHyphen/>
                    <w:t>44</w:t>
                  </w:r>
                </w:p>
              </w:tc>
              <w:tc>
                <w:tcPr>
                  <w:tcW w:w="847" w:type="pct"/>
                  <w:shd w:val="clear" w:color="auto" w:fill="auto"/>
                  <w:vAlign w:val="bottom"/>
                </w:tcPr>
                <w:p w14:paraId="48990FD1" w14:textId="77777777" w:rsidR="009C6940" w:rsidRDefault="009C6940" w:rsidP="009C6940">
                  <w:pPr>
                    <w:pStyle w:val="TableUnitsRow"/>
                  </w:pPr>
                  <w:r>
                    <w:t>420</w:t>
                  </w:r>
                  <w:r>
                    <w:noBreakHyphen/>
                    <w:t>760</w:t>
                  </w:r>
                </w:p>
              </w:tc>
              <w:tc>
                <w:tcPr>
                  <w:tcW w:w="605" w:type="pct"/>
                  <w:shd w:val="clear" w:color="auto" w:fill="auto"/>
                  <w:vAlign w:val="bottom"/>
                </w:tcPr>
                <w:p w14:paraId="3300ACC7" w14:textId="77777777" w:rsidR="009C6940" w:rsidRDefault="009C6940" w:rsidP="009C6940">
                  <w:pPr>
                    <w:pStyle w:val="TableUnitsRow"/>
                  </w:pPr>
                  <w:r>
                    <w:t>4</w:t>
                  </w:r>
                  <w:r>
                    <w:noBreakHyphen/>
                    <w:t>6</w:t>
                  </w:r>
                </w:p>
              </w:tc>
              <w:tc>
                <w:tcPr>
                  <w:tcW w:w="642" w:type="pct"/>
                  <w:vAlign w:val="bottom"/>
                </w:tcPr>
                <w:p w14:paraId="3BF11EB1" w14:textId="77777777" w:rsidR="009C6940" w:rsidRDefault="009C6940" w:rsidP="009C6940">
                  <w:pPr>
                    <w:pStyle w:val="TableUnitsRow"/>
                  </w:pPr>
                  <w:r>
                    <w:t>—</w:t>
                  </w:r>
                </w:p>
              </w:tc>
              <w:tc>
                <w:tcPr>
                  <w:tcW w:w="826" w:type="pct"/>
                  <w:vAlign w:val="bottom"/>
                </w:tcPr>
                <w:p w14:paraId="2C334252" w14:textId="77777777" w:rsidR="009C6940" w:rsidRDefault="009C6940" w:rsidP="009C6940">
                  <w:pPr>
                    <w:pStyle w:val="TableUnitsRow"/>
                  </w:pPr>
                  <w:r>
                    <w:t>Cost saving</w:t>
                  </w:r>
                </w:p>
              </w:tc>
            </w:tr>
            <w:tr w:rsidR="009C6940" w14:paraId="681B50BE" w14:textId="77777777" w:rsidTr="009C6940">
              <w:tc>
                <w:tcPr>
                  <w:tcW w:w="1510" w:type="pct"/>
                  <w:shd w:val="clear" w:color="auto" w:fill="F2F2F2" w:themeFill="background1" w:themeFillShade="F2"/>
                  <w:vAlign w:val="center"/>
                </w:tcPr>
                <w:p w14:paraId="75B41AB6" w14:textId="77777777" w:rsidR="009C6940" w:rsidRDefault="009C6940" w:rsidP="009C6940">
                  <w:pPr>
                    <w:pStyle w:val="TableUnitsRow"/>
                    <w:jc w:val="left"/>
                  </w:pPr>
                  <w:r>
                    <w:t>Suicide prevention</w:t>
                  </w:r>
                </w:p>
              </w:tc>
              <w:tc>
                <w:tcPr>
                  <w:tcW w:w="570" w:type="pct"/>
                  <w:shd w:val="clear" w:color="auto" w:fill="F2F2F2" w:themeFill="background1" w:themeFillShade="F2"/>
                  <w:vAlign w:val="bottom"/>
                </w:tcPr>
                <w:p w14:paraId="1971BFF7" w14:textId="77777777" w:rsidR="009C6940" w:rsidRDefault="009C6940" w:rsidP="009C6940">
                  <w:pPr>
                    <w:pStyle w:val="TableUnitsRow"/>
                  </w:pPr>
                  <w:r>
                    <w:t>3</w:t>
                  </w:r>
                </w:p>
              </w:tc>
              <w:tc>
                <w:tcPr>
                  <w:tcW w:w="847" w:type="pct"/>
                  <w:shd w:val="clear" w:color="auto" w:fill="F2F2F2" w:themeFill="background1" w:themeFillShade="F2"/>
                  <w:vAlign w:val="bottom"/>
                </w:tcPr>
                <w:p w14:paraId="3BDE2658" w14:textId="77777777" w:rsidR="009C6940" w:rsidRDefault="009C6940" w:rsidP="009C6940">
                  <w:pPr>
                    <w:pStyle w:val="TableUnitsRow"/>
                  </w:pPr>
                  <w:r>
                    <w:t>50</w:t>
                  </w:r>
                </w:p>
              </w:tc>
              <w:tc>
                <w:tcPr>
                  <w:tcW w:w="605" w:type="pct"/>
                  <w:shd w:val="clear" w:color="auto" w:fill="F2F2F2" w:themeFill="background1" w:themeFillShade="F2"/>
                  <w:vAlign w:val="bottom"/>
                </w:tcPr>
                <w:p w14:paraId="5471DFF9" w14:textId="77777777" w:rsidR="009C6940" w:rsidRDefault="009C6940" w:rsidP="009C6940">
                  <w:pPr>
                    <w:pStyle w:val="TableUnitsRow"/>
                  </w:pPr>
                  <w:r>
                    <w:t>63</w:t>
                  </w:r>
                  <w:r>
                    <w:noBreakHyphen/>
                    <w:t>194</w:t>
                  </w:r>
                </w:p>
              </w:tc>
              <w:tc>
                <w:tcPr>
                  <w:tcW w:w="642" w:type="pct"/>
                  <w:shd w:val="clear" w:color="auto" w:fill="F2F2F2" w:themeFill="background1" w:themeFillShade="F2"/>
                  <w:vAlign w:val="bottom"/>
                </w:tcPr>
                <w:p w14:paraId="2FAA43C7" w14:textId="77777777" w:rsidR="009C6940" w:rsidRDefault="009C6940" w:rsidP="009C6940">
                  <w:pPr>
                    <w:pStyle w:val="TableUnitsRow"/>
                  </w:pPr>
                  <w:r>
                    <w:t>294</w:t>
                  </w:r>
                </w:p>
              </w:tc>
              <w:tc>
                <w:tcPr>
                  <w:tcW w:w="826" w:type="pct"/>
                  <w:shd w:val="clear" w:color="auto" w:fill="F2F2F2" w:themeFill="background1" w:themeFillShade="F2"/>
                  <w:vAlign w:val="bottom"/>
                </w:tcPr>
                <w:p w14:paraId="31F6E77C" w14:textId="77777777" w:rsidR="009C6940" w:rsidRDefault="009C6940" w:rsidP="009C6940">
                  <w:pPr>
                    <w:pStyle w:val="TableUnitsRow"/>
                  </w:pPr>
                  <w:r>
                    <w:t>Cost saving</w:t>
                  </w:r>
                </w:p>
              </w:tc>
            </w:tr>
          </w:tbl>
          <w:p w14:paraId="7AF57AE9" w14:textId="77777777" w:rsidR="009C6940" w:rsidRDefault="009C6940" w:rsidP="009C6940">
            <w:pPr>
              <w:pStyle w:val="Box"/>
            </w:pPr>
          </w:p>
        </w:tc>
      </w:tr>
      <w:tr w:rsidR="009C6940" w14:paraId="7D856775" w14:textId="77777777" w:rsidTr="009C6940">
        <w:tc>
          <w:tcPr>
            <w:tcW w:w="5000" w:type="pct"/>
            <w:tcBorders>
              <w:top w:val="nil"/>
              <w:left w:val="nil"/>
              <w:bottom w:val="nil"/>
              <w:right w:val="nil"/>
            </w:tcBorders>
            <w:shd w:val="clear" w:color="auto" w:fill="auto"/>
          </w:tcPr>
          <w:p w14:paraId="64AA1C5F" w14:textId="77777777" w:rsidR="009C6940" w:rsidRDefault="009C6940" w:rsidP="009C6940">
            <w:pPr>
              <w:pStyle w:val="Note"/>
            </w:pPr>
            <w:r w:rsidRPr="008E77FE">
              <w:rPr>
                <w:rStyle w:val="NoteLabel"/>
              </w:rPr>
              <w:t>a</w:t>
            </w:r>
            <w:r>
              <w:t xml:space="preserve"> </w:t>
            </w:r>
            <w:r w:rsidRPr="006073D1">
              <w:t xml:space="preserve">Changes in income and </w:t>
            </w:r>
            <w:r>
              <w:t>quality</w:t>
            </w:r>
            <w:r>
              <w:noBreakHyphen/>
              <w:t>adjusted life years (</w:t>
            </w:r>
            <w:r w:rsidRPr="006073D1">
              <w:t>QALYs</w:t>
            </w:r>
            <w:r>
              <w:t>)</w:t>
            </w:r>
            <w:r w:rsidRPr="006073D1">
              <w:t xml:space="preserve"> are simulated from their respective posterior distributions implied by </w:t>
            </w:r>
            <w:r>
              <w:t>the model described in appendix J</w:t>
            </w:r>
            <w:r w:rsidRPr="006073D1">
              <w:t>.</w:t>
            </w:r>
            <w:r>
              <w:t xml:space="preserve"> Ranges for additional income, additional QALYs and net cost per QALY are the 5</w:t>
            </w:r>
            <w:r w:rsidRPr="00CE56FE">
              <w:rPr>
                <w:vertAlign w:val="superscript"/>
              </w:rPr>
              <w:t>th</w:t>
            </w:r>
            <w:r>
              <w:t xml:space="preserve"> and 95</w:t>
            </w:r>
            <w:r w:rsidRPr="00CE56FE">
              <w:rPr>
                <w:vertAlign w:val="superscript"/>
              </w:rPr>
              <w:t>th</w:t>
            </w:r>
            <w:r>
              <w:t xml:space="preserve"> percentiles </w:t>
            </w:r>
            <w:r w:rsidRPr="009B49C3">
              <w:rPr>
                <w:rStyle w:val="NoteLabel"/>
              </w:rPr>
              <w:t>b</w:t>
            </w:r>
            <w:r>
              <w:rPr>
                <w:rStyle w:val="NoteLabel"/>
              </w:rPr>
              <w:t xml:space="preserve"> </w:t>
            </w:r>
            <w:r>
              <w:t>Cost and cost savings for actions groups with only one action are based on the lower and upper bounds presented in appendix K. Where there is more than one action in an action group, cost and cost savings represent 5</w:t>
            </w:r>
            <w:r w:rsidRPr="00BC4038">
              <w:rPr>
                <w:vertAlign w:val="superscript"/>
              </w:rPr>
              <w:t>th</w:t>
            </w:r>
            <w:r>
              <w:t xml:space="preserve"> and 95</w:t>
            </w:r>
            <w:r w:rsidRPr="00BC4038">
              <w:rPr>
                <w:vertAlign w:val="superscript"/>
              </w:rPr>
              <w:t>th</w:t>
            </w:r>
            <w:r>
              <w:t xml:space="preserve"> percentiles based on simulated distributions.</w:t>
            </w:r>
            <w:r w:rsidRPr="006073D1">
              <w:t xml:space="preserve"> It is assumed that these distributions are independent. </w:t>
            </w:r>
            <w:r>
              <w:rPr>
                <w:rStyle w:val="NoteLabel"/>
              </w:rPr>
              <w:t xml:space="preserve">c </w:t>
            </w:r>
            <w:r w:rsidRPr="00556B45">
              <w:t xml:space="preserve">Action groups are regarded as ‘cost saving’ if they are estimated as having a net cost less than zero. </w:t>
            </w:r>
            <w:r>
              <w:rPr>
                <w:rStyle w:val="NoteLabel"/>
              </w:rPr>
              <w:t>d </w:t>
            </w:r>
            <w:r w:rsidRPr="005B0A4F">
              <w:t>Benefits were not able to be quantified for justice actions</w:t>
            </w:r>
            <w:r w:rsidRPr="00E90A59">
              <w:t>.</w:t>
            </w:r>
          </w:p>
          <w:p w14:paraId="6D0F42DF" w14:textId="77777777" w:rsidR="009C6940" w:rsidRPr="00556B45" w:rsidRDefault="009C6940" w:rsidP="009C6940">
            <w:pPr>
              <w:pStyle w:val="Note"/>
            </w:pPr>
            <w:r>
              <w:t xml:space="preserve">.. </w:t>
            </w:r>
            <w:r>
              <w:softHyphen/>
              <w:t xml:space="preserve"> Not applicable. — </w:t>
            </w:r>
            <w:r>
              <w:softHyphen/>
              <w:t> Nil or rounded to zero.</w:t>
            </w:r>
          </w:p>
        </w:tc>
      </w:tr>
      <w:tr w:rsidR="009C6940" w14:paraId="6296E8B9" w14:textId="77777777" w:rsidTr="009C6940">
        <w:tc>
          <w:tcPr>
            <w:tcW w:w="5000" w:type="pct"/>
            <w:tcBorders>
              <w:top w:val="nil"/>
              <w:left w:val="nil"/>
              <w:bottom w:val="single" w:sz="6" w:space="0" w:color="78A22F"/>
              <w:right w:val="nil"/>
            </w:tcBorders>
            <w:shd w:val="clear" w:color="auto" w:fill="auto"/>
          </w:tcPr>
          <w:p w14:paraId="01DEFCDA" w14:textId="77777777" w:rsidR="009C6940" w:rsidRDefault="009C6940" w:rsidP="009C6940">
            <w:pPr>
              <w:pStyle w:val="Box"/>
              <w:spacing w:before="0" w:line="120" w:lineRule="exact"/>
            </w:pPr>
          </w:p>
        </w:tc>
      </w:tr>
      <w:tr w:rsidR="009C6940" w:rsidRPr="000863A5" w14:paraId="68C11FC4" w14:textId="77777777" w:rsidTr="009C6940">
        <w:tc>
          <w:tcPr>
            <w:tcW w:w="5000" w:type="pct"/>
            <w:tcBorders>
              <w:top w:val="single" w:sz="6" w:space="0" w:color="78A22F"/>
              <w:left w:val="nil"/>
              <w:bottom w:val="nil"/>
              <w:right w:val="nil"/>
            </w:tcBorders>
          </w:tcPr>
          <w:p w14:paraId="526ADD85" w14:textId="77777777" w:rsidR="009C6940" w:rsidRPr="00626D32" w:rsidRDefault="009C6940" w:rsidP="009C6940">
            <w:pPr>
              <w:pStyle w:val="BoxSpaceBelow"/>
            </w:pPr>
          </w:p>
        </w:tc>
      </w:tr>
    </w:tbl>
    <w:p w14:paraId="53EC83FC" w14:textId="77777777" w:rsidR="009C6940" w:rsidRDefault="009C6940" w:rsidP="009C6940">
      <w:pPr>
        <w:pStyle w:val="Heading2"/>
      </w:pPr>
      <w:r>
        <w:t>I.</w:t>
      </w:r>
      <w:r>
        <w:rPr>
          <w:noProof/>
        </w:rPr>
        <w:t>3</w:t>
      </w:r>
      <w:r>
        <w:tab/>
        <w:t>Cost and benefit inputs</w:t>
      </w:r>
    </w:p>
    <w:p w14:paraId="339035F6" w14:textId="77777777" w:rsidR="009C6940" w:rsidRDefault="009C6940" w:rsidP="009C6940">
      <w:pPr>
        <w:pStyle w:val="BodyText"/>
      </w:pPr>
      <w:r w:rsidRPr="00703822">
        <w:t>The additional expenditures and expected cost savings associated with recommend</w:t>
      </w:r>
      <w:r>
        <w:t>ed action</w:t>
      </w:r>
      <w:r w:rsidRPr="00703822">
        <w:t>s are presented in table</w:t>
      </w:r>
      <w:r>
        <w:t> I.2</w:t>
      </w:r>
      <w:r w:rsidRPr="00703822">
        <w:t xml:space="preserve">. </w:t>
      </w:r>
      <w:r>
        <w:t xml:space="preserve">Details of the target population and the mental health benefits they receive are in table I.3. Detailed assumptions used in calculating likely costs associated with recommended actions are presented in appendix K. </w:t>
      </w:r>
    </w:p>
    <w:p w14:paraId="3E72E8EC" w14:textId="77777777" w:rsidR="009C6940" w:rsidRDefault="009C6940">
      <w:pPr>
        <w:pStyle w:val="BodyText"/>
      </w:pPr>
    </w:p>
    <w:p w14:paraId="595E754F" w14:textId="77777777" w:rsidR="009C6940" w:rsidRDefault="009C6940">
      <w:pPr>
        <w:pStyle w:val="BodyText"/>
        <w:sectPr w:rsidR="009C6940" w:rsidSect="009C6940">
          <w:headerReference w:type="even" r:id="rId80"/>
          <w:headerReference w:type="default" r:id="rId81"/>
          <w:footerReference w:type="even" r:id="rId82"/>
          <w:footerReference w:type="default" r:id="rId83"/>
          <w:type w:val="oddPage"/>
          <w:pgSz w:w="11907" w:h="16840" w:code="9"/>
          <w:pgMar w:top="1985" w:right="1304" w:bottom="1247" w:left="1814" w:header="1701" w:footer="397" w:gutter="0"/>
          <w:pgNumType w:chapSep="period"/>
          <w:cols w:space="720"/>
          <w:docGrid w:linePitch="326"/>
        </w:sectPr>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9C6940" w14:paraId="4F349345" w14:textId="77777777" w:rsidTr="009C6940">
        <w:tc>
          <w:tcPr>
            <w:tcW w:w="13273" w:type="dxa"/>
            <w:tcBorders>
              <w:top w:val="single" w:sz="6" w:space="0" w:color="78A22F"/>
              <w:left w:val="nil"/>
              <w:bottom w:val="nil"/>
              <w:right w:val="nil"/>
            </w:tcBorders>
            <w:shd w:val="clear" w:color="auto" w:fill="auto"/>
          </w:tcPr>
          <w:p w14:paraId="17C72DCB" w14:textId="77777777" w:rsidR="009C6940" w:rsidRPr="00784A05" w:rsidRDefault="009C6940" w:rsidP="009C6940">
            <w:pPr>
              <w:pStyle w:val="TableTitle"/>
            </w:pPr>
            <w:r>
              <w:rPr>
                <w:b w:val="0"/>
              </w:rPr>
              <w:lastRenderedPageBreak/>
              <w:t>Table I.2</w:t>
            </w:r>
            <w:r>
              <w:tab/>
              <w:t>Costs and cost savings associated with recommended actions</w:t>
            </w:r>
          </w:p>
        </w:tc>
      </w:tr>
      <w:tr w:rsidR="009C6940" w14:paraId="44F969DC" w14:textId="77777777" w:rsidTr="009C6940">
        <w:tc>
          <w:tcPr>
            <w:tcW w:w="13273"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531"/>
              <w:gridCol w:w="1631"/>
              <w:gridCol w:w="1634"/>
              <w:gridCol w:w="7193"/>
            </w:tblGrid>
            <w:tr w:rsidR="009C6940" w14:paraId="012B7701" w14:textId="77777777" w:rsidTr="009C6940">
              <w:trPr>
                <w:tblHeader/>
              </w:trPr>
              <w:tc>
                <w:tcPr>
                  <w:tcW w:w="974" w:type="pct"/>
                  <w:tcBorders>
                    <w:top w:val="single" w:sz="6" w:space="0" w:color="BFBFBF"/>
                    <w:bottom w:val="single" w:sz="6" w:space="0" w:color="BFBFBF"/>
                  </w:tcBorders>
                  <w:shd w:val="clear" w:color="auto" w:fill="auto"/>
                  <w:tcMar>
                    <w:top w:w="28" w:type="dxa"/>
                  </w:tcMar>
                </w:tcPr>
                <w:p w14:paraId="2F02A5B2" w14:textId="77777777" w:rsidR="009C6940" w:rsidRDefault="009C6940" w:rsidP="009C6940">
                  <w:pPr>
                    <w:pStyle w:val="TableColumnHeading"/>
                    <w:jc w:val="left"/>
                  </w:pPr>
                  <w:r>
                    <w:t>Actions</w:t>
                  </w:r>
                </w:p>
              </w:tc>
              <w:tc>
                <w:tcPr>
                  <w:tcW w:w="628" w:type="pct"/>
                  <w:tcBorders>
                    <w:top w:val="single" w:sz="6" w:space="0" w:color="BFBFBF"/>
                    <w:bottom w:val="single" w:sz="6" w:space="0" w:color="BFBFBF"/>
                  </w:tcBorders>
                </w:tcPr>
                <w:p w14:paraId="139B5929" w14:textId="77777777" w:rsidR="009C6940" w:rsidRDefault="009C6940" w:rsidP="009C6940">
                  <w:pPr>
                    <w:pStyle w:val="TableColumnHeading"/>
                  </w:pPr>
                  <w:r>
                    <w:t>Cost increases ($m)</w:t>
                  </w:r>
                </w:p>
              </w:tc>
              <w:tc>
                <w:tcPr>
                  <w:tcW w:w="629" w:type="pct"/>
                  <w:tcBorders>
                    <w:top w:val="single" w:sz="6" w:space="0" w:color="BFBFBF"/>
                    <w:bottom w:val="single" w:sz="6" w:space="0" w:color="BFBFBF"/>
                  </w:tcBorders>
                  <w:shd w:val="clear" w:color="auto" w:fill="auto"/>
                  <w:tcMar>
                    <w:top w:w="28" w:type="dxa"/>
                  </w:tcMar>
                </w:tcPr>
                <w:p w14:paraId="49B835E9" w14:textId="77777777" w:rsidR="009C6940" w:rsidRDefault="009C6940" w:rsidP="009C6940">
                  <w:pPr>
                    <w:pStyle w:val="TableColumnHeading"/>
                  </w:pPr>
                  <w:r>
                    <w:t xml:space="preserve">Cost savings </w:t>
                  </w:r>
                  <w:r>
                    <w:br/>
                    <w:t>($m)</w:t>
                  </w:r>
                </w:p>
              </w:tc>
              <w:tc>
                <w:tcPr>
                  <w:tcW w:w="2769" w:type="pct"/>
                  <w:tcBorders>
                    <w:top w:val="single" w:sz="6" w:space="0" w:color="BFBFBF"/>
                    <w:bottom w:val="single" w:sz="6" w:space="0" w:color="BFBFBF"/>
                  </w:tcBorders>
                  <w:shd w:val="clear" w:color="auto" w:fill="auto"/>
                </w:tcPr>
                <w:p w14:paraId="3AF91871" w14:textId="77777777" w:rsidR="009C6940" w:rsidRDefault="009C6940" w:rsidP="009C6940">
                  <w:pPr>
                    <w:pStyle w:val="TableColumnHeading"/>
                    <w:jc w:val="left"/>
                  </w:pPr>
                  <w:r>
                    <w:t>Description of costs included</w:t>
                  </w:r>
                </w:p>
              </w:tc>
            </w:tr>
            <w:tr w:rsidR="009C6940" w14:paraId="5429557C" w14:textId="77777777" w:rsidTr="009C6940">
              <w:tc>
                <w:tcPr>
                  <w:tcW w:w="974" w:type="pct"/>
                  <w:tcBorders>
                    <w:top w:val="single" w:sz="6" w:space="0" w:color="BFBFBF"/>
                  </w:tcBorders>
                </w:tcPr>
                <w:p w14:paraId="7B810D91" w14:textId="77777777" w:rsidR="009C6940" w:rsidRPr="00130443" w:rsidRDefault="009C6940" w:rsidP="009C6940">
                  <w:pPr>
                    <w:pStyle w:val="TableUnitsRow"/>
                    <w:jc w:val="left"/>
                    <w:rPr>
                      <w:b/>
                    </w:rPr>
                  </w:pPr>
                  <w:r>
                    <w:rPr>
                      <w:b/>
                    </w:rPr>
                    <w:t xml:space="preserve">Access to healthcare </w:t>
                  </w:r>
                </w:p>
              </w:tc>
              <w:tc>
                <w:tcPr>
                  <w:tcW w:w="628" w:type="pct"/>
                  <w:tcBorders>
                    <w:top w:val="single" w:sz="6" w:space="0" w:color="BFBFBF"/>
                  </w:tcBorders>
                </w:tcPr>
                <w:p w14:paraId="20F27A53" w14:textId="77777777" w:rsidR="009C6940" w:rsidRDefault="009C6940" w:rsidP="009C6940">
                  <w:pPr>
                    <w:pStyle w:val="TableUnitsRow"/>
                    <w:jc w:val="left"/>
                  </w:pPr>
                </w:p>
              </w:tc>
              <w:tc>
                <w:tcPr>
                  <w:tcW w:w="629" w:type="pct"/>
                  <w:tcBorders>
                    <w:top w:val="single" w:sz="6" w:space="0" w:color="BFBFBF"/>
                  </w:tcBorders>
                  <w:shd w:val="clear" w:color="auto" w:fill="auto"/>
                </w:tcPr>
                <w:p w14:paraId="114B90E8" w14:textId="77777777" w:rsidR="009C6940" w:rsidRDefault="009C6940" w:rsidP="009C6940">
                  <w:pPr>
                    <w:pStyle w:val="TableUnitsRow"/>
                    <w:jc w:val="left"/>
                  </w:pPr>
                </w:p>
              </w:tc>
              <w:tc>
                <w:tcPr>
                  <w:tcW w:w="2769" w:type="pct"/>
                  <w:tcBorders>
                    <w:top w:val="single" w:sz="6" w:space="0" w:color="BFBFBF"/>
                  </w:tcBorders>
                  <w:shd w:val="clear" w:color="auto" w:fill="auto"/>
                </w:tcPr>
                <w:p w14:paraId="1B02C417" w14:textId="77777777" w:rsidR="009C6940" w:rsidRDefault="009C6940" w:rsidP="009C6940">
                  <w:pPr>
                    <w:pStyle w:val="TableUnitsRow"/>
                    <w:jc w:val="left"/>
                  </w:pPr>
                </w:p>
              </w:tc>
            </w:tr>
            <w:tr w:rsidR="009C6940" w14:paraId="6237629F" w14:textId="77777777" w:rsidTr="009C6940">
              <w:tc>
                <w:tcPr>
                  <w:tcW w:w="974" w:type="pct"/>
                  <w:shd w:val="clear" w:color="auto" w:fill="F2F2F2" w:themeFill="background1" w:themeFillShade="F2"/>
                </w:tcPr>
                <w:p w14:paraId="50C1598D" w14:textId="77777777" w:rsidR="009C6940" w:rsidRPr="00225753" w:rsidRDefault="009C6940" w:rsidP="009C6940">
                  <w:pPr>
                    <w:pStyle w:val="TableBodyText"/>
                    <w:ind w:left="120" w:hanging="114"/>
                    <w:jc w:val="left"/>
                  </w:pPr>
                  <w:r>
                    <w:t>Increased psychiatric advice to GPs</w:t>
                  </w:r>
                </w:p>
              </w:tc>
              <w:tc>
                <w:tcPr>
                  <w:tcW w:w="628" w:type="pct"/>
                  <w:shd w:val="clear" w:color="auto" w:fill="F2F2F2" w:themeFill="background1" w:themeFillShade="F2"/>
                </w:tcPr>
                <w:p w14:paraId="24955875" w14:textId="77777777" w:rsidR="009C6940" w:rsidRDefault="009C6940" w:rsidP="009C6940">
                  <w:pPr>
                    <w:pStyle w:val="TableBodyText"/>
                  </w:pPr>
                  <w:r>
                    <w:t>0.4–1.1</w:t>
                  </w:r>
                </w:p>
              </w:tc>
              <w:tc>
                <w:tcPr>
                  <w:tcW w:w="629" w:type="pct"/>
                  <w:shd w:val="clear" w:color="auto" w:fill="F2F2F2" w:themeFill="background1" w:themeFillShade="F2"/>
                </w:tcPr>
                <w:p w14:paraId="106F3901" w14:textId="77777777" w:rsidR="009C6940" w:rsidRDefault="009C6940" w:rsidP="009C6940">
                  <w:pPr>
                    <w:pStyle w:val="TableBodyText"/>
                  </w:pPr>
                  <w:r>
                    <w:t>–</w:t>
                  </w:r>
                  <w:r w:rsidRPr="00C124C9">
                    <w:rPr>
                      <w:rStyle w:val="NoteLabel"/>
                    </w:rPr>
                    <w:t>a</w:t>
                  </w:r>
                </w:p>
              </w:tc>
              <w:tc>
                <w:tcPr>
                  <w:tcW w:w="2769" w:type="pct"/>
                  <w:shd w:val="clear" w:color="auto" w:fill="F2F2F2" w:themeFill="background1" w:themeFillShade="F2"/>
                </w:tcPr>
                <w:p w14:paraId="15EA8D32" w14:textId="77777777" w:rsidR="009C6940" w:rsidRDefault="009C6940" w:rsidP="009C6940">
                  <w:pPr>
                    <w:pStyle w:val="TableBodyText"/>
                    <w:jc w:val="left"/>
                  </w:pPr>
                  <w:r>
                    <w:t>Increased costs based on additional time required by psychiatrists, GPs, and paediatricians.</w:t>
                  </w:r>
                </w:p>
              </w:tc>
            </w:tr>
            <w:tr w:rsidR="009C6940" w14:paraId="20107CFB" w14:textId="77777777" w:rsidTr="009C6940">
              <w:tc>
                <w:tcPr>
                  <w:tcW w:w="974" w:type="pct"/>
                  <w:shd w:val="clear" w:color="auto" w:fill="auto"/>
                </w:tcPr>
                <w:p w14:paraId="01CF5518" w14:textId="77777777" w:rsidR="009C6940" w:rsidRDefault="009C6940" w:rsidP="009C6940">
                  <w:pPr>
                    <w:pStyle w:val="TableBodyText"/>
                    <w:ind w:left="120" w:hanging="114"/>
                    <w:jc w:val="left"/>
                  </w:pPr>
                  <w:r w:rsidRPr="002F7948">
                    <w:t>Encourag</w:t>
                  </w:r>
                  <w:r>
                    <w:t>ing</w:t>
                  </w:r>
                  <w:r w:rsidRPr="002F7948">
                    <w:t xml:space="preserve"> more group</w:t>
                  </w:r>
                  <w:r w:rsidRPr="0069187E" w:rsidDel="00705B3B">
                    <w:t xml:space="preserve"> psychological therapy</w:t>
                  </w:r>
                </w:p>
              </w:tc>
              <w:tc>
                <w:tcPr>
                  <w:tcW w:w="628" w:type="pct"/>
                  <w:shd w:val="clear" w:color="auto" w:fill="auto"/>
                </w:tcPr>
                <w:p w14:paraId="0A001958" w14:textId="77777777" w:rsidR="009C6940" w:rsidRDefault="009C6940" w:rsidP="009C6940">
                  <w:pPr>
                    <w:pStyle w:val="TableBodyText"/>
                  </w:pPr>
                  <w:r>
                    <w:t>0.9–1.5</w:t>
                  </w:r>
                </w:p>
              </w:tc>
              <w:tc>
                <w:tcPr>
                  <w:tcW w:w="629" w:type="pct"/>
                  <w:shd w:val="clear" w:color="auto" w:fill="auto"/>
                </w:tcPr>
                <w:p w14:paraId="40D8EB1C" w14:textId="77777777" w:rsidR="009C6940" w:rsidRDefault="009C6940" w:rsidP="009C6940">
                  <w:pPr>
                    <w:pStyle w:val="TableBodyText"/>
                  </w:pPr>
                  <w:r>
                    <w:t>1.9–2.6</w:t>
                  </w:r>
                </w:p>
              </w:tc>
              <w:tc>
                <w:tcPr>
                  <w:tcW w:w="2769" w:type="pct"/>
                  <w:shd w:val="clear" w:color="auto" w:fill="auto"/>
                </w:tcPr>
                <w:p w14:paraId="5CC06D19" w14:textId="77777777" w:rsidR="009C6940" w:rsidRDefault="009C6940" w:rsidP="009C6940">
                  <w:pPr>
                    <w:pStyle w:val="TableBodyText"/>
                    <w:jc w:val="left"/>
                  </w:pPr>
                  <w:r>
                    <w:t>Increased expenditure from additional people using group therapy.</w:t>
                  </w:r>
                </w:p>
                <w:p w14:paraId="5D264421" w14:textId="77777777" w:rsidR="009C6940" w:rsidRDefault="009C6940" w:rsidP="009C6940">
                  <w:pPr>
                    <w:pStyle w:val="TableBodyText"/>
                    <w:jc w:val="left"/>
                  </w:pPr>
                  <w:r>
                    <w:t>Cost savings of substitution from individual to group therapy, for those already using services.</w:t>
                  </w:r>
                </w:p>
              </w:tc>
            </w:tr>
            <w:tr w:rsidR="009C6940" w14:paraId="495B3E14" w14:textId="77777777" w:rsidTr="009C6940">
              <w:tc>
                <w:tcPr>
                  <w:tcW w:w="974" w:type="pct"/>
                  <w:shd w:val="clear" w:color="auto" w:fill="F2F2F2" w:themeFill="background1" w:themeFillShade="F2"/>
                </w:tcPr>
                <w:p w14:paraId="33977E9A" w14:textId="77777777" w:rsidR="009C6940" w:rsidRPr="00225753" w:rsidRDefault="009C6940" w:rsidP="009C6940">
                  <w:pPr>
                    <w:pStyle w:val="TableBodyText"/>
                    <w:ind w:left="120" w:hanging="114"/>
                    <w:jc w:val="left"/>
                  </w:pPr>
                  <w:r w:rsidRPr="00225753">
                    <w:t xml:space="preserve">Increased access to </w:t>
                  </w:r>
                  <w:r>
                    <w:t>psychiatry and psychological therapy by telehealth</w:t>
                  </w:r>
                </w:p>
              </w:tc>
              <w:tc>
                <w:tcPr>
                  <w:tcW w:w="628" w:type="pct"/>
                  <w:shd w:val="clear" w:color="auto" w:fill="F2F2F2" w:themeFill="background1" w:themeFillShade="F2"/>
                </w:tcPr>
                <w:p w14:paraId="55E0B67B" w14:textId="77777777" w:rsidR="009C6940" w:rsidRDefault="009C6940" w:rsidP="009C6940">
                  <w:pPr>
                    <w:pStyle w:val="TableBodyText"/>
                  </w:pPr>
                  <w:r>
                    <w:t>3.3–6.5</w:t>
                  </w:r>
                </w:p>
              </w:tc>
              <w:tc>
                <w:tcPr>
                  <w:tcW w:w="629" w:type="pct"/>
                  <w:shd w:val="clear" w:color="auto" w:fill="F2F2F2" w:themeFill="background1" w:themeFillShade="F2"/>
                </w:tcPr>
                <w:p w14:paraId="28C5730A" w14:textId="77777777" w:rsidR="009C6940" w:rsidRDefault="009C6940" w:rsidP="009C6940">
                  <w:pPr>
                    <w:pStyle w:val="TableBodyText"/>
                  </w:pPr>
                  <w:r>
                    <w:t>11.1–31.1</w:t>
                  </w:r>
                </w:p>
              </w:tc>
              <w:tc>
                <w:tcPr>
                  <w:tcW w:w="2769" w:type="pct"/>
                  <w:shd w:val="clear" w:color="auto" w:fill="F2F2F2" w:themeFill="background1" w:themeFillShade="F2"/>
                </w:tcPr>
                <w:p w14:paraId="39DAFEC1" w14:textId="77777777" w:rsidR="009C6940" w:rsidRDefault="009C6940" w:rsidP="009C6940">
                  <w:pPr>
                    <w:pStyle w:val="TableBodyText"/>
                    <w:jc w:val="left"/>
                  </w:pPr>
                  <w:r>
                    <w:t>Increased costs from additional people using telehealth.</w:t>
                  </w:r>
                </w:p>
                <w:p w14:paraId="216C0DD4" w14:textId="77777777" w:rsidR="009C6940" w:rsidRDefault="009C6940" w:rsidP="009C6940">
                  <w:pPr>
                    <w:pStyle w:val="TableBodyText"/>
                    <w:jc w:val="left"/>
                  </w:pPr>
                  <w:r>
                    <w:t>Cost savings from substitution of face</w:t>
                  </w:r>
                  <w:r>
                    <w:noBreakHyphen/>
                    <w:t>to</w:t>
                  </w:r>
                  <w:r>
                    <w:noBreakHyphen/>
                    <w:t>face initial assessments and removing additional rebates paid to psychiatrists for telehealth consultations.</w:t>
                  </w:r>
                </w:p>
              </w:tc>
            </w:tr>
            <w:tr w:rsidR="009C6940" w14:paraId="5577CFCC" w14:textId="77777777" w:rsidTr="009C6940">
              <w:tc>
                <w:tcPr>
                  <w:tcW w:w="974" w:type="pct"/>
                  <w:shd w:val="clear" w:color="auto" w:fill="auto"/>
                </w:tcPr>
                <w:p w14:paraId="4C696AB8" w14:textId="77777777" w:rsidR="009C6940" w:rsidRPr="00225753" w:rsidRDefault="009C6940" w:rsidP="009C6940">
                  <w:pPr>
                    <w:pStyle w:val="TableBodyText"/>
                    <w:ind w:left="120" w:hanging="114"/>
                    <w:jc w:val="left"/>
                  </w:pPr>
                  <w:r>
                    <w:t>Expanding s</w:t>
                  </w:r>
                  <w:r w:rsidRPr="00225753">
                    <w:t>upported online treatment options</w:t>
                  </w:r>
                </w:p>
              </w:tc>
              <w:tc>
                <w:tcPr>
                  <w:tcW w:w="628" w:type="pct"/>
                  <w:shd w:val="clear" w:color="auto" w:fill="auto"/>
                </w:tcPr>
                <w:p w14:paraId="032FEC70" w14:textId="77777777" w:rsidR="009C6940" w:rsidRDefault="009C6940" w:rsidP="009C6940">
                  <w:pPr>
                    <w:pStyle w:val="TableBodyText"/>
                  </w:pPr>
                  <w:r>
                    <w:t>47–69</w:t>
                  </w:r>
                </w:p>
              </w:tc>
              <w:tc>
                <w:tcPr>
                  <w:tcW w:w="629" w:type="pct"/>
                  <w:shd w:val="clear" w:color="auto" w:fill="auto"/>
                </w:tcPr>
                <w:p w14:paraId="608E4520" w14:textId="77777777" w:rsidR="009C6940" w:rsidRDefault="009C6940" w:rsidP="009C6940">
                  <w:pPr>
                    <w:pStyle w:val="TableBodyText"/>
                  </w:pPr>
                  <w:r>
                    <w:t>7–22</w:t>
                  </w:r>
                </w:p>
              </w:tc>
              <w:tc>
                <w:tcPr>
                  <w:tcW w:w="2769" w:type="pct"/>
                  <w:shd w:val="clear" w:color="auto" w:fill="auto"/>
                </w:tcPr>
                <w:p w14:paraId="4CFEBE8F" w14:textId="77777777" w:rsidR="009C6940" w:rsidRDefault="009C6940" w:rsidP="009C6940">
                  <w:pPr>
                    <w:pStyle w:val="TableBodyText"/>
                    <w:jc w:val="left"/>
                  </w:pPr>
                  <w:r>
                    <w:t>Increased costs include provision for a review, an information campaign for culturally and linguistically diverse people, consumers, and health professionals, and the costs of providing online supported treatment.</w:t>
                  </w:r>
                </w:p>
                <w:p w14:paraId="63E14DF0" w14:textId="77777777" w:rsidR="009C6940" w:rsidRDefault="009C6940" w:rsidP="009C6940">
                  <w:pPr>
                    <w:pStyle w:val="TableBodyText"/>
                    <w:jc w:val="left"/>
                  </w:pPr>
                  <w:r>
                    <w:t>Cost savings are from the substitution to a lower</w:t>
                  </w:r>
                  <w:r>
                    <w:noBreakHyphen/>
                    <w:t>cost online treatment.</w:t>
                  </w:r>
                </w:p>
              </w:tc>
            </w:tr>
            <w:tr w:rsidR="009C6940" w14:paraId="30B01537" w14:textId="77777777" w:rsidTr="009C6940">
              <w:tc>
                <w:tcPr>
                  <w:tcW w:w="974" w:type="pct"/>
                  <w:shd w:val="clear" w:color="auto" w:fill="F2F2F2" w:themeFill="background1" w:themeFillShade="F2"/>
                </w:tcPr>
                <w:p w14:paraId="706B9641" w14:textId="77777777" w:rsidR="009C6940" w:rsidRDefault="009C6940" w:rsidP="009C6940">
                  <w:pPr>
                    <w:pStyle w:val="TableBodyText"/>
                    <w:ind w:left="120" w:hanging="114"/>
                    <w:jc w:val="left"/>
                  </w:pPr>
                  <w:r>
                    <w:t>State and territory community ambulatory services</w:t>
                  </w:r>
                </w:p>
              </w:tc>
              <w:tc>
                <w:tcPr>
                  <w:tcW w:w="628" w:type="pct"/>
                  <w:shd w:val="clear" w:color="auto" w:fill="F2F2F2" w:themeFill="background1" w:themeFillShade="F2"/>
                </w:tcPr>
                <w:p w14:paraId="6A7030F3" w14:textId="77777777" w:rsidR="009C6940" w:rsidRDefault="009C6940" w:rsidP="009C6940">
                  <w:pPr>
                    <w:pStyle w:val="TableBodyText"/>
                  </w:pPr>
                  <w:r>
                    <w:t>403</w:t>
                  </w:r>
                </w:p>
              </w:tc>
              <w:tc>
                <w:tcPr>
                  <w:tcW w:w="629" w:type="pct"/>
                  <w:shd w:val="clear" w:color="auto" w:fill="F2F2F2" w:themeFill="background1" w:themeFillShade="F2"/>
                </w:tcPr>
                <w:p w14:paraId="6D12C57F" w14:textId="77777777" w:rsidR="009C6940" w:rsidRDefault="009C6940" w:rsidP="009C6940">
                  <w:pPr>
                    <w:pStyle w:val="TableBodyText"/>
                  </w:pPr>
                  <w:r>
                    <w:t>–</w:t>
                  </w:r>
                </w:p>
              </w:tc>
              <w:tc>
                <w:tcPr>
                  <w:tcW w:w="2769" w:type="pct"/>
                  <w:shd w:val="clear" w:color="auto" w:fill="F2F2F2" w:themeFill="background1" w:themeFillShade="F2"/>
                </w:tcPr>
                <w:p w14:paraId="042F9692" w14:textId="77777777" w:rsidR="009C6940" w:rsidRDefault="009C6940" w:rsidP="009C6940">
                  <w:pPr>
                    <w:pStyle w:val="TableBodyText"/>
                    <w:jc w:val="left"/>
                  </w:pPr>
                  <w:r w:rsidDel="000939AB">
                    <w:t xml:space="preserve">Increased expenditure </w:t>
                  </w:r>
                  <w:r>
                    <w:t xml:space="preserve">for the provision of </w:t>
                  </w:r>
                  <w:r w:rsidDel="000939AB">
                    <w:t xml:space="preserve">additional </w:t>
                  </w:r>
                  <w:r>
                    <w:t>community ambulatory</w:t>
                  </w:r>
                  <w:r w:rsidDel="000939AB">
                    <w:t xml:space="preserve"> services</w:t>
                  </w:r>
                  <w:r>
                    <w:t xml:space="preserve"> for people aged over 18 years. </w:t>
                  </w:r>
                </w:p>
              </w:tc>
            </w:tr>
            <w:tr w:rsidR="009C6940" w14:paraId="7458BB99" w14:textId="77777777" w:rsidTr="009C6940">
              <w:tc>
                <w:tcPr>
                  <w:tcW w:w="974" w:type="pct"/>
                  <w:shd w:val="clear" w:color="auto" w:fill="auto"/>
                </w:tcPr>
                <w:p w14:paraId="6E2A9EF7" w14:textId="77777777" w:rsidR="009C6940" w:rsidRDefault="009C6940" w:rsidP="009C6940">
                  <w:pPr>
                    <w:pStyle w:val="TableBodyText"/>
                    <w:ind w:left="120" w:hanging="114"/>
                    <w:jc w:val="left"/>
                  </w:pPr>
                  <w:r>
                    <w:t>Bed</w:t>
                  </w:r>
                  <w:r>
                    <w:noBreakHyphen/>
                    <w:t>based services</w:t>
                  </w:r>
                </w:p>
              </w:tc>
              <w:tc>
                <w:tcPr>
                  <w:tcW w:w="628" w:type="pct"/>
                  <w:shd w:val="clear" w:color="auto" w:fill="auto"/>
                </w:tcPr>
                <w:p w14:paraId="74216E93" w14:textId="77777777" w:rsidR="009C6940" w:rsidRDefault="009C6940" w:rsidP="009C6940">
                  <w:pPr>
                    <w:pStyle w:val="TableBodyText"/>
                  </w:pPr>
                  <w:r>
                    <w:t>426</w:t>
                  </w:r>
                </w:p>
              </w:tc>
              <w:tc>
                <w:tcPr>
                  <w:tcW w:w="629" w:type="pct"/>
                  <w:shd w:val="clear" w:color="auto" w:fill="auto"/>
                </w:tcPr>
                <w:p w14:paraId="419BFF8E" w14:textId="77777777" w:rsidR="009C6940" w:rsidRDefault="009C6940" w:rsidP="009C6940">
                  <w:pPr>
                    <w:pStyle w:val="TableBodyText"/>
                  </w:pPr>
                  <w:r>
                    <w:t>–</w:t>
                  </w:r>
                </w:p>
              </w:tc>
              <w:tc>
                <w:tcPr>
                  <w:tcW w:w="2769" w:type="pct"/>
                  <w:shd w:val="clear" w:color="auto" w:fill="auto"/>
                </w:tcPr>
                <w:p w14:paraId="18A7B1B2" w14:textId="77777777" w:rsidR="009C6940" w:rsidRDefault="009C6940" w:rsidP="009C6940">
                  <w:pPr>
                    <w:pStyle w:val="TableBodyText"/>
                    <w:jc w:val="left"/>
                  </w:pPr>
                  <w:r>
                    <w:t>Increased expenditure for the provision of additional long stay residential non</w:t>
                  </w:r>
                  <w:r>
                    <w:noBreakHyphen/>
                    <w:t>acute bed</w:t>
                  </w:r>
                  <w:r>
                    <w:noBreakHyphen/>
                    <w:t xml:space="preserve">based services. </w:t>
                  </w:r>
                </w:p>
              </w:tc>
            </w:tr>
            <w:tr w:rsidR="009C6940" w14:paraId="0A22E5F2" w14:textId="77777777" w:rsidTr="009C6940">
              <w:tc>
                <w:tcPr>
                  <w:tcW w:w="974" w:type="pct"/>
                  <w:shd w:val="clear" w:color="auto" w:fill="F2F2F2" w:themeFill="background1" w:themeFillShade="F2"/>
                </w:tcPr>
                <w:p w14:paraId="0B21D6CB" w14:textId="77777777" w:rsidR="009C6940" w:rsidRDefault="009C6940" w:rsidP="009C6940">
                  <w:pPr>
                    <w:pStyle w:val="TableBodyText"/>
                    <w:ind w:left="120" w:hanging="114"/>
                    <w:jc w:val="left"/>
                  </w:pPr>
                  <w:r>
                    <w:t>Alternatives to emergency departments</w:t>
                  </w:r>
                </w:p>
              </w:tc>
              <w:tc>
                <w:tcPr>
                  <w:tcW w:w="628" w:type="pct"/>
                  <w:shd w:val="clear" w:color="auto" w:fill="F2F2F2" w:themeFill="background1" w:themeFillShade="F2"/>
                </w:tcPr>
                <w:p w14:paraId="2C39E71D" w14:textId="77777777" w:rsidR="009C6940" w:rsidRDefault="009C6940" w:rsidP="009C6940">
                  <w:pPr>
                    <w:pStyle w:val="TableBodyText"/>
                  </w:pPr>
                  <w:r>
                    <w:t>2.6–4.1</w:t>
                  </w:r>
                </w:p>
              </w:tc>
              <w:tc>
                <w:tcPr>
                  <w:tcW w:w="629" w:type="pct"/>
                  <w:shd w:val="clear" w:color="auto" w:fill="F2F2F2" w:themeFill="background1" w:themeFillShade="F2"/>
                </w:tcPr>
                <w:p w14:paraId="4464144F" w14:textId="77777777" w:rsidR="009C6940" w:rsidRDefault="009C6940" w:rsidP="009C6940">
                  <w:pPr>
                    <w:pStyle w:val="TableBodyText"/>
                  </w:pPr>
                  <w:r>
                    <w:t>3.3–5.8</w:t>
                  </w:r>
                </w:p>
              </w:tc>
              <w:tc>
                <w:tcPr>
                  <w:tcW w:w="2769" w:type="pct"/>
                  <w:shd w:val="clear" w:color="auto" w:fill="F2F2F2" w:themeFill="background1" w:themeFillShade="F2"/>
                </w:tcPr>
                <w:p w14:paraId="4E6BED32" w14:textId="77777777" w:rsidR="009C6940" w:rsidRDefault="009C6940" w:rsidP="009C6940">
                  <w:pPr>
                    <w:pStyle w:val="TableBodyText"/>
                    <w:jc w:val="left"/>
                  </w:pPr>
                  <w:r>
                    <w:t>Increased expenditure from expanding trials of mobile crisis services and safe haven cafés.</w:t>
                  </w:r>
                </w:p>
                <w:p w14:paraId="1D77707B" w14:textId="77777777" w:rsidR="009C6940" w:rsidRDefault="009C6940" w:rsidP="009C6940">
                  <w:pPr>
                    <w:pStyle w:val="TableBodyText"/>
                    <w:jc w:val="left"/>
                  </w:pPr>
                  <w:r>
                    <w:t>Cost savings from a reduction in emergency department presentations.</w:t>
                  </w:r>
                </w:p>
              </w:tc>
            </w:tr>
            <w:tr w:rsidR="009C6940" w14:paraId="2A880A28" w14:textId="77777777" w:rsidTr="009C6940">
              <w:tc>
                <w:tcPr>
                  <w:tcW w:w="974" w:type="pct"/>
                  <w:shd w:val="clear" w:color="auto" w:fill="auto"/>
                </w:tcPr>
                <w:p w14:paraId="77DC1E6C" w14:textId="77777777" w:rsidR="009C6940" w:rsidRDefault="009C6940" w:rsidP="009C6940">
                  <w:pPr>
                    <w:pStyle w:val="TableBodyText"/>
                    <w:ind w:left="120" w:hanging="114"/>
                    <w:jc w:val="left"/>
                  </w:pPr>
                  <w:r>
                    <w:t>Online navigation portal to support referral pathways</w:t>
                  </w:r>
                </w:p>
              </w:tc>
              <w:tc>
                <w:tcPr>
                  <w:tcW w:w="628" w:type="pct"/>
                  <w:shd w:val="clear" w:color="auto" w:fill="auto"/>
                </w:tcPr>
                <w:p w14:paraId="52880733" w14:textId="77777777" w:rsidR="009C6940" w:rsidRDefault="009C6940" w:rsidP="009C6940">
                  <w:pPr>
                    <w:pStyle w:val="TableBodyText"/>
                  </w:pPr>
                  <w:r>
                    <w:t>6–10</w:t>
                  </w:r>
                </w:p>
              </w:tc>
              <w:tc>
                <w:tcPr>
                  <w:tcW w:w="629" w:type="pct"/>
                  <w:shd w:val="clear" w:color="auto" w:fill="auto"/>
                </w:tcPr>
                <w:p w14:paraId="47891402" w14:textId="77777777" w:rsidR="009C6940" w:rsidRDefault="009C6940" w:rsidP="009C6940">
                  <w:pPr>
                    <w:pStyle w:val="TableBodyText"/>
                  </w:pPr>
                  <w:r>
                    <w:t>–</w:t>
                  </w:r>
                </w:p>
              </w:tc>
              <w:tc>
                <w:tcPr>
                  <w:tcW w:w="2769" w:type="pct"/>
                  <w:shd w:val="clear" w:color="auto" w:fill="auto"/>
                </w:tcPr>
                <w:p w14:paraId="70D15A74" w14:textId="77777777" w:rsidR="009C6940" w:rsidRDefault="009C6940" w:rsidP="009C6940">
                  <w:pPr>
                    <w:pStyle w:val="TableBodyText"/>
                    <w:jc w:val="left"/>
                  </w:pPr>
                  <w:r>
                    <w:t>Increased expenditure from establishing HealthPathways portals for the three Primary Health Networks that do not already have it, and expanding the portal into areas beyond health across all Primary Health Networks.</w:t>
                  </w:r>
                </w:p>
              </w:tc>
            </w:tr>
            <w:tr w:rsidR="009C6940" w14:paraId="7E2ECF0F" w14:textId="77777777" w:rsidTr="009C6940">
              <w:tc>
                <w:tcPr>
                  <w:tcW w:w="974" w:type="pct"/>
                  <w:tcBorders>
                    <w:bottom w:val="single" w:sz="4" w:space="0" w:color="BFBFBF" w:themeColor="background1" w:themeShade="BF"/>
                  </w:tcBorders>
                  <w:shd w:val="clear" w:color="auto" w:fill="F2F2F2" w:themeFill="background1" w:themeFillShade="F2"/>
                </w:tcPr>
                <w:p w14:paraId="3FFA574E" w14:textId="77777777" w:rsidR="009C6940" w:rsidRDefault="009C6940" w:rsidP="009C6940">
                  <w:pPr>
                    <w:pStyle w:val="TableBodyText"/>
                    <w:ind w:left="120" w:hanging="114"/>
                    <w:jc w:val="left"/>
                  </w:pPr>
                  <w:r>
                    <w:t>Care coordinators and single care plans</w:t>
                  </w:r>
                </w:p>
              </w:tc>
              <w:tc>
                <w:tcPr>
                  <w:tcW w:w="628" w:type="pct"/>
                  <w:tcBorders>
                    <w:bottom w:val="single" w:sz="4" w:space="0" w:color="BFBFBF" w:themeColor="background1" w:themeShade="BF"/>
                  </w:tcBorders>
                  <w:shd w:val="clear" w:color="auto" w:fill="F2F2F2" w:themeFill="background1" w:themeFillShade="F2"/>
                </w:tcPr>
                <w:p w14:paraId="01F41CB6" w14:textId="77777777" w:rsidR="009C6940" w:rsidRDefault="009C6940" w:rsidP="009C6940">
                  <w:pPr>
                    <w:pStyle w:val="TableBodyText"/>
                    <w:ind w:left="0"/>
                  </w:pPr>
                  <w:r>
                    <w:t>176–413</w:t>
                  </w:r>
                </w:p>
              </w:tc>
              <w:tc>
                <w:tcPr>
                  <w:tcW w:w="629" w:type="pct"/>
                  <w:tcBorders>
                    <w:bottom w:val="single" w:sz="4" w:space="0" w:color="BFBFBF" w:themeColor="background1" w:themeShade="BF"/>
                  </w:tcBorders>
                  <w:shd w:val="clear" w:color="auto" w:fill="F2F2F2" w:themeFill="background1" w:themeFillShade="F2"/>
                </w:tcPr>
                <w:p w14:paraId="0CFE2FA3" w14:textId="77777777" w:rsidR="009C6940" w:rsidRDefault="009C6940" w:rsidP="009C6940">
                  <w:pPr>
                    <w:pStyle w:val="TableBodyText"/>
                  </w:pPr>
                  <w:r>
                    <w:t>–</w:t>
                  </w:r>
                </w:p>
              </w:tc>
              <w:tc>
                <w:tcPr>
                  <w:tcW w:w="2769" w:type="pct"/>
                  <w:tcBorders>
                    <w:bottom w:val="single" w:sz="4" w:space="0" w:color="BFBFBF" w:themeColor="background1" w:themeShade="BF"/>
                  </w:tcBorders>
                  <w:shd w:val="clear" w:color="auto" w:fill="F2F2F2" w:themeFill="background1" w:themeFillShade="F2"/>
                </w:tcPr>
                <w:p w14:paraId="0E763891" w14:textId="77777777" w:rsidR="009C6940" w:rsidRDefault="009C6940" w:rsidP="009C6940">
                  <w:pPr>
                    <w:pStyle w:val="TableBodyText"/>
                    <w:jc w:val="left"/>
                  </w:pPr>
                  <w:r>
                    <w:t>Increased expenditure from having additional care coordination services and single care plans developed and reviewed</w:t>
                  </w:r>
                  <w:r w:rsidDel="000939AB">
                    <w:t>.</w:t>
                  </w:r>
                  <w:r>
                    <w:t xml:space="preserve"> </w:t>
                  </w:r>
                </w:p>
                <w:p w14:paraId="6864CD8F" w14:textId="77777777" w:rsidR="009C6940" w:rsidRDefault="009C6940" w:rsidP="009C6940">
                  <w:pPr>
                    <w:pStyle w:val="TableBodyText"/>
                    <w:jc w:val="left"/>
                  </w:pPr>
                  <w:r>
                    <w:t>Costs and benefits associated with care coordinators and single care plans are excluded from aggregate healthcare calculations due to substantial overlap with community ambulatory services.</w:t>
                  </w:r>
                </w:p>
              </w:tc>
            </w:tr>
          </w:tbl>
          <w:p w14:paraId="64CA6E61" w14:textId="77777777" w:rsidR="009C6940" w:rsidRDefault="009C6940" w:rsidP="009C6940">
            <w:pPr>
              <w:pStyle w:val="Box"/>
            </w:pPr>
          </w:p>
        </w:tc>
      </w:tr>
      <w:tr w:rsidR="009C6940" w14:paraId="6BE7E915" w14:textId="77777777" w:rsidTr="009C6940">
        <w:tc>
          <w:tcPr>
            <w:tcW w:w="13273" w:type="dxa"/>
            <w:tcBorders>
              <w:top w:val="nil"/>
              <w:left w:val="nil"/>
              <w:bottom w:val="nil"/>
              <w:right w:val="nil"/>
            </w:tcBorders>
            <w:shd w:val="clear" w:color="auto" w:fill="auto"/>
          </w:tcPr>
          <w:p w14:paraId="2F5F08F8" w14:textId="77777777" w:rsidR="009C6940" w:rsidRPr="00057B39" w:rsidRDefault="009C6940" w:rsidP="009C6940">
            <w:pPr>
              <w:pStyle w:val="Source"/>
              <w:tabs>
                <w:tab w:val="left" w:pos="4935"/>
                <w:tab w:val="right" w:pos="12989"/>
              </w:tabs>
              <w:jc w:val="right"/>
            </w:pPr>
            <w:r w:rsidRPr="00057B39">
              <w:t>(continued next page)</w:t>
            </w:r>
          </w:p>
        </w:tc>
      </w:tr>
      <w:tr w:rsidR="009C6940" w14:paraId="1BF986AF" w14:textId="77777777" w:rsidTr="009C6940">
        <w:tc>
          <w:tcPr>
            <w:tcW w:w="13273" w:type="dxa"/>
            <w:tcBorders>
              <w:top w:val="nil"/>
              <w:left w:val="nil"/>
              <w:bottom w:val="single" w:sz="6" w:space="0" w:color="78A22F"/>
              <w:right w:val="nil"/>
            </w:tcBorders>
            <w:shd w:val="clear" w:color="auto" w:fill="auto"/>
          </w:tcPr>
          <w:p w14:paraId="3AE5C669" w14:textId="77777777" w:rsidR="009C6940" w:rsidRDefault="009C6940" w:rsidP="009C6940">
            <w:pPr>
              <w:pStyle w:val="Box"/>
              <w:spacing w:before="0" w:line="120" w:lineRule="exact"/>
            </w:pPr>
          </w:p>
        </w:tc>
      </w:tr>
      <w:tr w:rsidR="009C6940" w:rsidRPr="000863A5" w14:paraId="6A191DCB" w14:textId="77777777" w:rsidTr="009C6940">
        <w:tc>
          <w:tcPr>
            <w:tcW w:w="13273" w:type="dxa"/>
            <w:tcBorders>
              <w:top w:val="single" w:sz="6" w:space="0" w:color="78A22F"/>
              <w:left w:val="nil"/>
              <w:bottom w:val="nil"/>
              <w:right w:val="nil"/>
            </w:tcBorders>
          </w:tcPr>
          <w:p w14:paraId="4EB0A790" w14:textId="77777777" w:rsidR="009C6940" w:rsidRPr="00626D32" w:rsidRDefault="009C6940" w:rsidP="009C6940">
            <w:pPr>
              <w:pStyle w:val="BoxSpaceBelow"/>
            </w:pPr>
          </w:p>
        </w:tc>
      </w:tr>
      <w:tr w:rsidR="009C6940" w14:paraId="6741BCB7" w14:textId="77777777" w:rsidTr="009C6940">
        <w:tc>
          <w:tcPr>
            <w:tcW w:w="13273" w:type="dxa"/>
            <w:tcBorders>
              <w:top w:val="single" w:sz="6" w:space="0" w:color="78A22F"/>
              <w:left w:val="nil"/>
              <w:bottom w:val="nil"/>
              <w:right w:val="nil"/>
            </w:tcBorders>
            <w:shd w:val="clear" w:color="auto" w:fill="auto"/>
          </w:tcPr>
          <w:p w14:paraId="6098F6D2" w14:textId="77777777" w:rsidR="009C6940" w:rsidRPr="00C764EE" w:rsidRDefault="009C6940" w:rsidP="009C6940">
            <w:pPr>
              <w:pStyle w:val="TableTitle"/>
            </w:pPr>
            <w:r>
              <w:rPr>
                <w:b w:val="0"/>
              </w:rPr>
              <w:lastRenderedPageBreak/>
              <w:t>Table I.2</w:t>
            </w:r>
            <w:r>
              <w:tab/>
            </w:r>
            <w:r w:rsidRPr="00C124C9">
              <w:rPr>
                <w:b w:val="0"/>
                <w:sz w:val="18"/>
                <w:szCs w:val="18"/>
              </w:rPr>
              <w:t>(continued)</w:t>
            </w:r>
          </w:p>
        </w:tc>
      </w:tr>
      <w:tr w:rsidR="009C6940" w14:paraId="15D66DFD" w14:textId="77777777" w:rsidTr="009C6940">
        <w:tc>
          <w:tcPr>
            <w:tcW w:w="13273" w:type="dxa"/>
            <w:tcBorders>
              <w:top w:val="nil"/>
              <w:left w:val="nil"/>
              <w:bottom w:val="nil"/>
              <w:right w:val="nil"/>
            </w:tcBorders>
            <w:shd w:val="clear" w:color="auto" w:fill="auto"/>
          </w:tcPr>
          <w:tbl>
            <w:tblPr>
              <w:tblW w:w="13019" w:type="dxa"/>
              <w:tblCellMar>
                <w:top w:w="28" w:type="dxa"/>
                <w:left w:w="0" w:type="dxa"/>
                <w:right w:w="0" w:type="dxa"/>
              </w:tblCellMar>
              <w:tblLook w:val="0000" w:firstRow="0" w:lastRow="0" w:firstColumn="0" w:lastColumn="0" w:noHBand="0" w:noVBand="0"/>
            </w:tblPr>
            <w:tblGrid>
              <w:gridCol w:w="2432"/>
              <w:gridCol w:w="1489"/>
              <w:gridCol w:w="1492"/>
              <w:gridCol w:w="7606"/>
            </w:tblGrid>
            <w:tr w:rsidR="009C6940" w14:paraId="4D0E27D6" w14:textId="77777777" w:rsidTr="009C6940">
              <w:trPr>
                <w:tblHeader/>
              </w:trPr>
              <w:tc>
                <w:tcPr>
                  <w:tcW w:w="934" w:type="pct"/>
                  <w:tcBorders>
                    <w:top w:val="single" w:sz="6" w:space="0" w:color="BFBFBF"/>
                    <w:bottom w:val="single" w:sz="6" w:space="0" w:color="BFBFBF"/>
                  </w:tcBorders>
                  <w:shd w:val="clear" w:color="auto" w:fill="auto"/>
                  <w:tcMar>
                    <w:top w:w="28" w:type="dxa"/>
                  </w:tcMar>
                </w:tcPr>
                <w:p w14:paraId="5FF19DEF" w14:textId="77777777" w:rsidR="009C6940" w:rsidRDefault="009C6940" w:rsidP="009C6940">
                  <w:pPr>
                    <w:pStyle w:val="TableColumnHeading"/>
                    <w:jc w:val="left"/>
                  </w:pPr>
                  <w:r>
                    <w:t>Actions</w:t>
                  </w:r>
                </w:p>
              </w:tc>
              <w:tc>
                <w:tcPr>
                  <w:tcW w:w="572" w:type="pct"/>
                  <w:tcBorders>
                    <w:top w:val="single" w:sz="6" w:space="0" w:color="BFBFBF"/>
                    <w:bottom w:val="single" w:sz="6" w:space="0" w:color="BFBFBF"/>
                  </w:tcBorders>
                </w:tcPr>
                <w:p w14:paraId="5344B16A" w14:textId="77777777" w:rsidR="009C6940" w:rsidRDefault="009C6940" w:rsidP="009C6940">
                  <w:pPr>
                    <w:pStyle w:val="TableColumnHeading"/>
                  </w:pPr>
                  <w:r>
                    <w:t>Cost increases</w:t>
                  </w:r>
                  <w:r>
                    <w:br/>
                    <w:t>($m)</w:t>
                  </w:r>
                </w:p>
              </w:tc>
              <w:tc>
                <w:tcPr>
                  <w:tcW w:w="573" w:type="pct"/>
                  <w:tcBorders>
                    <w:top w:val="single" w:sz="6" w:space="0" w:color="BFBFBF"/>
                    <w:bottom w:val="single" w:sz="6" w:space="0" w:color="BFBFBF"/>
                  </w:tcBorders>
                  <w:shd w:val="clear" w:color="auto" w:fill="auto"/>
                  <w:tcMar>
                    <w:top w:w="28" w:type="dxa"/>
                  </w:tcMar>
                </w:tcPr>
                <w:p w14:paraId="0D571650" w14:textId="77777777" w:rsidR="009C6940" w:rsidRDefault="009C6940" w:rsidP="009C6940">
                  <w:pPr>
                    <w:pStyle w:val="TableColumnHeading"/>
                  </w:pPr>
                  <w:r>
                    <w:t>Cost savings ($m)</w:t>
                  </w:r>
                </w:p>
              </w:tc>
              <w:tc>
                <w:tcPr>
                  <w:tcW w:w="2921" w:type="pct"/>
                  <w:tcBorders>
                    <w:top w:val="single" w:sz="6" w:space="0" w:color="BFBFBF"/>
                    <w:bottom w:val="single" w:sz="6" w:space="0" w:color="BFBFBF"/>
                  </w:tcBorders>
                  <w:shd w:val="clear" w:color="auto" w:fill="auto"/>
                </w:tcPr>
                <w:p w14:paraId="60FFB6A1" w14:textId="77777777" w:rsidR="009C6940" w:rsidRDefault="009C6940" w:rsidP="009C6940">
                  <w:pPr>
                    <w:pStyle w:val="TableColumnHeading"/>
                    <w:jc w:val="left"/>
                  </w:pPr>
                  <w:r>
                    <w:t>Description of costs included</w:t>
                  </w:r>
                </w:p>
              </w:tc>
            </w:tr>
            <w:tr w:rsidR="009C6940" w14:paraId="750E4467" w14:textId="77777777" w:rsidTr="009C6940">
              <w:tc>
                <w:tcPr>
                  <w:tcW w:w="934" w:type="pct"/>
                  <w:tcBorders>
                    <w:top w:val="single" w:sz="6" w:space="0" w:color="BFBFBF"/>
                  </w:tcBorders>
                </w:tcPr>
                <w:p w14:paraId="331B256B" w14:textId="77777777" w:rsidR="009C6940" w:rsidRPr="00130443" w:rsidRDefault="009C6940" w:rsidP="009C6940">
                  <w:pPr>
                    <w:pStyle w:val="TableUnitsRow"/>
                    <w:jc w:val="left"/>
                    <w:rPr>
                      <w:b/>
                    </w:rPr>
                  </w:pPr>
                  <w:r w:rsidRPr="009C36ED">
                    <w:rPr>
                      <w:b/>
                    </w:rPr>
                    <w:t>Carers and families</w:t>
                  </w:r>
                </w:p>
              </w:tc>
              <w:tc>
                <w:tcPr>
                  <w:tcW w:w="572" w:type="pct"/>
                  <w:tcBorders>
                    <w:top w:val="single" w:sz="6" w:space="0" w:color="BFBFBF"/>
                  </w:tcBorders>
                </w:tcPr>
                <w:p w14:paraId="33774A32" w14:textId="77777777" w:rsidR="009C6940" w:rsidRDefault="009C6940" w:rsidP="009C6940">
                  <w:pPr>
                    <w:pStyle w:val="TableUnitsRow"/>
                    <w:jc w:val="left"/>
                  </w:pPr>
                </w:p>
              </w:tc>
              <w:tc>
                <w:tcPr>
                  <w:tcW w:w="573" w:type="pct"/>
                  <w:tcBorders>
                    <w:top w:val="single" w:sz="6" w:space="0" w:color="BFBFBF"/>
                  </w:tcBorders>
                  <w:shd w:val="clear" w:color="auto" w:fill="auto"/>
                </w:tcPr>
                <w:p w14:paraId="02662F38" w14:textId="77777777" w:rsidR="009C6940" w:rsidRPr="00AC5C5A" w:rsidRDefault="009C6940" w:rsidP="009C6940">
                  <w:pPr>
                    <w:pStyle w:val="TableUnitsRow"/>
                    <w:jc w:val="left"/>
                    <w:rPr>
                      <w:highlight w:val="yellow"/>
                    </w:rPr>
                  </w:pPr>
                </w:p>
              </w:tc>
              <w:tc>
                <w:tcPr>
                  <w:tcW w:w="2921" w:type="pct"/>
                  <w:tcBorders>
                    <w:top w:val="single" w:sz="6" w:space="0" w:color="BFBFBF"/>
                  </w:tcBorders>
                  <w:shd w:val="clear" w:color="auto" w:fill="auto"/>
                </w:tcPr>
                <w:p w14:paraId="252E1CA9" w14:textId="77777777" w:rsidR="009C6940" w:rsidRPr="00AC5C5A" w:rsidRDefault="009C6940" w:rsidP="009C6940">
                  <w:pPr>
                    <w:pStyle w:val="TableUnitsRow"/>
                    <w:jc w:val="left"/>
                    <w:rPr>
                      <w:highlight w:val="yellow"/>
                    </w:rPr>
                  </w:pPr>
                </w:p>
              </w:tc>
            </w:tr>
            <w:tr w:rsidR="009C6940" w14:paraId="7F16900B" w14:textId="77777777" w:rsidTr="009C6940">
              <w:tc>
                <w:tcPr>
                  <w:tcW w:w="934" w:type="pct"/>
                  <w:shd w:val="clear" w:color="auto" w:fill="F2F2F2" w:themeFill="background1" w:themeFillShade="F2"/>
                </w:tcPr>
                <w:p w14:paraId="3F631F6D" w14:textId="77777777" w:rsidR="009C6940" w:rsidRDefault="009C6940" w:rsidP="009C6940">
                  <w:pPr>
                    <w:pStyle w:val="TableBodyText"/>
                    <w:ind w:left="120" w:hanging="114"/>
                    <w:jc w:val="left"/>
                  </w:pPr>
                  <w:r>
                    <w:t>Family and carer inclusive practices</w:t>
                  </w:r>
                </w:p>
              </w:tc>
              <w:tc>
                <w:tcPr>
                  <w:tcW w:w="572" w:type="pct"/>
                  <w:shd w:val="clear" w:color="auto" w:fill="F2F2F2" w:themeFill="background1" w:themeFillShade="F2"/>
                </w:tcPr>
                <w:p w14:paraId="58B963C0" w14:textId="77777777" w:rsidR="009C6940" w:rsidRDefault="009C6940" w:rsidP="009C6940">
                  <w:pPr>
                    <w:pStyle w:val="TableBodyText"/>
                  </w:pPr>
                  <w:r>
                    <w:t>73–101</w:t>
                  </w:r>
                </w:p>
              </w:tc>
              <w:tc>
                <w:tcPr>
                  <w:tcW w:w="573" w:type="pct"/>
                  <w:shd w:val="clear" w:color="auto" w:fill="F2F2F2" w:themeFill="background1" w:themeFillShade="F2"/>
                </w:tcPr>
                <w:p w14:paraId="5B349DB5" w14:textId="77777777" w:rsidR="009C6940" w:rsidRDefault="009C6940" w:rsidP="009C6940">
                  <w:pPr>
                    <w:pStyle w:val="TableBodyText"/>
                  </w:pPr>
                  <w:r>
                    <w:t>–</w:t>
                  </w:r>
                </w:p>
              </w:tc>
              <w:tc>
                <w:tcPr>
                  <w:tcW w:w="2921" w:type="pct"/>
                  <w:shd w:val="clear" w:color="auto" w:fill="F2F2F2" w:themeFill="background1" w:themeFillShade="F2"/>
                </w:tcPr>
                <w:p w14:paraId="0C93043F" w14:textId="77777777" w:rsidR="009C6940" w:rsidRDefault="009C6940" w:rsidP="009C6940">
                  <w:pPr>
                    <w:pStyle w:val="TableBodyText"/>
                    <w:jc w:val="left"/>
                  </w:pPr>
                  <w:r>
                    <w:t>Increased expenditure from subsidising carer and family consultations and on</w:t>
                  </w:r>
                  <w:r w:rsidRPr="008F1888">
                    <w:t xml:space="preserve"> family and </w:t>
                  </w:r>
                  <w:r>
                    <w:t xml:space="preserve">family and </w:t>
                  </w:r>
                  <w:r w:rsidRPr="008F1888">
                    <w:t xml:space="preserve">carer </w:t>
                  </w:r>
                  <w:r>
                    <w:t xml:space="preserve">workers </w:t>
                  </w:r>
                  <w:r w:rsidRPr="008F1888">
                    <w:t>in each region.</w:t>
                  </w:r>
                </w:p>
              </w:tc>
            </w:tr>
            <w:tr w:rsidR="009C6940" w14:paraId="685C5C81" w14:textId="77777777" w:rsidTr="009C6940">
              <w:tc>
                <w:tcPr>
                  <w:tcW w:w="934" w:type="pct"/>
                  <w:shd w:val="clear" w:color="auto" w:fill="auto"/>
                </w:tcPr>
                <w:p w14:paraId="1FA0E7D1" w14:textId="77777777" w:rsidR="009C6940" w:rsidRPr="00225753" w:rsidRDefault="009C6940" w:rsidP="009C6940">
                  <w:pPr>
                    <w:pStyle w:val="TableBodyText"/>
                    <w:ind w:left="120" w:hanging="114"/>
                    <w:jc w:val="left"/>
                  </w:pPr>
                  <w:r>
                    <w:t>Support services for carers and families</w:t>
                  </w:r>
                </w:p>
              </w:tc>
              <w:tc>
                <w:tcPr>
                  <w:tcW w:w="572" w:type="pct"/>
                </w:tcPr>
                <w:p w14:paraId="7AE9ED1A" w14:textId="77777777" w:rsidR="009C6940" w:rsidRDefault="009C6940" w:rsidP="009C6940">
                  <w:pPr>
                    <w:pStyle w:val="TableBodyText"/>
                  </w:pPr>
                  <w:r>
                    <w:t>87</w:t>
                  </w:r>
                </w:p>
              </w:tc>
              <w:tc>
                <w:tcPr>
                  <w:tcW w:w="573" w:type="pct"/>
                  <w:shd w:val="clear" w:color="auto" w:fill="auto"/>
                </w:tcPr>
                <w:p w14:paraId="7B39F6C7" w14:textId="77777777" w:rsidR="009C6940" w:rsidRDefault="009C6940" w:rsidP="009C6940">
                  <w:pPr>
                    <w:pStyle w:val="TableBodyText"/>
                  </w:pPr>
                  <w:r>
                    <w:t>–</w:t>
                  </w:r>
                </w:p>
              </w:tc>
              <w:tc>
                <w:tcPr>
                  <w:tcW w:w="2921" w:type="pct"/>
                  <w:shd w:val="clear" w:color="auto" w:fill="auto"/>
                </w:tcPr>
                <w:p w14:paraId="79BD25B4" w14:textId="77777777" w:rsidR="009C6940" w:rsidRDefault="009C6940" w:rsidP="009C6940">
                  <w:pPr>
                    <w:pStyle w:val="TableBodyText"/>
                    <w:jc w:val="left"/>
                  </w:pPr>
                  <w:r>
                    <w:t>Increased expenditure on family and carer support services.</w:t>
                  </w:r>
                </w:p>
              </w:tc>
            </w:tr>
            <w:tr w:rsidR="009C6940" w14:paraId="4009F8AF" w14:textId="77777777" w:rsidTr="009C6940">
              <w:tc>
                <w:tcPr>
                  <w:tcW w:w="934" w:type="pct"/>
                  <w:shd w:val="clear" w:color="auto" w:fill="auto"/>
                </w:tcPr>
                <w:p w14:paraId="3A55B348" w14:textId="77777777" w:rsidR="009C6940" w:rsidRPr="00023B4F" w:rsidRDefault="009C6940" w:rsidP="009C6940">
                  <w:pPr>
                    <w:pStyle w:val="TableBodyText"/>
                    <w:ind w:left="120" w:hanging="114"/>
                    <w:jc w:val="left"/>
                    <w:rPr>
                      <w:b/>
                    </w:rPr>
                  </w:pPr>
                  <w:r>
                    <w:t>Cost savings across carer actions</w:t>
                  </w:r>
                </w:p>
              </w:tc>
              <w:tc>
                <w:tcPr>
                  <w:tcW w:w="572" w:type="pct"/>
                </w:tcPr>
                <w:p w14:paraId="04CB92A6" w14:textId="77777777" w:rsidR="009C6940" w:rsidRDefault="009C6940" w:rsidP="009C6940">
                  <w:pPr>
                    <w:pStyle w:val="TableBodyText"/>
                  </w:pPr>
                </w:p>
              </w:tc>
              <w:tc>
                <w:tcPr>
                  <w:tcW w:w="573" w:type="pct"/>
                  <w:shd w:val="clear" w:color="auto" w:fill="auto"/>
                </w:tcPr>
                <w:p w14:paraId="10C59458" w14:textId="77777777" w:rsidR="009C6940" w:rsidRDefault="009C6940" w:rsidP="009C6940">
                  <w:pPr>
                    <w:pStyle w:val="TableBodyText"/>
                  </w:pPr>
                  <w:r>
                    <w:t>40–73</w:t>
                  </w:r>
                </w:p>
              </w:tc>
              <w:tc>
                <w:tcPr>
                  <w:tcW w:w="2921" w:type="pct"/>
                  <w:shd w:val="clear" w:color="auto" w:fill="auto"/>
                </w:tcPr>
                <w:p w14:paraId="06D8A3A1" w14:textId="77777777" w:rsidR="009C6940" w:rsidRDefault="009C6940" w:rsidP="009C6940">
                  <w:pPr>
                    <w:pStyle w:val="TableBodyText"/>
                    <w:jc w:val="left"/>
                  </w:pPr>
                  <w:r>
                    <w:t>Reductions in</w:t>
                  </w:r>
                  <w:r w:rsidRPr="000B17D3">
                    <w:t xml:space="preserve"> the number of hospital admissions and </w:t>
                  </w:r>
                  <w:r>
                    <w:t>emergency department</w:t>
                  </w:r>
                  <w:r w:rsidRPr="000B17D3">
                    <w:t xml:space="preserve"> presentations.</w:t>
                  </w:r>
                </w:p>
              </w:tc>
            </w:tr>
            <w:tr w:rsidR="009C6940" w14:paraId="301FBA81" w14:textId="77777777" w:rsidTr="009C6940">
              <w:tc>
                <w:tcPr>
                  <w:tcW w:w="934" w:type="pct"/>
                  <w:shd w:val="clear" w:color="auto" w:fill="F2F2F2"/>
                </w:tcPr>
                <w:p w14:paraId="599616F5" w14:textId="77777777" w:rsidR="009C6940" w:rsidRPr="00C124C9" w:rsidRDefault="009C6940" w:rsidP="009C6940">
                  <w:pPr>
                    <w:pStyle w:val="TableUnitsRow"/>
                    <w:jc w:val="left"/>
                    <w:rPr>
                      <w:b/>
                    </w:rPr>
                  </w:pPr>
                  <w:r w:rsidRPr="00C124C9">
                    <w:rPr>
                      <w:b/>
                    </w:rPr>
                    <w:t>Income and employment support</w:t>
                  </w:r>
                </w:p>
              </w:tc>
              <w:tc>
                <w:tcPr>
                  <w:tcW w:w="572" w:type="pct"/>
                  <w:shd w:val="clear" w:color="auto" w:fill="F2F2F2"/>
                </w:tcPr>
                <w:p w14:paraId="6DFB967C" w14:textId="77777777" w:rsidR="009C6940" w:rsidRPr="00C124C9" w:rsidRDefault="009C6940" w:rsidP="009C6940">
                  <w:pPr>
                    <w:pStyle w:val="TableBodyText"/>
                    <w:jc w:val="left"/>
                    <w:rPr>
                      <w:b/>
                    </w:rPr>
                  </w:pPr>
                </w:p>
              </w:tc>
              <w:tc>
                <w:tcPr>
                  <w:tcW w:w="573" w:type="pct"/>
                  <w:shd w:val="clear" w:color="auto" w:fill="F2F2F2"/>
                </w:tcPr>
                <w:p w14:paraId="67C8F8F2" w14:textId="77777777" w:rsidR="009C6940" w:rsidRPr="00C124C9" w:rsidRDefault="009C6940" w:rsidP="009C6940">
                  <w:pPr>
                    <w:pStyle w:val="TableBodyText"/>
                    <w:jc w:val="left"/>
                    <w:rPr>
                      <w:b/>
                    </w:rPr>
                  </w:pPr>
                </w:p>
              </w:tc>
              <w:tc>
                <w:tcPr>
                  <w:tcW w:w="2921" w:type="pct"/>
                  <w:shd w:val="clear" w:color="auto" w:fill="F2F2F2"/>
                </w:tcPr>
                <w:p w14:paraId="24035D51" w14:textId="77777777" w:rsidR="009C6940" w:rsidRPr="00C124C9" w:rsidRDefault="009C6940" w:rsidP="009C6940">
                  <w:pPr>
                    <w:pStyle w:val="TableBodyText"/>
                    <w:jc w:val="left"/>
                    <w:rPr>
                      <w:b/>
                    </w:rPr>
                  </w:pPr>
                </w:p>
              </w:tc>
            </w:tr>
            <w:tr w:rsidR="009C6940" w14:paraId="659ECCB6" w14:textId="77777777" w:rsidTr="009C6940">
              <w:tc>
                <w:tcPr>
                  <w:tcW w:w="934" w:type="pct"/>
                  <w:shd w:val="clear" w:color="auto" w:fill="auto"/>
                </w:tcPr>
                <w:p w14:paraId="4C42A4AE" w14:textId="77777777" w:rsidR="009C6940" w:rsidRPr="00225753" w:rsidRDefault="009C6940" w:rsidP="009C6940">
                  <w:pPr>
                    <w:pStyle w:val="TableBodyText"/>
                    <w:ind w:left="120" w:hanging="114"/>
                    <w:jc w:val="left"/>
                  </w:pPr>
                  <w:r>
                    <w:t>Staged</w:t>
                  </w:r>
                  <w:r w:rsidRPr="00CB376F">
                    <w:t xml:space="preserve"> rollout of I</w:t>
                  </w:r>
                  <w:r>
                    <w:t xml:space="preserve">ndividual Placement and Support </w:t>
                  </w:r>
                </w:p>
              </w:tc>
              <w:tc>
                <w:tcPr>
                  <w:tcW w:w="572" w:type="pct"/>
                  <w:shd w:val="clear" w:color="auto" w:fill="auto"/>
                </w:tcPr>
                <w:p w14:paraId="33B47B6E" w14:textId="77777777" w:rsidR="009C6940" w:rsidRDefault="009C6940" w:rsidP="009C6940">
                  <w:pPr>
                    <w:pStyle w:val="TableBodyText"/>
                  </w:pPr>
                  <w:r>
                    <w:t>108–286</w:t>
                  </w:r>
                </w:p>
              </w:tc>
              <w:tc>
                <w:tcPr>
                  <w:tcW w:w="573" w:type="pct"/>
                  <w:shd w:val="clear" w:color="auto" w:fill="auto"/>
                </w:tcPr>
                <w:p w14:paraId="2DF00B18" w14:textId="77777777" w:rsidR="009C6940" w:rsidRDefault="009C6940" w:rsidP="009C6940">
                  <w:pPr>
                    <w:pStyle w:val="TableBodyText"/>
                  </w:pPr>
                  <w:r>
                    <w:t>186–624</w:t>
                  </w:r>
                </w:p>
              </w:tc>
              <w:tc>
                <w:tcPr>
                  <w:tcW w:w="2921" w:type="pct"/>
                  <w:shd w:val="clear" w:color="auto" w:fill="auto"/>
                </w:tcPr>
                <w:p w14:paraId="6CE67347" w14:textId="77777777" w:rsidR="009C6940" w:rsidRDefault="009C6940" w:rsidP="009C6940">
                  <w:pPr>
                    <w:pStyle w:val="TableBodyText"/>
                    <w:jc w:val="left"/>
                  </w:pPr>
                  <w:r>
                    <w:t>Increased expenditures from cost of providing Individual Placement and Support.</w:t>
                  </w:r>
                </w:p>
                <w:p w14:paraId="5FE169A5" w14:textId="77777777" w:rsidR="009C6940" w:rsidRDefault="009C6940" w:rsidP="009C6940">
                  <w:pPr>
                    <w:pStyle w:val="TableBodyText"/>
                    <w:jc w:val="left"/>
                  </w:pPr>
                  <w:r>
                    <w:t>Cost savings are from reduction in use of healthcare services and reduction in Disability Employment Services costs which would have otherwise been incurred.</w:t>
                  </w:r>
                </w:p>
              </w:tc>
            </w:tr>
            <w:tr w:rsidR="009C6940" w14:paraId="1B316B5A" w14:textId="77777777" w:rsidTr="009C6940">
              <w:tc>
                <w:tcPr>
                  <w:tcW w:w="934" w:type="pct"/>
                  <w:shd w:val="clear" w:color="auto" w:fill="F2F2F2"/>
                </w:tcPr>
                <w:p w14:paraId="18203FEE" w14:textId="77777777" w:rsidR="009C6940" w:rsidRPr="00023B4F" w:rsidRDefault="009C6940" w:rsidP="009C6940">
                  <w:pPr>
                    <w:pStyle w:val="TableUnitsRow"/>
                    <w:jc w:val="left"/>
                    <w:rPr>
                      <w:b/>
                    </w:rPr>
                  </w:pPr>
                  <w:r w:rsidRPr="00023B4F">
                    <w:rPr>
                      <w:b/>
                    </w:rPr>
                    <w:t>Housing</w:t>
                  </w:r>
                </w:p>
              </w:tc>
              <w:tc>
                <w:tcPr>
                  <w:tcW w:w="572" w:type="pct"/>
                  <w:shd w:val="clear" w:color="auto" w:fill="F2F2F2"/>
                </w:tcPr>
                <w:p w14:paraId="284150D3" w14:textId="77777777" w:rsidR="009C6940" w:rsidRPr="00C124C9" w:rsidRDefault="009C6940" w:rsidP="009C6940">
                  <w:pPr>
                    <w:pStyle w:val="TableUnitsRow"/>
                    <w:jc w:val="left"/>
                    <w:rPr>
                      <w:b/>
                    </w:rPr>
                  </w:pPr>
                </w:p>
              </w:tc>
              <w:tc>
                <w:tcPr>
                  <w:tcW w:w="573" w:type="pct"/>
                  <w:shd w:val="clear" w:color="auto" w:fill="F2F2F2"/>
                </w:tcPr>
                <w:p w14:paraId="6CC66D71" w14:textId="77777777" w:rsidR="009C6940" w:rsidRPr="00C124C9" w:rsidRDefault="009C6940" w:rsidP="009C6940">
                  <w:pPr>
                    <w:pStyle w:val="TableUnitsRow"/>
                    <w:jc w:val="left"/>
                    <w:rPr>
                      <w:b/>
                    </w:rPr>
                  </w:pPr>
                </w:p>
              </w:tc>
              <w:tc>
                <w:tcPr>
                  <w:tcW w:w="2921" w:type="pct"/>
                  <w:shd w:val="clear" w:color="auto" w:fill="F2F2F2"/>
                </w:tcPr>
                <w:p w14:paraId="13616A23" w14:textId="77777777" w:rsidR="009C6940" w:rsidRPr="00C124C9" w:rsidRDefault="009C6940" w:rsidP="009C6940">
                  <w:pPr>
                    <w:pStyle w:val="TableUnitsRow"/>
                    <w:jc w:val="left"/>
                    <w:rPr>
                      <w:b/>
                    </w:rPr>
                  </w:pPr>
                </w:p>
              </w:tc>
            </w:tr>
            <w:tr w:rsidR="009C6940" w14:paraId="66A3AB68" w14:textId="77777777" w:rsidTr="009C6940">
              <w:tc>
                <w:tcPr>
                  <w:tcW w:w="934" w:type="pct"/>
                  <w:shd w:val="clear" w:color="auto" w:fill="auto"/>
                </w:tcPr>
                <w:p w14:paraId="51F01CBB" w14:textId="77777777" w:rsidR="009C6940" w:rsidRDefault="009C6940" w:rsidP="009C6940">
                  <w:pPr>
                    <w:pStyle w:val="TableBodyText"/>
                    <w:ind w:left="120" w:hanging="114"/>
                    <w:jc w:val="left"/>
                  </w:pPr>
                  <w:r w:rsidRPr="009A15BE">
                    <w:t xml:space="preserve">Housing security for people with mental illness </w:t>
                  </w:r>
                </w:p>
              </w:tc>
              <w:tc>
                <w:tcPr>
                  <w:tcW w:w="572" w:type="pct"/>
                  <w:shd w:val="clear" w:color="auto" w:fill="auto"/>
                </w:tcPr>
                <w:p w14:paraId="038B2541" w14:textId="77777777" w:rsidR="009C6940" w:rsidRDefault="009C6940" w:rsidP="009C6940">
                  <w:pPr>
                    <w:pStyle w:val="TableBodyText"/>
                  </w:pPr>
                  <w:r>
                    <w:t>12–52</w:t>
                  </w:r>
                </w:p>
              </w:tc>
              <w:tc>
                <w:tcPr>
                  <w:tcW w:w="573" w:type="pct"/>
                  <w:shd w:val="clear" w:color="auto" w:fill="auto"/>
                </w:tcPr>
                <w:p w14:paraId="0C20D0A2" w14:textId="77777777" w:rsidR="009C6940" w:rsidRDefault="009C6940" w:rsidP="009C6940">
                  <w:pPr>
                    <w:pStyle w:val="TableBodyText"/>
                  </w:pPr>
                  <w:r>
                    <w:t>–</w:t>
                  </w:r>
                </w:p>
              </w:tc>
              <w:tc>
                <w:tcPr>
                  <w:tcW w:w="2921" w:type="pct"/>
                  <w:shd w:val="clear" w:color="auto" w:fill="auto"/>
                </w:tcPr>
                <w:p w14:paraId="61F09C29" w14:textId="77777777" w:rsidR="009C6940" w:rsidRDefault="009C6940" w:rsidP="009C6940">
                  <w:pPr>
                    <w:pStyle w:val="TableBodyText"/>
                    <w:jc w:val="left"/>
                  </w:pPr>
                  <w:r>
                    <w:t>Increased expenditure for mental health training and resources for social housing workers and expansion of tenancy support programs.</w:t>
                  </w:r>
                </w:p>
              </w:tc>
            </w:tr>
            <w:tr w:rsidR="009C6940" w14:paraId="03EE3600" w14:textId="77777777" w:rsidTr="009C6940">
              <w:tc>
                <w:tcPr>
                  <w:tcW w:w="934" w:type="pct"/>
                  <w:shd w:val="clear" w:color="auto" w:fill="F2F2F2"/>
                </w:tcPr>
                <w:p w14:paraId="2FF39ECE" w14:textId="77777777" w:rsidR="009C6940" w:rsidRPr="009A15BE" w:rsidRDefault="009C6940" w:rsidP="009C6940">
                  <w:pPr>
                    <w:pStyle w:val="TableBodyText"/>
                    <w:ind w:left="120" w:hanging="114"/>
                    <w:jc w:val="left"/>
                  </w:pPr>
                  <w:r>
                    <w:t>Supported housing</w:t>
                  </w:r>
                  <w:r w:rsidRPr="009A15BE">
                    <w:t xml:space="preserve"> </w:t>
                  </w:r>
                </w:p>
              </w:tc>
              <w:tc>
                <w:tcPr>
                  <w:tcW w:w="572" w:type="pct"/>
                  <w:shd w:val="clear" w:color="auto" w:fill="F2F2F2"/>
                </w:tcPr>
                <w:p w14:paraId="30201F80" w14:textId="77777777" w:rsidR="009C6940" w:rsidRDefault="009C6940" w:rsidP="009C6940">
                  <w:pPr>
                    <w:pStyle w:val="TableBodyText"/>
                  </w:pPr>
                  <w:r>
                    <w:t>230–807</w:t>
                  </w:r>
                </w:p>
              </w:tc>
              <w:tc>
                <w:tcPr>
                  <w:tcW w:w="573" w:type="pct"/>
                  <w:shd w:val="clear" w:color="auto" w:fill="F2F2F2"/>
                </w:tcPr>
                <w:p w14:paraId="5B654318" w14:textId="77777777" w:rsidR="009C6940" w:rsidRDefault="009C6940" w:rsidP="009C6940">
                  <w:pPr>
                    <w:pStyle w:val="TableBodyText"/>
                  </w:pPr>
                  <w:r>
                    <w:t>147–540</w:t>
                  </w:r>
                </w:p>
              </w:tc>
              <w:tc>
                <w:tcPr>
                  <w:tcW w:w="2921" w:type="pct"/>
                  <w:shd w:val="clear" w:color="auto" w:fill="F2F2F2"/>
                </w:tcPr>
                <w:p w14:paraId="56CBE881" w14:textId="77777777" w:rsidR="009C6940" w:rsidRDefault="009C6940" w:rsidP="009C6940">
                  <w:pPr>
                    <w:pStyle w:val="TableBodyText"/>
                    <w:jc w:val="left"/>
                  </w:pPr>
                  <w:r>
                    <w:t>Increased expenditure for providing additional supported housing places and meeting the gap for homelessness services.</w:t>
                  </w:r>
                </w:p>
                <w:p w14:paraId="67A36F35" w14:textId="77777777" w:rsidR="009C6940" w:rsidRDefault="009C6940" w:rsidP="009C6940">
                  <w:pPr>
                    <w:pStyle w:val="TableBodyText"/>
                    <w:jc w:val="left"/>
                  </w:pPr>
                  <w:r>
                    <w:t>Cost savings are reductions in health and other expenditures.</w:t>
                  </w:r>
                </w:p>
              </w:tc>
            </w:tr>
            <w:tr w:rsidR="009C6940" w14:paraId="27E0A9AE" w14:textId="77777777" w:rsidTr="009C6940">
              <w:tc>
                <w:tcPr>
                  <w:tcW w:w="934" w:type="pct"/>
                  <w:shd w:val="clear" w:color="auto" w:fill="auto"/>
                </w:tcPr>
                <w:p w14:paraId="649A4722" w14:textId="77777777" w:rsidR="009C6940" w:rsidRPr="009A15BE" w:rsidRDefault="009C6940" w:rsidP="009C6940">
                  <w:pPr>
                    <w:pStyle w:val="TableBodyText"/>
                    <w:ind w:left="120" w:hanging="114"/>
                    <w:jc w:val="left"/>
                  </w:pPr>
                  <w:r>
                    <w:t>Housing after discharge from hospital or prison</w:t>
                  </w:r>
                </w:p>
              </w:tc>
              <w:tc>
                <w:tcPr>
                  <w:tcW w:w="572" w:type="pct"/>
                  <w:shd w:val="clear" w:color="auto" w:fill="auto"/>
                </w:tcPr>
                <w:p w14:paraId="0DA7D8D8" w14:textId="77777777" w:rsidR="009C6940" w:rsidRDefault="009C6940" w:rsidP="009C6940">
                  <w:pPr>
                    <w:pStyle w:val="TableBodyText"/>
                  </w:pPr>
                  <w:r>
                    <w:t>15–94</w:t>
                  </w:r>
                </w:p>
              </w:tc>
              <w:tc>
                <w:tcPr>
                  <w:tcW w:w="573" w:type="pct"/>
                  <w:shd w:val="clear" w:color="auto" w:fill="auto"/>
                </w:tcPr>
                <w:p w14:paraId="7B3682C0" w14:textId="77777777" w:rsidR="009C6940" w:rsidRDefault="009C6940" w:rsidP="009C6940">
                  <w:pPr>
                    <w:pStyle w:val="TableBodyText"/>
                  </w:pPr>
                  <w:r>
                    <w:t>25–333</w:t>
                  </w:r>
                </w:p>
              </w:tc>
              <w:tc>
                <w:tcPr>
                  <w:tcW w:w="2921" w:type="pct"/>
                  <w:shd w:val="clear" w:color="auto" w:fill="auto"/>
                </w:tcPr>
                <w:p w14:paraId="7542E700" w14:textId="77777777" w:rsidR="009C6940" w:rsidRDefault="009C6940" w:rsidP="009C6940">
                  <w:pPr>
                    <w:pStyle w:val="TableBodyText"/>
                    <w:jc w:val="left"/>
                  </w:pPr>
                  <w:r>
                    <w:t>Increased expenditure from care coordination and access to accommodation.</w:t>
                  </w:r>
                </w:p>
                <w:p w14:paraId="22A4D088" w14:textId="77777777" w:rsidR="009C6940" w:rsidRDefault="009C6940" w:rsidP="009C6940">
                  <w:pPr>
                    <w:pStyle w:val="TableBodyText"/>
                    <w:jc w:val="left"/>
                  </w:pPr>
                  <w:r>
                    <w:t>Cost saving are from reduction in use of healthcare services.</w:t>
                  </w:r>
                </w:p>
              </w:tc>
            </w:tr>
            <w:tr w:rsidR="009C6940" w14:paraId="0EEA663E" w14:textId="77777777" w:rsidTr="009C6940">
              <w:tc>
                <w:tcPr>
                  <w:tcW w:w="934" w:type="pct"/>
                  <w:tcBorders>
                    <w:bottom w:val="single" w:sz="4" w:space="0" w:color="BFBFBF" w:themeColor="background1" w:themeShade="BF"/>
                  </w:tcBorders>
                  <w:shd w:val="clear" w:color="auto" w:fill="F2F2F2"/>
                </w:tcPr>
                <w:p w14:paraId="70DA3B7E" w14:textId="77777777" w:rsidR="009C6940" w:rsidRPr="009A15BE" w:rsidRDefault="009C6940" w:rsidP="009C6940">
                  <w:pPr>
                    <w:pStyle w:val="TableBodyText"/>
                    <w:ind w:left="120" w:hanging="114"/>
                    <w:jc w:val="left"/>
                  </w:pPr>
                  <w:r>
                    <w:t>Homelessness services</w:t>
                  </w:r>
                </w:p>
              </w:tc>
              <w:tc>
                <w:tcPr>
                  <w:tcW w:w="572" w:type="pct"/>
                  <w:tcBorders>
                    <w:bottom w:val="single" w:sz="4" w:space="0" w:color="BFBFBF" w:themeColor="background1" w:themeShade="BF"/>
                  </w:tcBorders>
                  <w:shd w:val="clear" w:color="auto" w:fill="F2F2F2"/>
                </w:tcPr>
                <w:p w14:paraId="7F295551" w14:textId="77777777" w:rsidR="009C6940" w:rsidRDefault="009C6940" w:rsidP="009C6940">
                  <w:pPr>
                    <w:pStyle w:val="TableBodyText"/>
                  </w:pPr>
                  <w:r>
                    <w:t>278–393</w:t>
                  </w:r>
                </w:p>
              </w:tc>
              <w:tc>
                <w:tcPr>
                  <w:tcW w:w="573" w:type="pct"/>
                  <w:tcBorders>
                    <w:bottom w:val="single" w:sz="4" w:space="0" w:color="BFBFBF" w:themeColor="background1" w:themeShade="BF"/>
                  </w:tcBorders>
                  <w:shd w:val="clear" w:color="auto" w:fill="F2F2F2"/>
                </w:tcPr>
                <w:p w14:paraId="6FBB1110" w14:textId="77777777" w:rsidR="009C6940" w:rsidRDefault="009C6940" w:rsidP="009C6940">
                  <w:pPr>
                    <w:pStyle w:val="TableBodyText"/>
                  </w:pPr>
                  <w:r>
                    <w:t>67–132</w:t>
                  </w:r>
                </w:p>
              </w:tc>
              <w:tc>
                <w:tcPr>
                  <w:tcW w:w="2921" w:type="pct"/>
                  <w:tcBorders>
                    <w:bottom w:val="single" w:sz="4" w:space="0" w:color="BFBFBF" w:themeColor="background1" w:themeShade="BF"/>
                  </w:tcBorders>
                  <w:shd w:val="clear" w:color="auto" w:fill="F2F2F2"/>
                </w:tcPr>
                <w:p w14:paraId="768A90C4" w14:textId="77777777" w:rsidR="009C6940" w:rsidRDefault="009C6940" w:rsidP="009C6940">
                  <w:pPr>
                    <w:pStyle w:val="TableBodyText"/>
                    <w:jc w:val="left"/>
                  </w:pPr>
                  <w:r>
                    <w:t>Increased expenditure from homelessness services and long</w:t>
                  </w:r>
                  <w:r>
                    <w:noBreakHyphen/>
                    <w:t>term housing arrangements</w:t>
                  </w:r>
                </w:p>
                <w:p w14:paraId="3CE09615" w14:textId="77777777" w:rsidR="009C6940" w:rsidRDefault="009C6940" w:rsidP="009C6940">
                  <w:pPr>
                    <w:pStyle w:val="TableBodyText"/>
                    <w:jc w:val="left"/>
                  </w:pPr>
                  <w:r>
                    <w:t>Cost saving are from reduction in use of healthcare services.</w:t>
                  </w:r>
                </w:p>
              </w:tc>
            </w:tr>
          </w:tbl>
          <w:p w14:paraId="51611E5B" w14:textId="77777777" w:rsidR="009C6940" w:rsidRDefault="009C6940" w:rsidP="009C6940">
            <w:pPr>
              <w:pStyle w:val="Box"/>
            </w:pPr>
          </w:p>
        </w:tc>
      </w:tr>
      <w:tr w:rsidR="009C6940" w14:paraId="4A7B3947" w14:textId="77777777" w:rsidTr="009C6940">
        <w:tc>
          <w:tcPr>
            <w:tcW w:w="13273" w:type="dxa"/>
            <w:tcBorders>
              <w:top w:val="nil"/>
              <w:left w:val="nil"/>
              <w:bottom w:val="nil"/>
              <w:right w:val="nil"/>
            </w:tcBorders>
            <w:shd w:val="clear" w:color="auto" w:fill="auto"/>
          </w:tcPr>
          <w:p w14:paraId="5E465016" w14:textId="77777777" w:rsidR="009C6940" w:rsidRPr="00057B39" w:rsidRDefault="009C6940" w:rsidP="009C6940">
            <w:pPr>
              <w:pStyle w:val="Continued"/>
            </w:pPr>
            <w:r w:rsidRPr="00057B39">
              <w:t>(continued next page)</w:t>
            </w:r>
          </w:p>
        </w:tc>
      </w:tr>
      <w:tr w:rsidR="009C6940" w14:paraId="6AE21915" w14:textId="77777777" w:rsidTr="009C6940">
        <w:tc>
          <w:tcPr>
            <w:tcW w:w="13273" w:type="dxa"/>
            <w:tcBorders>
              <w:top w:val="nil"/>
              <w:left w:val="nil"/>
              <w:bottom w:val="single" w:sz="6" w:space="0" w:color="78A22F"/>
              <w:right w:val="nil"/>
            </w:tcBorders>
            <w:shd w:val="clear" w:color="auto" w:fill="auto"/>
          </w:tcPr>
          <w:p w14:paraId="74513819" w14:textId="77777777" w:rsidR="009C6940" w:rsidRDefault="009C6940" w:rsidP="009C6940">
            <w:pPr>
              <w:pStyle w:val="Box"/>
              <w:spacing w:before="0" w:line="120" w:lineRule="exact"/>
            </w:pPr>
          </w:p>
        </w:tc>
      </w:tr>
      <w:tr w:rsidR="009C6940" w:rsidRPr="000863A5" w14:paraId="4F9D8783" w14:textId="77777777" w:rsidTr="009C6940">
        <w:tc>
          <w:tcPr>
            <w:tcW w:w="13273" w:type="dxa"/>
            <w:tcBorders>
              <w:top w:val="single" w:sz="6" w:space="0" w:color="78A22F"/>
              <w:left w:val="nil"/>
              <w:bottom w:val="nil"/>
              <w:right w:val="nil"/>
            </w:tcBorders>
          </w:tcPr>
          <w:p w14:paraId="7EE91A29" w14:textId="77777777" w:rsidR="009C6940" w:rsidRPr="00626D32" w:rsidRDefault="009C6940" w:rsidP="009C6940">
            <w:pPr>
              <w:pStyle w:val="BoxSpaceBelow"/>
            </w:pPr>
          </w:p>
        </w:tc>
      </w:tr>
    </w:tbl>
    <w:p w14:paraId="696486BA" w14:textId="77777777" w:rsidR="009C6940" w:rsidDel="00FB22E2" w:rsidRDefault="009C6940" w:rsidP="009C69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9C6940" w14:paraId="782CF6CD" w14:textId="77777777" w:rsidTr="009C6940">
        <w:tc>
          <w:tcPr>
            <w:tcW w:w="13273" w:type="dxa"/>
            <w:tcBorders>
              <w:top w:val="single" w:sz="6" w:space="0" w:color="78A22F"/>
              <w:left w:val="nil"/>
              <w:bottom w:val="nil"/>
              <w:right w:val="nil"/>
            </w:tcBorders>
            <w:shd w:val="clear" w:color="auto" w:fill="auto"/>
          </w:tcPr>
          <w:p w14:paraId="50917B1D" w14:textId="77777777" w:rsidR="009C6940" w:rsidRPr="00C764EE" w:rsidRDefault="009C6940" w:rsidP="009C6940">
            <w:pPr>
              <w:pStyle w:val="TableTitle"/>
            </w:pPr>
            <w:r>
              <w:rPr>
                <w:b w:val="0"/>
              </w:rPr>
              <w:t>Table I.2</w:t>
            </w:r>
            <w:r>
              <w:tab/>
            </w:r>
            <w:r w:rsidRPr="00C124C9">
              <w:rPr>
                <w:b w:val="0"/>
                <w:sz w:val="18"/>
                <w:szCs w:val="18"/>
              </w:rPr>
              <w:t>(continued)</w:t>
            </w:r>
          </w:p>
        </w:tc>
      </w:tr>
      <w:tr w:rsidR="009C6940" w14:paraId="143697B3" w14:textId="77777777" w:rsidTr="009C6940">
        <w:tc>
          <w:tcPr>
            <w:tcW w:w="13273" w:type="dxa"/>
            <w:tcBorders>
              <w:top w:val="nil"/>
              <w:left w:val="nil"/>
              <w:bottom w:val="nil"/>
              <w:right w:val="nil"/>
            </w:tcBorders>
            <w:shd w:val="clear" w:color="auto" w:fill="auto"/>
          </w:tcPr>
          <w:tbl>
            <w:tblPr>
              <w:tblW w:w="13019" w:type="dxa"/>
              <w:tblCellMar>
                <w:top w:w="28" w:type="dxa"/>
                <w:left w:w="0" w:type="dxa"/>
                <w:right w:w="0" w:type="dxa"/>
              </w:tblCellMar>
              <w:tblLook w:val="0000" w:firstRow="0" w:lastRow="0" w:firstColumn="0" w:lastColumn="0" w:noHBand="0" w:noVBand="0"/>
            </w:tblPr>
            <w:tblGrid>
              <w:gridCol w:w="2813"/>
              <w:gridCol w:w="1489"/>
              <w:gridCol w:w="1489"/>
              <w:gridCol w:w="7228"/>
            </w:tblGrid>
            <w:tr w:rsidR="009C6940" w14:paraId="74304402" w14:textId="77777777" w:rsidTr="009C6940">
              <w:trPr>
                <w:tblHeader/>
              </w:trPr>
              <w:tc>
                <w:tcPr>
                  <w:tcW w:w="1080" w:type="pct"/>
                  <w:tcBorders>
                    <w:top w:val="single" w:sz="6" w:space="0" w:color="BFBFBF"/>
                    <w:bottom w:val="single" w:sz="6" w:space="0" w:color="BFBFBF"/>
                  </w:tcBorders>
                  <w:shd w:val="clear" w:color="auto" w:fill="auto"/>
                  <w:tcMar>
                    <w:top w:w="28" w:type="dxa"/>
                  </w:tcMar>
                </w:tcPr>
                <w:p w14:paraId="70050C8F" w14:textId="77777777" w:rsidR="009C6940" w:rsidRDefault="009C6940" w:rsidP="009C6940">
                  <w:pPr>
                    <w:pStyle w:val="TableColumnHeading"/>
                    <w:jc w:val="left"/>
                  </w:pPr>
                  <w:r>
                    <w:t>Actions</w:t>
                  </w:r>
                </w:p>
              </w:tc>
              <w:tc>
                <w:tcPr>
                  <w:tcW w:w="572" w:type="pct"/>
                  <w:tcBorders>
                    <w:top w:val="single" w:sz="6" w:space="0" w:color="BFBFBF"/>
                    <w:bottom w:val="single" w:sz="6" w:space="0" w:color="BFBFBF"/>
                  </w:tcBorders>
                </w:tcPr>
                <w:p w14:paraId="0CBFADFB" w14:textId="77777777" w:rsidR="009C6940" w:rsidRDefault="009C6940" w:rsidP="009C6940">
                  <w:pPr>
                    <w:pStyle w:val="TableColumnHeading"/>
                  </w:pPr>
                  <w:r>
                    <w:t>Cost increases</w:t>
                  </w:r>
                  <w:r>
                    <w:br/>
                    <w:t>($m)</w:t>
                  </w:r>
                </w:p>
              </w:tc>
              <w:tc>
                <w:tcPr>
                  <w:tcW w:w="572" w:type="pct"/>
                  <w:tcBorders>
                    <w:top w:val="single" w:sz="6" w:space="0" w:color="BFBFBF"/>
                    <w:bottom w:val="single" w:sz="6" w:space="0" w:color="BFBFBF"/>
                  </w:tcBorders>
                  <w:shd w:val="clear" w:color="auto" w:fill="auto"/>
                  <w:tcMar>
                    <w:top w:w="28" w:type="dxa"/>
                  </w:tcMar>
                </w:tcPr>
                <w:p w14:paraId="30823C8B" w14:textId="77777777" w:rsidR="009C6940" w:rsidRDefault="009C6940" w:rsidP="009C6940">
                  <w:pPr>
                    <w:pStyle w:val="TableColumnHeading"/>
                  </w:pPr>
                  <w:r>
                    <w:t>Cost savings ($m)</w:t>
                  </w:r>
                </w:p>
              </w:tc>
              <w:tc>
                <w:tcPr>
                  <w:tcW w:w="2776" w:type="pct"/>
                  <w:tcBorders>
                    <w:top w:val="single" w:sz="6" w:space="0" w:color="BFBFBF"/>
                    <w:bottom w:val="single" w:sz="6" w:space="0" w:color="BFBFBF"/>
                  </w:tcBorders>
                  <w:shd w:val="clear" w:color="auto" w:fill="auto"/>
                </w:tcPr>
                <w:p w14:paraId="0F59697B" w14:textId="77777777" w:rsidR="009C6940" w:rsidRDefault="009C6940" w:rsidP="009C6940">
                  <w:pPr>
                    <w:pStyle w:val="TableColumnHeading"/>
                    <w:jc w:val="left"/>
                  </w:pPr>
                  <w:r>
                    <w:t>Description of costs included</w:t>
                  </w:r>
                </w:p>
              </w:tc>
            </w:tr>
            <w:tr w:rsidR="009C6940" w14:paraId="36AD6D3F" w14:textId="77777777" w:rsidTr="009C6940">
              <w:tc>
                <w:tcPr>
                  <w:tcW w:w="1080" w:type="pct"/>
                  <w:tcBorders>
                    <w:top w:val="single" w:sz="6" w:space="0" w:color="BFBFBF"/>
                  </w:tcBorders>
                </w:tcPr>
                <w:p w14:paraId="7AAE06FF" w14:textId="77777777" w:rsidR="009C6940" w:rsidRPr="00130443" w:rsidRDefault="009C6940" w:rsidP="009C6940">
                  <w:pPr>
                    <w:pStyle w:val="TableUnitsRow"/>
                    <w:jc w:val="left"/>
                    <w:rPr>
                      <w:b/>
                    </w:rPr>
                  </w:pPr>
                  <w:r w:rsidRPr="00023B4F">
                    <w:rPr>
                      <w:b/>
                    </w:rPr>
                    <w:t>Psychosocial support</w:t>
                  </w:r>
                </w:p>
              </w:tc>
              <w:tc>
                <w:tcPr>
                  <w:tcW w:w="572" w:type="pct"/>
                  <w:tcBorders>
                    <w:top w:val="single" w:sz="6" w:space="0" w:color="BFBFBF"/>
                  </w:tcBorders>
                </w:tcPr>
                <w:p w14:paraId="014F51A9" w14:textId="77777777" w:rsidR="009C6940" w:rsidRPr="00C124C9" w:rsidRDefault="009C6940" w:rsidP="009C6940">
                  <w:pPr>
                    <w:pStyle w:val="TableUnitsRow"/>
                    <w:jc w:val="left"/>
                    <w:rPr>
                      <w:b/>
                    </w:rPr>
                  </w:pPr>
                </w:p>
              </w:tc>
              <w:tc>
                <w:tcPr>
                  <w:tcW w:w="572" w:type="pct"/>
                  <w:tcBorders>
                    <w:top w:val="single" w:sz="6" w:space="0" w:color="BFBFBF"/>
                  </w:tcBorders>
                  <w:shd w:val="clear" w:color="auto" w:fill="auto"/>
                </w:tcPr>
                <w:p w14:paraId="5AFC7EF5" w14:textId="77777777" w:rsidR="009C6940" w:rsidRPr="00C124C9" w:rsidRDefault="009C6940" w:rsidP="009C6940">
                  <w:pPr>
                    <w:pStyle w:val="TableUnitsRow"/>
                    <w:jc w:val="left"/>
                    <w:rPr>
                      <w:b/>
                    </w:rPr>
                  </w:pPr>
                </w:p>
              </w:tc>
              <w:tc>
                <w:tcPr>
                  <w:tcW w:w="2776" w:type="pct"/>
                  <w:tcBorders>
                    <w:top w:val="single" w:sz="6" w:space="0" w:color="BFBFBF"/>
                  </w:tcBorders>
                  <w:shd w:val="clear" w:color="auto" w:fill="auto"/>
                </w:tcPr>
                <w:p w14:paraId="239F708C" w14:textId="77777777" w:rsidR="009C6940" w:rsidRPr="00C124C9" w:rsidRDefault="009C6940" w:rsidP="009C6940">
                  <w:pPr>
                    <w:pStyle w:val="TableUnitsRow"/>
                    <w:jc w:val="left"/>
                    <w:rPr>
                      <w:b/>
                    </w:rPr>
                  </w:pPr>
                </w:p>
              </w:tc>
            </w:tr>
            <w:tr w:rsidR="009C6940" w14:paraId="09157502" w14:textId="77777777" w:rsidTr="009C6940">
              <w:tc>
                <w:tcPr>
                  <w:tcW w:w="1080" w:type="pct"/>
                  <w:shd w:val="clear" w:color="auto" w:fill="F2F2F2" w:themeFill="background1" w:themeFillShade="F2"/>
                </w:tcPr>
                <w:p w14:paraId="3644E12E" w14:textId="77777777" w:rsidR="009C6940" w:rsidRPr="00225753" w:rsidRDefault="009C6940" w:rsidP="009C6940">
                  <w:pPr>
                    <w:pStyle w:val="TableBodyText"/>
                    <w:ind w:left="120" w:hanging="114"/>
                    <w:jc w:val="left"/>
                  </w:pPr>
                  <w:r>
                    <w:t>Filling the gap in demand for psychosocial support services</w:t>
                  </w:r>
                </w:p>
              </w:tc>
              <w:tc>
                <w:tcPr>
                  <w:tcW w:w="572" w:type="pct"/>
                  <w:shd w:val="clear" w:color="auto" w:fill="F2F2F2" w:themeFill="background1" w:themeFillShade="F2"/>
                </w:tcPr>
                <w:p w14:paraId="0B7F6CA5" w14:textId="77777777" w:rsidR="009C6940" w:rsidRDefault="009C6940" w:rsidP="009C6940">
                  <w:pPr>
                    <w:pStyle w:val="TableBodyText"/>
                  </w:pPr>
                  <w:r>
                    <w:t>373–1 085</w:t>
                  </w:r>
                </w:p>
              </w:tc>
              <w:tc>
                <w:tcPr>
                  <w:tcW w:w="572" w:type="pct"/>
                  <w:shd w:val="clear" w:color="auto" w:fill="F2F2F2" w:themeFill="background1" w:themeFillShade="F2"/>
                </w:tcPr>
                <w:p w14:paraId="32779BA2" w14:textId="77777777" w:rsidR="009C6940" w:rsidRDefault="009C6940" w:rsidP="009C6940">
                  <w:pPr>
                    <w:pStyle w:val="TableBodyText"/>
                  </w:pPr>
                  <w:r>
                    <w:t>–</w:t>
                  </w:r>
                </w:p>
              </w:tc>
              <w:tc>
                <w:tcPr>
                  <w:tcW w:w="2776" w:type="pct"/>
                  <w:shd w:val="clear" w:color="auto" w:fill="F2F2F2" w:themeFill="background1" w:themeFillShade="F2"/>
                </w:tcPr>
                <w:p w14:paraId="319A5757" w14:textId="77777777" w:rsidR="009C6940" w:rsidRDefault="009C6940" w:rsidP="009C6940">
                  <w:pPr>
                    <w:pStyle w:val="TableBodyText"/>
                    <w:jc w:val="left"/>
                  </w:pPr>
                  <w:r>
                    <w:t>Increased expenditures from providing additional psychosocial supports — expenditures are based on past programs — Personal Helper and Mentors Service (PHaMs) and Day to Day Living in the Community (D2DL).</w:t>
                  </w:r>
                </w:p>
              </w:tc>
            </w:tr>
            <w:tr w:rsidR="009C6940" w14:paraId="5044CE55" w14:textId="77777777" w:rsidTr="009C6940">
              <w:tc>
                <w:tcPr>
                  <w:tcW w:w="1080" w:type="pct"/>
                  <w:shd w:val="clear" w:color="auto" w:fill="auto"/>
                </w:tcPr>
                <w:p w14:paraId="17367D62" w14:textId="77777777" w:rsidR="009C6940" w:rsidRPr="00225753" w:rsidRDefault="009C6940" w:rsidP="009C6940">
                  <w:pPr>
                    <w:pStyle w:val="TableBodyText"/>
                    <w:ind w:left="120" w:hanging="114"/>
                    <w:jc w:val="left"/>
                  </w:pPr>
                  <w:r w:rsidRPr="00023B4F">
                    <w:rPr>
                      <w:b/>
                    </w:rPr>
                    <w:t>Justice</w:t>
                  </w:r>
                  <w:r>
                    <w:rPr>
                      <w:rStyle w:val="NoteLabel"/>
                    </w:rPr>
                    <w:t>b</w:t>
                  </w:r>
                </w:p>
              </w:tc>
              <w:tc>
                <w:tcPr>
                  <w:tcW w:w="572" w:type="pct"/>
                </w:tcPr>
                <w:p w14:paraId="2074E029" w14:textId="77777777" w:rsidR="009C6940" w:rsidRDefault="009C6940" w:rsidP="009C6940">
                  <w:pPr>
                    <w:pStyle w:val="TableBodyText"/>
                  </w:pPr>
                </w:p>
              </w:tc>
              <w:tc>
                <w:tcPr>
                  <w:tcW w:w="572" w:type="pct"/>
                  <w:shd w:val="clear" w:color="auto" w:fill="auto"/>
                </w:tcPr>
                <w:p w14:paraId="3EC84A47" w14:textId="77777777" w:rsidR="009C6940" w:rsidRDefault="009C6940" w:rsidP="009C6940">
                  <w:pPr>
                    <w:pStyle w:val="TableBodyText"/>
                  </w:pPr>
                </w:p>
              </w:tc>
              <w:tc>
                <w:tcPr>
                  <w:tcW w:w="2776" w:type="pct"/>
                  <w:shd w:val="clear" w:color="auto" w:fill="auto"/>
                </w:tcPr>
                <w:p w14:paraId="24D66747" w14:textId="77777777" w:rsidR="009C6940" w:rsidRDefault="009C6940" w:rsidP="009C6940">
                  <w:pPr>
                    <w:pStyle w:val="TableBodyText"/>
                    <w:jc w:val="left"/>
                  </w:pPr>
                </w:p>
              </w:tc>
            </w:tr>
            <w:tr w:rsidR="009C6940" w14:paraId="2071629B" w14:textId="77777777" w:rsidTr="009C6940">
              <w:tc>
                <w:tcPr>
                  <w:tcW w:w="1080" w:type="pct"/>
                  <w:shd w:val="clear" w:color="auto" w:fill="F2F2F2" w:themeFill="background1" w:themeFillShade="F2"/>
                </w:tcPr>
                <w:p w14:paraId="7AAC6DEA" w14:textId="77777777" w:rsidR="009C6940" w:rsidRDefault="009C6940" w:rsidP="009C6940">
                  <w:pPr>
                    <w:pStyle w:val="TableBodyText"/>
                    <w:ind w:left="120" w:hanging="114"/>
                    <w:jc w:val="left"/>
                  </w:pPr>
                  <w:r w:rsidRPr="008F71E4">
                    <w:t>Improving access to court diversion programs</w:t>
                  </w:r>
                </w:p>
              </w:tc>
              <w:tc>
                <w:tcPr>
                  <w:tcW w:w="572" w:type="pct"/>
                  <w:shd w:val="clear" w:color="auto" w:fill="F2F2F2" w:themeFill="background1" w:themeFillShade="F2"/>
                </w:tcPr>
                <w:p w14:paraId="44019E72" w14:textId="77777777" w:rsidR="009C6940" w:rsidRDefault="009C6940" w:rsidP="009C6940">
                  <w:pPr>
                    <w:pStyle w:val="TableBodyText"/>
                  </w:pPr>
                  <w:r>
                    <w:t>46</w:t>
                  </w:r>
                </w:p>
              </w:tc>
              <w:tc>
                <w:tcPr>
                  <w:tcW w:w="572" w:type="pct"/>
                  <w:shd w:val="clear" w:color="auto" w:fill="F2F2F2" w:themeFill="background1" w:themeFillShade="F2"/>
                </w:tcPr>
                <w:p w14:paraId="0D285FBF" w14:textId="77777777" w:rsidR="009C6940" w:rsidRDefault="009C6940" w:rsidP="009C6940">
                  <w:pPr>
                    <w:pStyle w:val="TableBodyText"/>
                  </w:pPr>
                  <w:r w:rsidRPr="00FF0B93">
                    <w:t>–</w:t>
                  </w:r>
                </w:p>
              </w:tc>
              <w:tc>
                <w:tcPr>
                  <w:tcW w:w="2776" w:type="pct"/>
                  <w:shd w:val="clear" w:color="auto" w:fill="F2F2F2" w:themeFill="background1" w:themeFillShade="F2"/>
                </w:tcPr>
                <w:p w14:paraId="60EDDE2E" w14:textId="77777777" w:rsidR="009C6940" w:rsidRDefault="009C6940" w:rsidP="009C6940">
                  <w:pPr>
                    <w:pStyle w:val="TableBodyText"/>
                    <w:jc w:val="left"/>
                  </w:pPr>
                  <w:r>
                    <w:t>Increased expenditures from ensuring that all magistrate courts have court liaison services, and the associated additional cost for mental health courts.</w:t>
                  </w:r>
                </w:p>
              </w:tc>
            </w:tr>
            <w:tr w:rsidR="009C6940" w14:paraId="11BDE601" w14:textId="77777777" w:rsidTr="009C6940">
              <w:tc>
                <w:tcPr>
                  <w:tcW w:w="1080" w:type="pct"/>
                  <w:shd w:val="clear" w:color="auto" w:fill="auto"/>
                </w:tcPr>
                <w:p w14:paraId="38E08A42" w14:textId="77777777" w:rsidR="009C6940" w:rsidRPr="00225753" w:rsidRDefault="009C6940" w:rsidP="009C6940">
                  <w:pPr>
                    <w:pStyle w:val="TableBodyText"/>
                    <w:ind w:left="120" w:hanging="114"/>
                    <w:jc w:val="left"/>
                  </w:pPr>
                  <w:r>
                    <w:t>Increased support for police</w:t>
                  </w:r>
                </w:p>
              </w:tc>
              <w:tc>
                <w:tcPr>
                  <w:tcW w:w="572" w:type="pct"/>
                  <w:shd w:val="clear" w:color="auto" w:fill="auto"/>
                </w:tcPr>
                <w:p w14:paraId="1924D76D" w14:textId="77777777" w:rsidR="009C6940" w:rsidRDefault="009C6940" w:rsidP="009C6940">
                  <w:pPr>
                    <w:pStyle w:val="TableBodyText"/>
                  </w:pPr>
                  <w:r>
                    <w:t>15–23</w:t>
                  </w:r>
                </w:p>
              </w:tc>
              <w:tc>
                <w:tcPr>
                  <w:tcW w:w="572" w:type="pct"/>
                  <w:shd w:val="clear" w:color="auto" w:fill="auto"/>
                </w:tcPr>
                <w:p w14:paraId="35693515" w14:textId="77777777" w:rsidR="009C6940" w:rsidRDefault="009C6940" w:rsidP="009C6940">
                  <w:pPr>
                    <w:pStyle w:val="TableBodyText"/>
                  </w:pPr>
                  <w:r>
                    <w:t>12–18</w:t>
                  </w:r>
                </w:p>
              </w:tc>
              <w:tc>
                <w:tcPr>
                  <w:tcW w:w="2776" w:type="pct"/>
                  <w:shd w:val="clear" w:color="auto" w:fill="auto"/>
                </w:tcPr>
                <w:p w14:paraId="20264138" w14:textId="77777777" w:rsidR="009C6940" w:rsidRDefault="009C6940" w:rsidP="009C6940">
                  <w:pPr>
                    <w:pStyle w:val="TableBodyText"/>
                    <w:jc w:val="left"/>
                  </w:pPr>
                  <w:r>
                    <w:t>Increased expenditures from scaling up co</w:t>
                  </w:r>
                  <w:r>
                    <w:noBreakHyphen/>
                    <w:t>responder models, based off similar programs in other states, nationally.</w:t>
                  </w:r>
                </w:p>
                <w:p w14:paraId="76A0CBF8" w14:textId="77777777" w:rsidR="009C6940" w:rsidRDefault="009C6940" w:rsidP="009C6940">
                  <w:pPr>
                    <w:pStyle w:val="TableBodyText"/>
                    <w:jc w:val="left"/>
                  </w:pPr>
                  <w:r>
                    <w:t>Cost savings from reduction in emergency department attendances and reduced police time spent on mental health</w:t>
                  </w:r>
                  <w:r>
                    <w:noBreakHyphen/>
                    <w:t>related cases.</w:t>
                  </w:r>
                </w:p>
              </w:tc>
            </w:tr>
            <w:tr w:rsidR="009C6940" w14:paraId="343617DA" w14:textId="77777777" w:rsidTr="009C6940">
              <w:tc>
                <w:tcPr>
                  <w:tcW w:w="1080" w:type="pct"/>
                  <w:shd w:val="clear" w:color="auto" w:fill="F2F2F2" w:themeFill="background1" w:themeFillShade="F2"/>
                </w:tcPr>
                <w:p w14:paraId="3D2D600C" w14:textId="77777777" w:rsidR="009C6940" w:rsidRDefault="009C6940" w:rsidP="009C6940">
                  <w:pPr>
                    <w:pStyle w:val="TableBodyText"/>
                    <w:ind w:left="120" w:hanging="114"/>
                    <w:jc w:val="left"/>
                  </w:pPr>
                  <w:r>
                    <w:t>Additional mental health expenditure on prisoners</w:t>
                  </w:r>
                </w:p>
              </w:tc>
              <w:tc>
                <w:tcPr>
                  <w:tcW w:w="572" w:type="pct"/>
                  <w:shd w:val="clear" w:color="auto" w:fill="F2F2F2" w:themeFill="background1" w:themeFillShade="F2"/>
                </w:tcPr>
                <w:p w14:paraId="10CA823B" w14:textId="77777777" w:rsidR="009C6940" w:rsidRDefault="009C6940" w:rsidP="009C6940">
                  <w:pPr>
                    <w:pStyle w:val="TableBodyText"/>
                  </w:pPr>
                  <w:r>
                    <w:t>48–110</w:t>
                  </w:r>
                </w:p>
              </w:tc>
              <w:tc>
                <w:tcPr>
                  <w:tcW w:w="572" w:type="pct"/>
                  <w:shd w:val="clear" w:color="auto" w:fill="F2F2F2" w:themeFill="background1" w:themeFillShade="F2"/>
                </w:tcPr>
                <w:p w14:paraId="43F2CB0E" w14:textId="77777777" w:rsidR="009C6940" w:rsidRPr="00FF0B93" w:rsidRDefault="009C6940" w:rsidP="009C6940">
                  <w:pPr>
                    <w:pStyle w:val="TableBodyText"/>
                  </w:pPr>
                  <w:r w:rsidRPr="00FF0B93">
                    <w:t>–</w:t>
                  </w:r>
                </w:p>
              </w:tc>
              <w:tc>
                <w:tcPr>
                  <w:tcW w:w="2776" w:type="pct"/>
                  <w:shd w:val="clear" w:color="auto" w:fill="F2F2F2" w:themeFill="background1" w:themeFillShade="F2"/>
                </w:tcPr>
                <w:p w14:paraId="5464A5B6" w14:textId="77777777" w:rsidR="009C6940" w:rsidRDefault="009C6940" w:rsidP="009C6940">
                  <w:pPr>
                    <w:pStyle w:val="TableBodyText"/>
                    <w:jc w:val="left"/>
                  </w:pPr>
                  <w:r>
                    <w:t>Increased expenditures so that the expenditure per prisoner is equivalent to the expenditure per person in the community.</w:t>
                  </w:r>
                </w:p>
              </w:tc>
            </w:tr>
            <w:tr w:rsidR="009C6940" w14:paraId="28239F37" w14:textId="77777777" w:rsidTr="009C6940">
              <w:tc>
                <w:tcPr>
                  <w:tcW w:w="1080" w:type="pct"/>
                  <w:shd w:val="clear" w:color="auto" w:fill="auto"/>
                </w:tcPr>
                <w:p w14:paraId="1A3DCCC8" w14:textId="77777777" w:rsidR="009C6940" w:rsidRDefault="009C6940" w:rsidP="009C6940">
                  <w:pPr>
                    <w:pStyle w:val="TableBodyText"/>
                    <w:ind w:left="120" w:hanging="114"/>
                    <w:jc w:val="left"/>
                  </w:pPr>
                  <w:r w:rsidRPr="008F71E4">
                    <w:t xml:space="preserve">Aboriginal and Torres Strait Islander </w:t>
                  </w:r>
                  <w:r>
                    <w:t>prison expenditure.</w:t>
                  </w:r>
                </w:p>
              </w:tc>
              <w:tc>
                <w:tcPr>
                  <w:tcW w:w="572" w:type="pct"/>
                  <w:shd w:val="clear" w:color="auto" w:fill="auto"/>
                </w:tcPr>
                <w:p w14:paraId="4FE5CC2D" w14:textId="77777777" w:rsidR="009C6940" w:rsidRDefault="009C6940" w:rsidP="009C6940">
                  <w:pPr>
                    <w:pStyle w:val="TableBodyText"/>
                  </w:pPr>
                  <w:r>
                    <w:t>170</w:t>
                  </w:r>
                </w:p>
              </w:tc>
              <w:tc>
                <w:tcPr>
                  <w:tcW w:w="572" w:type="pct"/>
                  <w:shd w:val="clear" w:color="auto" w:fill="auto"/>
                </w:tcPr>
                <w:p w14:paraId="3DD6CB0A" w14:textId="77777777" w:rsidR="009C6940" w:rsidRPr="00FF0B93" w:rsidRDefault="009C6940" w:rsidP="009C6940">
                  <w:pPr>
                    <w:pStyle w:val="TableBodyText"/>
                  </w:pPr>
                  <w:r w:rsidRPr="00FF0B93">
                    <w:t>–</w:t>
                  </w:r>
                </w:p>
              </w:tc>
              <w:tc>
                <w:tcPr>
                  <w:tcW w:w="2776" w:type="pct"/>
                  <w:shd w:val="clear" w:color="auto" w:fill="auto"/>
                </w:tcPr>
                <w:p w14:paraId="74381FA9" w14:textId="77777777" w:rsidR="009C6940" w:rsidRDefault="009C6940" w:rsidP="009C6940">
                  <w:pPr>
                    <w:pStyle w:val="TableBodyText"/>
                    <w:jc w:val="left"/>
                  </w:pPr>
                  <w:r>
                    <w:t>Increased expenditure are cost of establishing models, similar to the Winnunga Model of Care in the ACT, nationally.</w:t>
                  </w:r>
                </w:p>
              </w:tc>
            </w:tr>
            <w:tr w:rsidR="009C6940" w14:paraId="4DA36469" w14:textId="77777777" w:rsidTr="009C6940">
              <w:tc>
                <w:tcPr>
                  <w:tcW w:w="1080" w:type="pct"/>
                  <w:shd w:val="clear" w:color="auto" w:fill="F2F2F2" w:themeFill="background1" w:themeFillShade="F2"/>
                </w:tcPr>
                <w:p w14:paraId="799FCE87" w14:textId="77777777" w:rsidR="009C6940" w:rsidRDefault="009C6940" w:rsidP="009C6940">
                  <w:pPr>
                    <w:pStyle w:val="TableBodyText"/>
                    <w:ind w:left="120" w:hanging="114"/>
                    <w:jc w:val="left"/>
                  </w:pPr>
                  <w:r w:rsidRPr="008F71E4">
                    <w:t>Health justice partnerships</w:t>
                  </w:r>
                </w:p>
              </w:tc>
              <w:tc>
                <w:tcPr>
                  <w:tcW w:w="572" w:type="pct"/>
                  <w:shd w:val="clear" w:color="auto" w:fill="F2F2F2" w:themeFill="background1" w:themeFillShade="F2"/>
                </w:tcPr>
                <w:p w14:paraId="02C3112D" w14:textId="77777777" w:rsidR="009C6940" w:rsidRDefault="009C6940" w:rsidP="009C6940">
                  <w:pPr>
                    <w:pStyle w:val="TableBodyText"/>
                  </w:pPr>
                  <w:r>
                    <w:t>1.2</w:t>
                  </w:r>
                </w:p>
              </w:tc>
              <w:tc>
                <w:tcPr>
                  <w:tcW w:w="572" w:type="pct"/>
                  <w:shd w:val="clear" w:color="auto" w:fill="F2F2F2" w:themeFill="background1" w:themeFillShade="F2"/>
                </w:tcPr>
                <w:p w14:paraId="10768FD7" w14:textId="77777777" w:rsidR="009C6940" w:rsidRPr="00FF0B93" w:rsidRDefault="009C6940" w:rsidP="009C6940">
                  <w:pPr>
                    <w:pStyle w:val="TableBodyText"/>
                  </w:pPr>
                  <w:r w:rsidRPr="00FF0B93">
                    <w:t>–</w:t>
                  </w:r>
                </w:p>
              </w:tc>
              <w:tc>
                <w:tcPr>
                  <w:tcW w:w="2776" w:type="pct"/>
                  <w:shd w:val="clear" w:color="auto" w:fill="F2F2F2" w:themeFill="background1" w:themeFillShade="F2"/>
                </w:tcPr>
                <w:p w14:paraId="2F78F031" w14:textId="77777777" w:rsidR="009C6940" w:rsidRDefault="009C6940" w:rsidP="009C6940">
                  <w:pPr>
                    <w:pStyle w:val="TableBodyText"/>
                    <w:jc w:val="left"/>
                  </w:pPr>
                  <w:r>
                    <w:t>Increased expenditure from establishing health justice partnership trials in all Australian states and territories (based on the cost of cost of Mind Australia’s pilot in Victoria)</w:t>
                  </w:r>
                </w:p>
              </w:tc>
            </w:tr>
            <w:tr w:rsidR="009C6940" w14:paraId="3191755F" w14:textId="77777777" w:rsidTr="009C6940">
              <w:tc>
                <w:tcPr>
                  <w:tcW w:w="1080" w:type="pct"/>
                  <w:shd w:val="clear" w:color="auto" w:fill="auto"/>
                </w:tcPr>
                <w:p w14:paraId="104FFD78" w14:textId="77777777" w:rsidR="009C6940" w:rsidRDefault="009C6940" w:rsidP="009C6940">
                  <w:pPr>
                    <w:pStyle w:val="TableBodyText"/>
                    <w:ind w:left="120" w:hanging="114"/>
                    <w:jc w:val="left"/>
                  </w:pPr>
                  <w:r w:rsidRPr="008F71E4">
                    <w:t>Legal representation at mental health tribunals</w:t>
                  </w:r>
                </w:p>
              </w:tc>
              <w:tc>
                <w:tcPr>
                  <w:tcW w:w="572" w:type="pct"/>
                  <w:shd w:val="clear" w:color="auto" w:fill="auto"/>
                </w:tcPr>
                <w:p w14:paraId="67BB9898" w14:textId="77777777" w:rsidR="009C6940" w:rsidRDefault="009C6940" w:rsidP="009C6940">
                  <w:pPr>
                    <w:pStyle w:val="TableBodyText"/>
                  </w:pPr>
                  <w:r>
                    <w:t>49</w:t>
                  </w:r>
                </w:p>
              </w:tc>
              <w:tc>
                <w:tcPr>
                  <w:tcW w:w="572" w:type="pct"/>
                  <w:shd w:val="clear" w:color="auto" w:fill="auto"/>
                </w:tcPr>
                <w:p w14:paraId="22D9DB4F" w14:textId="77777777" w:rsidR="009C6940" w:rsidRPr="00FF0B93" w:rsidRDefault="009C6940" w:rsidP="009C6940">
                  <w:pPr>
                    <w:pStyle w:val="TableBodyText"/>
                  </w:pPr>
                  <w:r w:rsidRPr="00FF0B93">
                    <w:t>–</w:t>
                  </w:r>
                </w:p>
              </w:tc>
              <w:tc>
                <w:tcPr>
                  <w:tcW w:w="2776" w:type="pct"/>
                  <w:shd w:val="clear" w:color="auto" w:fill="auto"/>
                </w:tcPr>
                <w:p w14:paraId="1ABF223E" w14:textId="77777777" w:rsidR="009C6940" w:rsidRDefault="009C6940" w:rsidP="009C6940">
                  <w:pPr>
                    <w:pStyle w:val="TableBodyText"/>
                    <w:jc w:val="left"/>
                  </w:pPr>
                  <w:r>
                    <w:t>Increased expenditures are cost of increased legal representation for those appearing before mental health tribunals.</w:t>
                  </w:r>
                </w:p>
              </w:tc>
            </w:tr>
            <w:tr w:rsidR="009C6940" w14:paraId="2A20E068" w14:textId="77777777" w:rsidTr="009C6940">
              <w:tc>
                <w:tcPr>
                  <w:tcW w:w="1080" w:type="pct"/>
                  <w:shd w:val="clear" w:color="auto" w:fill="F2F2F2" w:themeFill="background1" w:themeFillShade="F2"/>
                </w:tcPr>
                <w:p w14:paraId="345096FA" w14:textId="77777777" w:rsidR="009C6940" w:rsidRDefault="009C6940" w:rsidP="009C6940">
                  <w:pPr>
                    <w:pStyle w:val="TableBodyText"/>
                    <w:ind w:left="120" w:hanging="114"/>
                    <w:jc w:val="left"/>
                  </w:pPr>
                  <w:r>
                    <w:t>Individual n</w:t>
                  </w:r>
                  <w:r w:rsidRPr="008F71E4">
                    <w:t>on</w:t>
                  </w:r>
                  <w:r>
                    <w:noBreakHyphen/>
                  </w:r>
                  <w:r w:rsidRPr="008F71E4">
                    <w:t>legal individual advocacy services</w:t>
                  </w:r>
                </w:p>
              </w:tc>
              <w:tc>
                <w:tcPr>
                  <w:tcW w:w="572" w:type="pct"/>
                  <w:shd w:val="clear" w:color="auto" w:fill="F2F2F2" w:themeFill="background1" w:themeFillShade="F2"/>
                </w:tcPr>
                <w:p w14:paraId="12BCCA04" w14:textId="77777777" w:rsidR="009C6940" w:rsidRDefault="009C6940" w:rsidP="009C6940">
                  <w:pPr>
                    <w:pStyle w:val="TableBodyText"/>
                  </w:pPr>
                  <w:r>
                    <w:t>13</w:t>
                  </w:r>
                </w:p>
              </w:tc>
              <w:tc>
                <w:tcPr>
                  <w:tcW w:w="572" w:type="pct"/>
                  <w:shd w:val="clear" w:color="auto" w:fill="F2F2F2" w:themeFill="background1" w:themeFillShade="F2"/>
                </w:tcPr>
                <w:p w14:paraId="6F9EC315" w14:textId="77777777" w:rsidR="009C6940" w:rsidRPr="00FF0B93" w:rsidRDefault="009C6940" w:rsidP="009C6940">
                  <w:pPr>
                    <w:pStyle w:val="TableBodyText"/>
                  </w:pPr>
                  <w:r w:rsidRPr="00FF0B93">
                    <w:t>–</w:t>
                  </w:r>
                </w:p>
              </w:tc>
              <w:tc>
                <w:tcPr>
                  <w:tcW w:w="2776" w:type="pct"/>
                  <w:shd w:val="clear" w:color="auto" w:fill="F2F2F2" w:themeFill="background1" w:themeFillShade="F2"/>
                </w:tcPr>
                <w:p w14:paraId="38AEEF58" w14:textId="77777777" w:rsidR="009C6940" w:rsidRDefault="009C6940" w:rsidP="009C6940">
                  <w:pPr>
                    <w:pStyle w:val="TableBodyText"/>
                    <w:jc w:val="left"/>
                  </w:pPr>
                  <w:r>
                    <w:t>Increased expenditures are cost of provision of non</w:t>
                  </w:r>
                  <w:r>
                    <w:noBreakHyphen/>
                    <w:t>legal advocacy services.</w:t>
                  </w:r>
                </w:p>
              </w:tc>
            </w:tr>
            <w:tr w:rsidR="009C6940" w14:paraId="36CEF027" w14:textId="77777777" w:rsidTr="009C6940">
              <w:tc>
                <w:tcPr>
                  <w:tcW w:w="1080" w:type="pct"/>
                  <w:tcBorders>
                    <w:bottom w:val="single" w:sz="4" w:space="0" w:color="BFBFBF" w:themeColor="background1" w:themeShade="BF"/>
                  </w:tcBorders>
                  <w:shd w:val="clear" w:color="auto" w:fill="auto"/>
                </w:tcPr>
                <w:p w14:paraId="4A4DBCAA" w14:textId="77777777" w:rsidR="009C6940" w:rsidRDefault="009C6940" w:rsidP="009C6940">
                  <w:pPr>
                    <w:pStyle w:val="TableBodyText"/>
                    <w:ind w:left="120" w:hanging="114"/>
                    <w:jc w:val="left"/>
                  </w:pPr>
                  <w:r>
                    <w:t>Advance d</w:t>
                  </w:r>
                  <w:r w:rsidRPr="008F71E4">
                    <w:t>irectives</w:t>
                  </w:r>
                  <w:r>
                    <w:t>, statements or agreements</w:t>
                  </w:r>
                </w:p>
              </w:tc>
              <w:tc>
                <w:tcPr>
                  <w:tcW w:w="572" w:type="pct"/>
                  <w:tcBorders>
                    <w:bottom w:val="single" w:sz="4" w:space="0" w:color="BFBFBF" w:themeColor="background1" w:themeShade="BF"/>
                  </w:tcBorders>
                  <w:shd w:val="clear" w:color="auto" w:fill="auto"/>
                </w:tcPr>
                <w:p w14:paraId="234B9928" w14:textId="77777777" w:rsidR="009C6940" w:rsidRDefault="009C6940" w:rsidP="009C6940">
                  <w:pPr>
                    <w:pStyle w:val="TableBodyText"/>
                  </w:pPr>
                  <w:r>
                    <w:t>22</w:t>
                  </w:r>
                </w:p>
              </w:tc>
              <w:tc>
                <w:tcPr>
                  <w:tcW w:w="572" w:type="pct"/>
                  <w:tcBorders>
                    <w:bottom w:val="single" w:sz="4" w:space="0" w:color="BFBFBF" w:themeColor="background1" w:themeShade="BF"/>
                  </w:tcBorders>
                  <w:shd w:val="clear" w:color="auto" w:fill="auto"/>
                </w:tcPr>
                <w:p w14:paraId="263F4D61" w14:textId="77777777" w:rsidR="009C6940" w:rsidRDefault="009C6940" w:rsidP="009C6940">
                  <w:pPr>
                    <w:pStyle w:val="TableBodyText"/>
                  </w:pPr>
                  <w:r>
                    <w:t>–</w:t>
                  </w:r>
                </w:p>
              </w:tc>
              <w:tc>
                <w:tcPr>
                  <w:tcW w:w="2776" w:type="pct"/>
                  <w:tcBorders>
                    <w:bottom w:val="single" w:sz="4" w:space="0" w:color="BFBFBF" w:themeColor="background1" w:themeShade="BF"/>
                  </w:tcBorders>
                  <w:shd w:val="clear" w:color="auto" w:fill="auto"/>
                </w:tcPr>
                <w:p w14:paraId="65883E67" w14:textId="77777777" w:rsidR="009C6940" w:rsidRDefault="009C6940" w:rsidP="009C6940">
                  <w:pPr>
                    <w:pStyle w:val="TableBodyText"/>
                    <w:jc w:val="left"/>
                  </w:pPr>
                  <w:r>
                    <w:t>Increased expenditures are cost of advance directive development support.</w:t>
                  </w:r>
                </w:p>
              </w:tc>
            </w:tr>
          </w:tbl>
          <w:p w14:paraId="3BDFCFE0" w14:textId="77777777" w:rsidR="009C6940" w:rsidRDefault="009C6940" w:rsidP="009C6940">
            <w:pPr>
              <w:pStyle w:val="Box"/>
            </w:pPr>
          </w:p>
        </w:tc>
      </w:tr>
      <w:tr w:rsidR="009C6940" w14:paraId="2BA06492" w14:textId="77777777" w:rsidTr="009C6940">
        <w:tc>
          <w:tcPr>
            <w:tcW w:w="13273" w:type="dxa"/>
            <w:tcBorders>
              <w:top w:val="nil"/>
              <w:left w:val="nil"/>
              <w:bottom w:val="nil"/>
              <w:right w:val="nil"/>
            </w:tcBorders>
            <w:shd w:val="clear" w:color="auto" w:fill="auto"/>
          </w:tcPr>
          <w:p w14:paraId="0D6660E8" w14:textId="77777777" w:rsidR="009C6940" w:rsidRPr="00057B39" w:rsidRDefault="009C6940" w:rsidP="009C6940">
            <w:pPr>
              <w:pStyle w:val="Continued"/>
            </w:pPr>
            <w:r w:rsidRPr="00057B39">
              <w:t>(continued next page)</w:t>
            </w:r>
          </w:p>
        </w:tc>
      </w:tr>
      <w:tr w:rsidR="009C6940" w14:paraId="644A697F" w14:textId="77777777" w:rsidTr="009C6940">
        <w:tc>
          <w:tcPr>
            <w:tcW w:w="13273" w:type="dxa"/>
            <w:tcBorders>
              <w:top w:val="nil"/>
              <w:left w:val="nil"/>
              <w:bottom w:val="single" w:sz="6" w:space="0" w:color="78A22F"/>
              <w:right w:val="nil"/>
            </w:tcBorders>
            <w:shd w:val="clear" w:color="auto" w:fill="auto"/>
          </w:tcPr>
          <w:p w14:paraId="433F0909" w14:textId="77777777" w:rsidR="009C6940" w:rsidRDefault="009C6940" w:rsidP="009C6940">
            <w:pPr>
              <w:pStyle w:val="Box"/>
              <w:spacing w:before="0" w:line="120" w:lineRule="exact"/>
            </w:pPr>
          </w:p>
        </w:tc>
      </w:tr>
      <w:tr w:rsidR="009C6940" w:rsidRPr="000863A5" w14:paraId="383ADE2E" w14:textId="77777777" w:rsidTr="009C6940">
        <w:tc>
          <w:tcPr>
            <w:tcW w:w="13273" w:type="dxa"/>
            <w:tcBorders>
              <w:top w:val="single" w:sz="6" w:space="0" w:color="78A22F"/>
              <w:left w:val="nil"/>
              <w:bottom w:val="nil"/>
              <w:right w:val="nil"/>
            </w:tcBorders>
          </w:tcPr>
          <w:p w14:paraId="15BE1511" w14:textId="77777777" w:rsidR="009C6940" w:rsidRPr="00626D32" w:rsidRDefault="009C6940" w:rsidP="009C6940">
            <w:pPr>
              <w:pStyle w:val="BoxSpaceBelow"/>
            </w:pPr>
          </w:p>
        </w:tc>
      </w:tr>
    </w:tbl>
    <w:p w14:paraId="456A5C9C" w14:textId="77777777" w:rsidR="009C6940" w:rsidRDefault="009C6940" w:rsidP="009C6940">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9C6940" w14:paraId="7FA4C02B" w14:textId="77777777" w:rsidTr="009C6940">
        <w:tc>
          <w:tcPr>
            <w:tcW w:w="13273" w:type="dxa"/>
            <w:tcBorders>
              <w:top w:val="single" w:sz="6" w:space="0" w:color="78A22F"/>
              <w:left w:val="nil"/>
              <w:bottom w:val="nil"/>
              <w:right w:val="nil"/>
            </w:tcBorders>
            <w:shd w:val="clear" w:color="auto" w:fill="auto"/>
          </w:tcPr>
          <w:p w14:paraId="1C6F949B" w14:textId="77777777" w:rsidR="009C6940" w:rsidRPr="00C764EE" w:rsidRDefault="009C6940" w:rsidP="009C6940">
            <w:pPr>
              <w:pStyle w:val="TableTitle"/>
            </w:pPr>
            <w:r>
              <w:rPr>
                <w:b w:val="0"/>
              </w:rPr>
              <w:lastRenderedPageBreak/>
              <w:t>Table I.2</w:t>
            </w:r>
            <w:r>
              <w:tab/>
            </w:r>
            <w:r w:rsidRPr="005774D0">
              <w:rPr>
                <w:rStyle w:val="Continuedintitle"/>
              </w:rPr>
              <w:t>(continued)</w:t>
            </w:r>
          </w:p>
        </w:tc>
      </w:tr>
      <w:tr w:rsidR="009C6940" w14:paraId="62247B2B" w14:textId="77777777" w:rsidTr="009C6940">
        <w:tc>
          <w:tcPr>
            <w:tcW w:w="13273" w:type="dxa"/>
            <w:tcBorders>
              <w:top w:val="nil"/>
              <w:left w:val="nil"/>
              <w:bottom w:val="nil"/>
              <w:right w:val="nil"/>
            </w:tcBorders>
            <w:shd w:val="clear" w:color="auto" w:fill="auto"/>
          </w:tcPr>
          <w:tbl>
            <w:tblPr>
              <w:tblW w:w="13437" w:type="dxa"/>
              <w:tblCellMar>
                <w:top w:w="28" w:type="dxa"/>
                <w:left w:w="0" w:type="dxa"/>
                <w:right w:w="0" w:type="dxa"/>
              </w:tblCellMar>
              <w:tblLook w:val="0000" w:firstRow="0" w:lastRow="0" w:firstColumn="0" w:lastColumn="0" w:noHBand="0" w:noVBand="0"/>
            </w:tblPr>
            <w:tblGrid>
              <w:gridCol w:w="2748"/>
              <w:gridCol w:w="1320"/>
              <w:gridCol w:w="1320"/>
              <w:gridCol w:w="7630"/>
              <w:gridCol w:w="419"/>
            </w:tblGrid>
            <w:tr w:rsidR="009C6940" w14:paraId="1C96405E" w14:textId="77777777" w:rsidTr="009C6940">
              <w:trPr>
                <w:gridAfter w:val="1"/>
                <w:wAfter w:w="156" w:type="pct"/>
                <w:tblHeader/>
              </w:trPr>
              <w:tc>
                <w:tcPr>
                  <w:tcW w:w="1023" w:type="pct"/>
                  <w:tcBorders>
                    <w:top w:val="single" w:sz="6" w:space="0" w:color="BFBFBF"/>
                    <w:bottom w:val="single" w:sz="6" w:space="0" w:color="BFBFBF"/>
                  </w:tcBorders>
                  <w:shd w:val="clear" w:color="auto" w:fill="auto"/>
                  <w:tcMar>
                    <w:top w:w="28" w:type="dxa"/>
                  </w:tcMar>
                </w:tcPr>
                <w:p w14:paraId="6E6D24DC" w14:textId="77777777" w:rsidR="009C6940" w:rsidRDefault="009C6940" w:rsidP="009C6940">
                  <w:pPr>
                    <w:pStyle w:val="TableColumnHeading"/>
                    <w:jc w:val="left"/>
                  </w:pPr>
                  <w:r>
                    <w:t>Actions</w:t>
                  </w:r>
                </w:p>
              </w:tc>
              <w:tc>
                <w:tcPr>
                  <w:tcW w:w="491" w:type="pct"/>
                  <w:tcBorders>
                    <w:top w:val="single" w:sz="6" w:space="0" w:color="BFBFBF"/>
                    <w:bottom w:val="single" w:sz="6" w:space="0" w:color="BFBFBF"/>
                  </w:tcBorders>
                </w:tcPr>
                <w:p w14:paraId="6C2BF3D8" w14:textId="77777777" w:rsidR="009C6940" w:rsidRDefault="009C6940" w:rsidP="009C6940">
                  <w:pPr>
                    <w:pStyle w:val="TableColumnHeading"/>
                  </w:pPr>
                  <w:r>
                    <w:t>Cost increases</w:t>
                  </w:r>
                  <w:r>
                    <w:br/>
                    <w:t>($m)</w:t>
                  </w:r>
                </w:p>
              </w:tc>
              <w:tc>
                <w:tcPr>
                  <w:tcW w:w="491" w:type="pct"/>
                  <w:tcBorders>
                    <w:top w:val="single" w:sz="6" w:space="0" w:color="BFBFBF"/>
                    <w:bottom w:val="single" w:sz="6" w:space="0" w:color="BFBFBF"/>
                  </w:tcBorders>
                  <w:shd w:val="clear" w:color="auto" w:fill="auto"/>
                  <w:tcMar>
                    <w:top w:w="28" w:type="dxa"/>
                  </w:tcMar>
                </w:tcPr>
                <w:p w14:paraId="6D36A345" w14:textId="77777777" w:rsidR="009C6940" w:rsidRDefault="009C6940" w:rsidP="009C6940">
                  <w:pPr>
                    <w:pStyle w:val="TableColumnHeading"/>
                  </w:pPr>
                  <w:r>
                    <w:t>Cost savings ($m)</w:t>
                  </w:r>
                </w:p>
              </w:tc>
              <w:tc>
                <w:tcPr>
                  <w:tcW w:w="2839" w:type="pct"/>
                  <w:tcBorders>
                    <w:top w:val="single" w:sz="6" w:space="0" w:color="BFBFBF"/>
                    <w:bottom w:val="single" w:sz="6" w:space="0" w:color="BFBFBF"/>
                  </w:tcBorders>
                  <w:shd w:val="clear" w:color="auto" w:fill="auto"/>
                </w:tcPr>
                <w:p w14:paraId="64228D5E" w14:textId="77777777" w:rsidR="009C6940" w:rsidRDefault="009C6940" w:rsidP="009C6940">
                  <w:pPr>
                    <w:pStyle w:val="TableColumnHeading"/>
                    <w:jc w:val="left"/>
                  </w:pPr>
                  <w:r>
                    <w:t>Description of costs included</w:t>
                  </w:r>
                </w:p>
              </w:tc>
            </w:tr>
            <w:tr w:rsidR="009C6940" w14:paraId="70113E09" w14:textId="77777777" w:rsidTr="009C6940">
              <w:trPr>
                <w:gridAfter w:val="1"/>
                <w:wAfter w:w="156" w:type="pct"/>
              </w:trPr>
              <w:tc>
                <w:tcPr>
                  <w:tcW w:w="1023" w:type="pct"/>
                  <w:shd w:val="clear" w:color="auto" w:fill="F2F2F2" w:themeFill="background1" w:themeFillShade="F2"/>
                </w:tcPr>
                <w:p w14:paraId="4B301B3B" w14:textId="77777777" w:rsidR="009C6940" w:rsidRPr="00441304" w:rsidRDefault="009C6940" w:rsidP="009C6940">
                  <w:pPr>
                    <w:pStyle w:val="TableBodyText"/>
                    <w:jc w:val="left"/>
                    <w:rPr>
                      <w:b/>
                    </w:rPr>
                  </w:pPr>
                  <w:r w:rsidRPr="00441304">
                    <w:rPr>
                      <w:b/>
                    </w:rPr>
                    <w:t>Children</w:t>
                  </w:r>
                </w:p>
              </w:tc>
              <w:tc>
                <w:tcPr>
                  <w:tcW w:w="491" w:type="pct"/>
                  <w:shd w:val="clear" w:color="auto" w:fill="F2F2F2" w:themeFill="background1" w:themeFillShade="F2"/>
                </w:tcPr>
                <w:p w14:paraId="0F919269" w14:textId="77777777" w:rsidR="009C6940" w:rsidRPr="00556B45" w:rsidRDefault="009C6940" w:rsidP="009C6940">
                  <w:pPr>
                    <w:pStyle w:val="TableBodyText"/>
                    <w:rPr>
                      <w:b/>
                    </w:rPr>
                  </w:pPr>
                </w:p>
              </w:tc>
              <w:tc>
                <w:tcPr>
                  <w:tcW w:w="491" w:type="pct"/>
                  <w:tcBorders>
                    <w:top w:val="single" w:sz="6" w:space="0" w:color="BFBFBF"/>
                  </w:tcBorders>
                  <w:shd w:val="clear" w:color="auto" w:fill="F2F2F2" w:themeFill="background1" w:themeFillShade="F2"/>
                </w:tcPr>
                <w:p w14:paraId="5EAA6FCE" w14:textId="77777777" w:rsidR="009C6940" w:rsidRPr="00556B45" w:rsidRDefault="009C6940" w:rsidP="009C6940">
                  <w:pPr>
                    <w:pStyle w:val="TableBodyText"/>
                    <w:rPr>
                      <w:b/>
                    </w:rPr>
                  </w:pPr>
                </w:p>
              </w:tc>
              <w:tc>
                <w:tcPr>
                  <w:tcW w:w="2839" w:type="pct"/>
                  <w:tcBorders>
                    <w:top w:val="single" w:sz="6" w:space="0" w:color="BFBFBF"/>
                  </w:tcBorders>
                  <w:shd w:val="clear" w:color="auto" w:fill="F2F2F2" w:themeFill="background1" w:themeFillShade="F2"/>
                </w:tcPr>
                <w:p w14:paraId="4B900B60" w14:textId="77777777" w:rsidR="009C6940" w:rsidRPr="00556B45" w:rsidRDefault="009C6940" w:rsidP="009C6940">
                  <w:pPr>
                    <w:pStyle w:val="TableBodyText"/>
                    <w:tabs>
                      <w:tab w:val="left" w:pos="2565"/>
                    </w:tabs>
                    <w:jc w:val="left"/>
                    <w:rPr>
                      <w:b/>
                    </w:rPr>
                  </w:pPr>
                </w:p>
              </w:tc>
            </w:tr>
            <w:tr w:rsidR="009C6940" w14:paraId="4D374E67" w14:textId="77777777" w:rsidTr="009C6940">
              <w:trPr>
                <w:gridAfter w:val="1"/>
                <w:wAfter w:w="156" w:type="pct"/>
              </w:trPr>
              <w:tc>
                <w:tcPr>
                  <w:tcW w:w="1023" w:type="pct"/>
                  <w:shd w:val="clear" w:color="auto" w:fill="auto"/>
                </w:tcPr>
                <w:p w14:paraId="6085C924" w14:textId="77777777" w:rsidR="009C6940" w:rsidRPr="00225753" w:rsidRDefault="009C6940" w:rsidP="009C6940">
                  <w:pPr>
                    <w:pStyle w:val="TableBodyText"/>
                    <w:ind w:left="120" w:hanging="114"/>
                    <w:jc w:val="left"/>
                  </w:pPr>
                  <w:r>
                    <w:t>Perinatal mental health</w:t>
                  </w:r>
                </w:p>
              </w:tc>
              <w:tc>
                <w:tcPr>
                  <w:tcW w:w="491" w:type="pct"/>
                  <w:shd w:val="clear" w:color="auto" w:fill="auto"/>
                </w:tcPr>
                <w:p w14:paraId="07825D3F" w14:textId="77777777" w:rsidR="009C6940" w:rsidRDefault="009C6940" w:rsidP="009C6940">
                  <w:pPr>
                    <w:pStyle w:val="TableBodyText"/>
                  </w:pPr>
                  <w:r>
                    <w:t>18–23</w:t>
                  </w:r>
                </w:p>
              </w:tc>
              <w:tc>
                <w:tcPr>
                  <w:tcW w:w="491" w:type="pct"/>
                  <w:shd w:val="clear" w:color="auto" w:fill="auto"/>
                </w:tcPr>
                <w:p w14:paraId="2F3FF455" w14:textId="77777777" w:rsidR="009C6940" w:rsidRDefault="009C6940" w:rsidP="009C6940">
                  <w:pPr>
                    <w:pStyle w:val="TableBodyText"/>
                  </w:pPr>
                  <w:r w:rsidRPr="00FF0B93">
                    <w:t>–</w:t>
                  </w:r>
                </w:p>
              </w:tc>
              <w:tc>
                <w:tcPr>
                  <w:tcW w:w="2839" w:type="pct"/>
                  <w:shd w:val="clear" w:color="auto" w:fill="auto"/>
                </w:tcPr>
                <w:p w14:paraId="438D2E6E" w14:textId="77777777" w:rsidR="009C6940" w:rsidRDefault="009C6940" w:rsidP="009C6940">
                  <w:pPr>
                    <w:pStyle w:val="TableBodyText"/>
                    <w:jc w:val="left"/>
                  </w:pPr>
                  <w:r>
                    <w:t>Increased expenditures from:</w:t>
                  </w:r>
                </w:p>
                <w:p w14:paraId="1A3B0BBA" w14:textId="77777777" w:rsidR="009C6940" w:rsidRDefault="009C6940" w:rsidP="009C6940">
                  <w:pPr>
                    <w:pStyle w:val="TableBodyText"/>
                    <w:jc w:val="left"/>
                  </w:pPr>
                  <w:r>
                    <w:t>(1) raising awareness about screening</w:t>
                  </w:r>
                </w:p>
                <w:p w14:paraId="663DA946" w14:textId="77777777" w:rsidR="009C6940" w:rsidRDefault="009C6940" w:rsidP="009C6940">
                  <w:pPr>
                    <w:pStyle w:val="TableBodyText"/>
                    <w:jc w:val="left"/>
                  </w:pPr>
                  <w:r>
                    <w:t>(2) implementing screening</w:t>
                  </w:r>
                </w:p>
                <w:p w14:paraId="6693BFF0" w14:textId="77777777" w:rsidR="009C6940" w:rsidRDefault="009C6940" w:rsidP="009C6940">
                  <w:pPr>
                    <w:pStyle w:val="TableBodyText"/>
                    <w:jc w:val="left"/>
                  </w:pPr>
                  <w:r>
                    <w:t>(3) receiving care (for example, face</w:t>
                  </w:r>
                  <w:r>
                    <w:noBreakHyphen/>
                    <w:t>to</w:t>
                  </w:r>
                  <w:r>
                    <w:noBreakHyphen/>
                    <w:t>face with psychologist or online supported treatment).</w:t>
                  </w:r>
                </w:p>
              </w:tc>
            </w:tr>
            <w:tr w:rsidR="009C6940" w14:paraId="68A8034C" w14:textId="77777777" w:rsidTr="009C6940">
              <w:trPr>
                <w:gridAfter w:val="1"/>
                <w:wAfter w:w="156" w:type="pct"/>
              </w:trPr>
              <w:tc>
                <w:tcPr>
                  <w:tcW w:w="1023" w:type="pct"/>
                  <w:shd w:val="clear" w:color="auto" w:fill="F2F2F2" w:themeFill="background1" w:themeFillShade="F2"/>
                </w:tcPr>
                <w:p w14:paraId="5DC794B1" w14:textId="77777777" w:rsidR="009C6940" w:rsidRPr="00225753" w:rsidRDefault="009C6940" w:rsidP="009C6940">
                  <w:pPr>
                    <w:pStyle w:val="TableBodyText"/>
                    <w:ind w:left="120" w:hanging="114"/>
                    <w:jc w:val="left"/>
                  </w:pPr>
                  <w:r>
                    <w:t>Expanded provision of parent supports</w:t>
                  </w:r>
                </w:p>
              </w:tc>
              <w:tc>
                <w:tcPr>
                  <w:tcW w:w="491" w:type="pct"/>
                  <w:shd w:val="clear" w:color="auto" w:fill="F2F2F2" w:themeFill="background1" w:themeFillShade="F2"/>
                </w:tcPr>
                <w:p w14:paraId="4CA02AE2" w14:textId="77777777" w:rsidR="009C6940" w:rsidRDefault="009C6940" w:rsidP="009C6940">
                  <w:pPr>
                    <w:pStyle w:val="TableBodyText"/>
                  </w:pPr>
                  <w:r>
                    <w:t xml:space="preserve">6.8 </w:t>
                  </w:r>
                </w:p>
              </w:tc>
              <w:tc>
                <w:tcPr>
                  <w:tcW w:w="491" w:type="pct"/>
                  <w:shd w:val="clear" w:color="auto" w:fill="F2F2F2" w:themeFill="background1" w:themeFillShade="F2"/>
                </w:tcPr>
                <w:p w14:paraId="3799FF1D" w14:textId="77777777" w:rsidR="009C6940" w:rsidRDefault="009C6940" w:rsidP="009C6940">
                  <w:pPr>
                    <w:pStyle w:val="TableBodyText"/>
                  </w:pPr>
                  <w:r>
                    <w:t>2.2</w:t>
                  </w:r>
                </w:p>
              </w:tc>
              <w:tc>
                <w:tcPr>
                  <w:tcW w:w="2839" w:type="pct"/>
                  <w:shd w:val="clear" w:color="auto" w:fill="F2F2F2" w:themeFill="background1" w:themeFillShade="F2"/>
                </w:tcPr>
                <w:p w14:paraId="29DCBB4D" w14:textId="77777777" w:rsidR="009C6940" w:rsidRDefault="009C6940">
                  <w:pPr>
                    <w:pStyle w:val="TableBodyText"/>
                    <w:jc w:val="left"/>
                  </w:pPr>
                  <w:r>
                    <w:t>Expenditures from the rollout of an indicated parent education program designed to prevent anxiety disorders in children.</w:t>
                  </w:r>
                </w:p>
                <w:p w14:paraId="140A428E" w14:textId="77777777" w:rsidR="009C6940" w:rsidRDefault="009C6940">
                  <w:pPr>
                    <w:pStyle w:val="TableBodyText"/>
                    <w:jc w:val="left"/>
                  </w:pPr>
                  <w:r>
                    <w:t>Cost savings from reduced healthcare costs (from treating anxiety).</w:t>
                  </w:r>
                </w:p>
              </w:tc>
            </w:tr>
            <w:tr w:rsidR="009C6940" w14:paraId="75974881" w14:textId="77777777" w:rsidTr="009C6940">
              <w:trPr>
                <w:gridAfter w:val="1"/>
                <w:wAfter w:w="156" w:type="pct"/>
              </w:trPr>
              <w:tc>
                <w:tcPr>
                  <w:tcW w:w="1023" w:type="pct"/>
                  <w:shd w:val="clear" w:color="auto" w:fill="auto"/>
                </w:tcPr>
                <w:p w14:paraId="10935FEA" w14:textId="77777777" w:rsidR="009C6940" w:rsidRDefault="009C6940" w:rsidP="009C6940">
                  <w:pPr>
                    <w:pStyle w:val="TableBodyText"/>
                    <w:ind w:left="120" w:hanging="114"/>
                    <w:jc w:val="left"/>
                  </w:pPr>
                  <w:r>
                    <w:t>Education support for the mental health of school</w:t>
                  </w:r>
                  <w:r>
                    <w:noBreakHyphen/>
                    <w:t>aged children</w:t>
                  </w:r>
                </w:p>
              </w:tc>
              <w:tc>
                <w:tcPr>
                  <w:tcW w:w="491" w:type="pct"/>
                  <w:shd w:val="clear" w:color="auto" w:fill="auto"/>
                </w:tcPr>
                <w:p w14:paraId="00D35DAB" w14:textId="77777777" w:rsidR="009C6940" w:rsidRDefault="009C6940" w:rsidP="009C6940">
                  <w:pPr>
                    <w:pStyle w:val="TableBodyText"/>
                  </w:pPr>
                  <w:r>
                    <w:t>230</w:t>
                  </w:r>
                </w:p>
              </w:tc>
              <w:tc>
                <w:tcPr>
                  <w:tcW w:w="491" w:type="pct"/>
                  <w:shd w:val="clear" w:color="auto" w:fill="auto"/>
                </w:tcPr>
                <w:p w14:paraId="47BD0B70" w14:textId="77777777" w:rsidR="009C6940" w:rsidRDefault="009C6940" w:rsidP="009C6940">
                  <w:pPr>
                    <w:pStyle w:val="TableBodyText"/>
                  </w:pPr>
                  <w:r>
                    <w:t>–</w:t>
                  </w:r>
                </w:p>
              </w:tc>
              <w:tc>
                <w:tcPr>
                  <w:tcW w:w="2839" w:type="pct"/>
                  <w:shd w:val="clear" w:color="auto" w:fill="auto"/>
                </w:tcPr>
                <w:p w14:paraId="3A6CA8DF" w14:textId="77777777" w:rsidR="009C6940" w:rsidRDefault="009C6940" w:rsidP="009C6940">
                  <w:pPr>
                    <w:pStyle w:val="TableBodyText"/>
                    <w:jc w:val="left"/>
                  </w:pPr>
                  <w:r>
                    <w:t>Increased expenditure of consistent improvements to wellbeing policies and practices in schools.</w:t>
                  </w:r>
                </w:p>
              </w:tc>
            </w:tr>
            <w:tr w:rsidR="009C6940" w14:paraId="05E4C9FF" w14:textId="77777777" w:rsidTr="009C6940">
              <w:trPr>
                <w:gridAfter w:val="1"/>
                <w:wAfter w:w="156" w:type="pct"/>
              </w:trPr>
              <w:tc>
                <w:tcPr>
                  <w:tcW w:w="1023" w:type="pct"/>
                  <w:shd w:val="clear" w:color="auto" w:fill="F2F2F2" w:themeFill="background1" w:themeFillShade="F2"/>
                </w:tcPr>
                <w:p w14:paraId="47C5605E" w14:textId="77777777" w:rsidR="009C6940" w:rsidRPr="00556B45" w:rsidRDefault="009C6940" w:rsidP="009C6940">
                  <w:pPr>
                    <w:pStyle w:val="TableBodyText"/>
                    <w:jc w:val="left"/>
                    <w:rPr>
                      <w:b/>
                    </w:rPr>
                  </w:pPr>
                  <w:r w:rsidRPr="00441304">
                    <w:rPr>
                      <w:b/>
                    </w:rPr>
                    <w:t>Young adults</w:t>
                  </w:r>
                </w:p>
              </w:tc>
              <w:tc>
                <w:tcPr>
                  <w:tcW w:w="491" w:type="pct"/>
                  <w:shd w:val="clear" w:color="auto" w:fill="F2F2F2" w:themeFill="background1" w:themeFillShade="F2"/>
                </w:tcPr>
                <w:p w14:paraId="7A0ED860" w14:textId="77777777" w:rsidR="009C6940" w:rsidRPr="00556B45" w:rsidRDefault="009C6940" w:rsidP="009C6940">
                  <w:pPr>
                    <w:pStyle w:val="TableBodyText"/>
                    <w:rPr>
                      <w:b/>
                    </w:rPr>
                  </w:pPr>
                </w:p>
              </w:tc>
              <w:tc>
                <w:tcPr>
                  <w:tcW w:w="491" w:type="pct"/>
                  <w:shd w:val="clear" w:color="auto" w:fill="F2F2F2" w:themeFill="background1" w:themeFillShade="F2"/>
                </w:tcPr>
                <w:p w14:paraId="268FE019" w14:textId="77777777" w:rsidR="009C6940" w:rsidRDefault="009C6940" w:rsidP="009C6940">
                  <w:pPr>
                    <w:pStyle w:val="TableBodyText"/>
                  </w:pPr>
                </w:p>
              </w:tc>
              <w:tc>
                <w:tcPr>
                  <w:tcW w:w="2839" w:type="pct"/>
                  <w:shd w:val="clear" w:color="auto" w:fill="F2F2F2" w:themeFill="background1" w:themeFillShade="F2"/>
                </w:tcPr>
                <w:p w14:paraId="7894F76B" w14:textId="77777777" w:rsidR="009C6940" w:rsidRDefault="009C6940" w:rsidP="009C6940">
                  <w:pPr>
                    <w:pStyle w:val="TableBodyText"/>
                    <w:jc w:val="left"/>
                  </w:pPr>
                </w:p>
              </w:tc>
            </w:tr>
            <w:tr w:rsidR="009C6940" w14:paraId="4EDDC2F1" w14:textId="77777777" w:rsidTr="009C6940">
              <w:trPr>
                <w:gridAfter w:val="1"/>
                <w:wAfter w:w="156" w:type="pct"/>
              </w:trPr>
              <w:tc>
                <w:tcPr>
                  <w:tcW w:w="1023" w:type="pct"/>
                  <w:shd w:val="clear" w:color="auto" w:fill="auto"/>
                </w:tcPr>
                <w:p w14:paraId="3525F482" w14:textId="77777777" w:rsidR="009C6940" w:rsidRDefault="009C6940" w:rsidP="009C6940">
                  <w:pPr>
                    <w:pStyle w:val="TableBodyText"/>
                    <w:ind w:left="120" w:hanging="114"/>
                    <w:jc w:val="left"/>
                  </w:pPr>
                  <w:r>
                    <w:t>Training for educators in tertiary education institutions</w:t>
                  </w:r>
                </w:p>
              </w:tc>
              <w:tc>
                <w:tcPr>
                  <w:tcW w:w="491" w:type="pct"/>
                  <w:shd w:val="clear" w:color="auto" w:fill="auto"/>
                </w:tcPr>
                <w:p w14:paraId="0C21F3E6" w14:textId="77777777" w:rsidR="009C6940" w:rsidRDefault="009C6940" w:rsidP="009C6940">
                  <w:pPr>
                    <w:pStyle w:val="TableBodyText"/>
                  </w:pPr>
                  <w:r>
                    <w:t>60–87</w:t>
                  </w:r>
                </w:p>
              </w:tc>
              <w:tc>
                <w:tcPr>
                  <w:tcW w:w="491" w:type="pct"/>
                  <w:shd w:val="clear" w:color="auto" w:fill="auto"/>
                </w:tcPr>
                <w:p w14:paraId="0D967BC6" w14:textId="77777777" w:rsidR="009C6940" w:rsidRDefault="009C6940" w:rsidP="009C6940">
                  <w:pPr>
                    <w:pStyle w:val="TableBodyText"/>
                  </w:pPr>
                  <w:r w:rsidRPr="00FF0B93">
                    <w:t>–</w:t>
                  </w:r>
                </w:p>
              </w:tc>
              <w:tc>
                <w:tcPr>
                  <w:tcW w:w="2839" w:type="pct"/>
                  <w:shd w:val="clear" w:color="auto" w:fill="auto"/>
                </w:tcPr>
                <w:p w14:paraId="61171DC4" w14:textId="77777777" w:rsidR="009C6940" w:rsidRDefault="009C6940" w:rsidP="009C6940">
                  <w:pPr>
                    <w:pStyle w:val="TableBodyText"/>
                    <w:jc w:val="left"/>
                  </w:pPr>
                  <w:r>
                    <w:t>Increased expenditure from providing mental health training for staff at universities who have direct contact with students, based on the cost of a mental health first aid course.</w:t>
                  </w:r>
                </w:p>
              </w:tc>
            </w:tr>
            <w:tr w:rsidR="009C6940" w14:paraId="4E6DD011" w14:textId="77777777" w:rsidTr="009C6940">
              <w:trPr>
                <w:gridAfter w:val="1"/>
                <w:wAfter w:w="156" w:type="pct"/>
              </w:trPr>
              <w:tc>
                <w:tcPr>
                  <w:tcW w:w="1023" w:type="pct"/>
                  <w:shd w:val="clear" w:color="auto" w:fill="F2F2F2" w:themeFill="background1" w:themeFillShade="F2"/>
                </w:tcPr>
                <w:p w14:paraId="2C8C701E" w14:textId="77777777" w:rsidR="009C6940" w:rsidRDefault="009C6940" w:rsidP="009C6940">
                  <w:pPr>
                    <w:pStyle w:val="TableBodyText"/>
                    <w:jc w:val="left"/>
                  </w:pPr>
                  <w:r w:rsidRPr="00441304">
                    <w:rPr>
                      <w:b/>
                    </w:rPr>
                    <w:t>Workplaces</w:t>
                  </w:r>
                </w:p>
              </w:tc>
              <w:tc>
                <w:tcPr>
                  <w:tcW w:w="491" w:type="pct"/>
                  <w:shd w:val="clear" w:color="auto" w:fill="F2F2F2" w:themeFill="background1" w:themeFillShade="F2"/>
                </w:tcPr>
                <w:p w14:paraId="22B5FD33" w14:textId="77777777" w:rsidR="009C6940" w:rsidRDefault="009C6940" w:rsidP="009C6940">
                  <w:pPr>
                    <w:pStyle w:val="TableBodyText"/>
                  </w:pPr>
                </w:p>
              </w:tc>
              <w:tc>
                <w:tcPr>
                  <w:tcW w:w="491" w:type="pct"/>
                  <w:shd w:val="clear" w:color="auto" w:fill="F2F2F2" w:themeFill="background1" w:themeFillShade="F2"/>
                </w:tcPr>
                <w:p w14:paraId="3ABF6040" w14:textId="77777777" w:rsidR="009C6940" w:rsidRPr="00FF0B93" w:rsidRDefault="009C6940" w:rsidP="009C6940">
                  <w:pPr>
                    <w:pStyle w:val="TableBodyText"/>
                  </w:pPr>
                </w:p>
              </w:tc>
              <w:tc>
                <w:tcPr>
                  <w:tcW w:w="2839" w:type="pct"/>
                  <w:shd w:val="clear" w:color="auto" w:fill="F2F2F2" w:themeFill="background1" w:themeFillShade="F2"/>
                </w:tcPr>
                <w:p w14:paraId="5ADC3F1B" w14:textId="77777777" w:rsidR="009C6940" w:rsidRDefault="009C6940" w:rsidP="009C6940">
                  <w:pPr>
                    <w:pStyle w:val="TableBodyText"/>
                    <w:jc w:val="left"/>
                  </w:pPr>
                </w:p>
              </w:tc>
            </w:tr>
            <w:tr w:rsidR="009C6940" w14:paraId="26D6CFC0" w14:textId="77777777" w:rsidTr="009C6940">
              <w:trPr>
                <w:gridAfter w:val="1"/>
                <w:wAfter w:w="156" w:type="pct"/>
              </w:trPr>
              <w:tc>
                <w:tcPr>
                  <w:tcW w:w="1023" w:type="pct"/>
                  <w:shd w:val="clear" w:color="auto" w:fill="auto"/>
                </w:tcPr>
                <w:p w14:paraId="65D3ED2C" w14:textId="77777777" w:rsidR="009C6940" w:rsidRDefault="009C6940" w:rsidP="009C6940">
                  <w:pPr>
                    <w:pStyle w:val="TableBodyText"/>
                    <w:ind w:left="120" w:hanging="114"/>
                    <w:jc w:val="left"/>
                  </w:pPr>
                  <w:r>
                    <w:t>Prioritising mental health in the workplace</w:t>
                  </w:r>
                </w:p>
              </w:tc>
              <w:tc>
                <w:tcPr>
                  <w:tcW w:w="491" w:type="pct"/>
                  <w:shd w:val="clear" w:color="auto" w:fill="auto"/>
                </w:tcPr>
                <w:p w14:paraId="0E3E9864" w14:textId="77777777" w:rsidR="009C6940" w:rsidRDefault="009C6940" w:rsidP="009C6940">
                  <w:pPr>
                    <w:pStyle w:val="TableBodyText"/>
                  </w:pPr>
                  <w:r>
                    <w:t>49</w:t>
                  </w:r>
                </w:p>
              </w:tc>
              <w:tc>
                <w:tcPr>
                  <w:tcW w:w="491" w:type="pct"/>
                  <w:shd w:val="clear" w:color="auto" w:fill="auto"/>
                </w:tcPr>
                <w:p w14:paraId="1268DAEB" w14:textId="77777777" w:rsidR="009C6940" w:rsidRPr="00FF0B93" w:rsidRDefault="009C6940" w:rsidP="009C6940">
                  <w:pPr>
                    <w:pStyle w:val="TableBodyText"/>
                  </w:pPr>
                  <w:r>
                    <w:t>67</w:t>
                  </w:r>
                </w:p>
              </w:tc>
              <w:tc>
                <w:tcPr>
                  <w:tcW w:w="2839" w:type="pct"/>
                  <w:shd w:val="clear" w:color="auto" w:fill="auto"/>
                </w:tcPr>
                <w:p w14:paraId="5BA331C0" w14:textId="77777777" w:rsidR="009C6940" w:rsidRDefault="009C6940" w:rsidP="009C6940">
                  <w:pPr>
                    <w:pStyle w:val="TableBodyText"/>
                    <w:jc w:val="left"/>
                  </w:pPr>
                  <w:r>
                    <w:t>Cost for employees to complete a universal, self</w:t>
                  </w:r>
                  <w:r>
                    <w:noBreakHyphen/>
                    <w:t>directed online mental health course.</w:t>
                  </w:r>
                </w:p>
                <w:p w14:paraId="1EB87E6D" w14:textId="77777777" w:rsidR="009C6940" w:rsidRDefault="009C6940" w:rsidP="009C6940">
                  <w:pPr>
                    <w:pStyle w:val="TableBodyText"/>
                    <w:jc w:val="left"/>
                  </w:pPr>
                  <w:r>
                    <w:t>Cost savings through cases of depression avoided.</w:t>
                  </w:r>
                </w:p>
              </w:tc>
            </w:tr>
            <w:tr w:rsidR="009C6940" w14:paraId="2FCDF7C1" w14:textId="77777777" w:rsidTr="009C6940">
              <w:trPr>
                <w:gridAfter w:val="1"/>
                <w:wAfter w:w="156" w:type="pct"/>
              </w:trPr>
              <w:tc>
                <w:tcPr>
                  <w:tcW w:w="1023" w:type="pct"/>
                  <w:shd w:val="clear" w:color="auto" w:fill="F2F2F2" w:themeFill="background1" w:themeFillShade="F2"/>
                </w:tcPr>
                <w:p w14:paraId="19ECBC6A" w14:textId="77777777" w:rsidR="009C6940" w:rsidRDefault="009C6940" w:rsidP="009C6940">
                  <w:pPr>
                    <w:pStyle w:val="TableBodyText"/>
                    <w:ind w:left="120" w:hanging="114"/>
                    <w:jc w:val="left"/>
                  </w:pPr>
                  <w:r>
                    <w:t>No</w:t>
                  </w:r>
                  <w:r>
                    <w:noBreakHyphen/>
                    <w:t>liability treatment for mental health related workers compensation claims</w:t>
                  </w:r>
                </w:p>
              </w:tc>
              <w:tc>
                <w:tcPr>
                  <w:tcW w:w="491" w:type="pct"/>
                  <w:shd w:val="clear" w:color="auto" w:fill="F2F2F2" w:themeFill="background1" w:themeFillShade="F2"/>
                </w:tcPr>
                <w:p w14:paraId="2A04E2CF" w14:textId="77777777" w:rsidR="009C6940" w:rsidRDefault="009C6940" w:rsidP="009C6940">
                  <w:pPr>
                    <w:pStyle w:val="TableBodyText"/>
                  </w:pPr>
                  <w:r>
                    <w:t>9</w:t>
                  </w:r>
                </w:p>
              </w:tc>
              <w:tc>
                <w:tcPr>
                  <w:tcW w:w="491" w:type="pct"/>
                  <w:shd w:val="clear" w:color="auto" w:fill="F2F2F2" w:themeFill="background1" w:themeFillShade="F2"/>
                </w:tcPr>
                <w:p w14:paraId="187DF0CD" w14:textId="77777777" w:rsidR="009C6940" w:rsidRPr="00FF0B93" w:rsidRDefault="009C6940" w:rsidP="009C6940">
                  <w:pPr>
                    <w:pStyle w:val="TableBodyText"/>
                  </w:pPr>
                  <w:r w:rsidRPr="00FF0B93">
                    <w:t>–</w:t>
                  </w:r>
                </w:p>
              </w:tc>
              <w:tc>
                <w:tcPr>
                  <w:tcW w:w="2839" w:type="pct"/>
                  <w:shd w:val="clear" w:color="auto" w:fill="F2F2F2" w:themeFill="background1" w:themeFillShade="F2"/>
                </w:tcPr>
                <w:p w14:paraId="328B9488" w14:textId="77777777" w:rsidR="009C6940" w:rsidRDefault="009C6940" w:rsidP="009C6940">
                  <w:pPr>
                    <w:pStyle w:val="TableBodyText"/>
                    <w:jc w:val="left"/>
                  </w:pPr>
                  <w:r>
                    <w:t>Increased expenditure from the medical costs that would have previously been rejected, but would be accepted under a no</w:t>
                  </w:r>
                  <w:r>
                    <w:noBreakHyphen/>
                    <w:t>liability system.</w:t>
                  </w:r>
                </w:p>
              </w:tc>
            </w:tr>
            <w:tr w:rsidR="009C6940" w14:paraId="1A6363B0" w14:textId="77777777" w:rsidTr="009C6940">
              <w:trPr>
                <w:gridAfter w:val="1"/>
                <w:wAfter w:w="156" w:type="pct"/>
              </w:trPr>
              <w:tc>
                <w:tcPr>
                  <w:tcW w:w="1023" w:type="pct"/>
                  <w:shd w:val="clear" w:color="auto" w:fill="auto"/>
                </w:tcPr>
                <w:p w14:paraId="0BA6727F" w14:textId="77777777" w:rsidR="009C6940" w:rsidRDefault="009C6940" w:rsidP="009C6940">
                  <w:pPr>
                    <w:pStyle w:val="TableBodyText"/>
                    <w:jc w:val="left"/>
                  </w:pPr>
                  <w:r w:rsidRPr="00441304">
                    <w:rPr>
                      <w:b/>
                    </w:rPr>
                    <w:t>Social participation</w:t>
                  </w:r>
                </w:p>
              </w:tc>
              <w:tc>
                <w:tcPr>
                  <w:tcW w:w="491" w:type="pct"/>
                  <w:shd w:val="clear" w:color="auto" w:fill="auto"/>
                </w:tcPr>
                <w:p w14:paraId="0B831B47" w14:textId="77777777" w:rsidR="009C6940" w:rsidRDefault="009C6940" w:rsidP="009C6940">
                  <w:pPr>
                    <w:pStyle w:val="TableBodyText"/>
                  </w:pPr>
                </w:p>
              </w:tc>
              <w:tc>
                <w:tcPr>
                  <w:tcW w:w="491" w:type="pct"/>
                  <w:shd w:val="clear" w:color="auto" w:fill="auto"/>
                </w:tcPr>
                <w:p w14:paraId="3FBA1B8E" w14:textId="77777777" w:rsidR="009C6940" w:rsidRPr="00FF0B93" w:rsidRDefault="009C6940" w:rsidP="009C6940">
                  <w:pPr>
                    <w:pStyle w:val="TableBodyText"/>
                  </w:pPr>
                </w:p>
              </w:tc>
              <w:tc>
                <w:tcPr>
                  <w:tcW w:w="2839" w:type="pct"/>
                  <w:shd w:val="clear" w:color="auto" w:fill="auto"/>
                </w:tcPr>
                <w:p w14:paraId="61BFE93B" w14:textId="77777777" w:rsidR="009C6940" w:rsidRDefault="009C6940" w:rsidP="009C6940">
                  <w:pPr>
                    <w:pStyle w:val="TableBodyText"/>
                    <w:jc w:val="left"/>
                  </w:pPr>
                </w:p>
              </w:tc>
            </w:tr>
            <w:tr w:rsidR="009C6940" w14:paraId="47C30410" w14:textId="77777777" w:rsidTr="009C6940">
              <w:trPr>
                <w:gridAfter w:val="1"/>
                <w:wAfter w:w="156" w:type="pct"/>
              </w:trPr>
              <w:tc>
                <w:tcPr>
                  <w:tcW w:w="1023" w:type="pct"/>
                  <w:shd w:val="clear" w:color="auto" w:fill="F2F2F2" w:themeFill="background1" w:themeFillShade="F2"/>
                </w:tcPr>
                <w:p w14:paraId="71F415F3" w14:textId="77777777" w:rsidR="009C6940" w:rsidRDefault="009C6940" w:rsidP="009C6940">
                  <w:pPr>
                    <w:pStyle w:val="TableBodyText"/>
                    <w:ind w:left="120" w:hanging="114"/>
                    <w:jc w:val="left"/>
                  </w:pPr>
                  <w:r>
                    <w:t>National stigma reduction strategy</w:t>
                  </w:r>
                </w:p>
              </w:tc>
              <w:tc>
                <w:tcPr>
                  <w:tcW w:w="491" w:type="pct"/>
                  <w:shd w:val="clear" w:color="auto" w:fill="F2F2F2" w:themeFill="background1" w:themeFillShade="F2"/>
                </w:tcPr>
                <w:p w14:paraId="3BFB0244" w14:textId="77777777" w:rsidR="009C6940" w:rsidRDefault="009C6940" w:rsidP="009C6940">
                  <w:pPr>
                    <w:pStyle w:val="TableBodyText"/>
                  </w:pPr>
                  <w:r>
                    <w:t>3.8–6.4</w:t>
                  </w:r>
                </w:p>
              </w:tc>
              <w:tc>
                <w:tcPr>
                  <w:tcW w:w="491" w:type="pct"/>
                  <w:shd w:val="clear" w:color="auto" w:fill="F2F2F2" w:themeFill="background1" w:themeFillShade="F2"/>
                </w:tcPr>
                <w:p w14:paraId="2792AF44" w14:textId="77777777" w:rsidR="009C6940" w:rsidRPr="00FF0B93" w:rsidRDefault="009C6940" w:rsidP="009C6940">
                  <w:pPr>
                    <w:pStyle w:val="TableBodyText"/>
                  </w:pPr>
                  <w:r w:rsidRPr="00FF0B93">
                    <w:t>–</w:t>
                  </w:r>
                </w:p>
              </w:tc>
              <w:tc>
                <w:tcPr>
                  <w:tcW w:w="2839" w:type="pct"/>
                  <w:shd w:val="clear" w:color="auto" w:fill="F2F2F2" w:themeFill="background1" w:themeFillShade="F2"/>
                </w:tcPr>
                <w:p w14:paraId="415A7EE6" w14:textId="77777777" w:rsidR="009C6940" w:rsidRDefault="009C6940" w:rsidP="009C6940">
                  <w:pPr>
                    <w:pStyle w:val="TableBodyText"/>
                    <w:jc w:val="left"/>
                  </w:pPr>
                  <w:r>
                    <w:t>Increased expenditure on implementing a national anti</w:t>
                  </w:r>
                  <w:r>
                    <w:noBreakHyphen/>
                    <w:t>stigma campaign, based on comparable campaigns in the United Kingdom and Denmark.</w:t>
                  </w:r>
                </w:p>
              </w:tc>
            </w:tr>
            <w:tr w:rsidR="009C6940" w14:paraId="26BD671D" w14:textId="77777777" w:rsidTr="009C6940">
              <w:trPr>
                <w:gridAfter w:val="1"/>
                <w:wAfter w:w="156" w:type="pct"/>
              </w:trPr>
              <w:tc>
                <w:tcPr>
                  <w:tcW w:w="1023" w:type="pct"/>
                  <w:shd w:val="clear" w:color="auto" w:fill="auto"/>
                </w:tcPr>
                <w:p w14:paraId="1F7FB0BB" w14:textId="77777777" w:rsidR="009C6940" w:rsidRPr="00556B45" w:rsidRDefault="009C6940" w:rsidP="009C6940">
                  <w:pPr>
                    <w:pStyle w:val="TableBodyText"/>
                    <w:jc w:val="left"/>
                    <w:rPr>
                      <w:b/>
                    </w:rPr>
                  </w:pPr>
                  <w:r w:rsidRPr="00441304">
                    <w:rPr>
                      <w:b/>
                    </w:rPr>
                    <w:t>Suicide prevention</w:t>
                  </w:r>
                </w:p>
              </w:tc>
              <w:tc>
                <w:tcPr>
                  <w:tcW w:w="491" w:type="pct"/>
                  <w:shd w:val="clear" w:color="auto" w:fill="auto"/>
                </w:tcPr>
                <w:p w14:paraId="00ABC463" w14:textId="77777777" w:rsidR="009C6940" w:rsidRPr="00556B45" w:rsidRDefault="009C6940" w:rsidP="009C6940">
                  <w:pPr>
                    <w:pStyle w:val="TableBodyText"/>
                    <w:rPr>
                      <w:b/>
                    </w:rPr>
                  </w:pPr>
                </w:p>
              </w:tc>
              <w:tc>
                <w:tcPr>
                  <w:tcW w:w="491" w:type="pct"/>
                  <w:shd w:val="clear" w:color="auto" w:fill="auto"/>
                </w:tcPr>
                <w:p w14:paraId="5899C442" w14:textId="77777777" w:rsidR="009C6940" w:rsidRPr="00FF0B93" w:rsidRDefault="009C6940" w:rsidP="009C6940">
                  <w:pPr>
                    <w:pStyle w:val="TableBodyText"/>
                  </w:pPr>
                </w:p>
              </w:tc>
              <w:tc>
                <w:tcPr>
                  <w:tcW w:w="2839" w:type="pct"/>
                  <w:shd w:val="clear" w:color="auto" w:fill="auto"/>
                </w:tcPr>
                <w:p w14:paraId="1E0AFDF5" w14:textId="77777777" w:rsidR="009C6940" w:rsidRDefault="009C6940" w:rsidP="009C6940">
                  <w:pPr>
                    <w:pStyle w:val="TableBodyText"/>
                    <w:jc w:val="left"/>
                  </w:pPr>
                </w:p>
              </w:tc>
            </w:tr>
            <w:tr w:rsidR="009C6940" w14:paraId="224AA7AC" w14:textId="77777777" w:rsidTr="009C6940">
              <w:trPr>
                <w:gridAfter w:val="1"/>
                <w:wAfter w:w="156" w:type="pct"/>
              </w:trPr>
              <w:tc>
                <w:tcPr>
                  <w:tcW w:w="1023" w:type="pct"/>
                  <w:tcBorders>
                    <w:bottom w:val="single" w:sz="4" w:space="0" w:color="BFBFBF" w:themeColor="background1" w:themeShade="BF"/>
                  </w:tcBorders>
                  <w:shd w:val="clear" w:color="auto" w:fill="F2F2F2" w:themeFill="background1" w:themeFillShade="F2"/>
                </w:tcPr>
                <w:p w14:paraId="4B298579" w14:textId="77777777" w:rsidR="009C6940" w:rsidRDefault="009C6940" w:rsidP="009C6940">
                  <w:pPr>
                    <w:pStyle w:val="TableBodyText"/>
                    <w:ind w:left="120" w:hanging="114"/>
                    <w:jc w:val="left"/>
                  </w:pPr>
                  <w:r>
                    <w:t>Universal aftercare after suicide attempts</w:t>
                  </w:r>
                </w:p>
              </w:tc>
              <w:tc>
                <w:tcPr>
                  <w:tcW w:w="491" w:type="pct"/>
                  <w:tcBorders>
                    <w:bottom w:val="single" w:sz="4" w:space="0" w:color="BFBFBF" w:themeColor="background1" w:themeShade="BF"/>
                  </w:tcBorders>
                  <w:shd w:val="clear" w:color="auto" w:fill="F2F2F2" w:themeFill="background1" w:themeFillShade="F2"/>
                </w:tcPr>
                <w:p w14:paraId="12F246CE" w14:textId="77777777" w:rsidR="009C6940" w:rsidRDefault="009C6940" w:rsidP="009C6940">
                  <w:pPr>
                    <w:pStyle w:val="TableBodyText"/>
                  </w:pPr>
                  <w:r>
                    <w:t>63–194</w:t>
                  </w:r>
                </w:p>
              </w:tc>
              <w:tc>
                <w:tcPr>
                  <w:tcW w:w="491" w:type="pct"/>
                  <w:tcBorders>
                    <w:bottom w:val="single" w:sz="4" w:space="0" w:color="BFBFBF" w:themeColor="background1" w:themeShade="BF"/>
                  </w:tcBorders>
                  <w:shd w:val="clear" w:color="auto" w:fill="F2F2F2" w:themeFill="background1" w:themeFillShade="F2"/>
                </w:tcPr>
                <w:p w14:paraId="73930A20" w14:textId="77777777" w:rsidR="009C6940" w:rsidRPr="00FF0B93" w:rsidRDefault="009C6940" w:rsidP="009C6940">
                  <w:pPr>
                    <w:pStyle w:val="TableBodyText"/>
                  </w:pPr>
                  <w:r>
                    <w:t>294</w:t>
                  </w:r>
                </w:p>
              </w:tc>
              <w:tc>
                <w:tcPr>
                  <w:tcW w:w="2839" w:type="pct"/>
                  <w:tcBorders>
                    <w:bottom w:val="single" w:sz="4" w:space="0" w:color="BFBFBF" w:themeColor="background1" w:themeShade="BF"/>
                  </w:tcBorders>
                  <w:shd w:val="clear" w:color="auto" w:fill="F2F2F2" w:themeFill="background1" w:themeFillShade="F2"/>
                </w:tcPr>
                <w:p w14:paraId="6AF85DCA" w14:textId="77777777" w:rsidR="009C6940" w:rsidRDefault="009C6940" w:rsidP="009C6940">
                  <w:pPr>
                    <w:pStyle w:val="TableBodyText"/>
                    <w:jc w:val="left"/>
                  </w:pPr>
                  <w:r>
                    <w:t>Increased expenditure of providing aftercare for people who have been hospitalised due to intentional self</w:t>
                  </w:r>
                  <w:r>
                    <w:noBreakHyphen/>
                    <w:t>harm.</w:t>
                  </w:r>
                </w:p>
                <w:p w14:paraId="55330B70" w14:textId="77777777" w:rsidR="009C6940" w:rsidRDefault="009C6940" w:rsidP="009C6940">
                  <w:pPr>
                    <w:pStyle w:val="TableBodyText"/>
                    <w:jc w:val="left"/>
                  </w:pPr>
                  <w:r>
                    <w:t>Cost savings from a reduction in medical, administrative, transfer, and other costs from suicide attempts.</w:t>
                  </w:r>
                </w:p>
              </w:tc>
            </w:tr>
            <w:tr w:rsidR="009C6940" w14:paraId="54F4F5E7" w14:textId="77777777" w:rsidTr="009C6940">
              <w:tblPrEx>
                <w:tblBorders>
                  <w:top w:val="single" w:sz="6" w:space="0" w:color="auto"/>
                  <w:left w:val="single" w:sz="6" w:space="0" w:color="auto"/>
                  <w:bottom w:val="single" w:sz="6" w:space="0" w:color="auto"/>
                  <w:right w:val="single" w:sz="6" w:space="0" w:color="auto"/>
                </w:tblBorders>
                <w:tblCellMar>
                  <w:top w:w="0" w:type="dxa"/>
                  <w:left w:w="142" w:type="dxa"/>
                  <w:right w:w="142" w:type="dxa"/>
                </w:tblCellMar>
              </w:tblPrEx>
              <w:tc>
                <w:tcPr>
                  <w:tcW w:w="5000" w:type="pct"/>
                  <w:gridSpan w:val="5"/>
                  <w:tcBorders>
                    <w:top w:val="nil"/>
                    <w:left w:val="nil"/>
                    <w:bottom w:val="nil"/>
                    <w:right w:val="nil"/>
                  </w:tcBorders>
                  <w:shd w:val="clear" w:color="auto" w:fill="auto"/>
                </w:tcPr>
                <w:p w14:paraId="250F3F1D" w14:textId="77777777" w:rsidR="009C6940" w:rsidRDefault="009C6940" w:rsidP="009C6940">
                  <w:pPr>
                    <w:pStyle w:val="Note"/>
                    <w:jc w:val="left"/>
                  </w:pPr>
                  <w:r w:rsidRPr="00C124C9">
                    <w:rPr>
                      <w:rStyle w:val="NoteLabel"/>
                    </w:rPr>
                    <w:t>a</w:t>
                  </w:r>
                  <w:r>
                    <w:t xml:space="preserve"> </w:t>
                  </w:r>
                  <w:r w:rsidRPr="00F9084F">
                    <w:t>–</w:t>
                  </w:r>
                  <w:r>
                    <w:t xml:space="preserve"> Nil or rounded to zero. </w:t>
                  </w:r>
                  <w:r>
                    <w:rPr>
                      <w:rStyle w:val="NoteLabel"/>
                    </w:rPr>
                    <w:t xml:space="preserve">b </w:t>
                  </w:r>
                  <w:r>
                    <w:t>There are likely to be a number of cost savings that result from the implementation of these actions, including reduced arrests, imprisonment and being held involuntarily in beds.</w:t>
                  </w:r>
                </w:p>
              </w:tc>
            </w:tr>
          </w:tbl>
          <w:p w14:paraId="548A8BDD" w14:textId="77777777" w:rsidR="009C6940" w:rsidRDefault="009C6940" w:rsidP="009C6940">
            <w:pPr>
              <w:pStyle w:val="Box"/>
            </w:pPr>
          </w:p>
        </w:tc>
      </w:tr>
      <w:tr w:rsidR="009C6940" w14:paraId="14230B19" w14:textId="77777777" w:rsidTr="009C6940">
        <w:tc>
          <w:tcPr>
            <w:tcW w:w="13273" w:type="dxa"/>
            <w:tcBorders>
              <w:top w:val="nil"/>
              <w:left w:val="nil"/>
              <w:bottom w:val="single" w:sz="6" w:space="0" w:color="78A22F"/>
              <w:right w:val="nil"/>
            </w:tcBorders>
            <w:shd w:val="clear" w:color="auto" w:fill="auto"/>
          </w:tcPr>
          <w:p w14:paraId="2C961151" w14:textId="77777777" w:rsidR="009C6940" w:rsidRDefault="009C6940" w:rsidP="009C6940">
            <w:pPr>
              <w:pStyle w:val="Box"/>
              <w:spacing w:before="0" w:line="120" w:lineRule="exact"/>
            </w:pPr>
          </w:p>
        </w:tc>
      </w:tr>
    </w:tbl>
    <w:p w14:paraId="1F6D7A2D" w14:textId="77777777" w:rsidR="009C6940" w:rsidRDefault="009C6940" w:rsidP="009C69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9C6940" w14:paraId="5DEBDA93" w14:textId="77777777" w:rsidTr="009C6940">
        <w:tc>
          <w:tcPr>
            <w:tcW w:w="13273" w:type="dxa"/>
            <w:tcBorders>
              <w:top w:val="single" w:sz="6" w:space="0" w:color="78A22F"/>
              <w:left w:val="nil"/>
              <w:bottom w:val="nil"/>
              <w:right w:val="nil"/>
            </w:tcBorders>
            <w:shd w:val="clear" w:color="auto" w:fill="auto"/>
          </w:tcPr>
          <w:p w14:paraId="45F4DDC0" w14:textId="77777777" w:rsidR="009C6940" w:rsidRPr="00784A05" w:rsidRDefault="009C6940" w:rsidP="009C6940">
            <w:pPr>
              <w:pStyle w:val="TableTitle"/>
            </w:pPr>
            <w:r>
              <w:rPr>
                <w:b w:val="0"/>
              </w:rPr>
              <w:t>Table I.3</w:t>
            </w:r>
            <w:r>
              <w:tab/>
              <w:t>Target populations, mental health effects, and estimated benefits</w:t>
            </w:r>
          </w:p>
        </w:tc>
      </w:tr>
      <w:tr w:rsidR="009C6940" w14:paraId="14097B79" w14:textId="77777777" w:rsidTr="009C6940">
        <w:tc>
          <w:tcPr>
            <w:tcW w:w="13273"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00"/>
              <w:gridCol w:w="4725"/>
              <w:gridCol w:w="5128"/>
              <w:gridCol w:w="815"/>
              <w:gridCol w:w="1221"/>
            </w:tblGrid>
            <w:tr w:rsidR="009C6940" w14:paraId="4722121C" w14:textId="77777777" w:rsidTr="009C6940">
              <w:trPr>
                <w:tblHeader/>
              </w:trPr>
              <w:tc>
                <w:tcPr>
                  <w:tcW w:w="424" w:type="pct"/>
                  <w:tcBorders>
                    <w:top w:val="single" w:sz="6" w:space="0" w:color="BFBFBF"/>
                    <w:bottom w:val="single" w:sz="6" w:space="0" w:color="BFBFBF"/>
                  </w:tcBorders>
                  <w:shd w:val="clear" w:color="auto" w:fill="auto"/>
                  <w:tcMar>
                    <w:top w:w="28" w:type="dxa"/>
                  </w:tcMar>
                </w:tcPr>
                <w:p w14:paraId="3C2D32B6" w14:textId="77777777" w:rsidR="009C6940" w:rsidRDefault="009C6940" w:rsidP="009C6940">
                  <w:pPr>
                    <w:pStyle w:val="TableColumnHeading"/>
                    <w:jc w:val="left"/>
                  </w:pPr>
                  <w:r>
                    <w:t>Action grouping</w:t>
                  </w:r>
                </w:p>
              </w:tc>
              <w:tc>
                <w:tcPr>
                  <w:tcW w:w="1839" w:type="pct"/>
                  <w:tcBorders>
                    <w:top w:val="single" w:sz="6" w:space="0" w:color="BFBFBF"/>
                    <w:bottom w:val="single" w:sz="6" w:space="0" w:color="BFBFBF"/>
                  </w:tcBorders>
                </w:tcPr>
                <w:p w14:paraId="2CFF4CE1" w14:textId="77777777" w:rsidR="009C6940" w:rsidRDefault="009C6940" w:rsidP="009C6940">
                  <w:pPr>
                    <w:pStyle w:val="TableColumnHeading"/>
                    <w:jc w:val="left"/>
                  </w:pPr>
                  <w:r w:rsidRPr="004038C6">
                    <w:t>Population affected</w:t>
                  </w:r>
                </w:p>
              </w:tc>
              <w:tc>
                <w:tcPr>
                  <w:tcW w:w="1984" w:type="pct"/>
                  <w:tcBorders>
                    <w:top w:val="single" w:sz="6" w:space="0" w:color="BFBFBF"/>
                    <w:bottom w:val="single" w:sz="6" w:space="0" w:color="BFBFBF"/>
                  </w:tcBorders>
                  <w:shd w:val="clear" w:color="auto" w:fill="auto"/>
                  <w:tcMar>
                    <w:top w:w="28" w:type="dxa"/>
                  </w:tcMar>
                </w:tcPr>
                <w:p w14:paraId="593528A1" w14:textId="77777777" w:rsidR="009C6940" w:rsidRDefault="009C6940" w:rsidP="009C6940">
                  <w:pPr>
                    <w:pStyle w:val="TableColumnHeading"/>
                    <w:jc w:val="left"/>
                  </w:pPr>
                  <w:r w:rsidRPr="004038C6">
                    <w:t>Effect size</w:t>
                  </w:r>
                </w:p>
              </w:tc>
              <w:tc>
                <w:tcPr>
                  <w:tcW w:w="273" w:type="pct"/>
                  <w:tcBorders>
                    <w:top w:val="single" w:sz="6" w:space="0" w:color="BFBFBF"/>
                    <w:bottom w:val="single" w:sz="6" w:space="0" w:color="BFBFBF"/>
                  </w:tcBorders>
                </w:tcPr>
                <w:p w14:paraId="6764A0F9" w14:textId="77777777" w:rsidR="009C6940" w:rsidRDefault="009C6940" w:rsidP="009C6940">
                  <w:pPr>
                    <w:pStyle w:val="TableColumnHeading"/>
                    <w:ind w:right="28"/>
                  </w:pPr>
                  <w:r>
                    <w:t>Income ($ million)</w:t>
                  </w:r>
                </w:p>
              </w:tc>
              <w:tc>
                <w:tcPr>
                  <w:tcW w:w="480" w:type="pct"/>
                  <w:tcBorders>
                    <w:top w:val="single" w:sz="6" w:space="0" w:color="BFBFBF"/>
                    <w:bottom w:val="single" w:sz="6" w:space="0" w:color="BFBFBF"/>
                  </w:tcBorders>
                  <w:shd w:val="clear" w:color="auto" w:fill="auto"/>
                  <w:tcMar>
                    <w:top w:w="28" w:type="dxa"/>
                  </w:tcMar>
                </w:tcPr>
                <w:p w14:paraId="1A804D4C" w14:textId="77777777" w:rsidR="009C6940" w:rsidRDefault="009C6940" w:rsidP="009C6940">
                  <w:pPr>
                    <w:pStyle w:val="TableColumnHeading"/>
                    <w:ind w:right="28"/>
                  </w:pPr>
                  <w:r>
                    <w:t>Number of QALYs</w:t>
                  </w:r>
                </w:p>
              </w:tc>
            </w:tr>
            <w:tr w:rsidR="009C6940" w14:paraId="5B1617B6" w14:textId="77777777" w:rsidTr="009C6940">
              <w:tc>
                <w:tcPr>
                  <w:tcW w:w="424" w:type="pct"/>
                  <w:tcBorders>
                    <w:top w:val="single" w:sz="6" w:space="0" w:color="BFBFBF"/>
                  </w:tcBorders>
                  <w:shd w:val="clear" w:color="auto" w:fill="F2F2F2" w:themeFill="background1" w:themeFillShade="F2"/>
                </w:tcPr>
                <w:p w14:paraId="011D8A2D" w14:textId="77777777" w:rsidR="009C6940" w:rsidRPr="00130443" w:rsidRDefault="009C6940" w:rsidP="009C6940">
                  <w:pPr>
                    <w:pStyle w:val="TableUnitsRow"/>
                    <w:jc w:val="left"/>
                    <w:rPr>
                      <w:b/>
                    </w:rPr>
                  </w:pPr>
                  <w:r w:rsidRPr="008E1859">
                    <w:t>Access to healthcare</w:t>
                  </w:r>
                </w:p>
              </w:tc>
              <w:tc>
                <w:tcPr>
                  <w:tcW w:w="1839" w:type="pct"/>
                  <w:tcBorders>
                    <w:top w:val="single" w:sz="6" w:space="0" w:color="BFBFBF"/>
                  </w:tcBorders>
                  <w:shd w:val="clear" w:color="auto" w:fill="F2F2F2" w:themeFill="background1" w:themeFillShade="F2"/>
                </w:tcPr>
                <w:p w14:paraId="654A9731" w14:textId="77777777" w:rsidR="009C6940" w:rsidRDefault="009C6940" w:rsidP="009C6940">
                  <w:pPr>
                    <w:pStyle w:val="TableBullet"/>
                  </w:pPr>
                  <w:r>
                    <w:t>3 000</w:t>
                  </w:r>
                  <w:r>
                    <w:noBreakHyphen/>
                    <w:t>5 000</w:t>
                  </w:r>
                  <w:r w:rsidRPr="00D16087">
                    <w:t xml:space="preserve"> additi</w:t>
                  </w:r>
                  <w:r>
                    <w:t>onal people using group therapy</w:t>
                  </w:r>
                </w:p>
                <w:p w14:paraId="79973181" w14:textId="77777777" w:rsidR="009C6940" w:rsidRDefault="009C6940" w:rsidP="009C6940">
                  <w:pPr>
                    <w:pStyle w:val="TableBullet"/>
                  </w:pPr>
                  <w:r>
                    <w:t>5 000</w:t>
                  </w:r>
                  <w:r>
                    <w:noBreakHyphen/>
                    <w:t>7 000 people using group therapy instead of individual therapy</w:t>
                  </w:r>
                </w:p>
                <w:p w14:paraId="38530D16" w14:textId="77777777" w:rsidR="009C6940" w:rsidRDefault="009C6940" w:rsidP="009C6940">
                  <w:pPr>
                    <w:pStyle w:val="TableBullet"/>
                  </w:pPr>
                  <w:r>
                    <w:t>5 0</w:t>
                  </w:r>
                  <w:r w:rsidRPr="00D16087">
                    <w:t>00</w:t>
                  </w:r>
                  <w:r w:rsidRPr="00D16087">
                    <w:noBreakHyphen/>
                  </w:r>
                  <w:r>
                    <w:t>10 0</w:t>
                  </w:r>
                  <w:r w:rsidRPr="00D16087">
                    <w:t xml:space="preserve">00 additional people </w:t>
                  </w:r>
                  <w:r>
                    <w:t>accessing therapy by telehealth</w:t>
                  </w:r>
                </w:p>
                <w:p w14:paraId="6529DC22" w14:textId="77777777" w:rsidR="009C6940" w:rsidRDefault="009C6940" w:rsidP="009C6940">
                  <w:pPr>
                    <w:pStyle w:val="TableBullet"/>
                  </w:pPr>
                  <w:r>
                    <w:t>200 000</w:t>
                  </w:r>
                  <w:r>
                    <w:noBreakHyphen/>
                    <w:t>400 000 psychological therapy and psychiatry consultations via telehealth instead of face</w:t>
                  </w:r>
                  <w:r>
                    <w:noBreakHyphen/>
                    <w:t>to</w:t>
                  </w:r>
                  <w:r>
                    <w:noBreakHyphen/>
                    <w:t>face</w:t>
                  </w:r>
                </w:p>
                <w:p w14:paraId="11EEE7B6" w14:textId="77777777" w:rsidR="009C6940" w:rsidRDefault="009C6940" w:rsidP="009C6940">
                  <w:pPr>
                    <w:pStyle w:val="TableBullet"/>
                  </w:pPr>
                  <w:r w:rsidRPr="00D16087">
                    <w:t>50 000 additional people</w:t>
                  </w:r>
                  <w:r>
                    <w:t xml:space="preserve"> — not currently accessing any other treatment — </w:t>
                  </w:r>
                  <w:r w:rsidRPr="00D16087">
                    <w:t>using online supported treatment</w:t>
                  </w:r>
                </w:p>
                <w:p w14:paraId="153BDF0D" w14:textId="77777777" w:rsidR="009C6940" w:rsidRPr="00D16087" w:rsidRDefault="009C6940" w:rsidP="009C6940">
                  <w:pPr>
                    <w:pStyle w:val="TableBullet"/>
                  </w:pPr>
                  <w:r>
                    <w:t>100 000 people using online supported treatment instead of other treatment options</w:t>
                  </w:r>
                </w:p>
                <w:p w14:paraId="34E8B676" w14:textId="77777777" w:rsidR="009C6940" w:rsidRPr="00D16087" w:rsidRDefault="009C6940" w:rsidP="009C6940">
                  <w:pPr>
                    <w:pStyle w:val="TableBullet"/>
                  </w:pPr>
                  <w:r>
                    <w:t>84 000</w:t>
                  </w:r>
                  <w:r w:rsidRPr="00D16087">
                    <w:t xml:space="preserve"> people provided a full mix of community ambulatory services</w:t>
                  </w:r>
                </w:p>
                <w:p w14:paraId="5EACA44F" w14:textId="77777777" w:rsidR="009C6940" w:rsidRPr="00D16087" w:rsidRDefault="009C6940" w:rsidP="009C6940">
                  <w:pPr>
                    <w:pStyle w:val="TableBullet"/>
                  </w:pPr>
                  <w:r>
                    <w:t>28</w:t>
                  </w:r>
                  <w:r w:rsidRPr="00D16087">
                    <w:t> 000 people accessing acute beds</w:t>
                  </w:r>
                </w:p>
              </w:tc>
              <w:tc>
                <w:tcPr>
                  <w:tcW w:w="1984" w:type="pct"/>
                  <w:tcBorders>
                    <w:top w:val="single" w:sz="6" w:space="0" w:color="BFBFBF"/>
                  </w:tcBorders>
                  <w:shd w:val="clear" w:color="auto" w:fill="F2F2F2" w:themeFill="background1" w:themeFillShade="F2"/>
                </w:tcPr>
                <w:p w14:paraId="20284391" w14:textId="77777777" w:rsidR="009C6940" w:rsidRPr="00D16087" w:rsidRDefault="009C6940" w:rsidP="009C6940">
                  <w:pPr>
                    <w:pStyle w:val="TableBullet"/>
                    <w:spacing w:after="20"/>
                  </w:pPr>
                  <w:r>
                    <w:t>A</w:t>
                  </w:r>
                  <w:r w:rsidRPr="00D16087">
                    <w:t xml:space="preserve">n effect size averaging about 0.9 </w:t>
                  </w:r>
                  <w:r>
                    <w:t>is</w:t>
                  </w:r>
                  <w:r w:rsidRPr="00D16087">
                    <w:t xml:space="preserve"> shown in Burlingame</w:t>
                  </w:r>
                  <w:r>
                    <w:t> </w:t>
                  </w:r>
                  <w:r w:rsidRPr="00D16087">
                    <w:t>et</w:t>
                  </w:r>
                  <w:r>
                    <w:t> </w:t>
                  </w:r>
                  <w:r w:rsidRPr="00D16087">
                    <w:t>al. (2016) and Cuijpers et al. (2019)</w:t>
                  </w:r>
                  <w:r>
                    <w:t xml:space="preserve"> for group therapy</w:t>
                  </w:r>
                  <w:r w:rsidRPr="00D16087">
                    <w:t>.</w:t>
                  </w:r>
                  <w:r>
                    <w:t xml:space="preserve"> E</w:t>
                  </w:r>
                  <w:r w:rsidRPr="002D46B6">
                    <w:t>ach addit</w:t>
                  </w:r>
                  <w:r>
                    <w:t>ional person accessing therapy</w:t>
                  </w:r>
                  <w:r w:rsidRPr="002D46B6">
                    <w:t xml:space="preserve"> </w:t>
                  </w:r>
                  <w:r>
                    <w:t>has a 25% chance of improving.</w:t>
                  </w:r>
                </w:p>
                <w:p w14:paraId="43B4D57C" w14:textId="77777777" w:rsidR="009C6940" w:rsidRPr="00D16087" w:rsidRDefault="009C6940" w:rsidP="009C6940">
                  <w:pPr>
                    <w:pStyle w:val="TableBullet"/>
                    <w:spacing w:after="20"/>
                  </w:pPr>
                  <w:r w:rsidRPr="00D16087">
                    <w:t>For those accessing therapy through telehealth, we assume an effect size of 0.8, in line with meta</w:t>
                  </w:r>
                  <w:r w:rsidRPr="00D16087">
                    <w:noBreakHyphen/>
                    <w:t>analyses by Berryhill et al. (2019).</w:t>
                  </w:r>
                  <w:r>
                    <w:t xml:space="preserve"> E</w:t>
                  </w:r>
                  <w:r w:rsidRPr="002D46B6">
                    <w:t>ach addit</w:t>
                  </w:r>
                  <w:r>
                    <w:t>ional person accessing therapy</w:t>
                  </w:r>
                  <w:r w:rsidRPr="002D46B6">
                    <w:t xml:space="preserve"> </w:t>
                  </w:r>
                  <w:r>
                    <w:t xml:space="preserve">has a 25% chance of improving </w:t>
                  </w:r>
                  <w:r w:rsidRPr="00E707E1">
                    <w:rPr>
                      <w:rFonts w:cs="Arial"/>
                      <w:szCs w:val="24"/>
                    </w:rPr>
                    <w:t>(Lambert, Hansen and Finch 2001)</w:t>
                  </w:r>
                  <w:r>
                    <w:t>.</w:t>
                  </w:r>
                </w:p>
                <w:p w14:paraId="0B6EDEA6" w14:textId="77777777" w:rsidR="009C6940" w:rsidRPr="00D16087" w:rsidRDefault="009C6940" w:rsidP="009C6940">
                  <w:pPr>
                    <w:pStyle w:val="TableBullet"/>
                  </w:pPr>
                  <w:r w:rsidRPr="00D16087">
                    <w:t>A meta</w:t>
                  </w:r>
                  <w:r>
                    <w:noBreakHyphen/>
                  </w:r>
                  <w:r w:rsidRPr="00D16087">
                    <w:t>analysis of com</w:t>
                  </w:r>
                  <w:r>
                    <w:t>puter therapy by Andrews et al. </w:t>
                  </w:r>
                  <w:r w:rsidRPr="002D46B6">
                    <w:t>(2018)</w:t>
                  </w:r>
                  <w:r w:rsidRPr="00D16087">
                    <w:t xml:space="preserve"> suggest</w:t>
                  </w:r>
                  <w:r>
                    <w:t>ed</w:t>
                  </w:r>
                  <w:r w:rsidRPr="00D16087">
                    <w:t xml:space="preserve"> an effect size of 0.8 for online supported treatment.</w:t>
                  </w:r>
                </w:p>
                <w:p w14:paraId="37604FA9" w14:textId="77777777" w:rsidR="009C6940" w:rsidRPr="00D16087" w:rsidRDefault="009C6940" w:rsidP="009C6940">
                  <w:pPr>
                    <w:pStyle w:val="TableBullet"/>
                    <w:spacing w:after="20"/>
                  </w:pPr>
                  <w:r w:rsidRPr="00D16087">
                    <w:t xml:space="preserve">For ambulatory and bed based services, effect sizes are calculated using </w:t>
                  </w:r>
                  <w:r>
                    <w:t xml:space="preserve">data on measures at </w:t>
                  </w:r>
                  <w:r w:rsidRPr="00D16087">
                    <w:t xml:space="preserve">admission and discharge </w:t>
                  </w:r>
                  <w:r>
                    <w:t>from the AMHOCN </w:t>
                  </w:r>
                  <w:r w:rsidRPr="00AC3FDA">
                    <w:rPr>
                      <w:rFonts w:cs="Arial"/>
                    </w:rPr>
                    <w:t>(2019)</w:t>
                  </w:r>
                  <w:r w:rsidRPr="00D16087">
                    <w:t>.</w:t>
                  </w:r>
                </w:p>
              </w:tc>
              <w:tc>
                <w:tcPr>
                  <w:tcW w:w="273" w:type="pct"/>
                  <w:tcBorders>
                    <w:top w:val="single" w:sz="6" w:space="0" w:color="BFBFBF"/>
                  </w:tcBorders>
                  <w:shd w:val="clear" w:color="auto" w:fill="F2F2F2" w:themeFill="background1" w:themeFillShade="F2"/>
                </w:tcPr>
                <w:p w14:paraId="04DCD992" w14:textId="77777777" w:rsidR="009C6940" w:rsidRPr="00D16087" w:rsidRDefault="009C6940" w:rsidP="009C6940">
                  <w:pPr>
                    <w:pStyle w:val="TableUnitsRow"/>
                    <w:ind w:right="28"/>
                  </w:pPr>
                  <w:r>
                    <w:t>501-718</w:t>
                  </w:r>
                </w:p>
              </w:tc>
              <w:tc>
                <w:tcPr>
                  <w:tcW w:w="480" w:type="pct"/>
                  <w:tcBorders>
                    <w:top w:val="single" w:sz="6" w:space="0" w:color="BFBFBF"/>
                  </w:tcBorders>
                  <w:shd w:val="clear" w:color="auto" w:fill="F2F2F2" w:themeFill="background1" w:themeFillShade="F2"/>
                </w:tcPr>
                <w:p w14:paraId="27935AFB" w14:textId="77777777" w:rsidR="009C6940" w:rsidRPr="00D16087" w:rsidRDefault="009C6940" w:rsidP="009C6940">
                  <w:pPr>
                    <w:pStyle w:val="TableUnitsRow"/>
                    <w:ind w:right="28"/>
                  </w:pPr>
                  <w:r>
                    <w:t>10 280-15 280</w:t>
                  </w:r>
                </w:p>
              </w:tc>
            </w:tr>
            <w:tr w:rsidR="009C6940" w14:paraId="191C79C1" w14:textId="77777777" w:rsidTr="009C6940">
              <w:tc>
                <w:tcPr>
                  <w:tcW w:w="424" w:type="pct"/>
                  <w:shd w:val="clear" w:color="auto" w:fill="auto"/>
                </w:tcPr>
                <w:p w14:paraId="79989AB9" w14:textId="77777777" w:rsidR="009C6940" w:rsidRPr="00FF2F14" w:rsidRDefault="009C6940" w:rsidP="009C6940">
                  <w:pPr>
                    <w:pStyle w:val="TableBodyText"/>
                    <w:jc w:val="left"/>
                    <w:rPr>
                      <w:i/>
                    </w:rPr>
                  </w:pPr>
                  <w:r w:rsidRPr="008E1859">
                    <w:t>Carers and families</w:t>
                  </w:r>
                </w:p>
              </w:tc>
              <w:tc>
                <w:tcPr>
                  <w:tcW w:w="1839" w:type="pct"/>
                </w:tcPr>
                <w:p w14:paraId="6E74A3D7" w14:textId="77777777" w:rsidR="009C6940" w:rsidRDefault="009C6940" w:rsidP="009C6940">
                  <w:pPr>
                    <w:pStyle w:val="TableBullet"/>
                  </w:pPr>
                  <w:r>
                    <w:t>55 000 mental health carers with unmet needs</w:t>
                  </w:r>
                </w:p>
                <w:p w14:paraId="0BBE5A08" w14:textId="77777777" w:rsidR="009C6940" w:rsidRDefault="009C6940" w:rsidP="009C6940">
                  <w:pPr>
                    <w:pStyle w:val="TableBullet"/>
                  </w:pPr>
                  <w:r>
                    <w:t>7 500 care recipients with schizophrenia or psychosis</w:t>
                  </w:r>
                </w:p>
                <w:p w14:paraId="2090A02D" w14:textId="77777777" w:rsidR="009C6940" w:rsidRDefault="009C6940" w:rsidP="009C6940">
                  <w:pPr>
                    <w:pStyle w:val="TableBullet"/>
                  </w:pPr>
                  <w:r>
                    <w:t>200 800 children of parents with mental illness (COPMI)</w:t>
                  </w:r>
                </w:p>
              </w:tc>
              <w:tc>
                <w:tcPr>
                  <w:tcW w:w="1984" w:type="pct"/>
                  <w:shd w:val="clear" w:color="auto" w:fill="auto"/>
                </w:tcPr>
                <w:p w14:paraId="675DABD2" w14:textId="77777777" w:rsidR="009C6940" w:rsidRPr="005F4CF9" w:rsidRDefault="009C6940" w:rsidP="009C6940">
                  <w:pPr>
                    <w:pStyle w:val="TableBullet"/>
                    <w:spacing w:after="20"/>
                    <w:rPr>
                      <w:lang w:val="en-US"/>
                    </w:rPr>
                  </w:pPr>
                  <w:r>
                    <w:rPr>
                      <w:lang w:val="en-US"/>
                    </w:rPr>
                    <w:t>T</w:t>
                  </w:r>
                  <w:r w:rsidRPr="005F4CF9">
                    <w:rPr>
                      <w:lang w:val="en-US"/>
                    </w:rPr>
                    <w:t xml:space="preserve">he results of a range of interventions for </w:t>
                  </w:r>
                  <w:r w:rsidRPr="00D44DF6">
                    <w:rPr>
                      <w:lang w:val="en-US"/>
                    </w:rPr>
                    <w:t>families</w:t>
                  </w:r>
                  <w:r w:rsidRPr="005F4CF9">
                    <w:rPr>
                      <w:lang w:val="en-US"/>
                    </w:rPr>
                    <w:t xml:space="preserve"> and carers suggests an effect size of 0.4 for carers (appendix K).</w:t>
                  </w:r>
                </w:p>
                <w:p w14:paraId="0F959074" w14:textId="77777777" w:rsidR="009C6940" w:rsidRDefault="009C6940" w:rsidP="009C6940">
                  <w:pPr>
                    <w:pStyle w:val="TableBullet"/>
                    <w:spacing w:after="20"/>
                  </w:pPr>
                  <w:r>
                    <w:rPr>
                      <w:lang w:val="en-US"/>
                    </w:rPr>
                    <w:t xml:space="preserve">A </w:t>
                  </w:r>
                  <w:r w:rsidRPr="005012B6">
                    <w:rPr>
                      <w:lang w:val="en-US"/>
                    </w:rPr>
                    <w:t>meta</w:t>
                  </w:r>
                  <w:r>
                    <w:rPr>
                      <w:lang w:val="en-US"/>
                    </w:rPr>
                    <w:noBreakHyphen/>
                  </w:r>
                  <w:r w:rsidRPr="005012B6">
                    <w:rPr>
                      <w:lang w:val="en-US"/>
                    </w:rPr>
                    <w:t xml:space="preserve">analysis of </w:t>
                  </w:r>
                  <w:r w:rsidRPr="005012B6">
                    <w:t>family psychosocial interventions for schizophrenia (Pharoah et al. 2010)</w:t>
                  </w:r>
                  <w:r>
                    <w:t xml:space="preserve"> suggested an effect size of 0.79 for care recipients from schizophrenia or psychosis.</w:t>
                  </w:r>
                </w:p>
                <w:p w14:paraId="77D35A99" w14:textId="77777777" w:rsidR="009C6940" w:rsidRDefault="009C6940" w:rsidP="009C6940">
                  <w:pPr>
                    <w:pStyle w:val="TableBullet"/>
                    <w:spacing w:after="20"/>
                  </w:pPr>
                  <w:r>
                    <w:t>Solantaus et al. </w:t>
                  </w:r>
                  <w:r w:rsidRPr="00933976">
                    <w:rPr>
                      <w:rFonts w:cs="Arial"/>
                    </w:rPr>
                    <w:t>(2010)</w:t>
                  </w:r>
                  <w:r>
                    <w:t xml:space="preserve"> suggested a child</w:t>
                  </w:r>
                  <w:r>
                    <w:noBreakHyphen/>
                    <w:t>focused psychoeducation discussion with parents has an effect size of 0.12 for COPMI.</w:t>
                  </w:r>
                </w:p>
              </w:tc>
              <w:tc>
                <w:tcPr>
                  <w:tcW w:w="273" w:type="pct"/>
                </w:tcPr>
                <w:p w14:paraId="0247A316" w14:textId="77777777" w:rsidR="009C6940" w:rsidRDefault="009C6940" w:rsidP="009C6940">
                  <w:pPr>
                    <w:pStyle w:val="TableBodyText"/>
                    <w:ind w:right="28"/>
                  </w:pPr>
                  <w:r>
                    <w:t>124</w:t>
                  </w:r>
                  <w:r>
                    <w:noBreakHyphen/>
                    <w:t>245</w:t>
                  </w:r>
                </w:p>
              </w:tc>
              <w:tc>
                <w:tcPr>
                  <w:tcW w:w="480" w:type="pct"/>
                  <w:shd w:val="clear" w:color="auto" w:fill="auto"/>
                </w:tcPr>
                <w:p w14:paraId="11482E14" w14:textId="77777777" w:rsidR="009C6940" w:rsidRDefault="009C6940" w:rsidP="009C6940">
                  <w:pPr>
                    <w:pStyle w:val="TableBodyText"/>
                    <w:ind w:right="28"/>
                  </w:pPr>
                  <w:r>
                    <w:t>4 390-6 390</w:t>
                  </w:r>
                </w:p>
              </w:tc>
            </w:tr>
            <w:tr w:rsidR="009C6940" w14:paraId="068DD742" w14:textId="77777777" w:rsidTr="009C6940">
              <w:tc>
                <w:tcPr>
                  <w:tcW w:w="424" w:type="pct"/>
                  <w:tcBorders>
                    <w:bottom w:val="single" w:sz="4" w:space="0" w:color="D9D9D9" w:themeColor="background1" w:themeShade="D9"/>
                  </w:tcBorders>
                  <w:shd w:val="clear" w:color="auto" w:fill="F2F2F2" w:themeFill="background1" w:themeFillShade="F2"/>
                </w:tcPr>
                <w:p w14:paraId="7477AC57" w14:textId="77777777" w:rsidR="009C6940" w:rsidRPr="00FF2F14" w:rsidRDefault="009C6940" w:rsidP="009C6940">
                  <w:pPr>
                    <w:pStyle w:val="TableBodyText"/>
                    <w:jc w:val="left"/>
                    <w:rPr>
                      <w:i/>
                    </w:rPr>
                  </w:pPr>
                  <w:r w:rsidRPr="008E1859">
                    <w:t xml:space="preserve">Income </w:t>
                  </w:r>
                  <w:r>
                    <w:t>and</w:t>
                  </w:r>
                  <w:r w:rsidRPr="008E1859">
                    <w:t xml:space="preserve"> employment support</w:t>
                  </w:r>
                </w:p>
              </w:tc>
              <w:tc>
                <w:tcPr>
                  <w:tcW w:w="1839" w:type="pct"/>
                  <w:tcBorders>
                    <w:bottom w:val="single" w:sz="4" w:space="0" w:color="D9D9D9" w:themeColor="background1" w:themeShade="D9"/>
                  </w:tcBorders>
                  <w:shd w:val="clear" w:color="auto" w:fill="F2F2F2" w:themeFill="background1" w:themeFillShade="F2"/>
                </w:tcPr>
                <w:p w14:paraId="2E1B6D88" w14:textId="77777777" w:rsidR="009C6940" w:rsidRDefault="009C6940" w:rsidP="009C6940">
                  <w:pPr>
                    <w:pStyle w:val="TableBodyText"/>
                    <w:jc w:val="left"/>
                  </w:pPr>
                  <w:r>
                    <w:t>40 000 people with severe mental illness, of employment age</w:t>
                  </w:r>
                </w:p>
              </w:tc>
              <w:tc>
                <w:tcPr>
                  <w:tcW w:w="1984" w:type="pct"/>
                  <w:tcBorders>
                    <w:bottom w:val="single" w:sz="4" w:space="0" w:color="D9D9D9" w:themeColor="background1" w:themeShade="D9"/>
                  </w:tcBorders>
                  <w:shd w:val="clear" w:color="auto" w:fill="F2F2F2" w:themeFill="background1" w:themeFillShade="F2"/>
                </w:tcPr>
                <w:p w14:paraId="6D45D1D8" w14:textId="77777777" w:rsidR="009C6940" w:rsidRPr="005F4CF9" w:rsidRDefault="009C6940" w:rsidP="009C6940">
                  <w:pPr>
                    <w:pStyle w:val="TableBullet"/>
                    <w:spacing w:after="20"/>
                    <w:rPr>
                      <w:lang w:val="nl-NL"/>
                    </w:rPr>
                  </w:pPr>
                  <w:r>
                    <w:t>Synthesising the results of a range of IPS trials suggests an effect size of 0.08 for calculating health</w:t>
                  </w:r>
                  <w:r>
                    <w:noBreakHyphen/>
                    <w:t xml:space="preserve">related quality of life benefits </w:t>
                  </w:r>
                  <w:r w:rsidRPr="005F4CF9">
                    <w:rPr>
                      <w:rFonts w:cs="Arial"/>
                      <w:szCs w:val="24"/>
                      <w:lang w:val="nl-NL"/>
                    </w:rPr>
                    <w:t>(Burns et al. 2009; Drake et al. 1999; Kukla and Bond 2013; Michon et al. 2014)</w:t>
                  </w:r>
                  <w:r w:rsidRPr="005F4CF9">
                    <w:rPr>
                      <w:lang w:val="nl-NL"/>
                    </w:rPr>
                    <w:t>.</w:t>
                  </w:r>
                </w:p>
                <w:p w14:paraId="2A904AB3" w14:textId="77777777" w:rsidR="009C6940" w:rsidRDefault="009C6940" w:rsidP="009C6940">
                  <w:pPr>
                    <w:pStyle w:val="TableBullet"/>
                    <w:spacing w:after="20"/>
                  </w:pPr>
                  <w:r>
                    <w:t xml:space="preserve">Labour market benefits are based on the secondary vocational outcomes (duration of employment, average hours worked, hourly wage) reported in Waghorn et al. </w:t>
                  </w:r>
                  <w:r w:rsidRPr="00933976">
                    <w:rPr>
                      <w:rFonts w:cs="Arial"/>
                    </w:rPr>
                    <w:t>(2014)</w:t>
                  </w:r>
                  <w:r>
                    <w:t>.</w:t>
                  </w:r>
                </w:p>
              </w:tc>
              <w:tc>
                <w:tcPr>
                  <w:tcW w:w="273" w:type="pct"/>
                  <w:tcBorders>
                    <w:bottom w:val="single" w:sz="4" w:space="0" w:color="D9D9D9" w:themeColor="background1" w:themeShade="D9"/>
                  </w:tcBorders>
                  <w:shd w:val="clear" w:color="auto" w:fill="F2F2F2" w:themeFill="background1" w:themeFillShade="F2"/>
                </w:tcPr>
                <w:p w14:paraId="7C8E78FC" w14:textId="77777777" w:rsidR="009C6940" w:rsidRDefault="009C6940" w:rsidP="009C6940">
                  <w:pPr>
                    <w:pStyle w:val="TableBodyText"/>
                    <w:ind w:right="28"/>
                  </w:pPr>
                  <w:r>
                    <w:t>42</w:t>
                  </w:r>
                  <w:r>
                    <w:noBreakHyphen/>
                    <w:t>90</w:t>
                  </w:r>
                </w:p>
              </w:tc>
              <w:tc>
                <w:tcPr>
                  <w:tcW w:w="480" w:type="pct"/>
                  <w:tcBorders>
                    <w:bottom w:val="single" w:sz="4" w:space="0" w:color="D9D9D9" w:themeColor="background1" w:themeShade="D9"/>
                  </w:tcBorders>
                  <w:shd w:val="clear" w:color="auto" w:fill="F2F2F2" w:themeFill="background1" w:themeFillShade="F2"/>
                </w:tcPr>
                <w:p w14:paraId="00C45216" w14:textId="77777777" w:rsidR="009C6940" w:rsidRDefault="009C6940" w:rsidP="009C6940">
                  <w:pPr>
                    <w:pStyle w:val="TableBodyText"/>
                    <w:ind w:right="28"/>
                  </w:pPr>
                  <w:r>
                    <w:t>240</w:t>
                  </w:r>
                  <w:r>
                    <w:noBreakHyphen/>
                    <w:t>430</w:t>
                  </w:r>
                </w:p>
              </w:tc>
            </w:tr>
          </w:tbl>
          <w:p w14:paraId="0A87BA79" w14:textId="77777777" w:rsidR="009C6940" w:rsidRDefault="009C6940" w:rsidP="009C6940">
            <w:pPr>
              <w:pStyle w:val="Box"/>
            </w:pPr>
          </w:p>
        </w:tc>
      </w:tr>
      <w:tr w:rsidR="009C6940" w14:paraId="0D142328" w14:textId="77777777" w:rsidTr="009C6940">
        <w:tc>
          <w:tcPr>
            <w:tcW w:w="13273" w:type="dxa"/>
            <w:tcBorders>
              <w:top w:val="nil"/>
              <w:left w:val="nil"/>
              <w:bottom w:val="nil"/>
              <w:right w:val="nil"/>
            </w:tcBorders>
            <w:shd w:val="clear" w:color="auto" w:fill="auto"/>
          </w:tcPr>
          <w:p w14:paraId="4AD29E6A" w14:textId="77777777" w:rsidR="009C6940" w:rsidRPr="00057B39" w:rsidRDefault="009C6940" w:rsidP="009C6940">
            <w:pPr>
              <w:pStyle w:val="Continued"/>
              <w:spacing w:before="120"/>
            </w:pPr>
            <w:r w:rsidRPr="00057B39">
              <w:t>(continued next page)</w:t>
            </w:r>
          </w:p>
        </w:tc>
      </w:tr>
      <w:tr w:rsidR="009C6940" w14:paraId="76DBE40B" w14:textId="77777777" w:rsidTr="009C6940">
        <w:tc>
          <w:tcPr>
            <w:tcW w:w="13273" w:type="dxa"/>
            <w:tcBorders>
              <w:top w:val="nil"/>
              <w:left w:val="nil"/>
              <w:bottom w:val="single" w:sz="6" w:space="0" w:color="78A22F"/>
              <w:right w:val="nil"/>
            </w:tcBorders>
            <w:shd w:val="clear" w:color="auto" w:fill="auto"/>
          </w:tcPr>
          <w:p w14:paraId="589568A2" w14:textId="77777777" w:rsidR="009C6940" w:rsidRDefault="009C6940" w:rsidP="009C6940">
            <w:pPr>
              <w:pStyle w:val="Box"/>
              <w:spacing w:before="0" w:line="120" w:lineRule="exact"/>
            </w:pPr>
          </w:p>
        </w:tc>
      </w:tr>
      <w:tr w:rsidR="009C6940" w:rsidRPr="000863A5" w14:paraId="5F4A47A0" w14:textId="77777777" w:rsidTr="009C6940">
        <w:tc>
          <w:tcPr>
            <w:tcW w:w="13273" w:type="dxa"/>
            <w:tcBorders>
              <w:top w:val="single" w:sz="6" w:space="0" w:color="78A22F"/>
              <w:left w:val="nil"/>
              <w:bottom w:val="nil"/>
              <w:right w:val="nil"/>
            </w:tcBorders>
          </w:tcPr>
          <w:p w14:paraId="6CC867FD" w14:textId="77777777" w:rsidR="009C6940" w:rsidRPr="00626D32" w:rsidRDefault="009C6940" w:rsidP="009C6940">
            <w:pPr>
              <w:pStyle w:val="BoxSpaceBelow"/>
            </w:pPr>
          </w:p>
        </w:tc>
      </w:tr>
    </w:tbl>
    <w:p w14:paraId="3FAAA290" w14:textId="77777777" w:rsidR="009C6940" w:rsidRDefault="009C6940" w:rsidP="009C69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9C6940" w14:paraId="64A4928F" w14:textId="77777777" w:rsidTr="009C6940">
        <w:tc>
          <w:tcPr>
            <w:tcW w:w="13273" w:type="dxa"/>
            <w:tcBorders>
              <w:top w:val="single" w:sz="6" w:space="0" w:color="78A22F"/>
              <w:left w:val="nil"/>
              <w:bottom w:val="nil"/>
              <w:right w:val="nil"/>
            </w:tcBorders>
            <w:shd w:val="clear" w:color="auto" w:fill="auto"/>
          </w:tcPr>
          <w:p w14:paraId="102B3533" w14:textId="77777777" w:rsidR="009C6940" w:rsidRPr="00784A05" w:rsidRDefault="009C6940" w:rsidP="009C6940">
            <w:pPr>
              <w:pStyle w:val="TableTitle"/>
            </w:pPr>
            <w:r>
              <w:rPr>
                <w:b w:val="0"/>
              </w:rPr>
              <w:t>Table I.3</w:t>
            </w:r>
            <w:r>
              <w:tab/>
            </w:r>
            <w:r w:rsidRPr="00556B45">
              <w:rPr>
                <w:b w:val="0"/>
                <w:bCs/>
                <w:sz w:val="18"/>
                <w:szCs w:val="18"/>
              </w:rPr>
              <w:t>(continued)</w:t>
            </w:r>
          </w:p>
        </w:tc>
      </w:tr>
      <w:tr w:rsidR="009C6940" w14:paraId="0815E21C" w14:textId="77777777" w:rsidTr="009C6940">
        <w:tc>
          <w:tcPr>
            <w:tcW w:w="13273" w:type="dxa"/>
            <w:tcBorders>
              <w:top w:val="nil"/>
              <w:left w:val="nil"/>
              <w:bottom w:val="single" w:sz="4" w:space="0" w:color="D9D9D9" w:themeColor="background1" w:themeShade="D9"/>
              <w:right w:val="nil"/>
            </w:tcBorders>
            <w:shd w:val="clear" w:color="auto" w:fill="auto"/>
          </w:tcPr>
          <w:tbl>
            <w:tblPr>
              <w:tblW w:w="4957" w:type="pct"/>
              <w:tblCellMar>
                <w:top w:w="28" w:type="dxa"/>
                <w:left w:w="0" w:type="dxa"/>
                <w:right w:w="0" w:type="dxa"/>
              </w:tblCellMar>
              <w:tblLook w:val="0000" w:firstRow="0" w:lastRow="0" w:firstColumn="0" w:lastColumn="0" w:noHBand="0" w:noVBand="0"/>
            </w:tblPr>
            <w:tblGrid>
              <w:gridCol w:w="1172"/>
              <w:gridCol w:w="4476"/>
              <w:gridCol w:w="5102"/>
              <w:gridCol w:w="896"/>
              <w:gridCol w:w="1231"/>
            </w:tblGrid>
            <w:tr w:rsidR="009C6940" w14:paraId="2E80C805" w14:textId="77777777" w:rsidTr="009C6940">
              <w:trPr>
                <w:tblHeader/>
              </w:trPr>
              <w:tc>
                <w:tcPr>
                  <w:tcW w:w="455" w:type="pct"/>
                  <w:tcBorders>
                    <w:top w:val="single" w:sz="6" w:space="0" w:color="BFBFBF"/>
                    <w:bottom w:val="single" w:sz="6" w:space="0" w:color="BFBFBF"/>
                  </w:tcBorders>
                  <w:shd w:val="clear" w:color="auto" w:fill="auto"/>
                  <w:tcMar>
                    <w:top w:w="28" w:type="dxa"/>
                  </w:tcMar>
                </w:tcPr>
                <w:p w14:paraId="18975829" w14:textId="77777777" w:rsidR="009C6940" w:rsidRDefault="009C6940" w:rsidP="009C6940">
                  <w:pPr>
                    <w:pStyle w:val="TableColumnHeading"/>
                    <w:jc w:val="left"/>
                  </w:pPr>
                  <w:r>
                    <w:t>Action grouping</w:t>
                  </w:r>
                </w:p>
              </w:tc>
              <w:tc>
                <w:tcPr>
                  <w:tcW w:w="1738" w:type="pct"/>
                  <w:tcBorders>
                    <w:top w:val="single" w:sz="6" w:space="0" w:color="BFBFBF"/>
                    <w:bottom w:val="single" w:sz="6" w:space="0" w:color="BFBFBF"/>
                  </w:tcBorders>
                </w:tcPr>
                <w:p w14:paraId="011DD911" w14:textId="77777777" w:rsidR="009C6940" w:rsidRDefault="009C6940" w:rsidP="009C6940">
                  <w:pPr>
                    <w:pStyle w:val="TableColumnHeading"/>
                    <w:jc w:val="left"/>
                  </w:pPr>
                  <w:r w:rsidRPr="004038C6">
                    <w:t>Population affected</w:t>
                  </w:r>
                </w:p>
              </w:tc>
              <w:tc>
                <w:tcPr>
                  <w:tcW w:w="1981" w:type="pct"/>
                  <w:tcBorders>
                    <w:top w:val="single" w:sz="6" w:space="0" w:color="BFBFBF"/>
                    <w:bottom w:val="single" w:sz="4" w:space="0" w:color="BFBFBF" w:themeColor="background1" w:themeShade="BF"/>
                  </w:tcBorders>
                  <w:shd w:val="clear" w:color="auto" w:fill="auto"/>
                  <w:tcMar>
                    <w:top w:w="28" w:type="dxa"/>
                  </w:tcMar>
                </w:tcPr>
                <w:p w14:paraId="711D0F2E" w14:textId="77777777" w:rsidR="009C6940" w:rsidRDefault="009C6940" w:rsidP="009C6940">
                  <w:pPr>
                    <w:pStyle w:val="TableColumnHeading"/>
                    <w:jc w:val="left"/>
                  </w:pPr>
                  <w:r w:rsidRPr="004038C6">
                    <w:t>Effect size</w:t>
                  </w:r>
                </w:p>
              </w:tc>
              <w:tc>
                <w:tcPr>
                  <w:tcW w:w="348" w:type="pct"/>
                  <w:tcBorders>
                    <w:top w:val="single" w:sz="6" w:space="0" w:color="BFBFBF"/>
                    <w:bottom w:val="single" w:sz="6" w:space="0" w:color="BFBFBF"/>
                  </w:tcBorders>
                </w:tcPr>
                <w:p w14:paraId="02DC45C9" w14:textId="77777777" w:rsidR="009C6940" w:rsidRDefault="009C6940" w:rsidP="009C6940">
                  <w:pPr>
                    <w:pStyle w:val="TableColumnHeading"/>
                    <w:ind w:right="28"/>
                  </w:pPr>
                  <w:r>
                    <w:t>Income ($ million)</w:t>
                  </w:r>
                </w:p>
              </w:tc>
              <w:tc>
                <w:tcPr>
                  <w:tcW w:w="478" w:type="pct"/>
                  <w:tcBorders>
                    <w:top w:val="single" w:sz="6" w:space="0" w:color="BFBFBF"/>
                    <w:bottom w:val="single" w:sz="6" w:space="0" w:color="BFBFBF"/>
                  </w:tcBorders>
                  <w:shd w:val="clear" w:color="auto" w:fill="auto"/>
                  <w:tcMar>
                    <w:top w:w="28" w:type="dxa"/>
                  </w:tcMar>
                </w:tcPr>
                <w:p w14:paraId="576DE897" w14:textId="77777777" w:rsidR="009C6940" w:rsidRDefault="009C6940" w:rsidP="009C6940">
                  <w:pPr>
                    <w:pStyle w:val="TableColumnHeading"/>
                    <w:ind w:right="28"/>
                  </w:pPr>
                  <w:r>
                    <w:t>Number of QALYs</w:t>
                  </w:r>
                </w:p>
              </w:tc>
            </w:tr>
            <w:tr w:rsidR="009C6940" w14:paraId="4A2A177D" w14:textId="77777777" w:rsidTr="009C6940">
              <w:tc>
                <w:tcPr>
                  <w:tcW w:w="455" w:type="pct"/>
                  <w:tcBorders>
                    <w:top w:val="single" w:sz="6" w:space="0" w:color="BFBFBF"/>
                  </w:tcBorders>
                  <w:shd w:val="clear" w:color="auto" w:fill="F2F2F2" w:themeFill="background1" w:themeFillShade="F2"/>
                </w:tcPr>
                <w:p w14:paraId="1D862629" w14:textId="77777777" w:rsidR="009C6940" w:rsidRPr="008E1859" w:rsidRDefault="009C6940" w:rsidP="009C6940">
                  <w:pPr>
                    <w:pStyle w:val="TableUnitsRow"/>
                    <w:jc w:val="left"/>
                  </w:pPr>
                  <w:r w:rsidRPr="008E1859">
                    <w:t>Housing</w:t>
                  </w:r>
                </w:p>
              </w:tc>
              <w:tc>
                <w:tcPr>
                  <w:tcW w:w="1738" w:type="pct"/>
                  <w:tcBorders>
                    <w:top w:val="single" w:sz="6" w:space="0" w:color="BFBFBF"/>
                  </w:tcBorders>
                  <w:shd w:val="clear" w:color="auto" w:fill="F2F2F2" w:themeFill="background1" w:themeFillShade="F2"/>
                </w:tcPr>
                <w:p w14:paraId="3E72AB2B" w14:textId="77777777" w:rsidR="009C6940" w:rsidRDefault="009C6940" w:rsidP="009C6940">
                  <w:pPr>
                    <w:pStyle w:val="TableBodyText"/>
                    <w:jc w:val="left"/>
                  </w:pPr>
                  <w:r>
                    <w:t>Between 15 000</w:t>
                  </w:r>
                  <w:r>
                    <w:noBreakHyphen/>
                    <w:t>40 000 people:</w:t>
                  </w:r>
                </w:p>
                <w:p w14:paraId="501D53E8" w14:textId="77777777" w:rsidR="009C6940" w:rsidRDefault="009C6940" w:rsidP="009C6940">
                  <w:pPr>
                    <w:pStyle w:val="TableBullet"/>
                  </w:pPr>
                  <w:r>
                    <w:t>have unmet needs for assistance to sustain a housing tenure</w:t>
                  </w:r>
                </w:p>
                <w:p w14:paraId="1028C978" w14:textId="77777777" w:rsidR="009C6940" w:rsidRDefault="009C6940" w:rsidP="009C6940">
                  <w:pPr>
                    <w:pStyle w:val="TableBullet"/>
                  </w:pPr>
                  <w:r>
                    <w:t>are in need of housing upon discharge from hospital or prison</w:t>
                  </w:r>
                </w:p>
                <w:p w14:paraId="07C5C070" w14:textId="77777777" w:rsidR="009C6940" w:rsidRDefault="009C6940" w:rsidP="009C6940">
                  <w:pPr>
                    <w:pStyle w:val="TableBullet"/>
                  </w:pPr>
                  <w:r>
                    <w:t>require supported housing</w:t>
                  </w:r>
                </w:p>
                <w:p w14:paraId="487432DF" w14:textId="77777777" w:rsidR="009C6940" w:rsidRDefault="009C6940" w:rsidP="009C6940">
                  <w:pPr>
                    <w:pStyle w:val="TableBullet"/>
                  </w:pPr>
                  <w:r>
                    <w:t>have unmet needs for long term housing.</w:t>
                  </w:r>
                </w:p>
              </w:tc>
              <w:tc>
                <w:tcPr>
                  <w:tcW w:w="1981" w:type="pct"/>
                  <w:tcBorders>
                    <w:top w:val="single" w:sz="4" w:space="0" w:color="BFBFBF" w:themeColor="background1" w:themeShade="BF"/>
                  </w:tcBorders>
                  <w:shd w:val="clear" w:color="auto" w:fill="F2F2F2" w:themeFill="background1" w:themeFillShade="F2"/>
                </w:tcPr>
                <w:p w14:paraId="2CD078F8" w14:textId="77777777" w:rsidR="009C6940" w:rsidRDefault="009C6940" w:rsidP="009C6940">
                  <w:pPr>
                    <w:pStyle w:val="TableBullet"/>
                  </w:pPr>
                  <w:r>
                    <w:t xml:space="preserve">Additional QALYs are calculated using estimates from Aldridge </w:t>
                  </w:r>
                  <w:r w:rsidRPr="00AC3FDA">
                    <w:t xml:space="preserve">(2015) </w:t>
                  </w:r>
                  <w:r>
                    <w:t xml:space="preserve">and Connelly </w:t>
                  </w:r>
                  <w:r w:rsidRPr="00AC3FDA">
                    <w:t>(2013)</w:t>
                  </w:r>
                  <w:r>
                    <w:t>. These papers suggested that a year of homelessness is associated with a loss of between 0.06</w:t>
                  </w:r>
                  <w:r>
                    <w:noBreakHyphen/>
                    <w:t>0.12 QALYs.</w:t>
                  </w:r>
                </w:p>
                <w:p w14:paraId="54BD8168" w14:textId="77777777" w:rsidR="009C6940" w:rsidRDefault="009C6940" w:rsidP="009C6940">
                  <w:pPr>
                    <w:pStyle w:val="TableBullet"/>
                  </w:pPr>
                  <w:r>
                    <w:t xml:space="preserve">Flatau et al. </w:t>
                  </w:r>
                  <w:r w:rsidRPr="00AC3FDA">
                    <w:t>(2007)</w:t>
                  </w:r>
                  <w:r>
                    <w:t xml:space="preserve"> reported a difference in employment rate of about 4.5 percentage points at the follow</w:t>
                  </w:r>
                  <w:r>
                    <w:noBreakHyphen/>
                    <w:t>up after their entry into support. It is assumed that recipients of IPS will be on minimum wage, and t</w:t>
                  </w:r>
                  <w:r w:rsidRPr="008A1F4F">
                    <w:t>he number of hours and weeks worked is assumed to be the same as those who gain competitive employment under IPS from Waghorn et al. (2014)</w:t>
                  </w:r>
                  <w:r>
                    <w:t>.</w:t>
                  </w:r>
                </w:p>
              </w:tc>
              <w:tc>
                <w:tcPr>
                  <w:tcW w:w="348" w:type="pct"/>
                  <w:tcBorders>
                    <w:top w:val="single" w:sz="6" w:space="0" w:color="BFBFBF"/>
                  </w:tcBorders>
                  <w:shd w:val="clear" w:color="auto" w:fill="F2F2F2" w:themeFill="background1" w:themeFillShade="F2"/>
                </w:tcPr>
                <w:p w14:paraId="051A5F48" w14:textId="77777777" w:rsidR="009C6940" w:rsidRDefault="009C6940" w:rsidP="009C6940">
                  <w:pPr>
                    <w:pStyle w:val="TableUnitsRow"/>
                    <w:ind w:right="28"/>
                  </w:pPr>
                  <w:r>
                    <w:t>8</w:t>
                  </w:r>
                  <w:r>
                    <w:noBreakHyphen/>
                    <w:t>21</w:t>
                  </w:r>
                </w:p>
              </w:tc>
              <w:tc>
                <w:tcPr>
                  <w:tcW w:w="478" w:type="pct"/>
                  <w:tcBorders>
                    <w:top w:val="single" w:sz="6" w:space="0" w:color="BFBFBF"/>
                  </w:tcBorders>
                  <w:shd w:val="clear" w:color="auto" w:fill="F2F2F2" w:themeFill="background1" w:themeFillShade="F2"/>
                </w:tcPr>
                <w:p w14:paraId="5FC6013B" w14:textId="77777777" w:rsidR="009C6940" w:rsidRDefault="009C6940" w:rsidP="009C6940">
                  <w:pPr>
                    <w:pStyle w:val="TableUnitsRow"/>
                    <w:ind w:right="28"/>
                  </w:pPr>
                  <w:r>
                    <w:t>920</w:t>
                  </w:r>
                  <w:r>
                    <w:noBreakHyphen/>
                    <w:t>4 780</w:t>
                  </w:r>
                </w:p>
              </w:tc>
            </w:tr>
            <w:tr w:rsidR="009C6940" w14:paraId="535308B0" w14:textId="77777777" w:rsidTr="009C6940">
              <w:tc>
                <w:tcPr>
                  <w:tcW w:w="455" w:type="pct"/>
                  <w:shd w:val="clear" w:color="auto" w:fill="FFFFFF" w:themeFill="background1"/>
                </w:tcPr>
                <w:p w14:paraId="4BD3F532" w14:textId="77777777" w:rsidR="009C6940" w:rsidRPr="006262AB" w:rsidRDefault="009C6940" w:rsidP="009C6940">
                  <w:pPr>
                    <w:pStyle w:val="TableUnitsRow"/>
                    <w:jc w:val="left"/>
                  </w:pPr>
                  <w:r w:rsidRPr="008E1859">
                    <w:t>Psychosocial support</w:t>
                  </w:r>
                  <w:r>
                    <w:t>s</w:t>
                  </w:r>
                </w:p>
              </w:tc>
              <w:tc>
                <w:tcPr>
                  <w:tcW w:w="1738" w:type="pct"/>
                  <w:shd w:val="clear" w:color="auto" w:fill="FFFFFF" w:themeFill="background1"/>
                </w:tcPr>
                <w:p w14:paraId="1D725064" w14:textId="77777777" w:rsidR="009C6940" w:rsidRDefault="009C6940" w:rsidP="009C6940">
                  <w:pPr>
                    <w:pStyle w:val="TableUnitsRow"/>
                    <w:jc w:val="left"/>
                  </w:pPr>
                  <w:r>
                    <w:t>There is a gap of 154 000 people with severe mental illness who require psychosocial supports.</w:t>
                  </w:r>
                </w:p>
              </w:tc>
              <w:tc>
                <w:tcPr>
                  <w:tcW w:w="1981" w:type="pct"/>
                  <w:shd w:val="clear" w:color="auto" w:fill="FFFFFF" w:themeFill="background1"/>
                </w:tcPr>
                <w:p w14:paraId="4582BBE8" w14:textId="77777777" w:rsidR="009C6940" w:rsidRDefault="009C6940" w:rsidP="009C6940">
                  <w:pPr>
                    <w:pStyle w:val="TableUnitsRow"/>
                    <w:jc w:val="left"/>
                  </w:pPr>
                  <w:r>
                    <w:t xml:space="preserve">Muir, Meyer and Thomas </w:t>
                  </w:r>
                  <w:r w:rsidRPr="00AA3BC6">
                    <w:rPr>
                      <w:rFonts w:cs="Arial"/>
                    </w:rPr>
                    <w:t>(2016)</w:t>
                  </w:r>
                  <w:r>
                    <w:t xml:space="preserve"> conducted an evaluation of the Wellways Partners in Recovery </w:t>
                  </w:r>
                  <w:r w:rsidRPr="00434C52">
                    <w:t>program</w:t>
                  </w:r>
                  <w:r w:rsidRPr="00F20F17">
                    <w:t xml:space="preserve"> </w:t>
                  </w:r>
                  <w:r>
                    <w:t>and estimated an effect size of 0.44 on the ‘managing mental health’ dimension.</w:t>
                  </w:r>
                </w:p>
                <w:p w14:paraId="436F9A3C" w14:textId="77777777" w:rsidR="009C6940" w:rsidRDefault="009C6940" w:rsidP="009C6940">
                  <w:pPr>
                    <w:pStyle w:val="TableUnitsRow"/>
                    <w:jc w:val="left"/>
                  </w:pPr>
                  <w:r w:rsidRPr="008A1F4F">
                    <w:t>The number of hours and weeks worked is assumed to be the same as those who gain competitive employment under IPS from Waghorn et al</w:t>
                  </w:r>
                  <w:r>
                    <w:t xml:space="preserve">. </w:t>
                  </w:r>
                  <w:r w:rsidRPr="00AA3BC6">
                    <w:rPr>
                      <w:rFonts w:cs="Arial"/>
                    </w:rPr>
                    <w:t>(2014)</w:t>
                  </w:r>
                  <w:r w:rsidRPr="008A1F4F">
                    <w:t xml:space="preserve">. </w:t>
                  </w:r>
                </w:p>
              </w:tc>
              <w:tc>
                <w:tcPr>
                  <w:tcW w:w="348" w:type="pct"/>
                  <w:shd w:val="clear" w:color="auto" w:fill="FFFFFF" w:themeFill="background1"/>
                </w:tcPr>
                <w:p w14:paraId="2B7CB94E" w14:textId="77777777" w:rsidR="009C6940" w:rsidRDefault="009C6940" w:rsidP="009C6940">
                  <w:pPr>
                    <w:pStyle w:val="TableUnitsRow"/>
                    <w:ind w:right="28"/>
                  </w:pPr>
                  <w:r>
                    <w:t>79</w:t>
                  </w:r>
                  <w:r>
                    <w:noBreakHyphen/>
                    <w:t>177</w:t>
                  </w:r>
                </w:p>
              </w:tc>
              <w:tc>
                <w:tcPr>
                  <w:tcW w:w="478" w:type="pct"/>
                  <w:shd w:val="clear" w:color="auto" w:fill="FFFFFF" w:themeFill="background1"/>
                </w:tcPr>
                <w:p w14:paraId="6ADDA014" w14:textId="77777777" w:rsidR="009C6940" w:rsidRDefault="009C6940" w:rsidP="009C6940">
                  <w:pPr>
                    <w:pStyle w:val="TableUnitsRow"/>
                    <w:ind w:right="28"/>
                  </w:pPr>
                  <w:r>
                    <w:t>4 910</w:t>
                  </w:r>
                  <w:r>
                    <w:noBreakHyphen/>
                    <w:t>8 900</w:t>
                  </w:r>
                </w:p>
              </w:tc>
            </w:tr>
            <w:tr w:rsidR="009C6940" w14:paraId="5FE5F8AD" w14:textId="77777777" w:rsidTr="009C6940">
              <w:tc>
                <w:tcPr>
                  <w:tcW w:w="455" w:type="pct"/>
                  <w:shd w:val="clear" w:color="auto" w:fill="F2F2F2" w:themeFill="background1" w:themeFillShade="F2"/>
                </w:tcPr>
                <w:p w14:paraId="338137A8" w14:textId="77777777" w:rsidR="009C6940" w:rsidRPr="006262AB" w:rsidRDefault="009C6940" w:rsidP="009C6940">
                  <w:pPr>
                    <w:pStyle w:val="TableUnitsRow"/>
                    <w:jc w:val="left"/>
                  </w:pPr>
                  <w:r w:rsidRPr="006262AB">
                    <w:t>Early childhood &amp; school</w:t>
                  </w:r>
                </w:p>
              </w:tc>
              <w:tc>
                <w:tcPr>
                  <w:tcW w:w="1738" w:type="pct"/>
                  <w:shd w:val="clear" w:color="auto" w:fill="F2F2F2" w:themeFill="background1" w:themeFillShade="F2"/>
                </w:tcPr>
                <w:p w14:paraId="7F40FB33" w14:textId="77777777" w:rsidR="009C6940" w:rsidRDefault="009C6940" w:rsidP="009C6940">
                  <w:pPr>
                    <w:pStyle w:val="TableBullet"/>
                  </w:pPr>
                  <w:r>
                    <w:t xml:space="preserve">Around 11 100 students benefit from the rollout of an indicated parent education program designed to prevent anxiety disorders in children. </w:t>
                  </w:r>
                </w:p>
              </w:tc>
              <w:tc>
                <w:tcPr>
                  <w:tcW w:w="1981" w:type="pct"/>
                  <w:shd w:val="clear" w:color="auto" w:fill="F2F2F2" w:themeFill="background1" w:themeFillShade="F2"/>
                </w:tcPr>
                <w:p w14:paraId="7AF1C531" w14:textId="77777777" w:rsidR="009C6940" w:rsidRDefault="009C6940" w:rsidP="009C6940">
                  <w:pPr>
                    <w:pStyle w:val="TableBodyText"/>
                    <w:jc w:val="left"/>
                  </w:pPr>
                  <w:r>
                    <w:t xml:space="preserve">Reduced anxiety effects are drawn from Rapee et al. </w:t>
                  </w:r>
                  <w:r w:rsidRPr="00D80781">
                    <w:rPr>
                      <w:rFonts w:cs="Arial"/>
                    </w:rPr>
                    <w:t>(2005)</w:t>
                  </w:r>
                  <w:r>
                    <w:t xml:space="preserve">. </w:t>
                  </w:r>
                </w:p>
              </w:tc>
              <w:tc>
                <w:tcPr>
                  <w:tcW w:w="348" w:type="pct"/>
                  <w:shd w:val="clear" w:color="auto" w:fill="F2F2F2" w:themeFill="background1" w:themeFillShade="F2"/>
                </w:tcPr>
                <w:p w14:paraId="2826D7C5" w14:textId="77777777" w:rsidR="009C6940" w:rsidRDefault="009C6940" w:rsidP="009C6940">
                  <w:pPr>
                    <w:pStyle w:val="TableUnitsRow"/>
                    <w:ind w:right="28"/>
                  </w:pPr>
                  <w:r>
                    <w:t>na</w:t>
                  </w:r>
                </w:p>
              </w:tc>
              <w:tc>
                <w:tcPr>
                  <w:tcW w:w="478" w:type="pct"/>
                  <w:shd w:val="clear" w:color="auto" w:fill="F2F2F2" w:themeFill="background1" w:themeFillShade="F2"/>
                </w:tcPr>
                <w:p w14:paraId="75307ADA" w14:textId="77777777" w:rsidR="009C6940" w:rsidRDefault="009C6940" w:rsidP="009C6940">
                  <w:pPr>
                    <w:pStyle w:val="TableUnitsRow"/>
                    <w:ind w:right="28"/>
                  </w:pPr>
                  <w:r>
                    <w:t>385</w:t>
                  </w:r>
                  <w:r>
                    <w:noBreakHyphen/>
                    <w:t>703</w:t>
                  </w:r>
                  <w:r>
                    <w:rPr>
                      <w:rStyle w:val="NoteLabel"/>
                    </w:rPr>
                    <w:t>a</w:t>
                  </w:r>
                </w:p>
              </w:tc>
            </w:tr>
            <w:tr w:rsidR="009C6940" w14:paraId="62AA4D87" w14:textId="77777777" w:rsidTr="009C6940">
              <w:tc>
                <w:tcPr>
                  <w:tcW w:w="455" w:type="pct"/>
                  <w:shd w:val="clear" w:color="auto" w:fill="auto"/>
                </w:tcPr>
                <w:p w14:paraId="1481EBE1" w14:textId="77777777" w:rsidR="009C6940" w:rsidRPr="00130443" w:rsidRDefault="009C6940" w:rsidP="009C6940">
                  <w:pPr>
                    <w:pStyle w:val="TableUnitsRow"/>
                    <w:jc w:val="left"/>
                    <w:rPr>
                      <w:b/>
                    </w:rPr>
                  </w:pPr>
                </w:p>
              </w:tc>
              <w:tc>
                <w:tcPr>
                  <w:tcW w:w="1738" w:type="pct"/>
                  <w:shd w:val="clear" w:color="auto" w:fill="auto"/>
                </w:tcPr>
                <w:p w14:paraId="5742C0D9" w14:textId="77777777" w:rsidR="009C6940" w:rsidRDefault="009C6940" w:rsidP="009C6940">
                  <w:pPr>
                    <w:pStyle w:val="TableBullet"/>
                  </w:pPr>
                  <w:r>
                    <w:t xml:space="preserve">There are </w:t>
                  </w:r>
                  <w:r w:rsidRPr="008A1F4F">
                    <w:t xml:space="preserve">3.9 million students in primary and high schools across Australia </w:t>
                  </w:r>
                  <w:r w:rsidRPr="00AC3FDA">
                    <w:t>(ABS 2020)</w:t>
                  </w:r>
                  <w:r w:rsidRPr="008A1F4F">
                    <w:t xml:space="preserve"> </w:t>
                  </w:r>
                  <w:r>
                    <w:t xml:space="preserve">who </w:t>
                  </w:r>
                  <w:r w:rsidRPr="008A1F4F">
                    <w:t>are expected to experience improved health</w:t>
                  </w:r>
                  <w:r>
                    <w:noBreakHyphen/>
                  </w:r>
                  <w:r w:rsidRPr="008A1F4F">
                    <w:t>related quality of life from social and emotional learning programs.</w:t>
                  </w:r>
                </w:p>
                <w:p w14:paraId="36ED21D2" w14:textId="77777777" w:rsidR="009C6940" w:rsidRDefault="009C6940" w:rsidP="009C6940">
                  <w:pPr>
                    <w:pStyle w:val="TableBullet"/>
                  </w:pPr>
                  <w:r>
                    <w:t>12 000 partners of new mothers, who are screened and identified to have a perinatal mental illness.</w:t>
                  </w:r>
                </w:p>
              </w:tc>
              <w:tc>
                <w:tcPr>
                  <w:tcW w:w="1981" w:type="pct"/>
                  <w:shd w:val="clear" w:color="auto" w:fill="auto"/>
                </w:tcPr>
                <w:p w14:paraId="423738BA" w14:textId="77777777" w:rsidR="009C6940" w:rsidRDefault="009C6940" w:rsidP="009C6940">
                  <w:pPr>
                    <w:pStyle w:val="TableBullet"/>
                  </w:pPr>
                  <w:r>
                    <w:t xml:space="preserve">Sklad et al. </w:t>
                  </w:r>
                  <w:r w:rsidRPr="00933976">
                    <w:rPr>
                      <w:rFonts w:cs="Arial"/>
                    </w:rPr>
                    <w:t>(2012)</w:t>
                  </w:r>
                  <w:r>
                    <w:t xml:space="preserve"> conducted a meta</w:t>
                  </w:r>
                  <w:r>
                    <w:noBreakHyphen/>
                    <w:t>analysis on school</w:t>
                  </w:r>
                  <w:r>
                    <w:noBreakHyphen/>
                    <w:t>based universal social, emotional, and behavioural programs and found an effect size of 0.1 on follow</w:t>
                  </w:r>
                  <w:r>
                    <w:noBreakHyphen/>
                    <w:t xml:space="preserve">up outcomes for mental disorders. </w:t>
                  </w:r>
                </w:p>
                <w:p w14:paraId="5B87FD54" w14:textId="77777777" w:rsidR="009C6940" w:rsidRDefault="009C6940" w:rsidP="009C6940">
                  <w:pPr>
                    <w:pStyle w:val="TableBullet"/>
                  </w:pPr>
                  <w:r>
                    <w:t>For partners of new mothers, i</w:t>
                  </w:r>
                  <w:r w:rsidRPr="008A1F4F">
                    <w:t>t is assumed that an even mix of face</w:t>
                  </w:r>
                  <w:r>
                    <w:noBreakHyphen/>
                  </w:r>
                  <w:r w:rsidRPr="008A1F4F">
                    <w:t>to</w:t>
                  </w:r>
                  <w:r>
                    <w:noBreakHyphen/>
                  </w:r>
                  <w:r w:rsidRPr="008A1F4F">
                    <w:t>face and online supported treatment is used, with an effect size of 0.9 (Burlingame et al. 2016; Cuijpers et al. 2019) and 0.8 (Andrews et al. 2018) respectively.</w:t>
                  </w:r>
                </w:p>
              </w:tc>
              <w:tc>
                <w:tcPr>
                  <w:tcW w:w="348" w:type="pct"/>
                  <w:shd w:val="clear" w:color="auto" w:fill="auto"/>
                </w:tcPr>
                <w:p w14:paraId="0B0E5D7B" w14:textId="77777777" w:rsidR="009C6940" w:rsidRDefault="009C6940" w:rsidP="009C6940">
                  <w:pPr>
                    <w:pStyle w:val="TableUnitsRow"/>
                    <w:ind w:right="28"/>
                  </w:pPr>
                  <w:r>
                    <w:t>46</w:t>
                  </w:r>
                  <w:r>
                    <w:noBreakHyphen/>
                    <w:t>86</w:t>
                  </w:r>
                </w:p>
                <w:p w14:paraId="4124E29E" w14:textId="77777777" w:rsidR="009C6940" w:rsidRPr="007E22E3" w:rsidRDefault="009C6940" w:rsidP="009C6940">
                  <w:pPr>
                    <w:pStyle w:val="BodyText"/>
                  </w:pPr>
                </w:p>
              </w:tc>
              <w:tc>
                <w:tcPr>
                  <w:tcW w:w="478" w:type="pct"/>
                  <w:shd w:val="clear" w:color="auto" w:fill="auto"/>
                </w:tcPr>
                <w:p w14:paraId="3F16A44F" w14:textId="77777777" w:rsidR="009C6940" w:rsidRDefault="009C6940" w:rsidP="009C6940">
                  <w:pPr>
                    <w:pStyle w:val="TableUnitsRow"/>
                    <w:ind w:right="28"/>
                  </w:pPr>
                  <w:r>
                    <w:t>29 300-52 860</w:t>
                  </w:r>
                </w:p>
              </w:tc>
            </w:tr>
          </w:tbl>
          <w:p w14:paraId="3A6D2449" w14:textId="77777777" w:rsidR="009C6940" w:rsidRDefault="009C6940" w:rsidP="009C6940">
            <w:pPr>
              <w:pStyle w:val="Box"/>
            </w:pPr>
          </w:p>
        </w:tc>
      </w:tr>
      <w:tr w:rsidR="009C6940" w14:paraId="108EBDA5" w14:textId="77777777" w:rsidTr="009C6940">
        <w:tc>
          <w:tcPr>
            <w:tcW w:w="13273" w:type="dxa"/>
            <w:tcBorders>
              <w:top w:val="single" w:sz="4" w:space="0" w:color="D9D9D9" w:themeColor="background1" w:themeShade="D9"/>
              <w:left w:val="nil"/>
              <w:bottom w:val="nil"/>
              <w:right w:val="nil"/>
            </w:tcBorders>
            <w:shd w:val="clear" w:color="auto" w:fill="auto"/>
          </w:tcPr>
          <w:p w14:paraId="4A8FFAA1" w14:textId="77777777" w:rsidR="009C6940" w:rsidRPr="00057B39" w:rsidRDefault="009C6940" w:rsidP="009C6940">
            <w:pPr>
              <w:pStyle w:val="Continued"/>
            </w:pPr>
            <w:r w:rsidRPr="00057B39">
              <w:t>(continued next page)</w:t>
            </w:r>
          </w:p>
        </w:tc>
      </w:tr>
      <w:tr w:rsidR="009C6940" w14:paraId="6B8FEC41" w14:textId="77777777" w:rsidTr="009C6940">
        <w:tc>
          <w:tcPr>
            <w:tcW w:w="13273" w:type="dxa"/>
            <w:tcBorders>
              <w:top w:val="nil"/>
              <w:left w:val="nil"/>
              <w:bottom w:val="single" w:sz="6" w:space="0" w:color="78A22F"/>
              <w:right w:val="nil"/>
            </w:tcBorders>
            <w:shd w:val="clear" w:color="auto" w:fill="auto"/>
          </w:tcPr>
          <w:p w14:paraId="4F0E1D89" w14:textId="77777777" w:rsidR="009C6940" w:rsidRDefault="009C6940" w:rsidP="009C6940">
            <w:pPr>
              <w:pStyle w:val="Box"/>
              <w:spacing w:before="0" w:line="120" w:lineRule="exact"/>
            </w:pPr>
          </w:p>
        </w:tc>
      </w:tr>
      <w:tr w:rsidR="009C6940" w:rsidRPr="000863A5" w14:paraId="1A7A06F5" w14:textId="77777777" w:rsidTr="009C6940">
        <w:tc>
          <w:tcPr>
            <w:tcW w:w="13273" w:type="dxa"/>
            <w:tcBorders>
              <w:top w:val="single" w:sz="6" w:space="0" w:color="78A22F"/>
              <w:left w:val="nil"/>
              <w:bottom w:val="nil"/>
              <w:right w:val="nil"/>
            </w:tcBorders>
          </w:tcPr>
          <w:p w14:paraId="0B677181" w14:textId="77777777" w:rsidR="009C6940" w:rsidRPr="00626D32" w:rsidRDefault="009C6940" w:rsidP="009C6940">
            <w:pPr>
              <w:pStyle w:val="BoxSpaceBelow"/>
            </w:pPr>
          </w:p>
        </w:tc>
      </w:tr>
    </w:tbl>
    <w:p w14:paraId="5669951B" w14:textId="77777777" w:rsidR="009C6940" w:rsidRDefault="009C6940" w:rsidP="009C69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273"/>
      </w:tblGrid>
      <w:tr w:rsidR="009C6940" w:rsidRPr="00784A05" w14:paraId="6CB4775E" w14:textId="77777777" w:rsidTr="009C6940">
        <w:tc>
          <w:tcPr>
            <w:tcW w:w="13273" w:type="dxa"/>
            <w:tcBorders>
              <w:top w:val="single" w:sz="6" w:space="0" w:color="78A22F"/>
              <w:left w:val="nil"/>
              <w:bottom w:val="nil"/>
              <w:right w:val="nil"/>
            </w:tcBorders>
            <w:shd w:val="clear" w:color="auto" w:fill="auto"/>
          </w:tcPr>
          <w:p w14:paraId="2B8A1E2D" w14:textId="77777777" w:rsidR="009C6940" w:rsidRPr="00784A05" w:rsidRDefault="009C6940" w:rsidP="009C6940">
            <w:pPr>
              <w:pStyle w:val="TableTitle"/>
            </w:pPr>
            <w:r>
              <w:rPr>
                <w:b w:val="0"/>
              </w:rPr>
              <w:t>Table I.3</w:t>
            </w:r>
            <w:r>
              <w:tab/>
            </w:r>
            <w:r w:rsidRPr="00C124C9">
              <w:rPr>
                <w:b w:val="0"/>
                <w:bCs/>
                <w:sz w:val="18"/>
                <w:szCs w:val="18"/>
              </w:rPr>
              <w:t>(continued)</w:t>
            </w:r>
          </w:p>
        </w:tc>
      </w:tr>
      <w:tr w:rsidR="009C6940" w14:paraId="58613A64" w14:textId="77777777" w:rsidTr="009C6940">
        <w:tc>
          <w:tcPr>
            <w:tcW w:w="13273"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092"/>
              <w:gridCol w:w="4414"/>
              <w:gridCol w:w="5629"/>
              <w:gridCol w:w="927"/>
              <w:gridCol w:w="927"/>
            </w:tblGrid>
            <w:tr w:rsidR="009C6940" w14:paraId="052AE440" w14:textId="77777777" w:rsidTr="009C6940">
              <w:trPr>
                <w:tblHeader/>
              </w:trPr>
              <w:tc>
                <w:tcPr>
                  <w:tcW w:w="420" w:type="pct"/>
                  <w:tcBorders>
                    <w:top w:val="single" w:sz="6" w:space="0" w:color="BFBFBF"/>
                    <w:bottom w:val="single" w:sz="6" w:space="0" w:color="BFBFBF"/>
                  </w:tcBorders>
                  <w:shd w:val="clear" w:color="auto" w:fill="auto"/>
                  <w:tcMar>
                    <w:top w:w="28" w:type="dxa"/>
                  </w:tcMar>
                </w:tcPr>
                <w:p w14:paraId="625434E0" w14:textId="77777777" w:rsidR="009C6940" w:rsidRDefault="009C6940" w:rsidP="009C6940">
                  <w:pPr>
                    <w:pStyle w:val="TableColumnHeading"/>
                    <w:jc w:val="left"/>
                  </w:pPr>
                  <w:r>
                    <w:t>Action grouping</w:t>
                  </w:r>
                </w:p>
              </w:tc>
              <w:tc>
                <w:tcPr>
                  <w:tcW w:w="1699" w:type="pct"/>
                  <w:tcBorders>
                    <w:top w:val="single" w:sz="6" w:space="0" w:color="BFBFBF"/>
                    <w:bottom w:val="single" w:sz="6" w:space="0" w:color="BFBFBF"/>
                  </w:tcBorders>
                </w:tcPr>
                <w:p w14:paraId="537D6C96" w14:textId="77777777" w:rsidR="009C6940" w:rsidRDefault="009C6940" w:rsidP="009C6940">
                  <w:pPr>
                    <w:pStyle w:val="TableColumnHeading"/>
                    <w:jc w:val="left"/>
                  </w:pPr>
                  <w:r w:rsidRPr="004038C6">
                    <w:t>Population affected</w:t>
                  </w:r>
                </w:p>
              </w:tc>
              <w:tc>
                <w:tcPr>
                  <w:tcW w:w="2167" w:type="pct"/>
                  <w:tcBorders>
                    <w:top w:val="single" w:sz="6" w:space="0" w:color="BFBFBF"/>
                    <w:bottom w:val="single" w:sz="6" w:space="0" w:color="BFBFBF"/>
                  </w:tcBorders>
                  <w:shd w:val="clear" w:color="auto" w:fill="auto"/>
                  <w:tcMar>
                    <w:top w:w="28" w:type="dxa"/>
                  </w:tcMar>
                </w:tcPr>
                <w:p w14:paraId="0DBB8FF6" w14:textId="77777777" w:rsidR="009C6940" w:rsidRDefault="009C6940" w:rsidP="009C6940">
                  <w:pPr>
                    <w:pStyle w:val="TableColumnHeading"/>
                    <w:jc w:val="left"/>
                  </w:pPr>
                  <w:r w:rsidRPr="004038C6">
                    <w:t>Effect size</w:t>
                  </w:r>
                </w:p>
              </w:tc>
              <w:tc>
                <w:tcPr>
                  <w:tcW w:w="357" w:type="pct"/>
                  <w:tcBorders>
                    <w:top w:val="single" w:sz="6" w:space="0" w:color="BFBFBF"/>
                    <w:bottom w:val="single" w:sz="6" w:space="0" w:color="BFBFBF"/>
                  </w:tcBorders>
                </w:tcPr>
                <w:p w14:paraId="6F8E7F32" w14:textId="77777777" w:rsidR="009C6940" w:rsidRDefault="009C6940" w:rsidP="009C6940">
                  <w:pPr>
                    <w:pStyle w:val="TableColumnHeading"/>
                    <w:ind w:right="28"/>
                  </w:pPr>
                  <w:r>
                    <w:t>Income ($ million)</w:t>
                  </w:r>
                </w:p>
              </w:tc>
              <w:tc>
                <w:tcPr>
                  <w:tcW w:w="357" w:type="pct"/>
                  <w:tcBorders>
                    <w:top w:val="single" w:sz="6" w:space="0" w:color="BFBFBF"/>
                    <w:bottom w:val="single" w:sz="6" w:space="0" w:color="BFBFBF"/>
                  </w:tcBorders>
                  <w:shd w:val="clear" w:color="auto" w:fill="auto"/>
                  <w:tcMar>
                    <w:top w:w="28" w:type="dxa"/>
                  </w:tcMar>
                </w:tcPr>
                <w:p w14:paraId="48B28F29" w14:textId="77777777" w:rsidR="009C6940" w:rsidRDefault="009C6940" w:rsidP="009C6940">
                  <w:pPr>
                    <w:pStyle w:val="TableColumnHeading"/>
                    <w:ind w:right="28"/>
                  </w:pPr>
                  <w:r>
                    <w:t>Number of QALYs</w:t>
                  </w:r>
                </w:p>
              </w:tc>
            </w:tr>
            <w:tr w:rsidR="009C6940" w14:paraId="6D8247CD" w14:textId="77777777" w:rsidTr="009C6940">
              <w:tc>
                <w:tcPr>
                  <w:tcW w:w="420" w:type="pct"/>
                  <w:shd w:val="clear" w:color="auto" w:fill="F2F2F2" w:themeFill="background1" w:themeFillShade="F2"/>
                </w:tcPr>
                <w:p w14:paraId="5983223F" w14:textId="77777777" w:rsidR="009C6940" w:rsidRPr="006262AB" w:rsidRDefault="009C6940" w:rsidP="009C6940">
                  <w:pPr>
                    <w:pStyle w:val="TableBodyText"/>
                    <w:jc w:val="left"/>
                  </w:pPr>
                  <w:r w:rsidRPr="006262AB">
                    <w:t>Young adults</w:t>
                  </w:r>
                </w:p>
              </w:tc>
              <w:tc>
                <w:tcPr>
                  <w:tcW w:w="1699" w:type="pct"/>
                  <w:shd w:val="clear" w:color="auto" w:fill="F2F2F2" w:themeFill="background1" w:themeFillShade="F2"/>
                </w:tcPr>
                <w:p w14:paraId="16C5B12B" w14:textId="77777777" w:rsidR="009C6940" w:rsidRDefault="009C6940" w:rsidP="009C6940">
                  <w:pPr>
                    <w:pStyle w:val="TableBullet"/>
                  </w:pPr>
                  <w:r>
                    <w:t>T</w:t>
                  </w:r>
                  <w:r w:rsidRPr="00FE5EEF">
                    <w:t>here are around 271 100 young adults who could benefit from teaching staff at TAFE and universities having improved access to adequate mental health training.</w:t>
                  </w:r>
                </w:p>
              </w:tc>
              <w:tc>
                <w:tcPr>
                  <w:tcW w:w="2167" w:type="pct"/>
                  <w:shd w:val="clear" w:color="auto" w:fill="F2F2F2" w:themeFill="background1" w:themeFillShade="F2"/>
                </w:tcPr>
                <w:p w14:paraId="392A6FC6" w14:textId="77777777" w:rsidR="009C6940" w:rsidRPr="00FE5EEF" w:rsidRDefault="009C6940" w:rsidP="009C6940">
                  <w:pPr>
                    <w:pStyle w:val="TableBullet"/>
                  </w:pPr>
                  <w:r>
                    <w:t>A meta</w:t>
                  </w:r>
                  <w:r>
                    <w:noBreakHyphen/>
                    <w:t xml:space="preserve">analysis of the effects of workplace health promotion interventions by Martin, Sanderson, and Cocker </w:t>
                  </w:r>
                  <w:r w:rsidRPr="00933976">
                    <w:rPr>
                      <w:rFonts w:cs="Arial"/>
                    </w:rPr>
                    <w:t>(2009)</w:t>
                  </w:r>
                  <w:r>
                    <w:t xml:space="preserve"> identified an effect size of 0.05 on composite mental health measures.</w:t>
                  </w:r>
                </w:p>
              </w:tc>
              <w:tc>
                <w:tcPr>
                  <w:tcW w:w="357" w:type="pct"/>
                  <w:shd w:val="clear" w:color="auto" w:fill="F2F2F2" w:themeFill="background1" w:themeFillShade="F2"/>
                </w:tcPr>
                <w:p w14:paraId="2C0EDEC4" w14:textId="77777777" w:rsidR="009C6940" w:rsidRDefault="009C6940" w:rsidP="009C6940">
                  <w:pPr>
                    <w:pStyle w:val="TableBodyText"/>
                  </w:pPr>
                  <w:r>
                    <w:t>—</w:t>
                  </w:r>
                </w:p>
              </w:tc>
              <w:tc>
                <w:tcPr>
                  <w:tcW w:w="357" w:type="pct"/>
                  <w:shd w:val="clear" w:color="auto" w:fill="F2F2F2" w:themeFill="background1" w:themeFillShade="F2"/>
                </w:tcPr>
                <w:p w14:paraId="5184C4E4" w14:textId="77777777" w:rsidR="009C6940" w:rsidRPr="00DC0095" w:rsidRDefault="009C6940" w:rsidP="009C6940">
                  <w:pPr>
                    <w:pStyle w:val="TableBodyText"/>
                    <w:ind w:right="28"/>
                  </w:pPr>
                  <w:r>
                    <w:t>980</w:t>
                  </w:r>
                  <w:r>
                    <w:noBreakHyphen/>
                    <w:t>1 790</w:t>
                  </w:r>
                </w:p>
              </w:tc>
            </w:tr>
            <w:tr w:rsidR="009C6940" w14:paraId="4E83E313" w14:textId="77777777" w:rsidTr="009C6940">
              <w:tc>
                <w:tcPr>
                  <w:tcW w:w="420" w:type="pct"/>
                  <w:shd w:val="clear" w:color="auto" w:fill="FFFFFF" w:themeFill="background1"/>
                </w:tcPr>
                <w:p w14:paraId="3A096FAB" w14:textId="77777777" w:rsidR="009C6940" w:rsidRPr="00FF2F14" w:rsidRDefault="009C6940" w:rsidP="009C6940">
                  <w:pPr>
                    <w:pStyle w:val="TableBodyText"/>
                    <w:jc w:val="left"/>
                    <w:rPr>
                      <w:i/>
                    </w:rPr>
                  </w:pPr>
                  <w:r w:rsidRPr="006262AB">
                    <w:t>Workplaces</w:t>
                  </w:r>
                </w:p>
              </w:tc>
              <w:tc>
                <w:tcPr>
                  <w:tcW w:w="1699" w:type="pct"/>
                  <w:shd w:val="clear" w:color="auto" w:fill="FFFFFF" w:themeFill="background1"/>
                </w:tcPr>
                <w:p w14:paraId="170DD80D" w14:textId="77777777" w:rsidR="009C6940" w:rsidRDefault="009C6940" w:rsidP="009C6940">
                  <w:pPr>
                    <w:pStyle w:val="TableBullet"/>
                  </w:pPr>
                  <w:r w:rsidRPr="00FE5EEF">
                    <w:t>The introduction of no</w:t>
                  </w:r>
                  <w:r>
                    <w:noBreakHyphen/>
                  </w:r>
                  <w:r w:rsidRPr="00FE5EEF">
                    <w:t>liability treatment for mental health</w:t>
                  </w:r>
                  <w:r>
                    <w:noBreakHyphen/>
                  </w:r>
                  <w:r w:rsidRPr="00FE5EEF">
                    <w:t xml:space="preserve">related workers compensation, is expected to result in a total of around </w:t>
                  </w:r>
                  <w:r>
                    <w:t>8 000</w:t>
                  </w:r>
                  <w:r w:rsidRPr="00FE5EEF">
                    <w:t xml:space="preserve"> people returning to work earlier than otherwise would have been the </w:t>
                  </w:r>
                  <w:r>
                    <w:t xml:space="preserve">case. </w:t>
                  </w:r>
                  <w:r w:rsidRPr="00FE5EEF">
                    <w:t>Because these claims are related to mental health, it is assumed that people in this group have a mental illness.</w:t>
                  </w:r>
                </w:p>
                <w:p w14:paraId="092637E7" w14:textId="77777777" w:rsidR="009C6940" w:rsidRDefault="009C6940" w:rsidP="009C6940">
                  <w:pPr>
                    <w:pStyle w:val="TableBullet"/>
                  </w:pPr>
                  <w:r>
                    <w:t>Around 10 000 people are expected to have health</w:t>
                  </w:r>
                  <w:r>
                    <w:noBreakHyphen/>
                    <w:t>related quality of life benefits from recommendations to prioritise mental health in the workplace.</w:t>
                  </w:r>
                </w:p>
              </w:tc>
              <w:tc>
                <w:tcPr>
                  <w:tcW w:w="2167" w:type="pct"/>
                  <w:shd w:val="clear" w:color="auto" w:fill="FFFFFF" w:themeFill="background1"/>
                </w:tcPr>
                <w:p w14:paraId="1A3B4FD8" w14:textId="77777777" w:rsidR="009C6940" w:rsidRDefault="009C6940" w:rsidP="009C6940">
                  <w:pPr>
                    <w:pStyle w:val="TableBullet"/>
                  </w:pPr>
                  <w:r w:rsidRPr="00FE5EEF">
                    <w:t>For no</w:t>
                  </w:r>
                  <w:r>
                    <w:noBreakHyphen/>
                  </w:r>
                  <w:r w:rsidRPr="00FE5EEF">
                    <w:t>liability treatment for mental health related workers compensation claims, it is assumed that the time spent reliant on workers compensation is reduced by 21% for peopl</w:t>
                  </w:r>
                  <w:r>
                    <w:t xml:space="preserve">e making a mental health claim </w:t>
                  </w:r>
                  <w:r w:rsidRPr="00FE5EEF">
                    <w:t>(estimated using data from Safe Work Australia (2018) and Sampson (2015))</w:t>
                  </w:r>
                  <w:r>
                    <w:t>.</w:t>
                  </w:r>
                </w:p>
                <w:p w14:paraId="7072CA69" w14:textId="77777777" w:rsidR="009C6940" w:rsidRDefault="009C6940" w:rsidP="009C6940">
                  <w:pPr>
                    <w:pStyle w:val="TableBullet"/>
                  </w:pPr>
                  <w:r>
                    <w:t xml:space="preserve">The QALYS estimated are from prevented cases of depression resulting from prioritised mental health in the workplace, using an effect size of 0.23 from Stratton et al. </w:t>
                  </w:r>
                  <w:r w:rsidRPr="000078A6">
                    <w:rPr>
                      <w:rFonts w:cs="Arial"/>
                    </w:rPr>
                    <w:t>(2017)</w:t>
                  </w:r>
                  <w:r>
                    <w:t>.</w:t>
                  </w:r>
                </w:p>
              </w:tc>
              <w:tc>
                <w:tcPr>
                  <w:tcW w:w="357" w:type="pct"/>
                  <w:shd w:val="clear" w:color="auto" w:fill="FFFFFF" w:themeFill="background1"/>
                </w:tcPr>
                <w:p w14:paraId="7ECC2024" w14:textId="77777777" w:rsidR="009C6940" w:rsidRDefault="009C6940" w:rsidP="009C6940">
                  <w:pPr>
                    <w:pStyle w:val="TableBodyText"/>
                    <w:ind w:right="28"/>
                  </w:pPr>
                  <w:r>
                    <w:t>12</w:t>
                  </w:r>
                </w:p>
              </w:tc>
              <w:tc>
                <w:tcPr>
                  <w:tcW w:w="357" w:type="pct"/>
                  <w:shd w:val="clear" w:color="auto" w:fill="FFFFFF" w:themeFill="background1"/>
                </w:tcPr>
                <w:p w14:paraId="77FA0AF9" w14:textId="77777777" w:rsidR="009C6940" w:rsidRDefault="009C6940" w:rsidP="009C6940">
                  <w:pPr>
                    <w:pStyle w:val="TableBodyText"/>
                    <w:ind w:right="28"/>
                  </w:pPr>
                  <w:r>
                    <w:t>170</w:t>
                  </w:r>
                  <w:r>
                    <w:noBreakHyphen/>
                    <w:t>310</w:t>
                  </w:r>
                </w:p>
              </w:tc>
            </w:tr>
            <w:tr w:rsidR="009C6940" w14:paraId="0780DFED" w14:textId="77777777" w:rsidTr="009C6940">
              <w:tc>
                <w:tcPr>
                  <w:tcW w:w="420" w:type="pct"/>
                  <w:tcBorders>
                    <w:bottom w:val="single" w:sz="4" w:space="0" w:color="D9D9D9" w:themeColor="background1" w:themeShade="D9"/>
                  </w:tcBorders>
                  <w:shd w:val="clear" w:color="auto" w:fill="F2F2F2" w:themeFill="background1" w:themeFillShade="F2"/>
                </w:tcPr>
                <w:p w14:paraId="34AB2A0B" w14:textId="77777777" w:rsidR="009C6940" w:rsidRPr="000078A6" w:rsidRDefault="009C6940" w:rsidP="009C6940">
                  <w:pPr>
                    <w:pStyle w:val="TableBodyText"/>
                    <w:jc w:val="left"/>
                    <w:rPr>
                      <w:b/>
                    </w:rPr>
                  </w:pPr>
                  <w:r w:rsidRPr="006262AB">
                    <w:t>Social participation</w:t>
                  </w:r>
                </w:p>
              </w:tc>
              <w:tc>
                <w:tcPr>
                  <w:tcW w:w="1699" w:type="pct"/>
                  <w:tcBorders>
                    <w:bottom w:val="single" w:sz="4" w:space="0" w:color="D9D9D9" w:themeColor="background1" w:themeShade="D9"/>
                  </w:tcBorders>
                  <w:shd w:val="clear" w:color="auto" w:fill="F2F2F2" w:themeFill="background1" w:themeFillShade="F2"/>
                </w:tcPr>
                <w:p w14:paraId="2578AF2E" w14:textId="77777777" w:rsidR="009C6940" w:rsidRDefault="009C6940" w:rsidP="009C6940">
                  <w:pPr>
                    <w:pStyle w:val="TableBullet"/>
                  </w:pPr>
                  <w:r>
                    <w:t>1.2 million people with a diagnosed mental illness are expected to have to have health</w:t>
                  </w:r>
                  <w:r>
                    <w:noBreakHyphen/>
                    <w:t xml:space="preserve">related quality of life benefits </w:t>
                  </w:r>
                </w:p>
                <w:p w14:paraId="21E5409E" w14:textId="77777777" w:rsidR="009C6940" w:rsidRDefault="009C6940" w:rsidP="009C6940">
                  <w:pPr>
                    <w:pStyle w:val="TableBullet"/>
                    <w:numPr>
                      <w:ilvl w:val="0"/>
                      <w:numId w:val="0"/>
                    </w:numPr>
                    <w:ind w:left="170"/>
                  </w:pPr>
                  <w:r>
                    <w:t>Of those, 850 000 people with a diagnosed mental illness are expected to have labour force benefits</w:t>
                  </w:r>
                </w:p>
              </w:tc>
              <w:tc>
                <w:tcPr>
                  <w:tcW w:w="2167" w:type="pct"/>
                  <w:tcBorders>
                    <w:bottom w:val="single" w:sz="4" w:space="0" w:color="D9D9D9" w:themeColor="background1" w:themeShade="D9"/>
                  </w:tcBorders>
                  <w:shd w:val="clear" w:color="auto" w:fill="F2F2F2" w:themeFill="background1" w:themeFillShade="F2"/>
                </w:tcPr>
                <w:p w14:paraId="72ECBD1F" w14:textId="77777777" w:rsidR="009C6940" w:rsidRDefault="009C6940" w:rsidP="009C6940">
                  <w:pPr>
                    <w:pStyle w:val="TableBodyText"/>
                    <w:jc w:val="left"/>
                  </w:pPr>
                  <w:r w:rsidRPr="00641717">
                    <w:t xml:space="preserve">There is a </w:t>
                  </w:r>
                  <w:r w:rsidRPr="00FE5EEF">
                    <w:t>limited</w:t>
                  </w:r>
                  <w:r w:rsidRPr="00641717">
                    <w:t xml:space="preserve"> evidence about the magnitude of the effect on mental illness due to the endogeneity of mental illness and stigma</w:t>
                  </w:r>
                  <w:r w:rsidRPr="00FE5EEF">
                    <w:t>, meaning that assumptions about likely mental health benefits are required.</w:t>
                  </w:r>
                  <w:r>
                    <w:t xml:space="preserve"> The assumed effect sizes are:</w:t>
                  </w:r>
                </w:p>
                <w:p w14:paraId="7F20324A" w14:textId="77777777" w:rsidR="009C6940" w:rsidRDefault="009C6940" w:rsidP="009C6940">
                  <w:pPr>
                    <w:pStyle w:val="TableBullet"/>
                  </w:pPr>
                  <w:r>
                    <w:t>0.01 for people with a severe mental illness</w:t>
                  </w:r>
                </w:p>
                <w:p w14:paraId="11362D9B" w14:textId="77777777" w:rsidR="009C6940" w:rsidRDefault="009C6940" w:rsidP="009C6940">
                  <w:pPr>
                    <w:pStyle w:val="TableBullet"/>
                  </w:pPr>
                  <w:r>
                    <w:t>0.005 for people with moderate mental illness</w:t>
                  </w:r>
                </w:p>
                <w:p w14:paraId="66805C5D" w14:textId="77777777" w:rsidR="009C6940" w:rsidRDefault="009C6940" w:rsidP="009C6940">
                  <w:pPr>
                    <w:pStyle w:val="TableBullet"/>
                  </w:pPr>
                  <w:r>
                    <w:t>0.001 for people with a mild mental illness.</w:t>
                  </w:r>
                </w:p>
              </w:tc>
              <w:tc>
                <w:tcPr>
                  <w:tcW w:w="357" w:type="pct"/>
                  <w:tcBorders>
                    <w:bottom w:val="single" w:sz="4" w:space="0" w:color="D9D9D9" w:themeColor="background1" w:themeShade="D9"/>
                  </w:tcBorders>
                  <w:shd w:val="clear" w:color="auto" w:fill="F2F2F2" w:themeFill="background1" w:themeFillShade="F2"/>
                </w:tcPr>
                <w:p w14:paraId="65643972" w14:textId="77777777" w:rsidR="009C6940" w:rsidRDefault="009C6940" w:rsidP="009C6940">
                  <w:pPr>
                    <w:pStyle w:val="TableBodyText"/>
                    <w:ind w:right="28"/>
                  </w:pPr>
                  <w:r>
                    <w:t>22</w:t>
                  </w:r>
                  <w:r>
                    <w:noBreakHyphen/>
                    <w:t>44</w:t>
                  </w:r>
                </w:p>
              </w:tc>
              <w:tc>
                <w:tcPr>
                  <w:tcW w:w="357" w:type="pct"/>
                  <w:tcBorders>
                    <w:bottom w:val="single" w:sz="4" w:space="0" w:color="D9D9D9" w:themeColor="background1" w:themeShade="D9"/>
                  </w:tcBorders>
                  <w:shd w:val="clear" w:color="auto" w:fill="F2F2F2" w:themeFill="background1" w:themeFillShade="F2"/>
                </w:tcPr>
                <w:p w14:paraId="50FCA633" w14:textId="77777777" w:rsidR="009C6940" w:rsidRDefault="009C6940" w:rsidP="009C6940">
                  <w:pPr>
                    <w:pStyle w:val="TableBodyText"/>
                    <w:ind w:right="28"/>
                  </w:pPr>
                  <w:r>
                    <w:t>420</w:t>
                  </w:r>
                  <w:r>
                    <w:noBreakHyphen/>
                    <w:t>760</w:t>
                  </w:r>
                </w:p>
              </w:tc>
            </w:tr>
            <w:tr w:rsidR="009C6940" w14:paraId="51A26E82" w14:textId="77777777" w:rsidTr="009C6940">
              <w:tc>
                <w:tcPr>
                  <w:tcW w:w="420" w:type="pct"/>
                  <w:tcBorders>
                    <w:top w:val="single" w:sz="4" w:space="0" w:color="D9D9D9" w:themeColor="background1" w:themeShade="D9"/>
                  </w:tcBorders>
                  <w:shd w:val="clear" w:color="auto" w:fill="auto"/>
                </w:tcPr>
                <w:p w14:paraId="761B4210" w14:textId="77777777" w:rsidR="009C6940" w:rsidRPr="006262AB" w:rsidRDefault="009C6940" w:rsidP="009C6940">
                  <w:pPr>
                    <w:pStyle w:val="TableBodyText"/>
                    <w:jc w:val="left"/>
                  </w:pPr>
                </w:p>
              </w:tc>
              <w:tc>
                <w:tcPr>
                  <w:tcW w:w="4580" w:type="pct"/>
                  <w:gridSpan w:val="4"/>
                  <w:shd w:val="clear" w:color="auto" w:fill="auto"/>
                </w:tcPr>
                <w:p w14:paraId="0EC25E25" w14:textId="77777777" w:rsidR="009C6940" w:rsidRDefault="009C6940" w:rsidP="009C6940">
                  <w:pPr>
                    <w:pStyle w:val="TableBodyText"/>
                    <w:ind w:right="28"/>
                  </w:pPr>
                  <w:r>
                    <w:t>(continued next page)</w:t>
                  </w:r>
                </w:p>
              </w:tc>
            </w:tr>
          </w:tbl>
          <w:p w14:paraId="5F764C7D" w14:textId="77777777" w:rsidR="009C6940" w:rsidRDefault="009C6940" w:rsidP="009C6940">
            <w:pPr>
              <w:pStyle w:val="Box"/>
            </w:pPr>
          </w:p>
        </w:tc>
      </w:tr>
      <w:tr w:rsidR="009C6940" w14:paraId="07CEEECA" w14:textId="77777777" w:rsidTr="009C6940">
        <w:tc>
          <w:tcPr>
            <w:tcW w:w="13273" w:type="dxa"/>
            <w:tcBorders>
              <w:top w:val="nil"/>
              <w:left w:val="nil"/>
              <w:bottom w:val="single" w:sz="6" w:space="0" w:color="78A22F"/>
              <w:right w:val="nil"/>
            </w:tcBorders>
            <w:shd w:val="clear" w:color="auto" w:fill="auto"/>
          </w:tcPr>
          <w:p w14:paraId="2509E625" w14:textId="77777777" w:rsidR="009C6940" w:rsidRDefault="009C6940" w:rsidP="009C6940">
            <w:pPr>
              <w:pStyle w:val="Box"/>
              <w:spacing w:before="0" w:line="120" w:lineRule="exact"/>
            </w:pPr>
          </w:p>
        </w:tc>
      </w:tr>
      <w:tr w:rsidR="009C6940" w:rsidRPr="00626D32" w14:paraId="5324E6F7" w14:textId="77777777" w:rsidTr="009C6940">
        <w:tc>
          <w:tcPr>
            <w:tcW w:w="13273" w:type="dxa"/>
            <w:tcBorders>
              <w:top w:val="single" w:sz="6" w:space="0" w:color="78A22F"/>
              <w:left w:val="nil"/>
              <w:bottom w:val="nil"/>
              <w:right w:val="nil"/>
            </w:tcBorders>
          </w:tcPr>
          <w:p w14:paraId="28AB6A97" w14:textId="77777777" w:rsidR="009C6940" w:rsidRPr="00626D32" w:rsidRDefault="009C6940" w:rsidP="009C6940">
            <w:pPr>
              <w:pStyle w:val="BoxSpaceBelow"/>
            </w:pPr>
          </w:p>
        </w:tc>
      </w:tr>
    </w:tbl>
    <w:p w14:paraId="49BD6FD7" w14:textId="77777777" w:rsidR="009C6940" w:rsidRDefault="009C6940" w:rsidP="009C69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9C6940" w14:paraId="3D946046" w14:textId="77777777" w:rsidTr="009C6940">
        <w:tc>
          <w:tcPr>
            <w:tcW w:w="13444" w:type="dxa"/>
            <w:tcBorders>
              <w:top w:val="single" w:sz="6" w:space="0" w:color="78A22F"/>
              <w:left w:val="nil"/>
              <w:bottom w:val="nil"/>
              <w:right w:val="nil"/>
            </w:tcBorders>
            <w:shd w:val="clear" w:color="auto" w:fill="auto"/>
          </w:tcPr>
          <w:p w14:paraId="03786A58" w14:textId="77777777" w:rsidR="009C6940" w:rsidRPr="00784A05" w:rsidRDefault="009C6940" w:rsidP="009C6940">
            <w:pPr>
              <w:pStyle w:val="TableTitle"/>
            </w:pPr>
            <w:r>
              <w:rPr>
                <w:b w:val="0"/>
              </w:rPr>
              <w:t>Table I.3</w:t>
            </w:r>
            <w:r>
              <w:tab/>
            </w:r>
            <w:r w:rsidRPr="00C124C9">
              <w:rPr>
                <w:b w:val="0"/>
                <w:bCs/>
                <w:sz w:val="18"/>
                <w:szCs w:val="18"/>
              </w:rPr>
              <w:t>(continued)</w:t>
            </w:r>
          </w:p>
        </w:tc>
      </w:tr>
      <w:tr w:rsidR="009C6940" w14:paraId="3E9B6504" w14:textId="77777777" w:rsidTr="009C6940">
        <w:tc>
          <w:tcPr>
            <w:tcW w:w="13444"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00"/>
              <w:gridCol w:w="4294"/>
              <w:gridCol w:w="4146"/>
              <w:gridCol w:w="1405"/>
              <w:gridCol w:w="1244"/>
            </w:tblGrid>
            <w:tr w:rsidR="009C6940" w14:paraId="44759A9E" w14:textId="77777777" w:rsidTr="009C6940">
              <w:trPr>
                <w:tblHeader/>
              </w:trPr>
              <w:tc>
                <w:tcPr>
                  <w:tcW w:w="731" w:type="pct"/>
                  <w:tcBorders>
                    <w:top w:val="single" w:sz="6" w:space="0" w:color="BFBFBF"/>
                    <w:bottom w:val="single" w:sz="6" w:space="0" w:color="BFBFBF"/>
                  </w:tcBorders>
                  <w:shd w:val="clear" w:color="auto" w:fill="auto"/>
                  <w:tcMar>
                    <w:top w:w="28" w:type="dxa"/>
                  </w:tcMar>
                </w:tcPr>
                <w:p w14:paraId="003E4103" w14:textId="77777777" w:rsidR="009C6940" w:rsidRDefault="009C6940" w:rsidP="009C6940">
                  <w:pPr>
                    <w:pStyle w:val="TableColumnHeading"/>
                    <w:jc w:val="left"/>
                  </w:pPr>
                  <w:r>
                    <w:t>Action grouping</w:t>
                  </w:r>
                </w:p>
              </w:tc>
              <w:tc>
                <w:tcPr>
                  <w:tcW w:w="1653" w:type="pct"/>
                  <w:tcBorders>
                    <w:top w:val="single" w:sz="6" w:space="0" w:color="BFBFBF"/>
                    <w:bottom w:val="single" w:sz="6" w:space="0" w:color="BFBFBF"/>
                  </w:tcBorders>
                </w:tcPr>
                <w:p w14:paraId="6F50D2EC" w14:textId="77777777" w:rsidR="009C6940" w:rsidRDefault="009C6940" w:rsidP="009C6940">
                  <w:pPr>
                    <w:pStyle w:val="TableColumnHeading"/>
                    <w:jc w:val="left"/>
                  </w:pPr>
                  <w:r w:rsidRPr="004038C6">
                    <w:t>Population affected</w:t>
                  </w:r>
                </w:p>
              </w:tc>
              <w:tc>
                <w:tcPr>
                  <w:tcW w:w="1596" w:type="pct"/>
                  <w:tcBorders>
                    <w:top w:val="single" w:sz="6" w:space="0" w:color="BFBFBF"/>
                    <w:bottom w:val="single" w:sz="6" w:space="0" w:color="BFBFBF"/>
                  </w:tcBorders>
                  <w:shd w:val="clear" w:color="auto" w:fill="auto"/>
                  <w:tcMar>
                    <w:top w:w="28" w:type="dxa"/>
                  </w:tcMar>
                </w:tcPr>
                <w:p w14:paraId="0AB8A8D7" w14:textId="77777777" w:rsidR="009C6940" w:rsidRDefault="009C6940" w:rsidP="009C6940">
                  <w:pPr>
                    <w:pStyle w:val="TableColumnHeading"/>
                    <w:jc w:val="left"/>
                  </w:pPr>
                  <w:r w:rsidRPr="004038C6">
                    <w:t>Effect size</w:t>
                  </w:r>
                </w:p>
              </w:tc>
              <w:tc>
                <w:tcPr>
                  <w:tcW w:w="541" w:type="pct"/>
                  <w:tcBorders>
                    <w:top w:val="single" w:sz="6" w:space="0" w:color="BFBFBF"/>
                    <w:bottom w:val="single" w:sz="6" w:space="0" w:color="BFBFBF"/>
                  </w:tcBorders>
                </w:tcPr>
                <w:p w14:paraId="693200C4" w14:textId="77777777" w:rsidR="009C6940" w:rsidRDefault="009C6940" w:rsidP="009C6940">
                  <w:pPr>
                    <w:pStyle w:val="TableColumnHeading"/>
                    <w:ind w:right="28"/>
                  </w:pPr>
                  <w:r>
                    <w:t>Income ($ million)</w:t>
                  </w:r>
                </w:p>
              </w:tc>
              <w:tc>
                <w:tcPr>
                  <w:tcW w:w="479" w:type="pct"/>
                  <w:tcBorders>
                    <w:top w:val="single" w:sz="6" w:space="0" w:color="BFBFBF"/>
                    <w:bottom w:val="single" w:sz="6" w:space="0" w:color="BFBFBF"/>
                  </w:tcBorders>
                  <w:shd w:val="clear" w:color="auto" w:fill="auto"/>
                  <w:tcMar>
                    <w:top w:w="28" w:type="dxa"/>
                  </w:tcMar>
                </w:tcPr>
                <w:p w14:paraId="3E54560A" w14:textId="77777777" w:rsidR="009C6940" w:rsidRDefault="009C6940" w:rsidP="009C6940">
                  <w:pPr>
                    <w:pStyle w:val="TableColumnHeading"/>
                    <w:ind w:right="28"/>
                  </w:pPr>
                  <w:r>
                    <w:t>Number of QALYs</w:t>
                  </w:r>
                </w:p>
              </w:tc>
            </w:tr>
            <w:tr w:rsidR="009C6940" w14:paraId="39C87FD4" w14:textId="77777777" w:rsidTr="009C6940">
              <w:tc>
                <w:tcPr>
                  <w:tcW w:w="731" w:type="pct"/>
                  <w:tcBorders>
                    <w:bottom w:val="single" w:sz="4" w:space="0" w:color="D9D9D9" w:themeColor="background1" w:themeShade="D9"/>
                  </w:tcBorders>
                  <w:shd w:val="clear" w:color="auto" w:fill="F2F2F2" w:themeFill="background1" w:themeFillShade="F2"/>
                </w:tcPr>
                <w:p w14:paraId="6EB98932" w14:textId="77777777" w:rsidR="009C6940" w:rsidRPr="006262AB" w:rsidRDefault="009C6940" w:rsidP="009C6940">
                  <w:pPr>
                    <w:pStyle w:val="TableBodyText"/>
                    <w:jc w:val="left"/>
                  </w:pPr>
                  <w:r w:rsidRPr="006262AB">
                    <w:t>Suicide prevention</w:t>
                  </w:r>
                </w:p>
              </w:tc>
              <w:tc>
                <w:tcPr>
                  <w:tcW w:w="1653" w:type="pct"/>
                  <w:tcBorders>
                    <w:bottom w:val="single" w:sz="4" w:space="0" w:color="D9D9D9" w:themeColor="background1" w:themeShade="D9"/>
                  </w:tcBorders>
                  <w:shd w:val="clear" w:color="auto" w:fill="F2F2F2" w:themeFill="background1" w:themeFillShade="F2"/>
                </w:tcPr>
                <w:p w14:paraId="5ED12F49" w14:textId="77777777" w:rsidR="009C6940" w:rsidRDefault="009C6940" w:rsidP="009C6940">
                  <w:pPr>
                    <w:pStyle w:val="TableBullet"/>
                  </w:pPr>
                  <w:r w:rsidRPr="00740AF0">
                    <w:t xml:space="preserve">There were </w:t>
                  </w:r>
                  <w:r>
                    <w:t>3 046 deaths due to suicide in 2018, where 2 380 were people aged 20</w:t>
                  </w:r>
                  <w:r>
                    <w:noBreakHyphen/>
                    <w:t xml:space="preserve">64 </w:t>
                  </w:r>
                  <w:r w:rsidRPr="00867C6E">
                    <w:rPr>
                      <w:rFonts w:cs="Arial"/>
                      <w:szCs w:val="24"/>
                    </w:rPr>
                    <w:t>(ABS 2019)</w:t>
                  </w:r>
                  <w:r w:rsidRPr="00F20F17">
                    <w:t xml:space="preserve"> and </w:t>
                  </w:r>
                  <w:r>
                    <w:t>there were 31 </w:t>
                  </w:r>
                  <w:r w:rsidRPr="00F20F17">
                    <w:t>083 hospitalisations due t</w:t>
                  </w:r>
                  <w:r>
                    <w:t>o self</w:t>
                  </w:r>
                  <w:r>
                    <w:noBreakHyphen/>
                  </w:r>
                  <w:r w:rsidRPr="00F20F17">
                    <w:t>harm in 2</w:t>
                  </w:r>
                  <w:r>
                    <w:t>017</w:t>
                  </w:r>
                  <w:r>
                    <w:noBreakHyphen/>
                    <w:t xml:space="preserve">18 </w:t>
                  </w:r>
                  <w:r w:rsidRPr="00AC3FDA">
                    <w:t>(AIHW 2019)</w:t>
                  </w:r>
                  <w:r>
                    <w:t>.</w:t>
                  </w:r>
                </w:p>
                <w:p w14:paraId="1A0FE18F" w14:textId="77777777" w:rsidR="009C6940" w:rsidRDefault="009C6940" w:rsidP="009C6940">
                  <w:pPr>
                    <w:pStyle w:val="TableBullet"/>
                  </w:pPr>
                  <w:r>
                    <w:t>Of those who would have completed suicide, or would be permanently incapacitated by their attempt, 37 cases are prevented.</w:t>
                  </w:r>
                </w:p>
                <w:p w14:paraId="6E4CDCD9" w14:textId="77777777" w:rsidR="009C6940" w:rsidRDefault="009C6940" w:rsidP="009C6940">
                  <w:pPr>
                    <w:pStyle w:val="TableBullet"/>
                  </w:pPr>
                  <w:r>
                    <w:t>A second effect is included for those who would have a short absence from work due to a suicide attempt, but are not permanently incapacitated. This can prevent about 6 150 short absences from work.</w:t>
                  </w:r>
                </w:p>
              </w:tc>
              <w:tc>
                <w:tcPr>
                  <w:tcW w:w="1596" w:type="pct"/>
                  <w:tcBorders>
                    <w:bottom w:val="single" w:sz="4" w:space="0" w:color="D9D9D9" w:themeColor="background1" w:themeShade="D9"/>
                  </w:tcBorders>
                  <w:shd w:val="clear" w:color="auto" w:fill="F2F2F2" w:themeFill="background1" w:themeFillShade="F2"/>
                </w:tcPr>
                <w:p w14:paraId="15C16FFD" w14:textId="77777777" w:rsidR="009C6940" w:rsidRPr="00FE5EEF" w:rsidRDefault="009C6940" w:rsidP="009C6940">
                  <w:pPr>
                    <w:pStyle w:val="TableBullet"/>
                  </w:pPr>
                  <w:r w:rsidRPr="00FE5EEF">
                    <w:t>Kinchin and Doran (2017) estimate</w:t>
                  </w:r>
                  <w:r>
                    <w:t>d</w:t>
                  </w:r>
                  <w:r w:rsidRPr="00FE5EEF">
                    <w:t xml:space="preserve"> that </w:t>
                  </w:r>
                  <w:r>
                    <w:t>0.6</w:t>
                  </w:r>
                  <w:r w:rsidRPr="00FE5EEF">
                    <w:t xml:space="preserve">% of suicide attempts result in full incapacity, and </w:t>
                  </w:r>
                  <w:r>
                    <w:t>99.4</w:t>
                  </w:r>
                  <w:r w:rsidRPr="00FE5EEF">
                    <w:t>% lead to a short absence from work. Aftercare can lead to a 19.8% reduction in subsequent suicide attempts and a 1.1% reduction in the suicide rate (Krysinska et al. 2016)</w:t>
                  </w:r>
                  <w:r>
                    <w:t>.</w:t>
                  </w:r>
                </w:p>
              </w:tc>
              <w:tc>
                <w:tcPr>
                  <w:tcW w:w="541" w:type="pct"/>
                  <w:tcBorders>
                    <w:bottom w:val="single" w:sz="4" w:space="0" w:color="D9D9D9" w:themeColor="background1" w:themeShade="D9"/>
                  </w:tcBorders>
                  <w:shd w:val="clear" w:color="auto" w:fill="F2F2F2" w:themeFill="background1" w:themeFillShade="F2"/>
                </w:tcPr>
                <w:p w14:paraId="38F1F9D4" w14:textId="77777777" w:rsidR="009C6940" w:rsidRDefault="009C6940" w:rsidP="009C6940">
                  <w:pPr>
                    <w:pStyle w:val="TableBodyText"/>
                  </w:pPr>
                  <w:r>
                    <w:t>3</w:t>
                  </w:r>
                </w:p>
              </w:tc>
              <w:tc>
                <w:tcPr>
                  <w:tcW w:w="479" w:type="pct"/>
                  <w:tcBorders>
                    <w:bottom w:val="single" w:sz="4" w:space="0" w:color="D9D9D9" w:themeColor="background1" w:themeShade="D9"/>
                  </w:tcBorders>
                  <w:shd w:val="clear" w:color="auto" w:fill="F2F2F2" w:themeFill="background1" w:themeFillShade="F2"/>
                </w:tcPr>
                <w:p w14:paraId="360A0758" w14:textId="77777777" w:rsidR="009C6940" w:rsidRPr="00DC0095" w:rsidRDefault="009C6940" w:rsidP="009C6940">
                  <w:pPr>
                    <w:pStyle w:val="TableBodyText"/>
                    <w:ind w:right="28"/>
                  </w:pPr>
                  <w:r>
                    <w:t>50</w:t>
                  </w:r>
                </w:p>
              </w:tc>
            </w:tr>
          </w:tbl>
          <w:p w14:paraId="5BDCBF15" w14:textId="77777777" w:rsidR="009C6940" w:rsidRDefault="009C6940" w:rsidP="009C6940">
            <w:pPr>
              <w:pStyle w:val="Box"/>
            </w:pPr>
          </w:p>
        </w:tc>
      </w:tr>
      <w:tr w:rsidR="009C6940" w14:paraId="2A698560" w14:textId="77777777" w:rsidTr="009C6940">
        <w:tc>
          <w:tcPr>
            <w:tcW w:w="13444" w:type="dxa"/>
            <w:tcBorders>
              <w:top w:val="nil"/>
              <w:left w:val="nil"/>
              <w:bottom w:val="nil"/>
              <w:right w:val="nil"/>
            </w:tcBorders>
            <w:shd w:val="clear" w:color="auto" w:fill="auto"/>
          </w:tcPr>
          <w:p w14:paraId="6A7F22DE" w14:textId="77777777" w:rsidR="009C6940" w:rsidRPr="008715C7" w:rsidRDefault="009C6940" w:rsidP="009C6940">
            <w:pPr>
              <w:pStyle w:val="Source"/>
              <w:jc w:val="left"/>
              <w:rPr>
                <w:rStyle w:val="NoteLabel"/>
              </w:rPr>
            </w:pPr>
            <w:r>
              <w:rPr>
                <w:rStyle w:val="NoteLabel"/>
              </w:rPr>
              <w:t xml:space="preserve">a </w:t>
            </w:r>
            <w:r>
              <w:t>Improvements in social and emotional wellbeing for preschool children are estimated in disability</w:t>
            </w:r>
            <w:r>
              <w:noBreakHyphen/>
              <w:t>adjusted life years (DALYS) averted and should not be added with QALY benefits.</w:t>
            </w:r>
          </w:p>
        </w:tc>
      </w:tr>
      <w:tr w:rsidR="009C6940" w14:paraId="6E2A9536" w14:textId="77777777" w:rsidTr="009C6940">
        <w:tc>
          <w:tcPr>
            <w:tcW w:w="13444" w:type="dxa"/>
            <w:tcBorders>
              <w:top w:val="nil"/>
              <w:left w:val="nil"/>
              <w:bottom w:val="single" w:sz="6" w:space="0" w:color="78A22F"/>
              <w:right w:val="nil"/>
            </w:tcBorders>
            <w:shd w:val="clear" w:color="auto" w:fill="auto"/>
          </w:tcPr>
          <w:p w14:paraId="2D2E8ED7" w14:textId="77777777" w:rsidR="009C6940" w:rsidRDefault="009C6940" w:rsidP="009C6940">
            <w:pPr>
              <w:pStyle w:val="Box"/>
              <w:spacing w:before="0" w:line="120" w:lineRule="exact"/>
            </w:pPr>
          </w:p>
        </w:tc>
      </w:tr>
      <w:tr w:rsidR="009C6940" w:rsidRPr="000863A5" w14:paraId="2A1AAB38" w14:textId="77777777" w:rsidTr="009C6940">
        <w:tc>
          <w:tcPr>
            <w:tcW w:w="13444" w:type="dxa"/>
            <w:tcBorders>
              <w:top w:val="single" w:sz="6" w:space="0" w:color="78A22F"/>
              <w:left w:val="nil"/>
              <w:bottom w:val="nil"/>
              <w:right w:val="nil"/>
            </w:tcBorders>
          </w:tcPr>
          <w:p w14:paraId="72AB20EA" w14:textId="77777777" w:rsidR="009C6940" w:rsidRPr="00626D32" w:rsidRDefault="009C6940" w:rsidP="009C6940">
            <w:pPr>
              <w:pStyle w:val="BoxSpaceBelow"/>
            </w:pPr>
          </w:p>
        </w:tc>
      </w:tr>
    </w:tbl>
    <w:p w14:paraId="5C2740B5" w14:textId="77777777" w:rsidR="009C6940" w:rsidRDefault="009C6940">
      <w:pPr>
        <w:pStyle w:val="BodyText"/>
        <w:sectPr w:rsidR="009C6940" w:rsidSect="009C6940">
          <w:headerReference w:type="even" r:id="rId84"/>
          <w:headerReference w:type="default" r:id="rId85"/>
          <w:footerReference w:type="even" r:id="rId86"/>
          <w:footerReference w:type="default" r:id="rId87"/>
          <w:pgSz w:w="16840" w:h="11907" w:orient="landscape" w:code="9"/>
          <w:pgMar w:top="1814" w:right="1985" w:bottom="1304" w:left="1418" w:header="1701" w:footer="567" w:gutter="0"/>
          <w:pgNumType w:chapSep="period"/>
          <w:cols w:space="720"/>
          <w:docGrid w:linePitch="326"/>
        </w:sectPr>
      </w:pPr>
    </w:p>
    <w:p w14:paraId="68EA56E3" w14:textId="77777777" w:rsidR="009C6940" w:rsidRDefault="009C6940" w:rsidP="009C6940">
      <w:pPr>
        <w:pStyle w:val="Heading3"/>
        <w:spacing w:before="120"/>
      </w:pPr>
      <w:r>
        <w:lastRenderedPageBreak/>
        <w:t>Persistence of mental health benefits over time</w:t>
      </w:r>
    </w:p>
    <w:p w14:paraId="01143B54" w14:textId="77777777" w:rsidR="009C6940" w:rsidRDefault="009C6940" w:rsidP="009C6940">
      <w:pPr>
        <w:pStyle w:val="BodyText"/>
      </w:pPr>
      <w:r>
        <w:t>The extent to which mental health benefits are likely to persist over time has a noticeable effect on the aggregate benefits, and therefore the costs effectiveness estimates. The results above present the benefits and costs that are expected to result from action groups, based on the assumption that the benefits ‘decay’ over a single year.</w:t>
      </w:r>
    </w:p>
    <w:p w14:paraId="0034B879" w14:textId="77777777" w:rsidR="009C6940" w:rsidRDefault="009C6940">
      <w:pPr>
        <w:pStyle w:val="BodyText"/>
      </w:pPr>
      <w:r>
        <w:t>This is a conservative assumption in some respects — where people are provided with care that is likely to assist their return to recovery, it may be reasonable to expect the benefits to persist beyond a year. Where people require ongoing services in order to maintain a state of recovery, persistence of benefits is less likely. In the table below, estimated benefits and net costs per QALY are calculated using an alternative assumption about the persistence of benefits are assumed to decay by 50% each year, for a total of 5 years (by which time they are almost non</w:t>
      </w:r>
      <w:r>
        <w:noBreakHyphen/>
        <w:t>existent). This is an assumption used in other cost</w:t>
      </w:r>
      <w:r>
        <w:noBreakHyphen/>
        <w:t xml:space="preserve">effectiveness models in this literature </w:t>
      </w:r>
      <w:r w:rsidRPr="00933976">
        <w:rPr>
          <w:szCs w:val="24"/>
        </w:rPr>
        <w:t>(Mihalopoulos et al. 2011, 2012)</w:t>
      </w:r>
      <w:r>
        <w:t>. Results are not presented for housing and psychosocial support services which are not assumed to have persistence effects.</w:t>
      </w:r>
    </w:p>
    <w:p w14:paraId="01959ADB" w14:textId="77777777" w:rsidR="009C6940" w:rsidRDefault="009C6940">
      <w:pPr>
        <w:pStyle w:val="BodyText"/>
      </w:pPr>
      <w:r>
        <w:t>Increasing persistence of benefits improves the cost effectiveness of all action groups. For example, assuming benefits decay by 50% each year, for a total of 5 years shifts the lower bound estimate for the ‘young adults’ action group from cost</w:t>
      </w:r>
      <w:r>
        <w:noBreakHyphen/>
        <w:t xml:space="preserve">effective to very cost effective, while the ‘ access to healthcare’ action group becomes cost saving. The rate at which future benefits are discounted does not noticeably influence cost effectiveness. </w:t>
      </w:r>
    </w:p>
    <w:p w14:paraId="63627891"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5E5C3E6B" w14:textId="77777777" w:rsidTr="009C6940">
        <w:trPr>
          <w:tblHeader/>
        </w:trPr>
        <w:tc>
          <w:tcPr>
            <w:tcW w:w="5000" w:type="pct"/>
            <w:tcBorders>
              <w:top w:val="single" w:sz="6" w:space="0" w:color="78A22F"/>
              <w:left w:val="nil"/>
              <w:bottom w:val="nil"/>
              <w:right w:val="nil"/>
            </w:tcBorders>
            <w:shd w:val="clear" w:color="auto" w:fill="auto"/>
          </w:tcPr>
          <w:p w14:paraId="53B83F2B" w14:textId="77777777" w:rsidR="009C6940" w:rsidRPr="00784A05" w:rsidRDefault="009C6940" w:rsidP="009C6940">
            <w:pPr>
              <w:pStyle w:val="TableTitle"/>
            </w:pPr>
            <w:r>
              <w:rPr>
                <w:b w:val="0"/>
              </w:rPr>
              <w:t>Table I.4</w:t>
            </w:r>
            <w:r>
              <w:tab/>
              <w:t>Costs per QALY with varying persistence effects</w:t>
            </w:r>
          </w:p>
        </w:tc>
      </w:tr>
      <w:tr w:rsidR="009C6940" w14:paraId="214EB18A"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92"/>
              <w:gridCol w:w="1562"/>
              <w:gridCol w:w="2126"/>
              <w:gridCol w:w="2125"/>
            </w:tblGrid>
            <w:tr w:rsidR="009C6940" w14:paraId="44070F18" w14:textId="77777777" w:rsidTr="009C6940">
              <w:trPr>
                <w:tblHeader/>
              </w:trPr>
              <w:tc>
                <w:tcPr>
                  <w:tcW w:w="1583" w:type="pct"/>
                  <w:tcBorders>
                    <w:top w:val="single" w:sz="6" w:space="0" w:color="BFBFBF"/>
                  </w:tcBorders>
                  <w:shd w:val="clear" w:color="auto" w:fill="auto"/>
                  <w:tcMar>
                    <w:top w:w="28" w:type="dxa"/>
                  </w:tcMar>
                  <w:vAlign w:val="bottom"/>
                </w:tcPr>
                <w:p w14:paraId="13D37AFF" w14:textId="77777777" w:rsidR="009C6940" w:rsidRPr="0002731E" w:rsidRDefault="009C6940" w:rsidP="009C6940">
                  <w:pPr>
                    <w:pStyle w:val="TableColumnHeading"/>
                    <w:jc w:val="left"/>
                  </w:pPr>
                </w:p>
              </w:tc>
              <w:tc>
                <w:tcPr>
                  <w:tcW w:w="3417" w:type="pct"/>
                  <w:gridSpan w:val="3"/>
                  <w:tcBorders>
                    <w:top w:val="single" w:sz="6" w:space="0" w:color="BFBFBF"/>
                    <w:bottom w:val="single" w:sz="6" w:space="0" w:color="BFBFBF"/>
                  </w:tcBorders>
                  <w:vAlign w:val="bottom"/>
                </w:tcPr>
                <w:p w14:paraId="3322403C" w14:textId="77777777" w:rsidR="009C6940" w:rsidRPr="0002731E" w:rsidRDefault="009C6940" w:rsidP="009C6940">
                  <w:pPr>
                    <w:pStyle w:val="TableColumnHeading"/>
                    <w:jc w:val="center"/>
                  </w:pPr>
                  <w:r>
                    <w:t>Benefits persist for …</w:t>
                  </w:r>
                </w:p>
              </w:tc>
            </w:tr>
            <w:tr w:rsidR="009C6940" w14:paraId="1E55698C" w14:textId="77777777" w:rsidTr="009C6940">
              <w:trPr>
                <w:tblHeader/>
              </w:trPr>
              <w:tc>
                <w:tcPr>
                  <w:tcW w:w="1583" w:type="pct"/>
                  <w:tcBorders>
                    <w:bottom w:val="single" w:sz="6" w:space="0" w:color="BFBFBF"/>
                  </w:tcBorders>
                  <w:shd w:val="clear" w:color="auto" w:fill="auto"/>
                  <w:tcMar>
                    <w:top w:w="28" w:type="dxa"/>
                  </w:tcMar>
                  <w:vAlign w:val="bottom"/>
                </w:tcPr>
                <w:p w14:paraId="5DDAE8A1" w14:textId="77777777" w:rsidR="009C6940" w:rsidRPr="0002731E" w:rsidRDefault="009C6940">
                  <w:pPr>
                    <w:pStyle w:val="TableColumnHeading"/>
                    <w:jc w:val="left"/>
                  </w:pPr>
                  <w:r>
                    <w:t>Grouped actions</w:t>
                  </w:r>
                </w:p>
              </w:tc>
              <w:tc>
                <w:tcPr>
                  <w:tcW w:w="918" w:type="pct"/>
                  <w:tcBorders>
                    <w:top w:val="single" w:sz="6" w:space="0" w:color="BFBFBF"/>
                    <w:bottom w:val="single" w:sz="6" w:space="0" w:color="BFBFBF"/>
                  </w:tcBorders>
                  <w:vAlign w:val="bottom"/>
                </w:tcPr>
                <w:p w14:paraId="321B4B52" w14:textId="77777777" w:rsidR="009C6940" w:rsidRPr="0002731E" w:rsidRDefault="009C6940" w:rsidP="009C6940">
                  <w:pPr>
                    <w:pStyle w:val="TableColumnHeading"/>
                  </w:pPr>
                  <w:r w:rsidRPr="005A68E2">
                    <w:t>1 year</w:t>
                  </w:r>
                </w:p>
              </w:tc>
              <w:tc>
                <w:tcPr>
                  <w:tcW w:w="1250" w:type="pct"/>
                  <w:tcBorders>
                    <w:top w:val="single" w:sz="6" w:space="0" w:color="BFBFBF"/>
                    <w:bottom w:val="single" w:sz="6" w:space="0" w:color="BFBFBF"/>
                  </w:tcBorders>
                  <w:shd w:val="clear" w:color="auto" w:fill="auto"/>
                  <w:tcMar>
                    <w:top w:w="28" w:type="dxa"/>
                  </w:tcMar>
                  <w:vAlign w:val="bottom"/>
                </w:tcPr>
                <w:p w14:paraId="5C2552AB" w14:textId="77777777" w:rsidR="009C6940" w:rsidRDefault="009C6940">
                  <w:pPr>
                    <w:pStyle w:val="TableColumnHeading"/>
                  </w:pPr>
                  <w:r w:rsidRPr="005A68E2">
                    <w:t>5 years</w:t>
                  </w:r>
                </w:p>
                <w:p w14:paraId="1EE147B5" w14:textId="77777777" w:rsidR="009C6940" w:rsidRPr="0002731E" w:rsidRDefault="009C6940" w:rsidP="009C6940">
                  <w:pPr>
                    <w:pStyle w:val="TableColumnHeading"/>
                  </w:pPr>
                  <w:r>
                    <w:t>(50% decay in benefit, 3% discount rate</w:t>
                  </w:r>
                </w:p>
              </w:tc>
              <w:tc>
                <w:tcPr>
                  <w:tcW w:w="1249" w:type="pct"/>
                  <w:tcBorders>
                    <w:top w:val="single" w:sz="6" w:space="0" w:color="BFBFBF"/>
                    <w:bottom w:val="single" w:sz="6" w:space="0" w:color="BFBFBF"/>
                  </w:tcBorders>
                  <w:shd w:val="clear" w:color="auto" w:fill="auto"/>
                  <w:tcMar>
                    <w:top w:w="28" w:type="dxa"/>
                  </w:tcMar>
                  <w:vAlign w:val="bottom"/>
                </w:tcPr>
                <w:p w14:paraId="4388BF93" w14:textId="77777777" w:rsidR="009C6940" w:rsidRDefault="009C6940" w:rsidP="009C6940">
                  <w:pPr>
                    <w:pStyle w:val="TableColumnHeading"/>
                    <w:ind w:right="11"/>
                  </w:pPr>
                  <w:r w:rsidRPr="0036250D">
                    <w:t>5 years</w:t>
                  </w:r>
                </w:p>
                <w:p w14:paraId="702A358E" w14:textId="77777777" w:rsidR="009C6940" w:rsidRPr="0002731E" w:rsidRDefault="009C6940" w:rsidP="009C6940">
                  <w:pPr>
                    <w:pStyle w:val="TableColumnHeading"/>
                    <w:ind w:right="11"/>
                  </w:pPr>
                  <w:r>
                    <w:t>(50% decay in benefit, 7% discount rate)</w:t>
                  </w:r>
                </w:p>
              </w:tc>
            </w:tr>
            <w:tr w:rsidR="009C6940" w14:paraId="24FAA2C4" w14:textId="77777777" w:rsidTr="009C6940">
              <w:trPr>
                <w:tblHeader/>
              </w:trPr>
              <w:tc>
                <w:tcPr>
                  <w:tcW w:w="1583" w:type="pct"/>
                  <w:tcBorders>
                    <w:top w:val="single" w:sz="6" w:space="0" w:color="BFBFBF"/>
                  </w:tcBorders>
                  <w:shd w:val="clear" w:color="auto" w:fill="auto"/>
                  <w:tcMar>
                    <w:top w:w="28" w:type="dxa"/>
                  </w:tcMar>
                  <w:vAlign w:val="bottom"/>
                </w:tcPr>
                <w:p w14:paraId="4DBED522" w14:textId="77777777" w:rsidR="009C6940" w:rsidRDefault="009C6940" w:rsidP="009C6940">
                  <w:pPr>
                    <w:pStyle w:val="TableUnitsRow"/>
                  </w:pPr>
                </w:p>
              </w:tc>
              <w:tc>
                <w:tcPr>
                  <w:tcW w:w="918" w:type="pct"/>
                  <w:tcBorders>
                    <w:top w:val="single" w:sz="6" w:space="0" w:color="BFBFBF"/>
                  </w:tcBorders>
                  <w:vAlign w:val="bottom"/>
                </w:tcPr>
                <w:p w14:paraId="2D0358D0" w14:textId="77777777" w:rsidR="009C6940" w:rsidRPr="005A68E2" w:rsidRDefault="009C6940" w:rsidP="009C6940">
                  <w:pPr>
                    <w:pStyle w:val="TableUnitsRow"/>
                  </w:pPr>
                  <w:r>
                    <w:t>$ ’000</w:t>
                  </w:r>
                </w:p>
              </w:tc>
              <w:tc>
                <w:tcPr>
                  <w:tcW w:w="1250" w:type="pct"/>
                  <w:tcBorders>
                    <w:top w:val="single" w:sz="6" w:space="0" w:color="BFBFBF"/>
                  </w:tcBorders>
                  <w:shd w:val="clear" w:color="auto" w:fill="auto"/>
                  <w:tcMar>
                    <w:top w:w="28" w:type="dxa"/>
                  </w:tcMar>
                  <w:vAlign w:val="bottom"/>
                </w:tcPr>
                <w:p w14:paraId="7472E6C5" w14:textId="77777777" w:rsidR="009C6940" w:rsidRPr="005A68E2" w:rsidRDefault="009C6940" w:rsidP="009C6940">
                  <w:pPr>
                    <w:pStyle w:val="TableUnitsRow"/>
                  </w:pPr>
                  <w:r>
                    <w:t>$ ’000</w:t>
                  </w:r>
                </w:p>
              </w:tc>
              <w:tc>
                <w:tcPr>
                  <w:tcW w:w="1249" w:type="pct"/>
                  <w:tcBorders>
                    <w:top w:val="single" w:sz="6" w:space="0" w:color="BFBFBF"/>
                  </w:tcBorders>
                  <w:shd w:val="clear" w:color="auto" w:fill="auto"/>
                  <w:tcMar>
                    <w:top w:w="28" w:type="dxa"/>
                  </w:tcMar>
                  <w:vAlign w:val="bottom"/>
                </w:tcPr>
                <w:p w14:paraId="770C1125" w14:textId="77777777" w:rsidR="009C6940" w:rsidRPr="0036250D" w:rsidRDefault="009C6940" w:rsidP="009C6940">
                  <w:pPr>
                    <w:pStyle w:val="TableUnitsRow"/>
                    <w:ind w:right="11"/>
                  </w:pPr>
                  <w:r>
                    <w:t>$ ’000‘</w:t>
                  </w:r>
                </w:p>
              </w:tc>
            </w:tr>
            <w:tr w:rsidR="009C6940" w14:paraId="10349873" w14:textId="77777777" w:rsidTr="009C6940">
              <w:tc>
                <w:tcPr>
                  <w:tcW w:w="1583" w:type="pct"/>
                </w:tcPr>
                <w:p w14:paraId="3E430974" w14:textId="77777777" w:rsidR="009C6940" w:rsidRDefault="009C6940" w:rsidP="009C6940">
                  <w:pPr>
                    <w:pStyle w:val="TableBodyText"/>
                    <w:jc w:val="left"/>
                  </w:pPr>
                  <w:r w:rsidRPr="008E1859">
                    <w:t>Access to healthcare</w:t>
                  </w:r>
                </w:p>
              </w:tc>
              <w:tc>
                <w:tcPr>
                  <w:tcW w:w="918" w:type="pct"/>
                </w:tcPr>
                <w:p w14:paraId="2CCE6F39" w14:textId="77777777" w:rsidR="009C6940" w:rsidRDefault="009C6940" w:rsidP="009C6940">
                  <w:pPr>
                    <w:pStyle w:val="TableBodyText"/>
                  </w:pPr>
                  <w:r>
                    <w:t>11–30</w:t>
                  </w:r>
                </w:p>
              </w:tc>
              <w:tc>
                <w:tcPr>
                  <w:tcW w:w="1250" w:type="pct"/>
                  <w:vAlign w:val="bottom"/>
                </w:tcPr>
                <w:p w14:paraId="068DAD82" w14:textId="77777777" w:rsidR="009C6940" w:rsidRDefault="009C6940" w:rsidP="009C6940">
                  <w:pPr>
                    <w:pStyle w:val="TableBodyText"/>
                  </w:pPr>
                  <w:r>
                    <w:t>Cost saving</w:t>
                  </w:r>
                </w:p>
              </w:tc>
              <w:tc>
                <w:tcPr>
                  <w:tcW w:w="1249" w:type="pct"/>
                  <w:vAlign w:val="bottom"/>
                </w:tcPr>
                <w:p w14:paraId="044618DD" w14:textId="77777777" w:rsidR="009C6940" w:rsidRDefault="009C6940" w:rsidP="009C6940">
                  <w:pPr>
                    <w:pStyle w:val="TableBodyText"/>
                    <w:ind w:right="11"/>
                  </w:pPr>
                  <w:r>
                    <w:t>Cost saving</w:t>
                  </w:r>
                </w:p>
              </w:tc>
            </w:tr>
            <w:tr w:rsidR="009C6940" w14:paraId="06FFEC33" w14:textId="77777777" w:rsidTr="009C6940">
              <w:tc>
                <w:tcPr>
                  <w:tcW w:w="1583" w:type="pct"/>
                </w:tcPr>
                <w:p w14:paraId="4CC9362A" w14:textId="77777777" w:rsidR="009C6940" w:rsidRDefault="009C6940" w:rsidP="009C6940">
                  <w:pPr>
                    <w:pStyle w:val="TableBodyText"/>
                    <w:jc w:val="left"/>
                  </w:pPr>
                  <w:r w:rsidRPr="008E1859">
                    <w:t>Carers and families</w:t>
                  </w:r>
                </w:p>
              </w:tc>
              <w:tc>
                <w:tcPr>
                  <w:tcW w:w="918" w:type="pct"/>
                </w:tcPr>
                <w:p w14:paraId="5E2FC08C" w14:textId="77777777" w:rsidR="009C6940" w:rsidRDefault="009C6940" w:rsidP="009C6940">
                  <w:pPr>
                    <w:pStyle w:val="TableBodyText"/>
                  </w:pPr>
                  <w:r>
                    <w:t>Cost saving</w:t>
                  </w:r>
                </w:p>
              </w:tc>
              <w:tc>
                <w:tcPr>
                  <w:tcW w:w="1250" w:type="pct"/>
                  <w:vAlign w:val="bottom"/>
                </w:tcPr>
                <w:p w14:paraId="68FAAC26" w14:textId="77777777" w:rsidR="009C6940" w:rsidRDefault="009C6940" w:rsidP="009C6940">
                  <w:pPr>
                    <w:pStyle w:val="TableBodyText"/>
                  </w:pPr>
                  <w:r>
                    <w:t>Cost saving</w:t>
                  </w:r>
                </w:p>
              </w:tc>
              <w:tc>
                <w:tcPr>
                  <w:tcW w:w="1249" w:type="pct"/>
                  <w:vAlign w:val="bottom"/>
                </w:tcPr>
                <w:p w14:paraId="73AB2038" w14:textId="77777777" w:rsidR="009C6940" w:rsidRDefault="009C6940" w:rsidP="009C6940">
                  <w:pPr>
                    <w:pStyle w:val="TableBodyText"/>
                    <w:ind w:right="11"/>
                  </w:pPr>
                  <w:r>
                    <w:t>Cost saving</w:t>
                  </w:r>
                </w:p>
              </w:tc>
            </w:tr>
            <w:tr w:rsidR="009C6940" w14:paraId="225098B5" w14:textId="77777777" w:rsidTr="009C6940">
              <w:tc>
                <w:tcPr>
                  <w:tcW w:w="1583" w:type="pct"/>
                </w:tcPr>
                <w:p w14:paraId="23150AB7" w14:textId="77777777" w:rsidR="009C6940" w:rsidRDefault="009C6940" w:rsidP="009C6940">
                  <w:pPr>
                    <w:pStyle w:val="TableBodyText"/>
                    <w:jc w:val="left"/>
                  </w:pPr>
                  <w:r w:rsidRPr="008E1859">
                    <w:t>Income &amp; employment support</w:t>
                  </w:r>
                </w:p>
              </w:tc>
              <w:tc>
                <w:tcPr>
                  <w:tcW w:w="918" w:type="pct"/>
                </w:tcPr>
                <w:p w14:paraId="7948CC11" w14:textId="77777777" w:rsidR="009C6940" w:rsidRDefault="009C6940" w:rsidP="009C6940">
                  <w:pPr>
                    <w:pStyle w:val="TableBodyText"/>
                  </w:pPr>
                  <w:r>
                    <w:t>Cost saving</w:t>
                  </w:r>
                </w:p>
              </w:tc>
              <w:tc>
                <w:tcPr>
                  <w:tcW w:w="1250" w:type="pct"/>
                  <w:vAlign w:val="bottom"/>
                </w:tcPr>
                <w:p w14:paraId="78C9B437" w14:textId="77777777" w:rsidR="009C6940" w:rsidRDefault="009C6940" w:rsidP="009C6940">
                  <w:pPr>
                    <w:pStyle w:val="TableBodyText"/>
                  </w:pPr>
                  <w:r>
                    <w:t>Cost saving</w:t>
                  </w:r>
                </w:p>
              </w:tc>
              <w:tc>
                <w:tcPr>
                  <w:tcW w:w="1249" w:type="pct"/>
                  <w:vAlign w:val="bottom"/>
                </w:tcPr>
                <w:p w14:paraId="6D138E8D" w14:textId="77777777" w:rsidR="009C6940" w:rsidRDefault="009C6940" w:rsidP="009C6940">
                  <w:pPr>
                    <w:pStyle w:val="TableBodyText"/>
                    <w:ind w:right="11"/>
                  </w:pPr>
                  <w:r>
                    <w:t>Cost saving</w:t>
                  </w:r>
                </w:p>
              </w:tc>
            </w:tr>
            <w:tr w:rsidR="009C6940" w14:paraId="54B980A5" w14:textId="77777777" w:rsidTr="009C6940">
              <w:trPr>
                <w:trHeight w:val="238"/>
              </w:trPr>
              <w:tc>
                <w:tcPr>
                  <w:tcW w:w="1583" w:type="pct"/>
                </w:tcPr>
                <w:p w14:paraId="08FF175F" w14:textId="77777777" w:rsidR="009C6940" w:rsidRDefault="009C6940" w:rsidP="009C6940">
                  <w:pPr>
                    <w:pStyle w:val="TableBodyText"/>
                    <w:jc w:val="left"/>
                  </w:pPr>
                  <w:r w:rsidRPr="008E1859">
                    <w:t>Housing</w:t>
                  </w:r>
                  <w:r w:rsidRPr="00C124C9">
                    <w:rPr>
                      <w:rStyle w:val="NoteLabel"/>
                    </w:rPr>
                    <w:t>a</w:t>
                  </w:r>
                </w:p>
              </w:tc>
              <w:tc>
                <w:tcPr>
                  <w:tcW w:w="918" w:type="pct"/>
                </w:tcPr>
                <w:p w14:paraId="3D305328" w14:textId="77777777" w:rsidR="009C6940" w:rsidRDefault="009C6940" w:rsidP="009C6940">
                  <w:pPr>
                    <w:pStyle w:val="TableBodyText"/>
                  </w:pPr>
                  <w:r>
                    <w:t>47–199</w:t>
                  </w:r>
                </w:p>
              </w:tc>
              <w:tc>
                <w:tcPr>
                  <w:tcW w:w="1250" w:type="pct"/>
                </w:tcPr>
                <w:p w14:paraId="01F2EF7D" w14:textId="77777777" w:rsidR="009C6940" w:rsidRPr="00C124C9" w:rsidRDefault="009C6940">
                  <w:pPr>
                    <w:pStyle w:val="TableBodyText"/>
                    <w:rPr>
                      <w:b/>
                    </w:rPr>
                  </w:pPr>
                  <w:r w:rsidRPr="00C124C9">
                    <w:rPr>
                      <w:b/>
                    </w:rPr>
                    <w:t>..</w:t>
                  </w:r>
                </w:p>
              </w:tc>
              <w:tc>
                <w:tcPr>
                  <w:tcW w:w="1249" w:type="pct"/>
                </w:tcPr>
                <w:p w14:paraId="5FDA4C99" w14:textId="77777777" w:rsidR="009C6940" w:rsidRPr="00C124C9" w:rsidRDefault="009C6940" w:rsidP="009C6940">
                  <w:pPr>
                    <w:pStyle w:val="TableBodyText"/>
                    <w:ind w:right="11"/>
                    <w:rPr>
                      <w:b/>
                    </w:rPr>
                  </w:pPr>
                  <w:r w:rsidRPr="00C124C9">
                    <w:rPr>
                      <w:b/>
                    </w:rPr>
                    <w:t>..</w:t>
                  </w:r>
                </w:p>
              </w:tc>
            </w:tr>
            <w:tr w:rsidR="009C6940" w14:paraId="0CA15791" w14:textId="77777777" w:rsidTr="009C6940">
              <w:trPr>
                <w:trHeight w:val="238"/>
              </w:trPr>
              <w:tc>
                <w:tcPr>
                  <w:tcW w:w="1583" w:type="pct"/>
                </w:tcPr>
                <w:p w14:paraId="6B891C78" w14:textId="77777777" w:rsidR="009C6940" w:rsidRDefault="009C6940" w:rsidP="009C6940">
                  <w:pPr>
                    <w:pStyle w:val="TableBodyText"/>
                    <w:jc w:val="left"/>
                  </w:pPr>
                  <w:r w:rsidRPr="008E1859">
                    <w:t>Psychosocial support</w:t>
                  </w:r>
                  <w:r>
                    <w:t>s</w:t>
                  </w:r>
                  <w:r w:rsidRPr="00C124C9">
                    <w:rPr>
                      <w:rStyle w:val="NoteLabel"/>
                    </w:rPr>
                    <w:t>a</w:t>
                  </w:r>
                </w:p>
              </w:tc>
              <w:tc>
                <w:tcPr>
                  <w:tcW w:w="918" w:type="pct"/>
                </w:tcPr>
                <w:p w14:paraId="06162255" w14:textId="77777777" w:rsidR="009C6940" w:rsidRDefault="009C6940" w:rsidP="009C6940">
                  <w:pPr>
                    <w:pStyle w:val="TableBodyText"/>
                  </w:pPr>
                  <w:r>
                    <w:t>45–136</w:t>
                  </w:r>
                </w:p>
              </w:tc>
              <w:tc>
                <w:tcPr>
                  <w:tcW w:w="1250" w:type="pct"/>
                </w:tcPr>
                <w:p w14:paraId="1A2FB860" w14:textId="77777777" w:rsidR="009C6940" w:rsidRPr="00C124C9" w:rsidRDefault="009C6940">
                  <w:pPr>
                    <w:pStyle w:val="TableBodyText"/>
                    <w:rPr>
                      <w:b/>
                    </w:rPr>
                  </w:pPr>
                  <w:r w:rsidRPr="00C124C9">
                    <w:rPr>
                      <w:b/>
                    </w:rPr>
                    <w:t>..</w:t>
                  </w:r>
                </w:p>
              </w:tc>
              <w:tc>
                <w:tcPr>
                  <w:tcW w:w="1249" w:type="pct"/>
                </w:tcPr>
                <w:p w14:paraId="33C0F5C5" w14:textId="77777777" w:rsidR="009C6940" w:rsidRPr="00C124C9" w:rsidRDefault="009C6940" w:rsidP="009C6940">
                  <w:pPr>
                    <w:pStyle w:val="TableBodyText"/>
                    <w:ind w:right="11"/>
                    <w:rPr>
                      <w:b/>
                    </w:rPr>
                  </w:pPr>
                  <w:r w:rsidRPr="00C124C9">
                    <w:rPr>
                      <w:b/>
                    </w:rPr>
                    <w:t>..</w:t>
                  </w:r>
                </w:p>
              </w:tc>
            </w:tr>
            <w:tr w:rsidR="009C6940" w14:paraId="211BBE67" w14:textId="77777777" w:rsidTr="009C6940">
              <w:tc>
                <w:tcPr>
                  <w:tcW w:w="1583" w:type="pct"/>
                </w:tcPr>
                <w:p w14:paraId="24A916B7" w14:textId="77777777" w:rsidR="009C6940" w:rsidRDefault="009C6940" w:rsidP="009C6940">
                  <w:pPr>
                    <w:pStyle w:val="TableBodyText"/>
                    <w:jc w:val="left"/>
                  </w:pPr>
                  <w:r w:rsidRPr="006262AB">
                    <w:t>Early childhood &amp; school</w:t>
                  </w:r>
                </w:p>
              </w:tc>
              <w:tc>
                <w:tcPr>
                  <w:tcW w:w="918" w:type="pct"/>
                </w:tcPr>
                <w:p w14:paraId="05D93770" w14:textId="77777777" w:rsidR="009C6940" w:rsidRDefault="009C6940" w:rsidP="009C6940">
                  <w:pPr>
                    <w:pStyle w:val="TableBodyText"/>
                  </w:pPr>
                  <w:r>
                    <w:t>3–7</w:t>
                  </w:r>
                </w:p>
              </w:tc>
              <w:tc>
                <w:tcPr>
                  <w:tcW w:w="1250" w:type="pct"/>
                  <w:vAlign w:val="bottom"/>
                </w:tcPr>
                <w:p w14:paraId="793065B4" w14:textId="77777777" w:rsidR="009C6940" w:rsidRDefault="009C6940" w:rsidP="009C6940">
                  <w:pPr>
                    <w:pStyle w:val="TableBodyText"/>
                  </w:pPr>
                  <w:r>
                    <w:t>1–3</w:t>
                  </w:r>
                </w:p>
              </w:tc>
              <w:tc>
                <w:tcPr>
                  <w:tcW w:w="1249" w:type="pct"/>
                  <w:vAlign w:val="bottom"/>
                </w:tcPr>
                <w:p w14:paraId="50BA9610" w14:textId="77777777" w:rsidR="009C6940" w:rsidRDefault="009C6940" w:rsidP="009C6940">
                  <w:pPr>
                    <w:pStyle w:val="TableBodyText"/>
                    <w:ind w:right="11"/>
                  </w:pPr>
                  <w:r>
                    <w:t>1–3</w:t>
                  </w:r>
                </w:p>
              </w:tc>
            </w:tr>
            <w:tr w:rsidR="009C6940" w14:paraId="05D1C9C1" w14:textId="77777777" w:rsidTr="009C6940">
              <w:tc>
                <w:tcPr>
                  <w:tcW w:w="1583" w:type="pct"/>
                </w:tcPr>
                <w:p w14:paraId="4064400C" w14:textId="77777777" w:rsidR="009C6940" w:rsidRDefault="009C6940" w:rsidP="009C6940">
                  <w:pPr>
                    <w:pStyle w:val="TableBodyText"/>
                    <w:jc w:val="left"/>
                  </w:pPr>
                  <w:r w:rsidRPr="006262AB">
                    <w:t>Young adults</w:t>
                  </w:r>
                </w:p>
              </w:tc>
              <w:tc>
                <w:tcPr>
                  <w:tcW w:w="918" w:type="pct"/>
                </w:tcPr>
                <w:p w14:paraId="60F9E2E6" w14:textId="77777777" w:rsidR="009C6940" w:rsidRDefault="009C6940" w:rsidP="009C6940">
                  <w:pPr>
                    <w:pStyle w:val="TableBodyText"/>
                  </w:pPr>
                  <w:r>
                    <w:t>40–76</w:t>
                  </w:r>
                </w:p>
              </w:tc>
              <w:tc>
                <w:tcPr>
                  <w:tcW w:w="1250" w:type="pct"/>
                  <w:vAlign w:val="bottom"/>
                </w:tcPr>
                <w:p w14:paraId="6D8289E3" w14:textId="77777777" w:rsidR="009C6940" w:rsidRDefault="009C6940">
                  <w:pPr>
                    <w:pStyle w:val="TableBodyText"/>
                  </w:pPr>
                  <w:r>
                    <w:t>21–40</w:t>
                  </w:r>
                </w:p>
              </w:tc>
              <w:tc>
                <w:tcPr>
                  <w:tcW w:w="1249" w:type="pct"/>
                  <w:vAlign w:val="bottom"/>
                </w:tcPr>
                <w:p w14:paraId="43F0BEBA" w14:textId="77777777" w:rsidR="009C6940" w:rsidRDefault="009C6940" w:rsidP="009C6940">
                  <w:pPr>
                    <w:pStyle w:val="TableBodyText"/>
                    <w:ind w:right="11"/>
                  </w:pPr>
                  <w:r>
                    <w:t>22–42</w:t>
                  </w:r>
                </w:p>
              </w:tc>
            </w:tr>
            <w:tr w:rsidR="009C6940" w14:paraId="1299564E" w14:textId="77777777" w:rsidTr="009C6940">
              <w:tc>
                <w:tcPr>
                  <w:tcW w:w="1583" w:type="pct"/>
                </w:tcPr>
                <w:p w14:paraId="5C359EF8" w14:textId="77777777" w:rsidR="009C6940" w:rsidRDefault="009C6940" w:rsidP="009C6940">
                  <w:pPr>
                    <w:pStyle w:val="TableBodyText"/>
                    <w:jc w:val="left"/>
                  </w:pPr>
                  <w:r w:rsidRPr="006262AB">
                    <w:t>Workplaces</w:t>
                  </w:r>
                </w:p>
              </w:tc>
              <w:tc>
                <w:tcPr>
                  <w:tcW w:w="918" w:type="pct"/>
                </w:tcPr>
                <w:p w14:paraId="1020703B" w14:textId="77777777" w:rsidR="009C6940" w:rsidRDefault="009C6940" w:rsidP="009C6940">
                  <w:pPr>
                    <w:pStyle w:val="TableBodyText"/>
                  </w:pPr>
                  <w:r>
                    <w:t>Cost saving</w:t>
                  </w:r>
                </w:p>
              </w:tc>
              <w:tc>
                <w:tcPr>
                  <w:tcW w:w="1250" w:type="pct"/>
                </w:tcPr>
                <w:p w14:paraId="477E3CA2" w14:textId="77777777" w:rsidR="009C6940" w:rsidRDefault="009C6940" w:rsidP="009C6940">
                  <w:pPr>
                    <w:pStyle w:val="TableBodyText"/>
                  </w:pPr>
                  <w:r w:rsidRPr="00925F65">
                    <w:t>Cost saving</w:t>
                  </w:r>
                </w:p>
              </w:tc>
              <w:tc>
                <w:tcPr>
                  <w:tcW w:w="1249" w:type="pct"/>
                </w:tcPr>
                <w:p w14:paraId="50E8EB57" w14:textId="77777777" w:rsidR="009C6940" w:rsidRDefault="009C6940" w:rsidP="009C6940">
                  <w:pPr>
                    <w:pStyle w:val="TableBodyText"/>
                    <w:ind w:right="11"/>
                  </w:pPr>
                  <w:r w:rsidRPr="00925F65">
                    <w:t>Cost saving</w:t>
                  </w:r>
                </w:p>
              </w:tc>
            </w:tr>
            <w:tr w:rsidR="009C6940" w14:paraId="2F6172C0" w14:textId="77777777" w:rsidTr="009C6940">
              <w:tc>
                <w:tcPr>
                  <w:tcW w:w="1583" w:type="pct"/>
                </w:tcPr>
                <w:p w14:paraId="1F909ED1" w14:textId="77777777" w:rsidR="009C6940" w:rsidRDefault="009C6940" w:rsidP="009C6940">
                  <w:pPr>
                    <w:pStyle w:val="TableBodyText"/>
                    <w:jc w:val="left"/>
                  </w:pPr>
                  <w:r w:rsidRPr="006262AB">
                    <w:t>Social participation</w:t>
                  </w:r>
                </w:p>
              </w:tc>
              <w:tc>
                <w:tcPr>
                  <w:tcW w:w="918" w:type="pct"/>
                </w:tcPr>
                <w:p w14:paraId="0A297F69" w14:textId="77777777" w:rsidR="009C6940" w:rsidRDefault="009C6940" w:rsidP="009C6940">
                  <w:pPr>
                    <w:pStyle w:val="TableBodyText"/>
                  </w:pPr>
                  <w:r>
                    <w:t>Cost saving</w:t>
                  </w:r>
                </w:p>
              </w:tc>
              <w:tc>
                <w:tcPr>
                  <w:tcW w:w="1250" w:type="pct"/>
                </w:tcPr>
                <w:p w14:paraId="75099D8F" w14:textId="77777777" w:rsidR="009C6940" w:rsidRDefault="009C6940" w:rsidP="009C6940">
                  <w:pPr>
                    <w:pStyle w:val="TableBodyText"/>
                  </w:pPr>
                  <w:r w:rsidRPr="0020116A">
                    <w:t>Cost saving</w:t>
                  </w:r>
                </w:p>
              </w:tc>
              <w:tc>
                <w:tcPr>
                  <w:tcW w:w="1249" w:type="pct"/>
                </w:tcPr>
                <w:p w14:paraId="0CEE5C8E" w14:textId="77777777" w:rsidR="009C6940" w:rsidRDefault="009C6940" w:rsidP="009C6940">
                  <w:pPr>
                    <w:pStyle w:val="TableBodyText"/>
                    <w:ind w:right="11"/>
                  </w:pPr>
                  <w:r w:rsidRPr="0020116A">
                    <w:t>Cost saving</w:t>
                  </w:r>
                </w:p>
              </w:tc>
            </w:tr>
            <w:tr w:rsidR="009C6940" w14:paraId="7D68E438" w14:textId="77777777" w:rsidTr="009C6940">
              <w:tc>
                <w:tcPr>
                  <w:tcW w:w="1583" w:type="pct"/>
                  <w:tcBorders>
                    <w:bottom w:val="single" w:sz="4" w:space="0" w:color="BFBFBF"/>
                  </w:tcBorders>
                  <w:shd w:val="clear" w:color="auto" w:fill="auto"/>
                </w:tcPr>
                <w:p w14:paraId="487C0E4F" w14:textId="77777777" w:rsidR="009C6940" w:rsidRDefault="009C6940" w:rsidP="009C6940">
                  <w:pPr>
                    <w:pStyle w:val="TableBodyText"/>
                    <w:jc w:val="left"/>
                  </w:pPr>
                  <w:r w:rsidRPr="006262AB">
                    <w:t>Suicide prevention</w:t>
                  </w:r>
                </w:p>
              </w:tc>
              <w:tc>
                <w:tcPr>
                  <w:tcW w:w="918" w:type="pct"/>
                  <w:tcBorders>
                    <w:bottom w:val="single" w:sz="4" w:space="0" w:color="BFBFBF"/>
                  </w:tcBorders>
                </w:tcPr>
                <w:p w14:paraId="5A3DCF61" w14:textId="77777777" w:rsidR="009C6940" w:rsidRDefault="009C6940" w:rsidP="009C6940">
                  <w:pPr>
                    <w:pStyle w:val="TableBodyText"/>
                  </w:pPr>
                  <w:r>
                    <w:t>Cost saving</w:t>
                  </w:r>
                </w:p>
              </w:tc>
              <w:tc>
                <w:tcPr>
                  <w:tcW w:w="1250" w:type="pct"/>
                  <w:tcBorders>
                    <w:bottom w:val="single" w:sz="4" w:space="0" w:color="BFBFBF"/>
                  </w:tcBorders>
                  <w:shd w:val="clear" w:color="auto" w:fill="auto"/>
                </w:tcPr>
                <w:p w14:paraId="10499E8C" w14:textId="77777777" w:rsidR="009C6940" w:rsidRDefault="009C6940" w:rsidP="009C6940">
                  <w:pPr>
                    <w:pStyle w:val="TableBodyText"/>
                  </w:pPr>
                  <w:r w:rsidRPr="0020116A">
                    <w:t>Cost saving</w:t>
                  </w:r>
                </w:p>
              </w:tc>
              <w:tc>
                <w:tcPr>
                  <w:tcW w:w="1249" w:type="pct"/>
                  <w:tcBorders>
                    <w:bottom w:val="single" w:sz="4" w:space="0" w:color="BFBFBF"/>
                  </w:tcBorders>
                  <w:shd w:val="clear" w:color="auto" w:fill="auto"/>
                </w:tcPr>
                <w:p w14:paraId="73542052" w14:textId="77777777" w:rsidR="009C6940" w:rsidRDefault="009C6940" w:rsidP="009C6940">
                  <w:pPr>
                    <w:pStyle w:val="TableBodyText"/>
                    <w:ind w:right="11"/>
                  </w:pPr>
                  <w:r w:rsidRPr="0020116A">
                    <w:t>Cost saving</w:t>
                  </w:r>
                </w:p>
              </w:tc>
            </w:tr>
          </w:tbl>
          <w:p w14:paraId="3C08310E" w14:textId="77777777" w:rsidR="009C6940" w:rsidRDefault="009C6940" w:rsidP="009C6940">
            <w:pPr>
              <w:pStyle w:val="Box"/>
            </w:pPr>
          </w:p>
        </w:tc>
      </w:tr>
      <w:tr w:rsidR="009C6940" w14:paraId="3E5ECBF3" w14:textId="77777777" w:rsidTr="009C6940">
        <w:tc>
          <w:tcPr>
            <w:tcW w:w="5000" w:type="pct"/>
            <w:tcBorders>
              <w:top w:val="nil"/>
              <w:left w:val="nil"/>
              <w:bottom w:val="nil"/>
              <w:right w:val="nil"/>
            </w:tcBorders>
            <w:shd w:val="clear" w:color="auto" w:fill="auto"/>
          </w:tcPr>
          <w:p w14:paraId="62FDD199" w14:textId="77777777" w:rsidR="009C6940" w:rsidRDefault="009C6940">
            <w:pPr>
              <w:pStyle w:val="Note"/>
              <w:rPr>
                <w:i/>
              </w:rPr>
            </w:pPr>
            <w:r w:rsidRPr="008E77FE">
              <w:rPr>
                <w:rStyle w:val="NoteLabel"/>
              </w:rPr>
              <w:t>a</w:t>
            </w:r>
            <w:r>
              <w:t xml:space="preserve"> Persistence of benefits is not assumed for housing and psychosocial support. </w:t>
            </w:r>
            <w:r>
              <w:rPr>
                <w:b/>
              </w:rPr>
              <w:t>..</w:t>
            </w:r>
            <w:r>
              <w:t xml:space="preserve"> Not applicable.</w:t>
            </w:r>
          </w:p>
        </w:tc>
      </w:tr>
      <w:tr w:rsidR="009C6940" w14:paraId="3455D357" w14:textId="77777777" w:rsidTr="009C6940">
        <w:tc>
          <w:tcPr>
            <w:tcW w:w="5000" w:type="pct"/>
            <w:tcBorders>
              <w:top w:val="nil"/>
              <w:left w:val="nil"/>
              <w:bottom w:val="nil"/>
              <w:right w:val="nil"/>
            </w:tcBorders>
            <w:shd w:val="clear" w:color="auto" w:fill="auto"/>
          </w:tcPr>
          <w:p w14:paraId="55C2FC4C" w14:textId="77777777" w:rsidR="009C6940" w:rsidRDefault="009C6940" w:rsidP="009C6940">
            <w:pPr>
              <w:pStyle w:val="Source"/>
            </w:pPr>
            <w:r>
              <w:rPr>
                <w:i/>
              </w:rPr>
              <w:t>Source</w:t>
            </w:r>
            <w:r w:rsidRPr="00167F06">
              <w:t xml:space="preserve">: </w:t>
            </w:r>
            <w:r>
              <w:t>Productivity Commission estimates.</w:t>
            </w:r>
          </w:p>
        </w:tc>
      </w:tr>
      <w:tr w:rsidR="009C6940" w14:paraId="2B0538BC" w14:textId="77777777" w:rsidTr="009C6940">
        <w:tc>
          <w:tcPr>
            <w:tcW w:w="5000" w:type="pct"/>
            <w:tcBorders>
              <w:top w:val="nil"/>
              <w:left w:val="nil"/>
              <w:bottom w:val="single" w:sz="6" w:space="0" w:color="78A22F"/>
              <w:right w:val="nil"/>
            </w:tcBorders>
            <w:shd w:val="clear" w:color="auto" w:fill="auto"/>
          </w:tcPr>
          <w:p w14:paraId="5B998160" w14:textId="77777777" w:rsidR="009C6940" w:rsidRDefault="009C6940" w:rsidP="009C6940">
            <w:pPr>
              <w:pStyle w:val="Box"/>
              <w:spacing w:before="0" w:line="120" w:lineRule="exact"/>
            </w:pPr>
          </w:p>
        </w:tc>
      </w:tr>
      <w:tr w:rsidR="009C6940" w:rsidRPr="000863A5" w14:paraId="793A174A" w14:textId="77777777" w:rsidTr="009C6940">
        <w:tc>
          <w:tcPr>
            <w:tcW w:w="5000" w:type="pct"/>
            <w:tcBorders>
              <w:top w:val="single" w:sz="6" w:space="0" w:color="78A22F"/>
              <w:left w:val="nil"/>
              <w:bottom w:val="nil"/>
              <w:right w:val="nil"/>
            </w:tcBorders>
          </w:tcPr>
          <w:p w14:paraId="025E5D9E" w14:textId="77777777" w:rsidR="009C6940" w:rsidRPr="00626D32" w:rsidRDefault="009C6940" w:rsidP="009C6940">
            <w:pPr>
              <w:pStyle w:val="BoxSpaceBelow"/>
            </w:pPr>
          </w:p>
        </w:tc>
      </w:tr>
    </w:tbl>
    <w:p w14:paraId="449C681F" w14:textId="77777777" w:rsidR="009C6940" w:rsidRDefault="009C6940" w:rsidP="009C6940">
      <w:pPr>
        <w:pStyle w:val="Heading1"/>
        <w:spacing w:after="1080"/>
      </w:pPr>
      <w:r>
        <w:lastRenderedPageBreak/>
        <w:t>References</w:t>
      </w:r>
    </w:p>
    <w:p w14:paraId="3F534FF1" w14:textId="77777777" w:rsidR="009C6940" w:rsidRPr="005C6AAF" w:rsidRDefault="009C6940" w:rsidP="009C6940">
      <w:pPr>
        <w:pStyle w:val="Reference"/>
        <w:spacing w:before="100" w:line="260" w:lineRule="atLeast"/>
        <w:rPr>
          <w:spacing w:val="-4"/>
          <w:sz w:val="20"/>
        </w:rPr>
      </w:pPr>
      <w:r w:rsidRPr="005C6AAF">
        <w:rPr>
          <w:spacing w:val="-4"/>
          <w:sz w:val="20"/>
        </w:rPr>
        <w:t xml:space="preserve">ABS (Australian Bureau of Statistics) 2019, </w:t>
      </w:r>
      <w:r w:rsidRPr="005C6AAF">
        <w:rPr>
          <w:i/>
          <w:iCs/>
          <w:spacing w:val="-4"/>
          <w:sz w:val="20"/>
        </w:rPr>
        <w:t>Causes of Death, Australia, 2018</w:t>
      </w:r>
      <w:r w:rsidRPr="005C6AAF">
        <w:rPr>
          <w:spacing w:val="-4"/>
          <w:sz w:val="20"/>
        </w:rPr>
        <w:t>, Cat. no. 3303.0, Canberra.</w:t>
      </w:r>
    </w:p>
    <w:p w14:paraId="7A2EB2DA" w14:textId="77777777" w:rsidR="009C6940" w:rsidRPr="005C6AAF" w:rsidRDefault="009C6940" w:rsidP="009C6940">
      <w:pPr>
        <w:pStyle w:val="Reference"/>
        <w:spacing w:before="100" w:line="260" w:lineRule="atLeast"/>
        <w:rPr>
          <w:spacing w:val="-4"/>
          <w:sz w:val="20"/>
        </w:rPr>
      </w:pPr>
      <w:r w:rsidRPr="005C6AAF">
        <w:rPr>
          <w:spacing w:val="-4"/>
          <w:sz w:val="20"/>
        </w:rPr>
        <w:t xml:space="preserve">—— 2020, </w:t>
      </w:r>
      <w:r w:rsidRPr="005C6AAF">
        <w:rPr>
          <w:i/>
          <w:iCs/>
          <w:spacing w:val="-4"/>
          <w:sz w:val="20"/>
        </w:rPr>
        <w:t>Schools Australia, 2019</w:t>
      </w:r>
      <w:r w:rsidRPr="005C6AAF">
        <w:rPr>
          <w:spacing w:val="-4"/>
          <w:sz w:val="20"/>
        </w:rPr>
        <w:t>, Cat. no. 4221.0, Canberra.</w:t>
      </w:r>
    </w:p>
    <w:p w14:paraId="6C906162" w14:textId="77777777" w:rsidR="009C6940" w:rsidRPr="005C6AAF" w:rsidRDefault="009C6940" w:rsidP="009C6940">
      <w:pPr>
        <w:pStyle w:val="Reference"/>
        <w:spacing w:before="100" w:line="260" w:lineRule="atLeast"/>
        <w:rPr>
          <w:spacing w:val="-4"/>
          <w:sz w:val="20"/>
        </w:rPr>
      </w:pPr>
      <w:r w:rsidRPr="005C6AAF">
        <w:rPr>
          <w:spacing w:val="-4"/>
          <w:sz w:val="20"/>
        </w:rPr>
        <w:t xml:space="preserve">AIHW (Australian Institute of Health and Welfare) 2019, </w:t>
      </w:r>
      <w:r w:rsidRPr="005C6AAF">
        <w:rPr>
          <w:i/>
          <w:iCs/>
          <w:spacing w:val="-4"/>
          <w:sz w:val="20"/>
        </w:rPr>
        <w:t>Admitted Patient Care, 2017-18</w:t>
      </w:r>
      <w:r w:rsidRPr="005C6AAF">
        <w:rPr>
          <w:spacing w:val="-4"/>
          <w:sz w:val="20"/>
        </w:rPr>
        <w:t>, Cat. no. HSS 225, Canberra.</w:t>
      </w:r>
    </w:p>
    <w:p w14:paraId="79F4E71B" w14:textId="77777777" w:rsidR="009C6940" w:rsidRPr="005C6AAF" w:rsidRDefault="009C6940" w:rsidP="009C6940">
      <w:pPr>
        <w:pStyle w:val="Reference"/>
        <w:spacing w:before="100" w:line="260" w:lineRule="atLeast"/>
        <w:rPr>
          <w:spacing w:val="-4"/>
          <w:sz w:val="20"/>
        </w:rPr>
      </w:pPr>
      <w:r w:rsidRPr="005C6AAF">
        <w:rPr>
          <w:spacing w:val="-4"/>
          <w:sz w:val="20"/>
        </w:rPr>
        <w:t xml:space="preserve">Aldridge, R.W. 2015, ‘Homelessness and quality adjusted life years: slopes and cliffs in health inequalities a cross-sectional survey.’, </w:t>
      </w:r>
      <w:r w:rsidRPr="005C6AAF">
        <w:rPr>
          <w:i/>
          <w:iCs/>
          <w:spacing w:val="-4"/>
          <w:sz w:val="20"/>
        </w:rPr>
        <w:t>International Journal of Epidemiology</w:t>
      </w:r>
      <w:r w:rsidRPr="005C6AAF">
        <w:rPr>
          <w:spacing w:val="-4"/>
          <w:sz w:val="20"/>
        </w:rPr>
        <w:t>, vol. 44, suppl. 1, pp. i80–i81.</w:t>
      </w:r>
    </w:p>
    <w:p w14:paraId="4352F669" w14:textId="77777777" w:rsidR="009C6940" w:rsidRPr="005C6AAF" w:rsidRDefault="009C6940" w:rsidP="009C6940">
      <w:pPr>
        <w:pStyle w:val="Reference"/>
        <w:spacing w:before="100" w:line="260" w:lineRule="atLeast"/>
        <w:rPr>
          <w:spacing w:val="-4"/>
          <w:sz w:val="20"/>
        </w:rPr>
      </w:pPr>
      <w:r w:rsidRPr="005C6AAF">
        <w:rPr>
          <w:spacing w:val="-4"/>
          <w:sz w:val="20"/>
        </w:rPr>
        <w:t xml:space="preserve">AMHOCN (Australian Mental Health Outcomes and Classification Network) 2019, </w:t>
      </w:r>
      <w:r w:rsidRPr="005C6AAF">
        <w:rPr>
          <w:i/>
          <w:iCs/>
          <w:spacing w:val="-4"/>
          <w:sz w:val="20"/>
        </w:rPr>
        <w:t>NOCC Standard Reports</w:t>
      </w:r>
      <w:r w:rsidRPr="005C6AAF">
        <w:rPr>
          <w:spacing w:val="-4"/>
          <w:sz w:val="20"/>
        </w:rPr>
        <w:t>, https://data.amhocn.org/reports/standard/ (accessed 7 August 2019).</w:t>
      </w:r>
    </w:p>
    <w:p w14:paraId="60C400DF" w14:textId="77777777" w:rsidR="009C6940" w:rsidRPr="005C6AAF" w:rsidRDefault="009C6940" w:rsidP="009C6940">
      <w:pPr>
        <w:pStyle w:val="Reference"/>
        <w:spacing w:before="100" w:line="260" w:lineRule="atLeast"/>
        <w:rPr>
          <w:spacing w:val="-4"/>
          <w:sz w:val="20"/>
        </w:rPr>
      </w:pPr>
      <w:r w:rsidRPr="005C6AAF">
        <w:rPr>
          <w:spacing w:val="-4"/>
          <w:sz w:val="20"/>
        </w:rPr>
        <w:t xml:space="preserve">Andrews, G., Basu, A., Cuijpers, P., Craske, M., McEvoy, P., English, C. and Newby, J. 2018, ‘Computer therapy for the anxiety and depression disorder is effective, acceptable and practical health care: an updated meta-analysis’, </w:t>
      </w:r>
      <w:r w:rsidRPr="005C6AAF">
        <w:rPr>
          <w:i/>
          <w:iCs/>
          <w:spacing w:val="-4"/>
          <w:sz w:val="20"/>
        </w:rPr>
        <w:t>Journal of Anxiety Disorders</w:t>
      </w:r>
      <w:r w:rsidRPr="005C6AAF">
        <w:rPr>
          <w:spacing w:val="-4"/>
          <w:sz w:val="20"/>
        </w:rPr>
        <w:t>, vol. 55, pp. 70–78.</w:t>
      </w:r>
    </w:p>
    <w:p w14:paraId="5A6245F9" w14:textId="77777777" w:rsidR="009C6940" w:rsidRPr="005C6AAF" w:rsidRDefault="009C6940" w:rsidP="009C6940">
      <w:pPr>
        <w:pStyle w:val="Reference"/>
        <w:spacing w:before="100" w:line="260" w:lineRule="atLeast"/>
        <w:rPr>
          <w:spacing w:val="-4"/>
          <w:sz w:val="20"/>
        </w:rPr>
      </w:pPr>
      <w:r w:rsidRPr="005C6AAF">
        <w:rPr>
          <w:spacing w:val="-4"/>
          <w:sz w:val="20"/>
        </w:rPr>
        <w:t xml:space="preserve">Berryhill, M.B., Culmer, N., Williams, N., Halli-Tierney, A., Betancourt, A., Roberts, H. and King, M. 2019, ‘Videoconferencing psychotherapy and depression: a systematic review’, </w:t>
      </w:r>
      <w:r w:rsidRPr="005C6AAF">
        <w:rPr>
          <w:i/>
          <w:iCs/>
          <w:spacing w:val="-4"/>
          <w:sz w:val="20"/>
        </w:rPr>
        <w:t>Telemedicine Journal and E-Health</w:t>
      </w:r>
      <w:r w:rsidRPr="005C6AAF">
        <w:rPr>
          <w:spacing w:val="-4"/>
          <w:sz w:val="20"/>
        </w:rPr>
        <w:t>, vol. 25, no. 6, pp. 435–446.</w:t>
      </w:r>
    </w:p>
    <w:p w14:paraId="07234EEE" w14:textId="77777777" w:rsidR="009C6940" w:rsidRPr="005C6AAF" w:rsidRDefault="009C6940" w:rsidP="009C6940">
      <w:pPr>
        <w:pStyle w:val="Reference"/>
        <w:spacing w:before="100" w:line="260" w:lineRule="atLeast"/>
        <w:rPr>
          <w:spacing w:val="-4"/>
          <w:sz w:val="20"/>
        </w:rPr>
      </w:pPr>
      <w:r w:rsidRPr="005C6AAF">
        <w:rPr>
          <w:spacing w:val="-4"/>
          <w:sz w:val="20"/>
        </w:rPr>
        <w:t xml:space="preserve">Burlingame, G.M., Janis, R.A., Seebeck, J.D. and Whitcomb, K.E. 2016, ‘Outcome differences between individual and group formats when identical and non-identical treatments, patients, and doses are compared: a 25-year meta-analytic perspective’, </w:t>
      </w:r>
      <w:r w:rsidRPr="005C6AAF">
        <w:rPr>
          <w:i/>
          <w:iCs/>
          <w:spacing w:val="-4"/>
          <w:sz w:val="20"/>
        </w:rPr>
        <w:t>Psychotherapy</w:t>
      </w:r>
      <w:r w:rsidRPr="005C6AAF">
        <w:rPr>
          <w:spacing w:val="-4"/>
          <w:sz w:val="20"/>
        </w:rPr>
        <w:t>, vol. 53, no. 4, pp. 446–461.</w:t>
      </w:r>
    </w:p>
    <w:p w14:paraId="7097C265" w14:textId="77777777" w:rsidR="009C6940" w:rsidRPr="005C6AAF" w:rsidRDefault="009C6940" w:rsidP="009C6940">
      <w:pPr>
        <w:pStyle w:val="Reference"/>
        <w:spacing w:before="100" w:line="260" w:lineRule="atLeast"/>
        <w:rPr>
          <w:spacing w:val="-4"/>
          <w:sz w:val="20"/>
        </w:rPr>
      </w:pPr>
      <w:r w:rsidRPr="005C6AAF">
        <w:rPr>
          <w:spacing w:val="-4"/>
          <w:sz w:val="20"/>
        </w:rPr>
        <w:t xml:space="preserve">Burns, T., Catty, J., White, S., Becker, T., Koletsi, M., Fioritti, A., Rössler, W., Tomov, T., van Busschbach, J., Wiersma, D. and Lauber, C. 2009, ‘The impact of supported employment and working on clinical and social functioning: results of an international study of individual placement and support’, </w:t>
      </w:r>
      <w:r w:rsidRPr="005C6AAF">
        <w:rPr>
          <w:i/>
          <w:iCs/>
          <w:spacing w:val="-4"/>
          <w:sz w:val="20"/>
        </w:rPr>
        <w:t>Schizophrenia Bulletin</w:t>
      </w:r>
      <w:r w:rsidRPr="005C6AAF">
        <w:rPr>
          <w:spacing w:val="-4"/>
          <w:sz w:val="20"/>
        </w:rPr>
        <w:t>, vol. 35, no. 5, pp. 949–958.</w:t>
      </w:r>
    </w:p>
    <w:p w14:paraId="090996E7" w14:textId="77777777" w:rsidR="009C6940" w:rsidRPr="005C6AAF" w:rsidRDefault="009C6940" w:rsidP="009C6940">
      <w:pPr>
        <w:pStyle w:val="Reference"/>
        <w:spacing w:before="100" w:line="260" w:lineRule="atLeast"/>
        <w:rPr>
          <w:spacing w:val="-4"/>
          <w:sz w:val="20"/>
        </w:rPr>
      </w:pPr>
      <w:r w:rsidRPr="005C6AAF">
        <w:rPr>
          <w:spacing w:val="-4"/>
          <w:sz w:val="20"/>
        </w:rPr>
        <w:t xml:space="preserve">Claxton, K., Martin, S., Soares, M., Rice, N., Spackman, E., Hinde, S., Devlin, N., Smith, P. and Sculpher, M. 2013, </w:t>
      </w:r>
      <w:r w:rsidRPr="005C6AAF">
        <w:rPr>
          <w:i/>
          <w:iCs/>
          <w:spacing w:val="-4"/>
          <w:sz w:val="20"/>
        </w:rPr>
        <w:t>Methods for the Estimation of the NICE Cost Effectiveness Threshold: Final Report</w:t>
      </w:r>
      <w:r w:rsidRPr="005C6AAF">
        <w:rPr>
          <w:spacing w:val="-4"/>
          <w:sz w:val="20"/>
        </w:rPr>
        <w:t>, University of York, CHE.</w:t>
      </w:r>
    </w:p>
    <w:p w14:paraId="4FEED949" w14:textId="77777777" w:rsidR="009C6940" w:rsidRPr="005C6AAF" w:rsidRDefault="009C6940" w:rsidP="009C6940">
      <w:pPr>
        <w:pStyle w:val="Reference"/>
        <w:spacing w:before="100" w:line="260" w:lineRule="atLeast"/>
        <w:rPr>
          <w:spacing w:val="-4"/>
          <w:sz w:val="20"/>
        </w:rPr>
      </w:pPr>
      <w:r w:rsidRPr="005C6AAF">
        <w:rPr>
          <w:spacing w:val="-4"/>
          <w:sz w:val="20"/>
        </w:rPr>
        <w:t xml:space="preserve">Connelly, L. 2013, </w:t>
      </w:r>
      <w:r w:rsidRPr="005C6AAF">
        <w:rPr>
          <w:i/>
          <w:iCs/>
          <w:spacing w:val="-4"/>
          <w:sz w:val="20"/>
        </w:rPr>
        <w:t>An Economic Evaluation of the Homeless to Home Healthcare After-Hours Service</w:t>
      </w:r>
      <w:r w:rsidRPr="005C6AAF">
        <w:rPr>
          <w:spacing w:val="-4"/>
          <w:sz w:val="20"/>
        </w:rPr>
        <w:t>.</w:t>
      </w:r>
    </w:p>
    <w:p w14:paraId="1912964C" w14:textId="77777777" w:rsidR="009C6940" w:rsidRPr="005C6AAF" w:rsidRDefault="009C6940" w:rsidP="009C6940">
      <w:pPr>
        <w:pStyle w:val="Reference"/>
        <w:spacing w:before="100" w:line="260" w:lineRule="atLeast"/>
        <w:rPr>
          <w:spacing w:val="-4"/>
          <w:sz w:val="20"/>
        </w:rPr>
      </w:pPr>
      <w:r w:rsidRPr="005C6AAF">
        <w:rPr>
          <w:spacing w:val="-4"/>
          <w:sz w:val="20"/>
        </w:rPr>
        <w:t xml:space="preserve">Cuijpers, P., Noma, H., Karyotaki, E., Cipriani, A. and Furukawa, T. 2019, ‘Effectiveness and acceptability of cognitive behavior therapy delivery formats in adults with depression: a network meta-analysis’, </w:t>
      </w:r>
      <w:r w:rsidRPr="005C6AAF">
        <w:rPr>
          <w:i/>
          <w:iCs/>
          <w:spacing w:val="-4"/>
          <w:sz w:val="20"/>
        </w:rPr>
        <w:t>JAMA Psychiatry</w:t>
      </w:r>
      <w:r w:rsidRPr="005C6AAF">
        <w:rPr>
          <w:spacing w:val="-4"/>
          <w:sz w:val="20"/>
        </w:rPr>
        <w:t>, vol. 76, no. 7, pp. 700–707.</w:t>
      </w:r>
    </w:p>
    <w:p w14:paraId="791C8DBD" w14:textId="77777777" w:rsidR="009C6940" w:rsidRPr="005C6AAF" w:rsidRDefault="009C6940" w:rsidP="009C6940">
      <w:pPr>
        <w:pStyle w:val="Reference"/>
        <w:spacing w:before="100" w:line="260" w:lineRule="atLeast"/>
        <w:rPr>
          <w:spacing w:val="-4"/>
          <w:sz w:val="20"/>
        </w:rPr>
      </w:pPr>
      <w:r w:rsidRPr="005C6AAF">
        <w:rPr>
          <w:spacing w:val="-4"/>
          <w:sz w:val="20"/>
        </w:rPr>
        <w:t xml:space="preserve">Drake, R.E., McHugo, G.J., Bebout, R.R., Becker, D.R., Harris, M., Bond, G.R. and Quimby, E. 1999, ‘A randomized clinical trial of supported employment for inner-city patients with severe mental disorders’, </w:t>
      </w:r>
      <w:r w:rsidRPr="005C6AAF">
        <w:rPr>
          <w:i/>
          <w:iCs/>
          <w:spacing w:val="-4"/>
          <w:sz w:val="20"/>
        </w:rPr>
        <w:t>Archives of General Psychiatry</w:t>
      </w:r>
      <w:r w:rsidRPr="005C6AAF">
        <w:rPr>
          <w:spacing w:val="-4"/>
          <w:sz w:val="20"/>
        </w:rPr>
        <w:t>, vol. 56, no. 7, pp. 627–633.</w:t>
      </w:r>
    </w:p>
    <w:p w14:paraId="57768B56" w14:textId="77777777" w:rsidR="009C6940" w:rsidRPr="005C6AAF" w:rsidRDefault="009C6940" w:rsidP="009C6940">
      <w:pPr>
        <w:pStyle w:val="Reference"/>
        <w:spacing w:before="100" w:line="260" w:lineRule="atLeast"/>
        <w:rPr>
          <w:spacing w:val="-4"/>
          <w:sz w:val="20"/>
        </w:rPr>
      </w:pPr>
      <w:r w:rsidRPr="005C6AAF">
        <w:rPr>
          <w:spacing w:val="-4"/>
          <w:sz w:val="20"/>
        </w:rPr>
        <w:t xml:space="preserve">Drummond, M.F., Sculpher, M.J., Claxton, K., Stoddart, G.L. and Torrance, G.W. 2015, </w:t>
      </w:r>
      <w:r w:rsidRPr="005C6AAF">
        <w:rPr>
          <w:i/>
          <w:iCs/>
          <w:spacing w:val="-4"/>
          <w:sz w:val="20"/>
        </w:rPr>
        <w:t>Methods for the Economic Evaluation of Health Care Programmes</w:t>
      </w:r>
      <w:r w:rsidRPr="005C6AAF">
        <w:rPr>
          <w:spacing w:val="-4"/>
          <w:sz w:val="20"/>
        </w:rPr>
        <w:t>, Oxford University Press.</w:t>
      </w:r>
    </w:p>
    <w:p w14:paraId="79CC4FDC" w14:textId="77777777" w:rsidR="009C6940" w:rsidRPr="005C6AAF" w:rsidRDefault="009C6940" w:rsidP="009C6940">
      <w:pPr>
        <w:pStyle w:val="Reference"/>
        <w:spacing w:before="100" w:line="260" w:lineRule="atLeast"/>
        <w:rPr>
          <w:spacing w:val="-4"/>
          <w:sz w:val="20"/>
        </w:rPr>
      </w:pPr>
      <w:r w:rsidRPr="005C6AAF">
        <w:rPr>
          <w:spacing w:val="-4"/>
          <w:sz w:val="20"/>
        </w:rPr>
        <w:t>Edney, L., Afzali, H.H.A., Cheng, T.C. and Karnon, J. 2018, ‘Estimating the reference incremental cost</w:t>
      </w:r>
      <w:r w:rsidRPr="005C6AAF">
        <w:rPr>
          <w:spacing w:val="-4"/>
          <w:sz w:val="20"/>
        </w:rPr>
        <w:noBreakHyphen/>
        <w:t xml:space="preserve">effectiveness ratio for the Australian health system’, </w:t>
      </w:r>
      <w:r w:rsidRPr="005C6AAF">
        <w:rPr>
          <w:i/>
          <w:iCs/>
          <w:spacing w:val="-4"/>
          <w:sz w:val="20"/>
        </w:rPr>
        <w:t>PharmacoEconomics</w:t>
      </w:r>
      <w:r w:rsidRPr="005C6AAF">
        <w:rPr>
          <w:spacing w:val="-4"/>
          <w:sz w:val="20"/>
        </w:rPr>
        <w:t>, vol. 36, pp. 239–252.</w:t>
      </w:r>
    </w:p>
    <w:p w14:paraId="2E20A129" w14:textId="77777777" w:rsidR="009C6940" w:rsidRPr="005C6AAF" w:rsidRDefault="009C6940" w:rsidP="009C6940">
      <w:pPr>
        <w:pStyle w:val="Reference"/>
        <w:spacing w:before="100" w:line="260" w:lineRule="atLeast"/>
        <w:rPr>
          <w:spacing w:val="-4"/>
          <w:sz w:val="20"/>
        </w:rPr>
      </w:pPr>
      <w:r w:rsidRPr="005C6AAF">
        <w:rPr>
          <w:spacing w:val="-4"/>
          <w:sz w:val="20"/>
        </w:rPr>
        <w:t xml:space="preserve">Flatau, P. 2007, </w:t>
      </w:r>
      <w:r w:rsidRPr="005C6AAF">
        <w:rPr>
          <w:i/>
          <w:iCs/>
          <w:spacing w:val="-4"/>
          <w:sz w:val="20"/>
        </w:rPr>
        <w:t>Mental Health Outcomes Among Clients of Homelessness Programs</w:t>
      </w:r>
      <w:r w:rsidRPr="005C6AAF">
        <w:rPr>
          <w:spacing w:val="-4"/>
          <w:sz w:val="20"/>
        </w:rPr>
        <w:t>, Psychiatric Disability Services of Victoria and Council to Homeless Persons, Melbourne.</w:t>
      </w:r>
    </w:p>
    <w:p w14:paraId="34D36DA6" w14:textId="77777777" w:rsidR="009C6940" w:rsidRPr="005C6AAF" w:rsidRDefault="009C6940" w:rsidP="009C6940">
      <w:pPr>
        <w:pStyle w:val="Reference"/>
        <w:spacing w:before="100" w:line="260" w:lineRule="atLeast"/>
        <w:rPr>
          <w:spacing w:val="-4"/>
          <w:sz w:val="20"/>
        </w:rPr>
      </w:pPr>
      <w:r w:rsidRPr="005C6AAF">
        <w:rPr>
          <w:spacing w:val="-4"/>
          <w:sz w:val="20"/>
        </w:rPr>
        <w:t xml:space="preserve">Kinchin, I. and Doran, C.M. 2017, ‘The economic cost of suicide and non-fatal suicide behavior in the Australian workforce and the potential impact of a Workplace Suicide Prevention Strategy’, </w:t>
      </w:r>
      <w:r w:rsidRPr="005C6AAF">
        <w:rPr>
          <w:i/>
          <w:iCs/>
          <w:spacing w:val="-4"/>
          <w:sz w:val="20"/>
        </w:rPr>
        <w:t>International Journal of Environmental Research and Public Health</w:t>
      </w:r>
      <w:r w:rsidRPr="005C6AAF">
        <w:rPr>
          <w:spacing w:val="-4"/>
          <w:sz w:val="20"/>
        </w:rPr>
        <w:t>, vol. 14, no. 4, p. 347.</w:t>
      </w:r>
    </w:p>
    <w:p w14:paraId="2E224549" w14:textId="77777777" w:rsidR="009C6940" w:rsidRPr="005C6AAF" w:rsidRDefault="009C6940" w:rsidP="009C6940">
      <w:pPr>
        <w:pStyle w:val="Reference"/>
        <w:spacing w:before="100" w:line="260" w:lineRule="atLeast"/>
        <w:rPr>
          <w:spacing w:val="-4"/>
          <w:sz w:val="20"/>
        </w:rPr>
      </w:pPr>
      <w:r w:rsidRPr="005C6AAF">
        <w:rPr>
          <w:spacing w:val="-4"/>
          <w:sz w:val="20"/>
        </w:rPr>
        <w:lastRenderedPageBreak/>
        <w:t xml:space="preserve">Krysinska, K., Batterham, P.J., Tye, M., Shand, F., Calear, A.L., Cockayne, N. and Christensen, H. 2016, ‘Best strategies for reducing the suicide rate in Australia’, </w:t>
      </w:r>
      <w:r w:rsidRPr="005C6AAF">
        <w:rPr>
          <w:i/>
          <w:iCs/>
          <w:spacing w:val="-4"/>
          <w:sz w:val="20"/>
        </w:rPr>
        <w:t>Australian and New Zealand Journal of Psychiatry</w:t>
      </w:r>
      <w:r w:rsidRPr="005C6AAF">
        <w:rPr>
          <w:spacing w:val="-4"/>
          <w:sz w:val="20"/>
        </w:rPr>
        <w:t>, vol. 50, no. 2, pp. 115–118.</w:t>
      </w:r>
    </w:p>
    <w:p w14:paraId="73C8BC09" w14:textId="77777777" w:rsidR="009C6940" w:rsidRPr="005C6AAF" w:rsidRDefault="009C6940" w:rsidP="009C6940">
      <w:pPr>
        <w:pStyle w:val="Reference"/>
        <w:spacing w:before="100" w:line="260" w:lineRule="atLeast"/>
        <w:rPr>
          <w:spacing w:val="-4"/>
          <w:sz w:val="20"/>
        </w:rPr>
      </w:pPr>
      <w:r w:rsidRPr="005C6AAF">
        <w:rPr>
          <w:spacing w:val="-4"/>
          <w:sz w:val="20"/>
        </w:rPr>
        <w:t xml:space="preserve">Kukla, M. and Bond, G.R. 2013, ‘A randomized controlled trial of evidence based supported employment: nonvocational outcomes’, </w:t>
      </w:r>
      <w:r w:rsidRPr="005C6AAF">
        <w:rPr>
          <w:i/>
          <w:iCs/>
          <w:spacing w:val="-4"/>
          <w:sz w:val="20"/>
        </w:rPr>
        <w:t>Journal of Vocational Rehabilitation</w:t>
      </w:r>
      <w:r w:rsidRPr="005C6AAF">
        <w:rPr>
          <w:spacing w:val="-4"/>
          <w:sz w:val="20"/>
        </w:rPr>
        <w:t>, vol. 38, pp. 91–98.</w:t>
      </w:r>
    </w:p>
    <w:p w14:paraId="76E2A026" w14:textId="77777777" w:rsidR="009C6940" w:rsidRPr="005C6AAF" w:rsidRDefault="009C6940" w:rsidP="009C6940">
      <w:pPr>
        <w:pStyle w:val="Reference"/>
        <w:spacing w:before="100" w:line="260" w:lineRule="atLeast"/>
        <w:rPr>
          <w:spacing w:val="-4"/>
          <w:sz w:val="20"/>
        </w:rPr>
      </w:pPr>
      <w:r w:rsidRPr="005C6AAF">
        <w:rPr>
          <w:spacing w:val="-4"/>
          <w:sz w:val="20"/>
        </w:rPr>
        <w:t xml:space="preserve">Lambert, M.J., Hansen, N.B. and Finch, A.E. 2001, ‘Patient-focused research: Using patient outcome data to enhance treatment effects’, </w:t>
      </w:r>
      <w:r w:rsidRPr="005C6AAF">
        <w:rPr>
          <w:i/>
          <w:iCs/>
          <w:spacing w:val="-4"/>
          <w:sz w:val="20"/>
        </w:rPr>
        <w:t>Journal of Consulting and Clinical Psychology</w:t>
      </w:r>
      <w:r w:rsidRPr="005C6AAF">
        <w:rPr>
          <w:spacing w:val="-4"/>
          <w:sz w:val="20"/>
        </w:rPr>
        <w:t>, vol. 69, no. 2, pp. 159–172.</w:t>
      </w:r>
    </w:p>
    <w:p w14:paraId="6F26CDCF" w14:textId="77777777" w:rsidR="009C6940" w:rsidRPr="005C6AAF" w:rsidRDefault="009C6940" w:rsidP="009C6940">
      <w:pPr>
        <w:pStyle w:val="Reference"/>
        <w:spacing w:before="100" w:line="260" w:lineRule="atLeast"/>
        <w:rPr>
          <w:spacing w:val="-4"/>
          <w:sz w:val="20"/>
        </w:rPr>
      </w:pPr>
      <w:r w:rsidRPr="005C6AAF">
        <w:rPr>
          <w:spacing w:val="-4"/>
          <w:sz w:val="20"/>
        </w:rPr>
        <w:t xml:space="preserve">Martin, A., Sanderson, K. and Cocker, F. 2009, ‘Meta-analysis of the effects of health promotion intervention in the workplace on depression and anxiety symptoms’, </w:t>
      </w:r>
      <w:r w:rsidRPr="005C6AAF">
        <w:rPr>
          <w:i/>
          <w:iCs/>
          <w:spacing w:val="-4"/>
          <w:sz w:val="20"/>
        </w:rPr>
        <w:t>Scandinavian Journal of Work, Environment and Health</w:t>
      </w:r>
      <w:r w:rsidRPr="005C6AAF">
        <w:rPr>
          <w:spacing w:val="-4"/>
          <w:sz w:val="20"/>
        </w:rPr>
        <w:t>, vol. 35, no. 1, pp. 7–18.</w:t>
      </w:r>
    </w:p>
    <w:p w14:paraId="3EB26FB7" w14:textId="77777777" w:rsidR="009C6940" w:rsidRPr="005C6AAF" w:rsidRDefault="009C6940" w:rsidP="009C6940">
      <w:pPr>
        <w:pStyle w:val="Reference"/>
        <w:spacing w:before="100" w:line="260" w:lineRule="atLeast"/>
        <w:rPr>
          <w:spacing w:val="-4"/>
          <w:sz w:val="20"/>
        </w:rPr>
      </w:pPr>
      <w:r w:rsidRPr="005C6AAF">
        <w:rPr>
          <w:spacing w:val="-4"/>
          <w:sz w:val="20"/>
        </w:rPr>
        <w:t xml:space="preserve">Michon, H., van Vugt, M.D., van Busschbach, J., Stant, A.D. and van Weeghel, J. 2014, ‘Effectiveness of individual placement and support for people with severe mental illness in the Netherlands: a 30-month randomised controlled trial’, </w:t>
      </w:r>
      <w:r w:rsidRPr="005C6AAF">
        <w:rPr>
          <w:i/>
          <w:iCs/>
          <w:spacing w:val="-4"/>
          <w:sz w:val="20"/>
        </w:rPr>
        <w:t>Psychiatric Rehabilitation Journal</w:t>
      </w:r>
      <w:r w:rsidRPr="005C6AAF">
        <w:rPr>
          <w:spacing w:val="-4"/>
          <w:sz w:val="20"/>
        </w:rPr>
        <w:t>, vol. 37, no. 2, pp. 129–136.</w:t>
      </w:r>
    </w:p>
    <w:p w14:paraId="5E74A083" w14:textId="77777777" w:rsidR="009C6940" w:rsidRPr="005C6AAF" w:rsidRDefault="009C6940" w:rsidP="009C6940">
      <w:pPr>
        <w:pStyle w:val="Reference"/>
        <w:spacing w:before="100" w:line="260" w:lineRule="atLeast"/>
        <w:rPr>
          <w:spacing w:val="-4"/>
          <w:sz w:val="20"/>
        </w:rPr>
      </w:pPr>
      <w:r w:rsidRPr="005C6AAF">
        <w:rPr>
          <w:spacing w:val="-4"/>
          <w:sz w:val="20"/>
        </w:rPr>
        <w:t xml:space="preserve">Mihalopoulos, C., Vos, T., Pirkis, J. and Carter, R. 2012, ‘The population cost-effectiveness of interventions designed to prevent childhood depression’, </w:t>
      </w:r>
      <w:r w:rsidRPr="005C6AAF">
        <w:rPr>
          <w:i/>
          <w:iCs/>
          <w:spacing w:val="-4"/>
          <w:sz w:val="20"/>
        </w:rPr>
        <w:t>Pediatrics</w:t>
      </w:r>
      <w:r w:rsidRPr="005C6AAF">
        <w:rPr>
          <w:spacing w:val="-4"/>
          <w:sz w:val="20"/>
        </w:rPr>
        <w:t>, vol. 129, no. 3, pp. e723–e730.</w:t>
      </w:r>
    </w:p>
    <w:p w14:paraId="3B3EA40C" w14:textId="77777777" w:rsidR="009C6940" w:rsidRPr="005C6AAF" w:rsidRDefault="009C6940" w:rsidP="009C6940">
      <w:pPr>
        <w:pStyle w:val="Reference"/>
        <w:spacing w:before="100" w:line="260" w:lineRule="atLeast"/>
        <w:rPr>
          <w:spacing w:val="-4"/>
          <w:sz w:val="20"/>
        </w:rPr>
      </w:pPr>
      <w:r w:rsidRPr="005C6AAF">
        <w:rPr>
          <w:spacing w:val="-4"/>
          <w:sz w:val="20"/>
        </w:rPr>
        <w:t xml:space="preserve">——, ——, ——, Smit, F. and Carter, R. 2011, ‘Do indicated preventive interventions for depression represent good value for money?’, </w:t>
      </w:r>
      <w:r w:rsidRPr="005C6AAF">
        <w:rPr>
          <w:i/>
          <w:iCs/>
          <w:spacing w:val="-4"/>
          <w:sz w:val="20"/>
        </w:rPr>
        <w:t>Australian and New Zealand Journal of Psychiatry</w:t>
      </w:r>
      <w:r w:rsidRPr="005C6AAF">
        <w:rPr>
          <w:spacing w:val="-4"/>
          <w:sz w:val="20"/>
        </w:rPr>
        <w:t>, vol. 45, no. 1, pp. 36–44.</w:t>
      </w:r>
    </w:p>
    <w:p w14:paraId="6D282DC2" w14:textId="77777777" w:rsidR="009C6940" w:rsidRPr="005C6AAF" w:rsidRDefault="009C6940" w:rsidP="009C6940">
      <w:pPr>
        <w:pStyle w:val="Reference"/>
        <w:spacing w:before="100" w:line="260" w:lineRule="atLeast"/>
        <w:rPr>
          <w:spacing w:val="-4"/>
          <w:sz w:val="20"/>
        </w:rPr>
      </w:pPr>
      <w:r w:rsidRPr="005C6AAF">
        <w:rPr>
          <w:spacing w:val="-4"/>
          <w:sz w:val="20"/>
        </w:rPr>
        <w:t xml:space="preserve">Muir, S., Meyer, D. and Thomas, N. 2016, </w:t>
      </w:r>
      <w:r w:rsidRPr="005C6AAF">
        <w:rPr>
          <w:i/>
          <w:iCs/>
          <w:spacing w:val="-4"/>
          <w:sz w:val="20"/>
        </w:rPr>
        <w:t>Evaluation of Outcomes for Wellways Australia: Recovery Star and Camberwell Assessment of Needs Data Analysis</w:t>
      </w:r>
      <w:r w:rsidRPr="005C6AAF">
        <w:rPr>
          <w:spacing w:val="-4"/>
          <w:sz w:val="20"/>
        </w:rPr>
        <w:t>.</w:t>
      </w:r>
    </w:p>
    <w:p w14:paraId="39705DAB" w14:textId="77777777" w:rsidR="009C6940" w:rsidRPr="005C6AAF" w:rsidRDefault="009C6940" w:rsidP="009C6940">
      <w:pPr>
        <w:pStyle w:val="Reference"/>
        <w:spacing w:before="100" w:line="260" w:lineRule="atLeast"/>
        <w:rPr>
          <w:spacing w:val="-4"/>
          <w:sz w:val="20"/>
        </w:rPr>
      </w:pPr>
      <w:r w:rsidRPr="005C6AAF">
        <w:rPr>
          <w:spacing w:val="-4"/>
          <w:sz w:val="20"/>
        </w:rPr>
        <w:t xml:space="preserve">Norman, R., Viney, R., Brazier, J., Burgess, L., Cronin, P., King, M., Ratcliffe, J. and Street, D. 2014, ‘Valuing SF-6D Health States using a discrete choice experiment’, </w:t>
      </w:r>
      <w:r w:rsidRPr="005C6AAF">
        <w:rPr>
          <w:i/>
          <w:iCs/>
          <w:spacing w:val="-4"/>
          <w:sz w:val="20"/>
        </w:rPr>
        <w:t>Medical Decision Making</w:t>
      </w:r>
      <w:r w:rsidRPr="005C6AAF">
        <w:rPr>
          <w:spacing w:val="-4"/>
          <w:sz w:val="20"/>
        </w:rPr>
        <w:t>, vol. 34, no. 6, pp. 773–786.</w:t>
      </w:r>
    </w:p>
    <w:p w14:paraId="26C63C12" w14:textId="77777777" w:rsidR="009C6940" w:rsidRPr="005C6AAF" w:rsidRDefault="009C6940" w:rsidP="009C6940">
      <w:pPr>
        <w:pStyle w:val="Reference"/>
        <w:spacing w:before="100" w:line="260" w:lineRule="atLeast"/>
        <w:rPr>
          <w:spacing w:val="-4"/>
          <w:sz w:val="20"/>
        </w:rPr>
      </w:pPr>
      <w:r w:rsidRPr="005C6AAF">
        <w:rPr>
          <w:spacing w:val="-4"/>
          <w:sz w:val="20"/>
        </w:rPr>
        <w:t xml:space="preserve">Pharoah, F., Mari, J.J., Rathbone, J. and Wong, W. 2010, ‘Family intervention for schizophrenia’, </w:t>
      </w:r>
      <w:r w:rsidRPr="005C6AAF">
        <w:rPr>
          <w:i/>
          <w:iCs/>
          <w:spacing w:val="-4"/>
          <w:sz w:val="20"/>
        </w:rPr>
        <w:t>Cochrane Database of Systematic Reviews</w:t>
      </w:r>
      <w:r w:rsidRPr="005C6AAF">
        <w:rPr>
          <w:spacing w:val="-4"/>
          <w:sz w:val="20"/>
        </w:rPr>
        <w:t>, no. 12, Art. CD000088.</w:t>
      </w:r>
    </w:p>
    <w:p w14:paraId="1DFB34F0" w14:textId="77777777" w:rsidR="009C6940" w:rsidRPr="005C6AAF" w:rsidRDefault="009C6940" w:rsidP="009C6940">
      <w:pPr>
        <w:pStyle w:val="Reference"/>
        <w:spacing w:before="100" w:line="260" w:lineRule="atLeast"/>
        <w:rPr>
          <w:spacing w:val="-4"/>
          <w:sz w:val="20"/>
        </w:rPr>
      </w:pPr>
      <w:r w:rsidRPr="005C6AAF">
        <w:rPr>
          <w:spacing w:val="-4"/>
          <w:sz w:val="20"/>
        </w:rPr>
        <w:t xml:space="preserve">Rapee, R.M., Kennedy, S., Ingram, M., Edwards, S. and Sweeney, L. 2005, ‘Prevention and early intervention of anxiety disorders in inhibited preschool children.’, </w:t>
      </w:r>
      <w:r w:rsidRPr="005C6AAF">
        <w:rPr>
          <w:i/>
          <w:iCs/>
          <w:spacing w:val="-4"/>
          <w:sz w:val="20"/>
        </w:rPr>
        <w:t>Journal of Consulting and Clinical Psychology</w:t>
      </w:r>
      <w:r w:rsidRPr="005C6AAF">
        <w:rPr>
          <w:spacing w:val="-4"/>
          <w:sz w:val="20"/>
        </w:rPr>
        <w:t>, vol. 73, no. 3, p. 488.</w:t>
      </w:r>
    </w:p>
    <w:p w14:paraId="492AB015" w14:textId="77777777" w:rsidR="009C6940" w:rsidRPr="005C6AAF" w:rsidRDefault="009C6940" w:rsidP="009C6940">
      <w:pPr>
        <w:pStyle w:val="Reference"/>
        <w:spacing w:before="100" w:line="260" w:lineRule="atLeast"/>
        <w:rPr>
          <w:spacing w:val="-4"/>
          <w:sz w:val="20"/>
        </w:rPr>
      </w:pPr>
      <w:r w:rsidRPr="005C6AAF">
        <w:rPr>
          <w:spacing w:val="-4"/>
          <w:sz w:val="20"/>
        </w:rPr>
        <w:t xml:space="preserve">Sampson, A. 2015, </w:t>
      </w:r>
      <w:r w:rsidRPr="005C6AAF">
        <w:rPr>
          <w:i/>
          <w:iCs/>
          <w:spacing w:val="-4"/>
          <w:sz w:val="20"/>
        </w:rPr>
        <w:t>Interventions to Improve Return to Work Outcomes in Individuals with Mental Health Conditions</w:t>
      </w:r>
      <w:r w:rsidRPr="005C6AAF">
        <w:rPr>
          <w:spacing w:val="-4"/>
          <w:sz w:val="20"/>
        </w:rPr>
        <w:t>, Research Report, June, 152-0615-R01.</w:t>
      </w:r>
    </w:p>
    <w:p w14:paraId="05B1E7C1" w14:textId="77777777" w:rsidR="009C6940" w:rsidRPr="005C6AAF" w:rsidRDefault="009C6940" w:rsidP="009C6940">
      <w:pPr>
        <w:pStyle w:val="Reference"/>
        <w:spacing w:before="100" w:line="260" w:lineRule="atLeast"/>
        <w:rPr>
          <w:spacing w:val="-4"/>
          <w:sz w:val="20"/>
        </w:rPr>
      </w:pPr>
      <w:r w:rsidRPr="005C6AAF">
        <w:rPr>
          <w:spacing w:val="-4"/>
          <w:sz w:val="20"/>
        </w:rPr>
        <w:t xml:space="preserve">Sklad, M., Diekstra, R., De Ritter, M., Ben, J. and Gravesteijn, C. 2012, ‘Effectiveness of school‐based universal social, emotional, and behavioral programs: Do they enhance students’ development in the area of skill, behavior, and adjustment?’, </w:t>
      </w:r>
      <w:r w:rsidRPr="005C6AAF">
        <w:rPr>
          <w:i/>
          <w:iCs/>
          <w:spacing w:val="-4"/>
          <w:sz w:val="20"/>
        </w:rPr>
        <w:t>Psychology in the Schools</w:t>
      </w:r>
      <w:r w:rsidRPr="005C6AAF">
        <w:rPr>
          <w:spacing w:val="-4"/>
          <w:sz w:val="20"/>
        </w:rPr>
        <w:t>, vol. 49, no. 9, pp. 892–909.</w:t>
      </w:r>
    </w:p>
    <w:p w14:paraId="15148D97" w14:textId="77777777" w:rsidR="009C6940" w:rsidRPr="005C6AAF" w:rsidRDefault="009C6940" w:rsidP="009C6940">
      <w:pPr>
        <w:pStyle w:val="Reference"/>
        <w:spacing w:before="100" w:line="260" w:lineRule="atLeast"/>
        <w:rPr>
          <w:spacing w:val="-4"/>
          <w:sz w:val="20"/>
        </w:rPr>
      </w:pPr>
      <w:r w:rsidRPr="005C6AAF">
        <w:rPr>
          <w:spacing w:val="-4"/>
          <w:sz w:val="20"/>
        </w:rPr>
        <w:t xml:space="preserve">Solantaus, T., Paavonen, J.E., Toikka, S. and Punamäki, R.-L. 2010, ‘Preventive interventions in families with parental depression: children’s psychosocial symptoms and prosocial behaviour’, </w:t>
      </w:r>
      <w:r w:rsidRPr="005C6AAF">
        <w:rPr>
          <w:i/>
          <w:iCs/>
          <w:spacing w:val="-4"/>
          <w:sz w:val="20"/>
        </w:rPr>
        <w:t>European Child and Adolescent Psychiatry</w:t>
      </w:r>
      <w:r w:rsidRPr="005C6AAF">
        <w:rPr>
          <w:spacing w:val="-4"/>
          <w:sz w:val="20"/>
        </w:rPr>
        <w:t>, vol. 19, pp. 883–892.</w:t>
      </w:r>
    </w:p>
    <w:p w14:paraId="50888F5B" w14:textId="77777777" w:rsidR="009C6940" w:rsidRPr="005C6AAF" w:rsidRDefault="009C6940" w:rsidP="009C6940">
      <w:pPr>
        <w:pStyle w:val="Reference"/>
        <w:spacing w:before="100" w:line="260" w:lineRule="atLeast"/>
        <w:rPr>
          <w:spacing w:val="-4"/>
          <w:sz w:val="20"/>
        </w:rPr>
      </w:pPr>
      <w:r w:rsidRPr="005C6AAF">
        <w:rPr>
          <w:spacing w:val="-4"/>
          <w:sz w:val="20"/>
        </w:rPr>
        <w:t>Stratton, E., Lampit, A., Choi, I., Calvo, R.A., Harvey, S.B. and Glozier, N. 2017, ‘Effectiveness of eHealth interventions for reducing mental health conditions in employees: A systematic review and meta</w:t>
      </w:r>
      <w:r w:rsidRPr="005C6AAF">
        <w:rPr>
          <w:spacing w:val="-4"/>
          <w:sz w:val="20"/>
        </w:rPr>
        <w:noBreakHyphen/>
        <w:t xml:space="preserve">analysis’, </w:t>
      </w:r>
      <w:r w:rsidRPr="005C6AAF">
        <w:rPr>
          <w:i/>
          <w:iCs/>
          <w:spacing w:val="-4"/>
          <w:sz w:val="20"/>
        </w:rPr>
        <w:t>PLoS One</w:t>
      </w:r>
      <w:r w:rsidRPr="005C6AAF">
        <w:rPr>
          <w:spacing w:val="-4"/>
          <w:sz w:val="20"/>
        </w:rPr>
        <w:t>, vol. 12, no. 12, p. e0189904.</w:t>
      </w:r>
    </w:p>
    <w:p w14:paraId="21F06410" w14:textId="77777777" w:rsidR="009C6940" w:rsidRPr="005C6AAF" w:rsidRDefault="009C6940" w:rsidP="009C6940">
      <w:pPr>
        <w:pStyle w:val="Reference"/>
        <w:spacing w:before="100" w:line="260" w:lineRule="atLeast"/>
        <w:rPr>
          <w:spacing w:val="-4"/>
          <w:sz w:val="20"/>
        </w:rPr>
      </w:pPr>
      <w:r w:rsidRPr="005C6AAF">
        <w:rPr>
          <w:spacing w:val="-4"/>
          <w:sz w:val="20"/>
        </w:rPr>
        <w:t xml:space="preserve">Vos, T., Carter, R., Barendregt, J., Mihalopoulos, C., Veerman, J.L., Magnus, A., Cobiac, L., Bertram, M.Y. and Wallace, A.L. 2010, </w:t>
      </w:r>
      <w:r w:rsidRPr="005C6AAF">
        <w:rPr>
          <w:i/>
          <w:iCs/>
          <w:spacing w:val="-4"/>
          <w:sz w:val="20"/>
        </w:rPr>
        <w:t>Assessing Cost-Effectiveness in Prevention (ACE-Prevention): Final Report</w:t>
      </w:r>
      <w:r w:rsidRPr="005C6AAF">
        <w:rPr>
          <w:spacing w:val="-4"/>
          <w:sz w:val="20"/>
        </w:rPr>
        <w:t>.</w:t>
      </w:r>
    </w:p>
    <w:p w14:paraId="1E3B70AA" w14:textId="77777777" w:rsidR="009C6940" w:rsidRPr="005C6AAF" w:rsidRDefault="009C6940" w:rsidP="009C6940">
      <w:pPr>
        <w:pStyle w:val="Reference"/>
        <w:spacing w:before="100" w:line="260" w:lineRule="atLeast"/>
        <w:rPr>
          <w:spacing w:val="-4"/>
          <w:sz w:val="20"/>
        </w:rPr>
      </w:pPr>
      <w:r w:rsidRPr="005C6AAF">
        <w:rPr>
          <w:spacing w:val="-4"/>
          <w:sz w:val="20"/>
        </w:rPr>
        <w:t xml:space="preserve">Waghorn, G., Dias, S., Gladman, B., Harris, M. and Saha, S. 2014, ‘A multi-site randomised controlled trial of evidence-based supported employment for adults with severe and persistent mental illness’, </w:t>
      </w:r>
      <w:r w:rsidRPr="005C6AAF">
        <w:rPr>
          <w:i/>
          <w:iCs/>
          <w:spacing w:val="-4"/>
          <w:sz w:val="20"/>
        </w:rPr>
        <w:t>Australian Occupational Therapy Journal</w:t>
      </w:r>
      <w:r w:rsidRPr="005C6AAF">
        <w:rPr>
          <w:spacing w:val="-4"/>
          <w:sz w:val="20"/>
        </w:rPr>
        <w:t>, vol. 61, no. 6, pp. 424–436.</w:t>
      </w:r>
    </w:p>
    <w:p w14:paraId="695DDBBC" w14:textId="77777777" w:rsidR="009C6940" w:rsidRPr="005C6AAF" w:rsidRDefault="009C6940" w:rsidP="009C6940">
      <w:pPr>
        <w:pStyle w:val="Reference"/>
        <w:spacing w:before="100" w:line="260" w:lineRule="atLeast"/>
        <w:rPr>
          <w:spacing w:val="-4"/>
          <w:sz w:val="20"/>
        </w:rPr>
      </w:pPr>
      <w:r w:rsidRPr="005C6AAF">
        <w:rPr>
          <w:spacing w:val="-4"/>
          <w:sz w:val="20"/>
        </w:rPr>
        <w:t xml:space="preserve">Whitehead, S.J. and Ali, S. 2010, ‘Health outcomes in economic evaluation: the QALY and utilities’, </w:t>
      </w:r>
      <w:r w:rsidRPr="005C6AAF">
        <w:rPr>
          <w:i/>
          <w:iCs/>
          <w:spacing w:val="-4"/>
          <w:sz w:val="20"/>
        </w:rPr>
        <w:t>British Medical Bulletin</w:t>
      </w:r>
      <w:r w:rsidRPr="005C6AAF">
        <w:rPr>
          <w:spacing w:val="-4"/>
          <w:sz w:val="20"/>
        </w:rPr>
        <w:t xml:space="preserve">, vol. 96, no. 1, pp. 5–21. </w:t>
      </w:r>
    </w:p>
    <w:p w14:paraId="50C39B0E" w14:textId="77777777" w:rsidR="009C6940" w:rsidRDefault="009C6940" w:rsidP="009C6940">
      <w:pPr>
        <w:sectPr w:rsidR="009C6940" w:rsidSect="009C6940">
          <w:headerReference w:type="even" r:id="rId88"/>
          <w:headerReference w:type="default" r:id="rId89"/>
          <w:footerReference w:type="even" r:id="rId90"/>
          <w:footerReference w:type="default" r:id="rId91"/>
          <w:type w:val="oddPage"/>
          <w:pgSz w:w="11907" w:h="16840" w:code="9"/>
          <w:pgMar w:top="1985" w:right="1304" w:bottom="1247" w:left="1814" w:header="1701" w:footer="397" w:gutter="0"/>
          <w:pgNumType w:chapSep="period"/>
          <w:cols w:space="720"/>
          <w:docGrid w:linePitch="326"/>
        </w:sectPr>
      </w:pPr>
    </w:p>
    <w:p w14:paraId="7B20472B" w14:textId="77777777" w:rsidR="009C6940" w:rsidRDefault="009C6940" w:rsidP="0085206F">
      <w:pPr>
        <w:pStyle w:val="Heading1"/>
      </w:pPr>
      <w:r>
        <w:lastRenderedPageBreak/>
        <w:t>J</w:t>
      </w:r>
      <w:r>
        <w:tab/>
        <w:t>Mental health, labour market outcomes and health-related quality of life</w:t>
      </w:r>
    </w:p>
    <w:p w14:paraId="205729B8" w14:textId="77777777" w:rsidR="009C6940" w:rsidRDefault="009C6940" w:rsidP="009C6940">
      <w:pPr>
        <w:pStyle w:val="BodyText"/>
      </w:pPr>
      <w:r>
        <w:t>Mental health is an important aspect of an individual’s ‘human capital’ — the individual attributes</w:t>
      </w:r>
      <w:r>
        <w:rPr>
          <w:b/>
        </w:rPr>
        <w:t xml:space="preserve"> </w:t>
      </w:r>
      <w:r>
        <w:t xml:space="preserve">such as knowledge and skills that affect people’s productivity, and the wages they earn if they are employed. For people already employed, improvements in mental health would be expected to result in higher wages. For people who are unemployed or not in the labour force, improvements in mental health are expected to increase the probability of gaining employment, as well as their income if they find employment. </w:t>
      </w:r>
    </w:p>
    <w:p w14:paraId="4AE83D4D" w14:textId="77777777" w:rsidR="009C6940" w:rsidRDefault="009C6940" w:rsidP="009C6940">
      <w:pPr>
        <w:pStyle w:val="BodyText"/>
      </w:pPr>
      <w:r>
        <w:t>Individuals are also likely to experience an improvement in their health</w:t>
      </w:r>
      <w:r>
        <w:noBreakHyphen/>
        <w:t>related quality of life as their mental health improves. The Productivity Commission has estimated how improvements in mental health are likely to increase the quality of life across the population expected to benefit from its recommendations and actions. These improvements in quality of life are measured in ‘q</w:t>
      </w:r>
      <w:r w:rsidRPr="00095B2A">
        <w:t>uality</w:t>
      </w:r>
      <w:r>
        <w:noBreakHyphen/>
      </w:r>
      <w:r w:rsidRPr="00095B2A">
        <w:t xml:space="preserve">adjusted </w:t>
      </w:r>
      <w:r>
        <w:t>l</w:t>
      </w:r>
      <w:r w:rsidRPr="00095B2A">
        <w:t xml:space="preserve">ife </w:t>
      </w:r>
      <w:r>
        <w:t>y</w:t>
      </w:r>
      <w:r w:rsidRPr="00095B2A">
        <w:t>ear</w:t>
      </w:r>
      <w:r>
        <w:t>s’ (QALYs).</w:t>
      </w:r>
    </w:p>
    <w:p w14:paraId="4A849B6C" w14:textId="77777777" w:rsidR="009C6940" w:rsidRDefault="009C6940" w:rsidP="009C6940">
      <w:pPr>
        <w:pStyle w:val="BodyText"/>
      </w:pPr>
      <w:r>
        <w:t>This appendix outlines how the relationship between mental health, and labour market outcomes and health</w:t>
      </w:r>
      <w:r>
        <w:noBreakHyphen/>
        <w:t>related quality of life is quantified (sections J.1 and J.2). Results of this model are briefly presented in section J.3. The way in which the results of this estimation are used to calculate the potential benefits that may result from improved mental health is outlined in section J.4.</w:t>
      </w:r>
    </w:p>
    <w:p w14:paraId="5C4B6004" w14:textId="77777777" w:rsidR="009C6940" w:rsidRDefault="00AB0E42" w:rsidP="009C6940">
      <w:pPr>
        <w:pStyle w:val="Heading2"/>
        <w:spacing w:before="480"/>
      </w:pPr>
      <w:fldSimple w:instr=" COMMENTS  \* MERGEFORMAT " w:fldLock="1">
        <w:r w:rsidR="009C6940">
          <w:t>J.</w:t>
        </w:r>
      </w:fldSimple>
      <w:r w:rsidR="009C6940">
        <w:rPr>
          <w:noProof/>
        </w:rPr>
        <w:fldChar w:fldCharType="begin" w:fldLock="1"/>
      </w:r>
      <w:r w:rsidR="009C6940">
        <w:rPr>
          <w:noProof/>
        </w:rPr>
        <w:instrText xml:space="preserve"> SEQ Heading2 </w:instrText>
      </w:r>
      <w:r w:rsidR="009C6940">
        <w:rPr>
          <w:noProof/>
        </w:rPr>
        <w:fldChar w:fldCharType="separate"/>
      </w:r>
      <w:r w:rsidR="009C6940">
        <w:rPr>
          <w:noProof/>
        </w:rPr>
        <w:t>1</w:t>
      </w:r>
      <w:r w:rsidR="009C6940">
        <w:rPr>
          <w:noProof/>
        </w:rPr>
        <w:fldChar w:fldCharType="end"/>
      </w:r>
      <w:r w:rsidR="009C6940">
        <w:tab/>
        <w:t>Estimating the effect of mental health on employment and wages</w:t>
      </w:r>
    </w:p>
    <w:p w14:paraId="52AF54DD" w14:textId="77777777" w:rsidR="009C6940" w:rsidRDefault="009C6940" w:rsidP="009C6940">
      <w:pPr>
        <w:pStyle w:val="BodyText"/>
      </w:pPr>
      <w:r>
        <w:t xml:space="preserve">Mental health is associated with labour market outcomes such as employment and wages </w:t>
      </w:r>
      <w:r w:rsidRPr="00397BF5">
        <w:rPr>
          <w:szCs w:val="24"/>
        </w:rPr>
        <w:t>(Forbes, Barker and Turner 2010)</w:t>
      </w:r>
      <w:r>
        <w:t>. People with mental ill</w:t>
      </w:r>
      <w:r>
        <w:noBreakHyphen/>
        <w:t>health are less likely to be employed, and if they are employed they are likely to earn less (figure J.1). For example, depression can lead to absenteeism and</w:t>
      </w:r>
      <w:r w:rsidDel="00C34370">
        <w:t xml:space="preserve"> </w:t>
      </w:r>
      <w:r>
        <w:t xml:space="preserve">lower productivity </w:t>
      </w:r>
      <w:r w:rsidRPr="000011C0">
        <w:rPr>
          <w:szCs w:val="24"/>
        </w:rPr>
        <w:t>(Waghorn and Lloyd 2005)</w:t>
      </w:r>
      <w:r>
        <w:t>, and prolonged absenteeism can lead to a complete withdrawal from the labour market The stigma associated with mental illness may also mean that employers do not hire someone with mental illness.</w:t>
      </w:r>
    </w:p>
    <w:p w14:paraId="2B579334" w14:textId="77777777" w:rsidR="009C6940" w:rsidRDefault="009C6940" w:rsidP="009C6940">
      <w:pPr>
        <w:pStyle w:val="BodyText"/>
      </w:pPr>
      <w:r>
        <w:t xml:space="preserve">Frijters et al. </w:t>
      </w:r>
      <w:r w:rsidRPr="000011C0">
        <w:t>(2014)</w:t>
      </w:r>
      <w:r>
        <w:t xml:space="preserve"> provided examples of studies that have attempted to establish causal relationships between mental health and employment </w:t>
      </w:r>
      <w:r w:rsidRPr="00CA05AF">
        <w:rPr>
          <w:szCs w:val="24"/>
        </w:rPr>
        <w:t>(Alexandre and French 2001; Chatterji et al. 2007; Ettner, Frank and Kessler 1997)</w:t>
      </w:r>
      <w:r>
        <w:t>. These studies</w:t>
      </w:r>
      <w:r w:rsidDel="00C34370">
        <w:t xml:space="preserve"> </w:t>
      </w:r>
      <w:r>
        <w:t xml:space="preserve">found that diagnoses of </w:t>
      </w:r>
      <w:r>
        <w:lastRenderedPageBreak/>
        <w:t>psychiatric disorders and depression can reduce the probability of employment by 13–26% across different cohorts.</w:t>
      </w:r>
    </w:p>
    <w:p w14:paraId="59B7017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E0C26AD" w14:textId="77777777" w:rsidTr="009C6940">
        <w:trPr>
          <w:tblHeader/>
        </w:trPr>
        <w:tc>
          <w:tcPr>
            <w:tcW w:w="5000" w:type="pct"/>
            <w:tcBorders>
              <w:top w:val="single" w:sz="6" w:space="0" w:color="78A22F"/>
              <w:left w:val="nil"/>
              <w:bottom w:val="nil"/>
              <w:right w:val="nil"/>
            </w:tcBorders>
            <w:shd w:val="clear" w:color="auto" w:fill="auto"/>
          </w:tcPr>
          <w:p w14:paraId="5CC00852" w14:textId="77777777" w:rsidR="009C6940" w:rsidRPr="00474A85" w:rsidRDefault="009C6940" w:rsidP="009C6940">
            <w:pPr>
              <w:pStyle w:val="FigureTitle"/>
              <w:rPr>
                <w:vertAlign w:val="superscript"/>
              </w:rPr>
            </w:pPr>
            <w:r w:rsidRPr="00784A05">
              <w:rPr>
                <w:b w:val="0"/>
              </w:rPr>
              <w:t xml:space="preserve">Figure </w:t>
            </w:r>
            <w:r>
              <w:rPr>
                <w:b w:val="0"/>
              </w:rPr>
              <w:t>J.1</w:t>
            </w:r>
            <w:r>
              <w:tab/>
              <w:t>People with mental ill</w:t>
            </w:r>
            <w:r>
              <w:noBreakHyphen/>
              <w:t>health are more likely to be unemployed or not in the labour force</w:t>
            </w:r>
            <w:r w:rsidRPr="00C72FB9">
              <w:rPr>
                <w:rStyle w:val="NoteLabel"/>
                <w:b/>
              </w:rPr>
              <w:t>a</w:t>
            </w:r>
            <w:r>
              <w:t xml:space="preserve"> …</w:t>
            </w:r>
          </w:p>
        </w:tc>
      </w:tr>
      <w:tr w:rsidR="009C6940" w14:paraId="1266F9C6"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C6940" w:rsidRPr="00B1465D" w14:paraId="5549DDD0" w14:textId="77777777" w:rsidTr="009C6940">
              <w:trPr>
                <w:tblHeader/>
                <w:jc w:val="center"/>
              </w:trPr>
              <w:tc>
                <w:tcPr>
                  <w:tcW w:w="5000" w:type="pct"/>
                  <w:tcBorders>
                    <w:top w:val="nil"/>
                    <w:bottom w:val="nil"/>
                  </w:tcBorders>
                </w:tcPr>
                <w:p w14:paraId="4334A279" w14:textId="77777777" w:rsidR="009C6940" w:rsidRDefault="009C6940" w:rsidP="009C6940">
                  <w:pPr>
                    <w:pStyle w:val="Figure"/>
                    <w:spacing w:before="60" w:after="60"/>
                    <w:rPr>
                      <w:rFonts w:ascii="Arial" w:hAnsi="Arial" w:cs="Arial"/>
                      <w:noProof/>
                      <w:sz w:val="18"/>
                      <w:szCs w:val="18"/>
                    </w:rPr>
                  </w:pPr>
                  <w:r>
                    <w:rPr>
                      <w:rFonts w:ascii="Arial" w:hAnsi="Arial" w:cs="Arial"/>
                      <w:noProof/>
                      <w:sz w:val="18"/>
                      <w:szCs w:val="18"/>
                    </w:rPr>
                    <w:drawing>
                      <wp:inline distT="0" distB="0" distL="0" distR="0" wp14:anchorId="6663FEBA" wp14:editId="253008A1">
                        <wp:extent cx="5377884" cy="2689860"/>
                        <wp:effectExtent l="0" t="0" r="0" b="0"/>
                        <wp:docPr id="46" name="Picture 46" descr="This figure shows how employment outcomes differ between people with and without poor mental health. People with poor mental health are more likely to be employed or not in the labour force, whereas people with good mental health are more likely to be employed (both full-time or par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CS_Employment.emf"/>
                                <pic:cNvPicPr/>
                              </pic:nvPicPr>
                              <pic:blipFill>
                                <a:blip r:embed="rId92" cstate="print">
                                  <a:extLst>
                                    <a:ext uri="{28A0092B-C50C-407E-A947-70E740481C1C}">
                                      <a14:useLocalDpi xmlns:a14="http://schemas.microsoft.com/office/drawing/2010/main" val="0"/>
                                    </a:ext>
                                  </a:extLst>
                                </a:blip>
                                <a:stretch>
                                  <a:fillRect/>
                                </a:stretch>
                              </pic:blipFill>
                              <pic:spPr>
                                <a:xfrm>
                                  <a:off x="0" y="0"/>
                                  <a:ext cx="5378193" cy="2690015"/>
                                </a:xfrm>
                                <a:prstGeom prst="rect">
                                  <a:avLst/>
                                </a:prstGeom>
                              </pic:spPr>
                            </pic:pic>
                          </a:graphicData>
                        </a:graphic>
                      </wp:inline>
                    </w:drawing>
                  </w:r>
                </w:p>
              </w:tc>
            </w:tr>
            <w:tr w:rsidR="009C6940" w:rsidRPr="00B1465D" w14:paraId="66474858" w14:textId="77777777" w:rsidTr="009C6940">
              <w:trPr>
                <w:tblHeader/>
                <w:jc w:val="center"/>
              </w:trPr>
              <w:tc>
                <w:tcPr>
                  <w:tcW w:w="5000" w:type="pct"/>
                  <w:tcBorders>
                    <w:top w:val="nil"/>
                    <w:bottom w:val="nil"/>
                  </w:tcBorders>
                </w:tcPr>
                <w:p w14:paraId="0DCF56F2" w14:textId="77777777" w:rsidR="009C6940" w:rsidRDefault="009C6940" w:rsidP="009C6940">
                  <w:pPr>
                    <w:pStyle w:val="TableTitle"/>
                    <w:jc w:val="center"/>
                    <w:rPr>
                      <w:noProof/>
                    </w:rPr>
                  </w:pPr>
                  <w:r>
                    <w:rPr>
                      <w:noProof/>
                    </w:rPr>
                    <w:t>… and, if they are employed, they are likely to earn lower wages</w:t>
                  </w:r>
                  <w:r w:rsidRPr="00A575FF">
                    <w:rPr>
                      <w:rStyle w:val="NoteLabel"/>
                      <w:b/>
                    </w:rPr>
                    <w:t>a</w:t>
                  </w:r>
                  <w:r>
                    <w:rPr>
                      <w:rStyle w:val="NoteLabel"/>
                      <w:b/>
                    </w:rPr>
                    <w:t>,b</w:t>
                  </w:r>
                </w:p>
              </w:tc>
            </w:tr>
            <w:tr w:rsidR="009C6940" w:rsidRPr="00B1465D" w14:paraId="7B5AF2B9" w14:textId="77777777" w:rsidTr="009C6940">
              <w:trPr>
                <w:tblHeader/>
                <w:jc w:val="center"/>
              </w:trPr>
              <w:tc>
                <w:tcPr>
                  <w:tcW w:w="5000" w:type="pct"/>
                  <w:tcBorders>
                    <w:top w:val="nil"/>
                    <w:bottom w:val="nil"/>
                  </w:tcBorders>
                </w:tcPr>
                <w:p w14:paraId="57AF4E48" w14:textId="77777777" w:rsidR="009C6940" w:rsidRPr="00B1465D" w:rsidRDefault="009C6940" w:rsidP="009C6940">
                  <w:pPr>
                    <w:pStyle w:val="Figure"/>
                    <w:spacing w:before="60" w:after="60"/>
                    <w:rPr>
                      <w:rFonts w:ascii="Arial" w:hAnsi="Arial" w:cs="Arial"/>
                      <w:sz w:val="18"/>
                      <w:szCs w:val="18"/>
                    </w:rPr>
                  </w:pPr>
                  <w:r>
                    <w:rPr>
                      <w:rFonts w:ascii="Arial" w:hAnsi="Arial" w:cs="Arial"/>
                      <w:noProof/>
                      <w:sz w:val="18"/>
                      <w:szCs w:val="18"/>
                    </w:rPr>
                    <w:drawing>
                      <wp:inline distT="0" distB="0" distL="0" distR="0" wp14:anchorId="3EC7C0E9" wp14:editId="10407BDF">
                        <wp:extent cx="5402580" cy="2702212"/>
                        <wp:effectExtent l="0" t="0" r="0" b="0"/>
                        <wp:docPr id="47" name="Picture 47" descr="This figure shows how the wage distribution differs between people with and without poor mental health. The distribution is presented as a density plot. People with poor mental health are more likely to have a lower hourly wage compared to those with good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ge_Density.emf"/>
                                <pic:cNvPicPr/>
                              </pic:nvPicPr>
                              <pic:blipFill>
                                <a:blip r:embed="rId93" cstate="print">
                                  <a:extLst>
                                    <a:ext uri="{28A0092B-C50C-407E-A947-70E740481C1C}">
                                      <a14:useLocalDpi xmlns:a14="http://schemas.microsoft.com/office/drawing/2010/main" val="0"/>
                                    </a:ext>
                                  </a:extLst>
                                </a:blip>
                                <a:stretch>
                                  <a:fillRect/>
                                </a:stretch>
                              </pic:blipFill>
                              <pic:spPr>
                                <a:xfrm>
                                  <a:off x="0" y="0"/>
                                  <a:ext cx="5405723" cy="2703784"/>
                                </a:xfrm>
                                <a:prstGeom prst="rect">
                                  <a:avLst/>
                                </a:prstGeom>
                              </pic:spPr>
                            </pic:pic>
                          </a:graphicData>
                        </a:graphic>
                      </wp:inline>
                    </w:drawing>
                  </w:r>
                </w:p>
              </w:tc>
            </w:tr>
          </w:tbl>
          <w:p w14:paraId="6B1EA9DA" w14:textId="77777777" w:rsidR="009C6940" w:rsidRDefault="009C6940" w:rsidP="009C6940">
            <w:pPr>
              <w:pStyle w:val="Figure"/>
            </w:pPr>
          </w:p>
        </w:tc>
      </w:tr>
      <w:tr w:rsidR="009C6940" w:rsidRPr="00176D3F" w14:paraId="02E7AFDB" w14:textId="77777777" w:rsidTr="009C6940">
        <w:tc>
          <w:tcPr>
            <w:tcW w:w="5000" w:type="pct"/>
            <w:tcBorders>
              <w:top w:val="nil"/>
              <w:left w:val="nil"/>
              <w:bottom w:val="nil"/>
              <w:right w:val="nil"/>
            </w:tcBorders>
            <w:shd w:val="clear" w:color="auto" w:fill="auto"/>
          </w:tcPr>
          <w:p w14:paraId="1388D1DC" w14:textId="77777777" w:rsidR="009C6940" w:rsidRPr="00176D3F" w:rsidRDefault="009C6940" w:rsidP="009C6940">
            <w:pPr>
              <w:pStyle w:val="Note"/>
            </w:pPr>
            <w:r>
              <w:rPr>
                <w:rStyle w:val="NoteLabel"/>
              </w:rPr>
              <w:t>a</w:t>
            </w:r>
            <w:r>
              <w:t xml:space="preserve"> A mental component summary (MCS) score below 40 can be considered indicative of a mental illness </w:t>
            </w:r>
            <w:r w:rsidRPr="00410C0F">
              <w:rPr>
                <w:rFonts w:cs="Arial"/>
                <w:szCs w:val="24"/>
              </w:rPr>
              <w:t>(Kiely and Butterworth 2015)</w:t>
            </w:r>
            <w:r>
              <w:t xml:space="preserve">. </w:t>
            </w:r>
            <w:r>
              <w:rPr>
                <w:rStyle w:val="NoteLabel"/>
              </w:rPr>
              <w:t>b</w:t>
            </w:r>
            <w:r>
              <w:t xml:space="preserve"> The hourly wage is calculated as current weekly gross wage across all jobs divided by hours per week usually worked across all jobs.</w:t>
            </w:r>
          </w:p>
        </w:tc>
      </w:tr>
      <w:tr w:rsidR="009C6940" w:rsidRPr="00176D3F" w14:paraId="1F5FFABE" w14:textId="77777777" w:rsidTr="009C6940">
        <w:tc>
          <w:tcPr>
            <w:tcW w:w="5000" w:type="pct"/>
            <w:tcBorders>
              <w:top w:val="nil"/>
              <w:left w:val="nil"/>
              <w:bottom w:val="nil"/>
              <w:right w:val="nil"/>
            </w:tcBorders>
            <w:shd w:val="clear" w:color="auto" w:fill="auto"/>
          </w:tcPr>
          <w:p w14:paraId="0D520A40" w14:textId="77777777" w:rsidR="009C6940" w:rsidRPr="00176D3F" w:rsidRDefault="009C6940" w:rsidP="009C6940">
            <w:pPr>
              <w:pStyle w:val="Source"/>
            </w:pPr>
            <w:r>
              <w:rPr>
                <w:i/>
              </w:rPr>
              <w:t>S</w:t>
            </w:r>
            <w:r w:rsidRPr="00784A05">
              <w:rPr>
                <w:i/>
              </w:rPr>
              <w:t>ource</w:t>
            </w:r>
            <w:r w:rsidRPr="00176D3F">
              <w:t xml:space="preserve">: </w:t>
            </w:r>
            <w:r>
              <w:t>Housing, Income and Labour Dynamics in Australia, wave 18.</w:t>
            </w:r>
          </w:p>
        </w:tc>
      </w:tr>
      <w:tr w:rsidR="009C6940" w14:paraId="1B9232CB" w14:textId="77777777" w:rsidTr="009C6940">
        <w:tc>
          <w:tcPr>
            <w:tcW w:w="5000" w:type="pct"/>
            <w:tcBorders>
              <w:top w:val="nil"/>
              <w:left w:val="nil"/>
              <w:bottom w:val="single" w:sz="6" w:space="0" w:color="78A22F"/>
              <w:right w:val="nil"/>
            </w:tcBorders>
            <w:shd w:val="clear" w:color="auto" w:fill="auto"/>
          </w:tcPr>
          <w:p w14:paraId="40230C0D" w14:textId="77777777" w:rsidR="009C6940" w:rsidRDefault="009C6940" w:rsidP="009C6940">
            <w:pPr>
              <w:pStyle w:val="Figurespace"/>
            </w:pPr>
          </w:p>
        </w:tc>
      </w:tr>
      <w:tr w:rsidR="009C6940" w:rsidRPr="000863A5" w14:paraId="4382BC14" w14:textId="77777777" w:rsidTr="009C6940">
        <w:tc>
          <w:tcPr>
            <w:tcW w:w="5000" w:type="pct"/>
            <w:tcBorders>
              <w:top w:val="single" w:sz="6" w:space="0" w:color="78A22F"/>
              <w:left w:val="nil"/>
              <w:bottom w:val="nil"/>
              <w:right w:val="nil"/>
            </w:tcBorders>
          </w:tcPr>
          <w:p w14:paraId="52B34C4B" w14:textId="77777777" w:rsidR="009C6940" w:rsidRPr="00626D32" w:rsidRDefault="009C6940" w:rsidP="009C6940">
            <w:pPr>
              <w:pStyle w:val="BoxSpaceBelow"/>
            </w:pPr>
          </w:p>
        </w:tc>
      </w:tr>
    </w:tbl>
    <w:p w14:paraId="09761526" w14:textId="77777777" w:rsidR="009C6940" w:rsidRDefault="009C6940" w:rsidP="009C6940">
      <w:pPr>
        <w:pStyle w:val="BodyText"/>
        <w:pageBreakBefore/>
        <w:rPr>
          <w:rStyle w:val="BodyTextChar"/>
        </w:rPr>
      </w:pPr>
      <w:r>
        <w:rPr>
          <w:rStyle w:val="BodyTextChar"/>
        </w:rPr>
        <w:lastRenderedPageBreak/>
        <w:t xml:space="preserve">In addition to mental health, there are a range of </w:t>
      </w:r>
      <w:r w:rsidRPr="00A71179">
        <w:rPr>
          <w:rStyle w:val="BodyTextChar"/>
        </w:rPr>
        <w:t xml:space="preserve">other </w:t>
      </w:r>
      <w:r>
        <w:rPr>
          <w:rStyle w:val="BodyTextChar"/>
        </w:rPr>
        <w:t xml:space="preserve">human capital and sociodemographic </w:t>
      </w:r>
      <w:r w:rsidRPr="00A71179">
        <w:rPr>
          <w:rStyle w:val="BodyTextChar"/>
        </w:rPr>
        <w:t xml:space="preserve">factors </w:t>
      </w:r>
      <w:r>
        <w:rPr>
          <w:rStyle w:val="BodyTextChar"/>
        </w:rPr>
        <w:t xml:space="preserve">that are likely to affect an individual’s labour force status and the wages they can expect. These include age, gender, education, marital status, work history, language and cultural background, geographical location and family composition </w:t>
      </w:r>
      <w:r w:rsidRPr="005F6162">
        <w:rPr>
          <w:szCs w:val="24"/>
        </w:rPr>
        <w:t>(Cai 2010; Forbes, Barker and Turner</w:t>
      </w:r>
      <w:r w:rsidRPr="005F6162">
        <w:t> 2010; Frijters, Johnston and Shields 2014)</w:t>
      </w:r>
      <w:r>
        <w:rPr>
          <w:rStyle w:val="BodyTextChar"/>
        </w:rPr>
        <w:t xml:space="preserve">. </w:t>
      </w:r>
    </w:p>
    <w:p w14:paraId="12160A08" w14:textId="77777777" w:rsidR="009C6940" w:rsidRDefault="009C6940" w:rsidP="009C6940">
      <w:pPr>
        <w:pStyle w:val="Heading3"/>
      </w:pPr>
      <w:r>
        <w:t>Reverse causality is a problem</w:t>
      </w:r>
    </w:p>
    <w:p w14:paraId="728B835C" w14:textId="77777777" w:rsidR="009C6940" w:rsidRPr="001E58C5" w:rsidRDefault="009C6940" w:rsidP="009C6940">
      <w:pPr>
        <w:pStyle w:val="BodyText"/>
        <w:rPr>
          <w:spacing w:val="-4"/>
        </w:rPr>
      </w:pPr>
      <w:r w:rsidRPr="001E58C5">
        <w:rPr>
          <w:spacing w:val="-4"/>
        </w:rPr>
        <w:t xml:space="preserve">While the correlation between mental health and labour market outcomes is clear, it can be difficult to demonstrate the </w:t>
      </w:r>
      <w:r w:rsidRPr="001E58C5">
        <w:rPr>
          <w:i/>
          <w:spacing w:val="-4"/>
        </w:rPr>
        <w:t>causal</w:t>
      </w:r>
      <w:r w:rsidRPr="001E58C5">
        <w:rPr>
          <w:spacing w:val="-4"/>
        </w:rPr>
        <w:t xml:space="preserve"> effects of mental health on labour market outcomes — mental health not only influences people’s ability to work, but their experiences at work can also influence their mental health. This is known as a ‘reverse causality’ or ‘endogeneity’ problem.</w:t>
      </w:r>
    </w:p>
    <w:p w14:paraId="6D3B51F0" w14:textId="77777777" w:rsidR="009C6940" w:rsidRDefault="009C6940" w:rsidP="009C6940">
      <w:pPr>
        <w:pStyle w:val="BodyText"/>
      </w:pPr>
      <w:r>
        <w:t xml:space="preserve">The model used in this analysis draws on the work by Frijters et al. </w:t>
      </w:r>
      <w:r w:rsidRPr="005A4A4E">
        <w:t>(2014)</w:t>
      </w:r>
      <w:r>
        <w:t>, who studied the effects of mental health on employment using an instrumental variable model (box J.1). They addressed the problem of reverse causality between employment and mental health by using ‘the death of a close friend in the last 3 years’ as an instrumental variable to control for the endogeneity between employment status, wages and mental health.</w:t>
      </w:r>
    </w:p>
    <w:p w14:paraId="17C34539" w14:textId="77777777" w:rsidR="009C6940" w:rsidRDefault="009C6940" w:rsidP="009C6940">
      <w:pPr>
        <w:pStyle w:val="BoxSpaceAbove"/>
        <w:tabs>
          <w:tab w:val="left" w:pos="6375"/>
        </w:tab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78F00BE" w14:textId="77777777" w:rsidTr="009C6940">
        <w:trPr>
          <w:tblHeader/>
        </w:trPr>
        <w:tc>
          <w:tcPr>
            <w:tcW w:w="5000" w:type="pct"/>
            <w:tcBorders>
              <w:top w:val="single" w:sz="6" w:space="0" w:color="78A22F"/>
              <w:left w:val="nil"/>
              <w:bottom w:val="nil"/>
              <w:right w:val="nil"/>
            </w:tcBorders>
            <w:shd w:val="clear" w:color="auto" w:fill="F2F2F2"/>
          </w:tcPr>
          <w:p w14:paraId="394357E0" w14:textId="77777777" w:rsidR="009C6940" w:rsidRDefault="009C6940" w:rsidP="009C6940">
            <w:pPr>
              <w:pStyle w:val="BoxTitle"/>
            </w:pPr>
            <w:r>
              <w:rPr>
                <w:b w:val="0"/>
              </w:rPr>
              <w:t>Box J.1</w:t>
            </w:r>
            <w:r>
              <w:tab/>
              <w:t>What is an instrumental variable?</w:t>
            </w:r>
          </w:p>
        </w:tc>
      </w:tr>
      <w:tr w:rsidR="009C6940" w14:paraId="7537548D" w14:textId="77777777" w:rsidTr="009C6940">
        <w:tc>
          <w:tcPr>
            <w:tcW w:w="5000" w:type="pct"/>
            <w:tcBorders>
              <w:top w:val="nil"/>
              <w:left w:val="nil"/>
              <w:bottom w:val="nil"/>
              <w:right w:val="nil"/>
            </w:tcBorders>
            <w:shd w:val="clear" w:color="auto" w:fill="F2F2F2"/>
          </w:tcPr>
          <w:p w14:paraId="741C6717" w14:textId="77777777" w:rsidR="009C6940" w:rsidRDefault="009C6940" w:rsidP="009C6940">
            <w:pPr>
              <w:pStyle w:val="Box"/>
            </w:pPr>
            <w:r>
              <w:t>S</w:t>
            </w:r>
            <w:r w:rsidRPr="00314C71">
              <w:t xml:space="preserve">uppose we have a dependent variable Y and an independent variable </w:t>
            </w:r>
            <w:r>
              <w:t>X, where there is likely to be</w:t>
            </w:r>
            <w:r w:rsidRPr="00314C71">
              <w:t xml:space="preserve"> two</w:t>
            </w:r>
            <w:r>
              <w:noBreakHyphen/>
            </w:r>
            <w:r w:rsidRPr="00314C71">
              <w:t>way correlation</w:t>
            </w:r>
            <w:r>
              <w:t xml:space="preserve"> or reverse causality. It is not possible to establish the size of the effect of X on Y using standard regression approaches. </w:t>
            </w:r>
            <w:r w:rsidRPr="00314C71">
              <w:t>Instrumental variables are a</w:t>
            </w:r>
            <w:r>
              <w:t>n econometric</w:t>
            </w:r>
            <w:r w:rsidRPr="00314C71">
              <w:t xml:space="preserve"> method </w:t>
            </w:r>
            <w:r>
              <w:t xml:space="preserve">that can be used </w:t>
            </w:r>
            <w:r w:rsidRPr="00314C71">
              <w:t xml:space="preserve">to </w:t>
            </w:r>
            <w:r>
              <w:t>resolve problems of reverse causality.</w:t>
            </w:r>
          </w:p>
          <w:p w14:paraId="00ABD70B" w14:textId="77777777" w:rsidR="009C6940" w:rsidRDefault="009C6940" w:rsidP="009C6940">
            <w:pPr>
              <w:pStyle w:val="Box"/>
            </w:pPr>
            <w:r>
              <w:t>An instrument</w:t>
            </w:r>
            <w:r w:rsidRPr="00314C71">
              <w:t xml:space="preserve">, Z, is a variable </w:t>
            </w:r>
            <w:r>
              <w:t xml:space="preserve">that is correlated with X, </w:t>
            </w:r>
            <w:r w:rsidRPr="00BE6C19">
              <w:rPr>
                <w:i/>
              </w:rPr>
              <w:t>and</w:t>
            </w:r>
            <w:r>
              <w:t xml:space="preserve"> </w:t>
            </w:r>
            <w:r w:rsidRPr="00314C71">
              <w:t>correlated with Y — but only through its effect on X. In other words, the instrument should</w:t>
            </w:r>
            <w:r>
              <w:t xml:space="preserve"> change X and only change Y </w:t>
            </w:r>
            <w:r w:rsidRPr="00B63EF3">
              <w:rPr>
                <w:i/>
              </w:rPr>
              <w:t>through</w:t>
            </w:r>
            <w:r>
              <w:t xml:space="preserve"> its effect on X,</w:t>
            </w:r>
            <w:r w:rsidRPr="00314C71">
              <w:t xml:space="preserve"> allowing for the identification of a causal effect.</w:t>
            </w:r>
          </w:p>
          <w:p w14:paraId="5B6573DF" w14:textId="77777777" w:rsidR="009C6940" w:rsidRDefault="009C6940" w:rsidP="009C6940">
            <w:pPr>
              <w:pStyle w:val="Box"/>
              <w:jc w:val="center"/>
            </w:pPr>
            <w:r w:rsidRPr="00D937AE">
              <w:rPr>
                <w:noProof/>
              </w:rPr>
              <w:drawing>
                <wp:inline distT="0" distB="0" distL="0" distR="0" wp14:anchorId="14DCC998" wp14:editId="752E8CCE">
                  <wp:extent cx="3505200" cy="975360"/>
                  <wp:effectExtent l="0" t="0" r="0" b="0"/>
                  <wp:docPr id="48" name="Picture 48" descr="This figure demonstrates how an instrumental variable can be used to assist in establishing a causal relationship. The figure shows two variables, X and Y, which have bi-directional causality. An instrument, Z, can affect the independent variable, X, which induces a change in the dependent variable, Y, so that the causal effect of X on Y can be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505200" cy="975360"/>
                          </a:xfrm>
                          <a:prstGeom prst="rect">
                            <a:avLst/>
                          </a:prstGeom>
                          <a:noFill/>
                          <a:ln>
                            <a:noFill/>
                          </a:ln>
                        </pic:spPr>
                      </pic:pic>
                    </a:graphicData>
                  </a:graphic>
                </wp:inline>
              </w:drawing>
            </w:r>
          </w:p>
          <w:p w14:paraId="5E1B18AA" w14:textId="77777777" w:rsidR="009C6940" w:rsidRPr="001E58C5" w:rsidRDefault="009C6940" w:rsidP="009C6940">
            <w:pPr>
              <w:pStyle w:val="Box"/>
              <w:rPr>
                <w:spacing w:val="-2"/>
              </w:rPr>
            </w:pPr>
            <w:r w:rsidRPr="001E58C5">
              <w:rPr>
                <w:spacing w:val="-2"/>
              </w:rPr>
              <w:t>For example, suppose that we are interested in the effect of hours of attendance at a tutoring program (X) on grades (Y). The relationship between these two are likely to exhibit reverse causality — more hours at the tutoring program is likely to lead to higher grades, and students with higher grades may attend for more hours. A potential instrument for the tutoring program could be proximity to the tutoring program (Z), which can be argued to affect the hours of attendance (X) directly, and to only affect grades (Y) through its effect on hours of attendance (X).</w:t>
            </w:r>
          </w:p>
          <w:p w14:paraId="508E1137" w14:textId="77777777" w:rsidR="009C6940" w:rsidRDefault="009C6940" w:rsidP="009C6940">
            <w:pPr>
              <w:pStyle w:val="Box"/>
            </w:pPr>
            <w:r>
              <w:t>The choice of the instrument, Z, is crucial as it is up to the researcher to argue that the instrument affects X, but is only correlated with Y through its effect on X.</w:t>
            </w:r>
          </w:p>
        </w:tc>
      </w:tr>
      <w:tr w:rsidR="009C6940" w14:paraId="14797CCD" w14:textId="77777777" w:rsidTr="009C6940">
        <w:tc>
          <w:tcPr>
            <w:tcW w:w="5000" w:type="pct"/>
            <w:tcBorders>
              <w:top w:val="nil"/>
              <w:left w:val="nil"/>
              <w:bottom w:val="single" w:sz="6" w:space="0" w:color="78A22F"/>
              <w:right w:val="nil"/>
            </w:tcBorders>
            <w:shd w:val="clear" w:color="auto" w:fill="F2F2F2"/>
          </w:tcPr>
          <w:p w14:paraId="66B3A2CD" w14:textId="77777777" w:rsidR="009C6940" w:rsidRDefault="009C6940" w:rsidP="009C6940">
            <w:pPr>
              <w:pStyle w:val="Box"/>
              <w:spacing w:before="0" w:line="120" w:lineRule="exact"/>
            </w:pPr>
          </w:p>
        </w:tc>
      </w:tr>
      <w:tr w:rsidR="009C6940" w:rsidRPr="000863A5" w14:paraId="3254A7A2" w14:textId="77777777" w:rsidTr="009C6940">
        <w:tc>
          <w:tcPr>
            <w:tcW w:w="5000" w:type="pct"/>
            <w:tcBorders>
              <w:top w:val="single" w:sz="6" w:space="0" w:color="78A22F"/>
              <w:left w:val="nil"/>
              <w:bottom w:val="nil"/>
              <w:right w:val="nil"/>
            </w:tcBorders>
          </w:tcPr>
          <w:p w14:paraId="13B56E49" w14:textId="77777777" w:rsidR="009C6940" w:rsidRPr="00626D32" w:rsidRDefault="009C6940" w:rsidP="009C6940">
            <w:pPr>
              <w:pStyle w:val="BoxSpaceBelow"/>
            </w:pPr>
          </w:p>
        </w:tc>
      </w:tr>
    </w:tbl>
    <w:p w14:paraId="74AFC5C5" w14:textId="77777777" w:rsidR="009C6940" w:rsidRDefault="009C6940" w:rsidP="009C6940">
      <w:pPr>
        <w:pStyle w:val="BodyText"/>
      </w:pPr>
      <w:r>
        <w:lastRenderedPageBreak/>
        <w:t xml:space="preserve">This ‘death of a close friend’ instrument is found to be correlated with mental health, but independent of labour market outcomes. A literature review conducted by Frijters et al. </w:t>
      </w:r>
      <w:r w:rsidRPr="000011C0">
        <w:t>(2014)</w:t>
      </w:r>
      <w:r>
        <w:t xml:space="preserve"> found that stressful life events can have substantial effects on mental health and can increase symptoms of depression. Data from the Housing, Income and Labour Dynamics in Australia (HILDA) survey supports these findings — people who have experienced the death of a close friend in the past 3 years are more likely to be in the left</w:t>
      </w:r>
      <w:r>
        <w:noBreakHyphen/>
        <w:t>tail of the distribution of mental health scores (figure J.2).</w:t>
      </w:r>
    </w:p>
    <w:p w14:paraId="16430131" w14:textId="77777777" w:rsidR="009C6940" w:rsidRDefault="009C6940" w:rsidP="009C6940">
      <w:pPr>
        <w:pStyle w:val="BodyText"/>
      </w:pPr>
      <w:r>
        <w:t xml:space="preserve">Frijters et al. </w:t>
      </w:r>
      <w:r w:rsidRPr="000011C0">
        <w:t>(2014)</w:t>
      </w:r>
      <w:r>
        <w:t xml:space="preserve"> also argued that the use of ‘death of a close friend’ as an instrument is more appropriate than using the ‘death of a relative’ or the ‘death of a spouse or child’. The authors suggest that it is conceivable that a person will take time off work to look after a terminally</w:t>
      </w:r>
      <w:r>
        <w:noBreakHyphen/>
        <w:t>ill parent or their spouse/child after these events, whereas it is less likely in the case of a terminally</w:t>
      </w:r>
      <w:r>
        <w:noBreakHyphen/>
        <w:t>ill friend.</w:t>
      </w:r>
    </w:p>
    <w:p w14:paraId="23917A90"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811C4F1" w14:textId="77777777" w:rsidTr="009C6940">
        <w:trPr>
          <w:tblHeader/>
        </w:trPr>
        <w:tc>
          <w:tcPr>
            <w:tcW w:w="5000" w:type="pct"/>
            <w:tcBorders>
              <w:top w:val="single" w:sz="6" w:space="0" w:color="78A22F"/>
              <w:left w:val="nil"/>
              <w:bottom w:val="nil"/>
              <w:right w:val="nil"/>
            </w:tcBorders>
            <w:shd w:val="clear" w:color="auto" w:fill="auto"/>
          </w:tcPr>
          <w:p w14:paraId="1F179DE9" w14:textId="77777777" w:rsidR="009C6940" w:rsidRPr="00176D3F" w:rsidRDefault="009C6940" w:rsidP="009C6940">
            <w:pPr>
              <w:pStyle w:val="FigureTitle"/>
            </w:pPr>
            <w:r w:rsidRPr="00784A05">
              <w:rPr>
                <w:b w:val="0"/>
              </w:rPr>
              <w:t xml:space="preserve">Figure </w:t>
            </w:r>
            <w:r>
              <w:rPr>
                <w:b w:val="0"/>
              </w:rPr>
              <w:t>J.2</w:t>
            </w:r>
            <w:r>
              <w:tab/>
              <w:t>The ‘death of a close friend’ instrument is correlated with mental ill</w:t>
            </w:r>
            <w:r>
              <w:noBreakHyphen/>
              <w:t>health</w:t>
            </w:r>
          </w:p>
        </w:tc>
      </w:tr>
      <w:tr w:rsidR="009C6940" w14:paraId="5A6A0CDE"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50AC47B2" w14:textId="77777777" w:rsidTr="009C6940">
              <w:trPr>
                <w:tblHeader/>
                <w:jc w:val="center"/>
              </w:trPr>
              <w:tc>
                <w:tcPr>
                  <w:tcW w:w="5000" w:type="pct"/>
                  <w:tcBorders>
                    <w:top w:val="nil"/>
                    <w:bottom w:val="nil"/>
                  </w:tcBorders>
                </w:tcPr>
                <w:p w14:paraId="0CBD2E77" w14:textId="77777777" w:rsidR="009C6940" w:rsidRPr="00B1465D" w:rsidRDefault="009C6940" w:rsidP="009C6940">
                  <w:pPr>
                    <w:pStyle w:val="Figure"/>
                    <w:spacing w:before="60" w:after="60"/>
                    <w:rPr>
                      <w:rFonts w:ascii="Arial" w:hAnsi="Arial" w:cs="Arial"/>
                      <w:sz w:val="18"/>
                      <w:szCs w:val="18"/>
                    </w:rPr>
                  </w:pPr>
                  <w:r>
                    <w:rPr>
                      <w:rFonts w:ascii="Arial" w:hAnsi="Arial" w:cs="Arial"/>
                      <w:noProof/>
                      <w:sz w:val="18"/>
                      <w:szCs w:val="18"/>
                    </w:rPr>
                    <w:drawing>
                      <wp:inline distT="0" distB="0" distL="0" distR="0" wp14:anchorId="15DCAAB5" wp14:editId="4D8D9C92">
                        <wp:extent cx="5394960" cy="2698401"/>
                        <wp:effectExtent l="0" t="0" r="0" b="0"/>
                        <wp:docPr id="49" name="Picture 49" descr="This figure shows that the instrumental variable used is a strong and valid instrument. The distribution of mental health is shown as a density plot, split by people who have had a friend who has died in the past 3 years and those who have not. It shows that people who have experienced a friend dying in the past three years are more likely to have poor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ath_Friend_Density.emf"/>
                                <pic:cNvPicPr/>
                              </pic:nvPicPr>
                              <pic:blipFill>
                                <a:blip r:embed="rId95" cstate="print">
                                  <a:extLst>
                                    <a:ext uri="{28A0092B-C50C-407E-A947-70E740481C1C}">
                                      <a14:useLocalDpi xmlns:a14="http://schemas.microsoft.com/office/drawing/2010/main" val="0"/>
                                    </a:ext>
                                  </a:extLst>
                                </a:blip>
                                <a:stretch>
                                  <a:fillRect/>
                                </a:stretch>
                              </pic:blipFill>
                              <pic:spPr>
                                <a:xfrm>
                                  <a:off x="0" y="0"/>
                                  <a:ext cx="5396834" cy="2699338"/>
                                </a:xfrm>
                                <a:prstGeom prst="rect">
                                  <a:avLst/>
                                </a:prstGeom>
                              </pic:spPr>
                            </pic:pic>
                          </a:graphicData>
                        </a:graphic>
                      </wp:inline>
                    </w:drawing>
                  </w:r>
                </w:p>
              </w:tc>
            </w:tr>
          </w:tbl>
          <w:p w14:paraId="7C4767E7" w14:textId="77777777" w:rsidR="009C6940" w:rsidRDefault="009C6940" w:rsidP="009C6940">
            <w:pPr>
              <w:pStyle w:val="Figure"/>
            </w:pPr>
          </w:p>
        </w:tc>
      </w:tr>
      <w:tr w:rsidR="009C6940" w:rsidRPr="00176D3F" w14:paraId="0EB6279F" w14:textId="77777777" w:rsidTr="009C6940">
        <w:tc>
          <w:tcPr>
            <w:tcW w:w="5000" w:type="pct"/>
            <w:tcBorders>
              <w:top w:val="nil"/>
              <w:left w:val="nil"/>
              <w:bottom w:val="nil"/>
              <w:right w:val="nil"/>
            </w:tcBorders>
            <w:shd w:val="clear" w:color="auto" w:fill="auto"/>
          </w:tcPr>
          <w:p w14:paraId="317C758B" w14:textId="77777777" w:rsidR="009C6940" w:rsidRPr="00176D3F" w:rsidRDefault="009C6940" w:rsidP="009C6940">
            <w:pPr>
              <w:pStyle w:val="Source"/>
            </w:pPr>
            <w:r>
              <w:rPr>
                <w:i/>
              </w:rPr>
              <w:t>S</w:t>
            </w:r>
            <w:r w:rsidRPr="00784A05">
              <w:rPr>
                <w:i/>
              </w:rPr>
              <w:t>ource</w:t>
            </w:r>
            <w:r w:rsidRPr="00176D3F">
              <w:t xml:space="preserve">: </w:t>
            </w:r>
            <w:r>
              <w:t>Housing, Income and Labour Dynamics in Australia, waves 2–18.</w:t>
            </w:r>
          </w:p>
        </w:tc>
      </w:tr>
      <w:tr w:rsidR="009C6940" w14:paraId="04A79AAA" w14:textId="77777777" w:rsidTr="009C6940">
        <w:tc>
          <w:tcPr>
            <w:tcW w:w="5000" w:type="pct"/>
            <w:tcBorders>
              <w:top w:val="nil"/>
              <w:left w:val="nil"/>
              <w:bottom w:val="single" w:sz="6" w:space="0" w:color="78A22F"/>
              <w:right w:val="nil"/>
            </w:tcBorders>
            <w:shd w:val="clear" w:color="auto" w:fill="auto"/>
          </w:tcPr>
          <w:p w14:paraId="7D1AB53B" w14:textId="77777777" w:rsidR="009C6940" w:rsidRDefault="009C6940" w:rsidP="009C6940">
            <w:pPr>
              <w:pStyle w:val="Figurespace"/>
            </w:pPr>
          </w:p>
        </w:tc>
      </w:tr>
      <w:tr w:rsidR="009C6940" w:rsidRPr="000863A5" w14:paraId="6B2BA6A4" w14:textId="77777777" w:rsidTr="009C6940">
        <w:tc>
          <w:tcPr>
            <w:tcW w:w="5000" w:type="pct"/>
            <w:tcBorders>
              <w:top w:val="single" w:sz="6" w:space="0" w:color="78A22F"/>
              <w:left w:val="nil"/>
              <w:bottom w:val="nil"/>
              <w:right w:val="nil"/>
            </w:tcBorders>
          </w:tcPr>
          <w:p w14:paraId="2CE5138C" w14:textId="77777777" w:rsidR="009C6940" w:rsidRPr="00626D32" w:rsidRDefault="009C6940" w:rsidP="009C6940">
            <w:pPr>
              <w:pStyle w:val="BoxSpaceBelow"/>
            </w:pPr>
          </w:p>
        </w:tc>
      </w:tr>
    </w:tbl>
    <w:p w14:paraId="04A4D80B" w14:textId="77777777" w:rsidR="009C6940" w:rsidRDefault="009C6940" w:rsidP="009C6940">
      <w:pPr>
        <w:pStyle w:val="BodyText"/>
      </w:pPr>
      <w:r>
        <w:t>Establishing the effect of mental health on wages and QALYs using an instrumental variable approach involves four stages.</w:t>
      </w:r>
    </w:p>
    <w:p w14:paraId="4300D837" w14:textId="77777777" w:rsidR="009C6940" w:rsidRDefault="009C6940" w:rsidP="009C6940">
      <w:pPr>
        <w:pStyle w:val="BodyText"/>
      </w:pPr>
      <w:r>
        <w:t>The first stage involves establishing the relationship between the ‘death of a friend’ variable and mental health by estimating the linear regression:</w:t>
      </w:r>
    </w:p>
    <w:p w14:paraId="127394FE" w14:textId="77777777" w:rsidR="009C6940" w:rsidRDefault="009C6940" w:rsidP="009C6940">
      <w:pPr>
        <w:pStyle w:val="BodyText"/>
        <w:tabs>
          <w:tab w:val="right" w:pos="8505"/>
        </w:tabs>
      </w:pPr>
      <m:oMath>
        <m:r>
          <m:rPr>
            <m:sty m:val="p"/>
          </m:rPr>
          <w:rPr>
            <w:rFonts w:ascii="Cambria Math" w:hAnsi="Cambria Math"/>
          </w:rPr>
          <m:t>MH</m:t>
        </m:r>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γ+δ×</m:t>
        </m:r>
        <m:r>
          <m:rPr>
            <m:sty m:val="p"/>
          </m:rPr>
          <w:rPr>
            <w:rFonts w:ascii="Cambria Math" w:hAnsi="Cambria Math"/>
          </w:rPr>
          <m:t>Death of friend</m:t>
        </m:r>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m:t>
            </m:r>
          </m:sub>
        </m:sSub>
      </m:oMath>
      <w:r>
        <w:tab/>
        <w:t>[1]</w:t>
      </w:r>
    </w:p>
    <w:p w14:paraId="77279409" w14:textId="77777777" w:rsidR="009C6940" w:rsidRPr="00C85A4D" w:rsidRDefault="009C6940" w:rsidP="009C6940">
      <w:pPr>
        <w:pStyle w:val="BodyText"/>
      </w:pPr>
      <w:r>
        <w:t xml:space="preserve">where </w:t>
      </w:r>
      <m:oMath>
        <m:r>
          <m:rPr>
            <m:sty m:val="p"/>
          </m:rPr>
          <w:rPr>
            <w:rFonts w:ascii="Cambria Math" w:hAnsi="Cambria Math"/>
          </w:rPr>
          <m:t>MH</m:t>
        </m:r>
      </m:oMath>
      <w:r>
        <w:t xml:space="preserve"> represents a measure of mental health, </w:t>
      </w:r>
      <m:oMath>
        <m:sSub>
          <m:sSubPr>
            <m:ctrlPr>
              <w:rPr>
                <w:rFonts w:ascii="Cambria Math" w:hAnsi="Cambria Math"/>
                <w:i/>
              </w:rPr>
            </m:ctrlPr>
          </m:sSubPr>
          <m:e>
            <m:r>
              <w:rPr>
                <w:rFonts w:ascii="Cambria Math" w:hAnsi="Cambria Math"/>
              </w:rPr>
              <m:t>α</m:t>
            </m:r>
          </m:e>
          <m:sub>
            <m:r>
              <w:rPr>
                <w:rFonts w:ascii="Cambria Math" w:hAnsi="Cambria Math"/>
              </w:rPr>
              <m:t>1</m:t>
            </m:r>
          </m:sub>
        </m:sSub>
      </m:oMath>
      <w:r>
        <w:t xml:space="preserve"> is the parameter for the intercept,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is a matrix of independent variables, </w:t>
      </w:r>
      <m:oMath>
        <m:r>
          <w:rPr>
            <w:rFonts w:ascii="Cambria Math" w:hAnsi="Cambria Math"/>
          </w:rPr>
          <m:t>γ</m:t>
        </m:r>
      </m:oMath>
      <w:r>
        <w:t xml:space="preserve"> is a vector of parameters, </w:t>
      </w:r>
      <m:oMath>
        <m:r>
          <m:rPr>
            <m:sty m:val="p"/>
          </m:rPr>
          <w:rPr>
            <w:rFonts w:ascii="Cambria Math" w:hAnsi="Cambria Math"/>
          </w:rPr>
          <m:t>Death of friend</m:t>
        </m:r>
      </m:oMath>
      <w:r>
        <w:t xml:space="preserve"> is the instrumental variable (a dummy variable indicating whether a close friend has died in the </w:t>
      </w:r>
      <w:r>
        <w:lastRenderedPageBreak/>
        <w:t xml:space="preserve">last three months; 1=yes, 0=no), </w:t>
      </w:r>
      <m:oMath>
        <m:r>
          <w:rPr>
            <w:rFonts w:ascii="Cambria Math" w:hAnsi="Cambria Math"/>
          </w:rPr>
          <m:t>δ</m:t>
        </m:r>
      </m:oMath>
      <w:r>
        <w:t xml:space="preserve"> is the parameter associated with the instrument, and </w:t>
      </w:r>
      <m:oMath>
        <m:sSub>
          <m:sSubPr>
            <m:ctrlPr>
              <w:rPr>
                <w:rFonts w:ascii="Cambria Math" w:hAnsi="Cambria Math"/>
                <w:i/>
              </w:rPr>
            </m:ctrlPr>
          </m:sSubPr>
          <m:e>
            <m:r>
              <w:rPr>
                <w:rFonts w:ascii="Cambria Math" w:hAnsi="Cambria Math"/>
              </w:rPr>
              <m:t>ε</m:t>
            </m:r>
          </m:e>
          <m:sub>
            <m:r>
              <w:rPr>
                <w:rFonts w:ascii="Cambria Math" w:hAnsi="Cambria Math"/>
              </w:rPr>
              <m:t>1</m:t>
            </m:r>
          </m:sub>
        </m:sSub>
      </m:oMath>
      <w:r>
        <w:t xml:space="preserve"> is a vector of independently and identically normally distributed random variables with variance </w:t>
      </w:r>
      <m:oMath>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oMath>
      <w:r>
        <w:t xml:space="preserve">. Where statistically significant, the parameter </w:t>
      </w:r>
      <m:oMath>
        <m:r>
          <w:rPr>
            <w:rFonts w:ascii="Cambria Math" w:hAnsi="Cambria Math"/>
          </w:rPr>
          <m:t>δ</m:t>
        </m:r>
      </m:oMath>
      <w:r>
        <w:t xml:space="preserve"> denotes the relationship between the death of a friend and mental health.</w:t>
      </w:r>
    </w:p>
    <w:p w14:paraId="44670D36" w14:textId="77777777" w:rsidR="009C6940" w:rsidRDefault="009C6940" w:rsidP="009C6940">
      <w:pPr>
        <w:pStyle w:val="BodyText"/>
      </w:pPr>
      <w:r>
        <w:t>The results of the first stage equation are used in several ways. The residuals are used in the second stage regression (multinomial logistic regression for employment outcomes) as part of a control function approach, and the fitted values are used in the third stage wage regression (linear regression) and the QALY regression (linear regression) as part of a two</w:t>
      </w:r>
      <w:r>
        <w:noBreakHyphen/>
        <w:t>stage least squares approach.</w:t>
      </w:r>
    </w:p>
    <w:p w14:paraId="4072B8D8" w14:textId="77777777" w:rsidR="009C6940" w:rsidRPr="002429D4" w:rsidRDefault="009C6940" w:rsidP="009C6940">
      <w:pPr>
        <w:pStyle w:val="Heading3"/>
      </w:pPr>
      <w:r>
        <w:t>Mental health and employment</w:t>
      </w:r>
    </w:p>
    <w:p w14:paraId="0C2A0359" w14:textId="77777777" w:rsidR="009C6940" w:rsidRDefault="009C6940" w:rsidP="009C6940">
      <w:pPr>
        <w:pStyle w:val="BodyText"/>
      </w:pPr>
      <w:r>
        <w:t xml:space="preserve">The second stage equation is a multinomial logistic regression, that controls for the endogenous variable (mental health) by including the residuals from the first stage as an explanatory variable. </w:t>
      </w:r>
      <m:oMath>
        <m:r>
          <w:rPr>
            <w:rFonts w:ascii="Cambria Math" w:hAnsi="Cambria Math"/>
          </w:rPr>
          <m:t>L</m:t>
        </m:r>
      </m:oMath>
      <w:r w:rsidRPr="00B75C99">
        <w:t xml:space="preserve"> is a </w:t>
      </w:r>
      <w:r>
        <w:t xml:space="preserve">categorical </w:t>
      </w:r>
      <w:r w:rsidRPr="00B75C99">
        <w:t xml:space="preserve">variable for </w:t>
      </w:r>
      <w:r>
        <w:t>labour force</w:t>
      </w:r>
      <w:r w:rsidRPr="00B75C99">
        <w:t xml:space="preserve"> status</w:t>
      </w:r>
      <w:r>
        <w:t>, where the model assumes that people can either be employed full</w:t>
      </w:r>
      <w:r>
        <w:noBreakHyphen/>
        <w:t>time, employed part</w:t>
      </w:r>
      <w:r>
        <w:noBreakHyphen/>
        <w:t>time, unemployed, or not in the labour force.</w:t>
      </w:r>
    </w:p>
    <w:p w14:paraId="42CF2EBF" w14:textId="77777777" w:rsidR="009C6940" w:rsidRDefault="009C6940" w:rsidP="009C6940">
      <w:pPr>
        <w:pStyle w:val="BodyText"/>
        <w:tabs>
          <w:tab w:val="right" w:pos="8505"/>
        </w:tabs>
      </w:pPr>
      <m:oMath>
        <m:r>
          <w:rPr>
            <w:rFonts w:ascii="Cambria Math" w:hAnsi="Cambria Math"/>
          </w:rPr>
          <m:t>L=</m:t>
        </m:r>
        <m:r>
          <m:rPr>
            <m:sty m:val="p"/>
          </m:rPr>
          <w:rPr>
            <w:rFonts w:ascii="Cambria Math" w:hAnsi="Cambria Math"/>
          </w:rPr>
          <m:t>Multinomial Logistic</m:t>
        </m:r>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β+τ×</m:t>
            </m:r>
            <m:r>
              <m:rPr>
                <m:sty m:val="p"/>
              </m:rPr>
              <w:rPr>
                <w:rFonts w:ascii="Cambria Math" w:hAnsi="Cambria Math"/>
              </w:rPr>
              <m:t>MH</m:t>
            </m:r>
            <m:r>
              <w:rPr>
                <w:rFonts w:ascii="Cambria Math" w:hAnsi="Cambria Math"/>
              </w:rPr>
              <m:t>+ϕ</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1</m:t>
                </m:r>
              </m:sub>
            </m:sSub>
          </m:e>
        </m:d>
      </m:oMath>
      <w:r>
        <w:tab/>
        <w:t>[2]</w:t>
      </w:r>
    </w:p>
    <w:p w14:paraId="21411ED2" w14:textId="77777777" w:rsidR="009C6940" w:rsidRDefault="009C6940" w:rsidP="009C6940">
      <w:pPr>
        <w:pStyle w:val="BodyText"/>
      </w:pPr>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2</m:t>
            </m:r>
          </m:sub>
        </m:sSub>
      </m:oMath>
      <w:r>
        <w:t xml:space="preserve"> is the parameter for the intercept,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t xml:space="preserve"> is a matrix of independent variables, </w:t>
      </w:r>
      <m:oMath>
        <m:r>
          <w:rPr>
            <w:rFonts w:ascii="Cambria Math" w:hAnsi="Cambria Math"/>
          </w:rPr>
          <m:t>β</m:t>
        </m:r>
      </m:oMath>
      <w:r>
        <w:t xml:space="preserve"> is a vector of parameters, </w:t>
      </w:r>
      <m:oMath>
        <m:r>
          <w:rPr>
            <w:rFonts w:ascii="Cambria Math" w:hAnsi="Cambria Math"/>
          </w:rPr>
          <m:t>τ</m:t>
        </m:r>
      </m:oMath>
      <w:r>
        <w:t xml:space="preserve"> is the parameter associated with MH, </w:t>
      </w:r>
      <m:oMath>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1</m:t>
            </m:r>
          </m:sub>
        </m:sSub>
        <m:r>
          <w:rPr>
            <w:rFonts w:ascii="Cambria Math" w:hAnsi="Cambria Math"/>
          </w:rPr>
          <m:t>=</m:t>
        </m:r>
        <m:r>
          <m:rPr>
            <m:sty m:val="p"/>
          </m:rPr>
          <w:rPr>
            <w:rFonts w:ascii="Cambria Math" w:hAnsi="Cambria Math"/>
          </w:rPr>
          <m:t>MH</m:t>
        </m:r>
        <m:r>
          <w:rPr>
            <w:rFonts w:ascii="Cambria Math" w:hAnsi="Cambria Math"/>
          </w:rPr>
          <m:t xml:space="preserve">- </m:t>
        </m:r>
        <m:acc>
          <m:accPr>
            <m:ctrlPr>
              <w:rPr>
                <w:rFonts w:ascii="Cambria Math" w:hAnsi="Cambria Math"/>
                <w:i/>
              </w:rPr>
            </m:ctrlPr>
          </m:accPr>
          <m:e>
            <m:r>
              <m:rPr>
                <m:sty m:val="p"/>
              </m:rPr>
              <w:rPr>
                <w:rFonts w:ascii="Cambria Math" w:hAnsi="Cambria Math"/>
              </w:rPr>
              <m:t>MH</m:t>
            </m:r>
          </m:e>
        </m:acc>
      </m:oMath>
      <w:r>
        <w:t xml:space="preserve">, which is the vector of residuals from the first stage equation, and </w:t>
      </w:r>
      <m:oMath>
        <m:r>
          <w:rPr>
            <w:rFonts w:ascii="Cambria Math" w:hAnsi="Cambria Math"/>
          </w:rPr>
          <m:t>ϕ</m:t>
        </m:r>
      </m:oMath>
      <w:r>
        <w:t xml:space="preserve"> is the parameter associated with the first stage residual. Because there are four categories, three sets of coefficients are estimated.</w:t>
      </w:r>
    </w:p>
    <w:p w14:paraId="5A481210" w14:textId="77777777" w:rsidR="009C6940" w:rsidRDefault="009C6940" w:rsidP="009C6940">
      <w:pPr>
        <w:pStyle w:val="BodyText"/>
      </w:pPr>
      <w:r>
        <w:t xml:space="preserve">The predicted probability of each labour force status can be estimated using the results of this regression. Let </w:t>
      </w:r>
      <m:oMath>
        <m:acc>
          <m:accPr>
            <m:ctrlPr>
              <w:rPr>
                <w:rFonts w:ascii="Cambria Math" w:hAnsi="Cambria Math"/>
                <w:i/>
              </w:rPr>
            </m:ctrlPr>
          </m:accPr>
          <m:e>
            <m:r>
              <w:rPr>
                <w:rFonts w:ascii="Cambria Math" w:hAnsi="Cambria Math"/>
              </w:rPr>
              <m:t>p</m:t>
            </m:r>
          </m:e>
        </m:acc>
      </m:oMath>
      <w:r>
        <w:t xml:space="preserve"> be the predicted probability of employment (summing up the predicted probability of working full</w:t>
      </w:r>
      <w:r>
        <w:noBreakHyphen/>
        <w:t>time or part</w:t>
      </w:r>
      <w:r>
        <w:noBreakHyphen/>
        <w:t xml:space="preserve">time) and </w:t>
      </w:r>
      <m:oMath>
        <m:acc>
          <m:accPr>
            <m:ctrlPr>
              <w:rPr>
                <w:rFonts w:ascii="Cambria Math" w:hAnsi="Cambria Math"/>
                <w:i/>
              </w:rPr>
            </m:ctrlPr>
          </m:accPr>
          <m:e>
            <m:r>
              <w:rPr>
                <w:rFonts w:ascii="Cambria Math" w:hAnsi="Cambria Math"/>
              </w:rPr>
              <m:t>q</m:t>
            </m:r>
          </m:e>
        </m:acc>
      </m:oMath>
      <w:r>
        <w:t xml:space="preserve"> be the probability of not being employed (summing up the predicted probability of being unemployed or not in the labour force).</w:t>
      </w:r>
    </w:p>
    <w:p w14:paraId="19E9DD5C" w14:textId="77777777" w:rsidR="009C6940" w:rsidRPr="002429D4" w:rsidRDefault="009C6940" w:rsidP="009C6940">
      <w:pPr>
        <w:pStyle w:val="Heading3"/>
      </w:pPr>
      <w:r>
        <w:t>Mental health and wages</w:t>
      </w:r>
    </w:p>
    <w:p w14:paraId="3BDDDB54" w14:textId="77777777" w:rsidR="009C6940" w:rsidRDefault="009C6940" w:rsidP="009C6940">
      <w:pPr>
        <w:pStyle w:val="BodyText"/>
      </w:pPr>
      <w:r>
        <w:t>The third stage involves estimating a wage equation that seeks to explain the expected wage rate for each individual given their characteristics. Because</w:t>
      </w:r>
      <w:r w:rsidDel="0013505A">
        <w:t xml:space="preserve"> </w:t>
      </w:r>
      <w:r>
        <w:t>wages are only observed for people who choose to work, this means that there is likely to be bias in the estimation procedure because those who are not employed are likely to be systematically different to those who are employed. For example,</w:t>
      </w:r>
      <w:r w:rsidDel="0013505A">
        <w:t xml:space="preserve"> </w:t>
      </w:r>
      <w:r>
        <w:t>those that are not employed tend to have lower levels of education, a greater incidence of chronic illness and a longer experience of unemployment. Human capital theory suggests that, given their characteristics, these people would be expected to be less productive on average if they were employed than people who are currently working, and, as a result, earn lower wages.</w:t>
      </w:r>
    </w:p>
    <w:p w14:paraId="4933F53D" w14:textId="77777777" w:rsidR="009C6940" w:rsidRDefault="009C6940" w:rsidP="009C6940">
      <w:pPr>
        <w:pStyle w:val="BodyText"/>
      </w:pPr>
      <w:r>
        <w:lastRenderedPageBreak/>
        <w:t>One way to control for the bias is to use a control function approach (the Heckman correction is a prominent example of this). A third order polynomial is constructed from the predicted probability of not being employed (</w:t>
      </w:r>
      <m:oMath>
        <m:acc>
          <m:accPr>
            <m:ctrlPr>
              <w:rPr>
                <w:rFonts w:ascii="Cambria Math" w:hAnsi="Cambria Math"/>
                <w:i/>
              </w:rPr>
            </m:ctrlPr>
          </m:accPr>
          <m:e>
            <m:r>
              <w:rPr>
                <w:rFonts w:ascii="Cambria Math" w:hAnsi="Cambria Math"/>
              </w:rPr>
              <m:t>q</m:t>
            </m:r>
          </m:e>
        </m:acc>
      </m:oMath>
      <w:r>
        <w:t>) from the second stage equation, taking into account the possibility of full</w:t>
      </w:r>
      <w:r>
        <w:noBreakHyphen/>
        <w:t>time and part</w:t>
      </w:r>
      <w:r>
        <w:noBreakHyphen/>
        <w:t>time employment. The polynomial is then included as additional predictors in the wage equation, alongside the fitted value of the measure of mental health from the first stage equation that controls for the endogeneity between wages and mental health.</w:t>
      </w:r>
    </w:p>
    <w:p w14:paraId="69540930" w14:textId="77777777" w:rsidR="009C6940" w:rsidRDefault="009C6940" w:rsidP="009C6940">
      <w:pPr>
        <w:pStyle w:val="BodyText"/>
        <w:tabs>
          <w:tab w:val="right" w:pos="8505"/>
        </w:tabs>
      </w:pPr>
      <m:oMath>
        <m:r>
          <m:rPr>
            <m:sty m:val="p"/>
          </m:rPr>
          <w:rPr>
            <w:rFonts w:ascii="Cambria Math" w:hAnsi="Cambria Math"/>
          </w:rPr>
          <m:t>log</m:t>
        </m:r>
        <m:r>
          <w:rPr>
            <w:rFonts w:ascii="Cambria Math" w:hAnsi="Cambria Math"/>
          </w:rPr>
          <m:t>(</m:t>
        </m:r>
        <m:r>
          <m:rPr>
            <m:sty m:val="p"/>
          </m:rPr>
          <w:rPr>
            <w:rFonts w:ascii="Cambria Math" w:hAnsi="Cambria Math"/>
          </w:rPr>
          <m:t>Wage</m:t>
        </m:r>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θ+f(</m:t>
        </m:r>
        <m:acc>
          <m:accPr>
            <m:ctrlPr>
              <w:rPr>
                <w:rFonts w:ascii="Cambria Math" w:hAnsi="Cambria Math"/>
                <w:i/>
              </w:rPr>
            </m:ctrlPr>
          </m:accPr>
          <m:e>
            <m:r>
              <w:rPr>
                <w:rFonts w:ascii="Cambria Math" w:hAnsi="Cambria Math"/>
              </w:rPr>
              <m:t>q</m:t>
            </m:r>
          </m:e>
        </m:acc>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CF</m:t>
            </m:r>
          </m:sub>
        </m:sSub>
        <m:r>
          <w:rPr>
            <w:rFonts w:ascii="Cambria Math" w:hAnsi="Cambria Math"/>
          </w:rPr>
          <m:t>+ξ×</m:t>
        </m:r>
        <m:acc>
          <m:accPr>
            <m:ctrlPr>
              <w:rPr>
                <w:rFonts w:ascii="Cambria Math" w:hAnsi="Cambria Math"/>
                <w:i/>
              </w:rPr>
            </m:ctrlPr>
          </m:accPr>
          <m:e>
            <m:r>
              <m:rPr>
                <m:sty m:val="p"/>
              </m:rPr>
              <w:rPr>
                <w:rFonts w:ascii="Cambria Math" w:hAnsi="Cambria Math"/>
              </w:rPr>
              <m:t>MH</m:t>
            </m:r>
          </m:e>
        </m:acc>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3</m:t>
            </m:r>
          </m:sub>
        </m:sSub>
      </m:oMath>
      <w:r>
        <w:tab/>
        <w:t>[3]</w:t>
      </w:r>
    </w:p>
    <w:p w14:paraId="57F16315" w14:textId="77777777" w:rsidR="009C6940" w:rsidRPr="00C85A4D" w:rsidRDefault="009C6940" w:rsidP="009C6940">
      <w:pPr>
        <w:pStyle w:val="BodyText"/>
      </w:pPr>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3</m:t>
            </m:r>
          </m:sub>
        </m:sSub>
      </m:oMath>
      <w:r>
        <w:t xml:space="preserve"> is the parameter for the intercept,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t xml:space="preserve"> is a matrix of independent variables, </w:t>
      </w:r>
      <m:oMath>
        <m:r>
          <w:rPr>
            <w:rFonts w:ascii="Cambria Math" w:hAnsi="Cambria Math"/>
          </w:rPr>
          <m:t>θ</m:t>
        </m:r>
      </m:oMath>
      <w:r>
        <w:t xml:space="preserve"> is a vector of parameters, </w:t>
      </w:r>
      <m:oMath>
        <m:r>
          <w:rPr>
            <w:rFonts w:ascii="Cambria Math" w:hAnsi="Cambria Math"/>
          </w:rPr>
          <m:t>f(</m:t>
        </m:r>
        <m:acc>
          <m:accPr>
            <m:ctrlPr>
              <w:rPr>
                <w:rFonts w:ascii="Cambria Math" w:hAnsi="Cambria Math"/>
                <w:i/>
              </w:rPr>
            </m:ctrlPr>
          </m:accPr>
          <m:e>
            <m:r>
              <w:rPr>
                <w:rFonts w:ascii="Cambria Math" w:hAnsi="Cambria Math"/>
              </w:rPr>
              <m:t>q</m:t>
            </m:r>
          </m:e>
        </m:acc>
        <m:r>
          <w:rPr>
            <w:rFonts w:ascii="Cambria Math" w:hAnsi="Cambria Math"/>
          </w:rPr>
          <m:t>)</m:t>
        </m:r>
      </m:oMath>
      <w:r>
        <w:t xml:space="preserve"> is a third order polynomial constructed from the fitted probability of not being employed from the second stage, </w:t>
      </w:r>
      <m:oMath>
        <m:sSub>
          <m:sSubPr>
            <m:ctrlPr>
              <w:rPr>
                <w:rFonts w:ascii="Cambria Math" w:hAnsi="Cambria Math"/>
                <w:i/>
              </w:rPr>
            </m:ctrlPr>
          </m:sSubPr>
          <m:e>
            <m:r>
              <w:rPr>
                <w:rFonts w:ascii="Cambria Math" w:hAnsi="Cambria Math"/>
              </w:rPr>
              <m:t>θ</m:t>
            </m:r>
          </m:e>
          <m:sub>
            <m:r>
              <w:rPr>
                <w:rFonts w:ascii="Cambria Math" w:hAnsi="Cambria Math"/>
              </w:rPr>
              <m:t>CF</m:t>
            </m:r>
          </m:sub>
        </m:sSub>
      </m:oMath>
      <w:r>
        <w:t xml:space="preserve"> is a vector of parameter associated with the probabilities of not being employed, </w:t>
      </w:r>
      <m:oMath>
        <m:r>
          <w:rPr>
            <w:rFonts w:ascii="Cambria Math" w:hAnsi="Cambria Math"/>
          </w:rPr>
          <m:t>ξ</m:t>
        </m:r>
      </m:oMath>
      <w:r>
        <w:t xml:space="preserve"> is the parameter associated with the fitted value of the measure of mental health, and </w:t>
      </w:r>
      <m:oMath>
        <m:sSub>
          <m:sSubPr>
            <m:ctrlPr>
              <w:rPr>
                <w:rFonts w:ascii="Cambria Math" w:hAnsi="Cambria Math"/>
                <w:i/>
              </w:rPr>
            </m:ctrlPr>
          </m:sSubPr>
          <m:e>
            <m:r>
              <w:rPr>
                <w:rFonts w:ascii="Cambria Math" w:hAnsi="Cambria Math"/>
              </w:rPr>
              <m:t>ε</m:t>
            </m:r>
          </m:e>
          <m:sub>
            <m:r>
              <w:rPr>
                <w:rFonts w:ascii="Cambria Math" w:hAnsi="Cambria Math"/>
              </w:rPr>
              <m:t>3</m:t>
            </m:r>
          </m:sub>
        </m:sSub>
      </m:oMath>
      <w:r>
        <w:t xml:space="preserve"> is a vector of independently and identically normally distributed random variables with variance </w:t>
      </w:r>
      <m:oMath>
        <m:sSubSup>
          <m:sSubSupPr>
            <m:ctrlPr>
              <w:rPr>
                <w:rFonts w:ascii="Cambria Math" w:hAnsi="Cambria Math"/>
                <w:i/>
              </w:rPr>
            </m:ctrlPr>
          </m:sSubSupPr>
          <m:e>
            <m:r>
              <w:rPr>
                <w:rFonts w:ascii="Cambria Math" w:hAnsi="Cambria Math"/>
              </w:rPr>
              <m:t>σ</m:t>
            </m:r>
          </m:e>
          <m:sub>
            <m:r>
              <w:rPr>
                <w:rFonts w:ascii="Cambria Math" w:hAnsi="Cambria Math"/>
              </w:rPr>
              <m:t>3</m:t>
            </m:r>
          </m:sub>
          <m:sup>
            <m:r>
              <w:rPr>
                <w:rFonts w:ascii="Cambria Math" w:hAnsi="Cambria Math"/>
              </w:rPr>
              <m:t>2</m:t>
            </m:r>
          </m:sup>
        </m:sSubSup>
      </m:oMath>
      <w:r>
        <w:t>. The variable used for the exclusion restriction is unemployment history (the proportion of time spent unemployed since leaving full</w:t>
      </w:r>
      <w:r>
        <w:noBreakHyphen/>
        <w:t xml:space="preserve">time education) — that is, it is included in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t xml:space="preserve"> but not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t>.</w:t>
      </w:r>
    </w:p>
    <w:p w14:paraId="62730501" w14:textId="77777777" w:rsidR="009C6940" w:rsidRDefault="009C6940" w:rsidP="009C6940">
      <w:pPr>
        <w:pStyle w:val="Heading3"/>
      </w:pPr>
      <w:r>
        <w:t>Mental health and quality-adjusted life years</w:t>
      </w:r>
    </w:p>
    <w:p w14:paraId="7193D22C" w14:textId="77777777" w:rsidR="009C6940" w:rsidRDefault="009C6940" w:rsidP="009C6940">
      <w:pPr>
        <w:pStyle w:val="BodyText"/>
      </w:pPr>
      <w:r>
        <w:t>The fourth stage of the model estimates the relationship between QALYs and mental health. Using the fitted values of the measure of mental health from the first stage equation, QALYs are regressed on mental health and other characteristics.</w:t>
      </w:r>
    </w:p>
    <w:p w14:paraId="4EF2E7E1" w14:textId="77777777" w:rsidR="009C6940" w:rsidRDefault="009C6940" w:rsidP="009C6940">
      <w:pPr>
        <w:pStyle w:val="BodyText"/>
        <w:tabs>
          <w:tab w:val="right" w:pos="8505"/>
        </w:tabs>
      </w:pPr>
      <m:oMath>
        <m:r>
          <m:rPr>
            <m:sty m:val="p"/>
          </m:rPr>
          <w:rPr>
            <w:rFonts w:ascii="Cambria Math" w:hAnsi="Cambria Math"/>
          </w:rPr>
          <m:t>QALY</m:t>
        </m:r>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ζ+κ×</m:t>
        </m:r>
        <m:acc>
          <m:accPr>
            <m:ctrlPr>
              <w:rPr>
                <w:rFonts w:ascii="Cambria Math" w:hAnsi="Cambria Math"/>
                <w:i/>
              </w:rPr>
            </m:ctrlPr>
          </m:accPr>
          <m:e>
            <m:r>
              <m:rPr>
                <m:sty m:val="p"/>
              </m:rPr>
              <w:rPr>
                <w:rFonts w:ascii="Cambria Math" w:hAnsi="Cambria Math"/>
              </w:rPr>
              <m:t>MH</m:t>
            </m:r>
          </m:e>
        </m:acc>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4</m:t>
            </m:r>
          </m:sub>
        </m:sSub>
      </m:oMath>
      <w:r>
        <w:tab/>
        <w:t>[4]</w:t>
      </w:r>
    </w:p>
    <w:p w14:paraId="57B6935B" w14:textId="77777777" w:rsidR="009C6940" w:rsidRDefault="009C6940" w:rsidP="009C6940">
      <w:pPr>
        <w:pStyle w:val="BodyText"/>
      </w:pPr>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4</m:t>
            </m:r>
          </m:sub>
        </m:sSub>
      </m:oMath>
      <w:r>
        <w:t xml:space="preserve"> is the parameter for the intercept, </w:t>
      </w:r>
      <m:oMath>
        <m:sSub>
          <m:sSubPr>
            <m:ctrlPr>
              <w:rPr>
                <w:rFonts w:ascii="Cambria Math" w:hAnsi="Cambria Math"/>
                <w:i/>
              </w:rPr>
            </m:ctrlPr>
          </m:sSubPr>
          <m:e>
            <m:r>
              <w:rPr>
                <w:rFonts w:ascii="Cambria Math" w:hAnsi="Cambria Math"/>
              </w:rPr>
              <m:t>X</m:t>
            </m:r>
          </m:e>
          <m:sub>
            <m:r>
              <w:rPr>
                <w:rFonts w:ascii="Cambria Math" w:hAnsi="Cambria Math"/>
              </w:rPr>
              <m:t>4</m:t>
            </m:r>
          </m:sub>
        </m:sSub>
      </m:oMath>
      <w:r>
        <w:t xml:space="preserve"> is a matrix of independent variables, </w:t>
      </w:r>
      <m:oMath>
        <m:r>
          <w:rPr>
            <w:rFonts w:ascii="Cambria Math" w:hAnsi="Cambria Math"/>
          </w:rPr>
          <m:t>ζ</m:t>
        </m:r>
      </m:oMath>
      <w:r>
        <w:t xml:space="preserve"> is a vector of parameters, </w:t>
      </w:r>
      <m:oMath>
        <m:r>
          <w:rPr>
            <w:rFonts w:ascii="Cambria Math" w:hAnsi="Cambria Math"/>
          </w:rPr>
          <m:t>κ</m:t>
        </m:r>
      </m:oMath>
      <w:r>
        <w:t xml:space="preserve"> is the parameter associated with the fitted value of the measure of mental health, and </w:t>
      </w:r>
      <m:oMath>
        <m:sSub>
          <m:sSubPr>
            <m:ctrlPr>
              <w:rPr>
                <w:rFonts w:ascii="Cambria Math" w:hAnsi="Cambria Math"/>
                <w:i/>
              </w:rPr>
            </m:ctrlPr>
          </m:sSubPr>
          <m:e>
            <m:r>
              <w:rPr>
                <w:rFonts w:ascii="Cambria Math" w:hAnsi="Cambria Math"/>
              </w:rPr>
              <m:t>ε</m:t>
            </m:r>
          </m:e>
          <m:sub>
            <m:r>
              <w:rPr>
                <w:rFonts w:ascii="Cambria Math" w:hAnsi="Cambria Math"/>
              </w:rPr>
              <m:t>4</m:t>
            </m:r>
          </m:sub>
        </m:sSub>
      </m:oMath>
      <w:r>
        <w:t xml:space="preserve"> is a vector of independently and identically normally distributed random variables with variance </w:t>
      </w:r>
      <m:oMath>
        <m:sSubSup>
          <m:sSubSupPr>
            <m:ctrlPr>
              <w:rPr>
                <w:rFonts w:ascii="Cambria Math" w:hAnsi="Cambria Math"/>
                <w:i/>
              </w:rPr>
            </m:ctrlPr>
          </m:sSubSupPr>
          <m:e>
            <m:r>
              <w:rPr>
                <w:rFonts w:ascii="Cambria Math" w:hAnsi="Cambria Math"/>
              </w:rPr>
              <m:t>σ</m:t>
            </m:r>
          </m:e>
          <m:sub>
            <m:r>
              <w:rPr>
                <w:rFonts w:ascii="Cambria Math" w:hAnsi="Cambria Math"/>
              </w:rPr>
              <m:t>4</m:t>
            </m:r>
          </m:sub>
          <m:sup>
            <m:r>
              <w:rPr>
                <w:rFonts w:ascii="Cambria Math" w:hAnsi="Cambria Math"/>
              </w:rPr>
              <m:t>2</m:t>
            </m:r>
          </m:sup>
        </m:sSubSup>
      </m:oMath>
      <w:r>
        <w:t>.</w:t>
      </w:r>
    </w:p>
    <w:p w14:paraId="123FE420" w14:textId="77777777" w:rsidR="009C6940" w:rsidRPr="00954A4A" w:rsidRDefault="009C6940" w:rsidP="009C6940">
      <w:pPr>
        <w:pStyle w:val="Heading3"/>
        <w:rPr>
          <w:rStyle w:val="BodyTextChar"/>
          <w:sz w:val="26"/>
        </w:rPr>
      </w:pPr>
      <w:r w:rsidRPr="00954A4A">
        <w:rPr>
          <w:rStyle w:val="BodyTextChar"/>
          <w:sz w:val="26"/>
        </w:rPr>
        <w:t>Unobserved heterogeneity</w:t>
      </w:r>
    </w:p>
    <w:p w14:paraId="381F5FD7" w14:textId="77777777" w:rsidR="009C6940" w:rsidRPr="00397963" w:rsidRDefault="009C6940" w:rsidP="009C6940">
      <w:pPr>
        <w:pStyle w:val="BodyText"/>
        <w:rPr>
          <w:rStyle w:val="BodyTextChar"/>
        </w:rPr>
      </w:pPr>
      <w:r>
        <w:rPr>
          <w:rStyle w:val="BodyTextChar"/>
        </w:rPr>
        <w:t>Another factor to consider is the unobserved heterogeneity (differences) across individuals. With linear models, this is commonly dealt with by including individual fixed effects within the model. However, with non</w:t>
      </w:r>
      <w:r>
        <w:rPr>
          <w:rStyle w:val="BodyTextChar"/>
        </w:rPr>
        <w:noBreakHyphen/>
        <w:t>linear models (</w:t>
      </w:r>
      <w:r w:rsidDel="00983805">
        <w:rPr>
          <w:rStyle w:val="BodyTextChar"/>
        </w:rPr>
        <w:t xml:space="preserve">such as </w:t>
      </w:r>
      <w:r>
        <w:rPr>
          <w:rStyle w:val="BodyTextChar"/>
        </w:rPr>
        <w:t>the multinominal logit model used here), the inclusion of individual</w:t>
      </w:r>
      <w:r>
        <w:rPr>
          <w:rStyle w:val="BodyTextChar"/>
        </w:rPr>
        <w:noBreakHyphen/>
        <w:t>specific fixed effects typically leads to the incidental parameters problem (whereby the large number of additional parameters included biases the estimates of the covariance used in estimation). One way of dealing with this in non</w:t>
      </w:r>
      <w:r>
        <w:rPr>
          <w:rStyle w:val="BodyTextChar"/>
        </w:rPr>
        <w:noBreakHyphen/>
        <w:t>linear models is to use</w:t>
      </w:r>
      <w:r w:rsidDel="0013505A">
        <w:rPr>
          <w:rStyle w:val="BodyTextChar"/>
        </w:rPr>
        <w:t xml:space="preserve"> </w:t>
      </w:r>
      <w:r>
        <w:rPr>
          <w:rStyle w:val="BodyTextChar"/>
        </w:rPr>
        <w:t>conditional maximum likelihood estimation. However, a drawback with this approach is that the unconditional predicted probabilities cannot be recovered, which are important to the analysis.</w:t>
      </w:r>
    </w:p>
    <w:p w14:paraId="26AC8822" w14:textId="77777777" w:rsidR="009C6940" w:rsidRDefault="009C6940" w:rsidP="009C6940">
      <w:pPr>
        <w:pStyle w:val="BodyText"/>
        <w:rPr>
          <w:rStyle w:val="BodyTextChar"/>
        </w:rPr>
      </w:pPr>
      <w:r>
        <w:rPr>
          <w:rStyle w:val="BodyTextChar"/>
        </w:rPr>
        <w:lastRenderedPageBreak/>
        <w:t>A Chamberlain</w:t>
      </w:r>
      <w:r>
        <w:rPr>
          <w:rStyle w:val="BodyTextChar"/>
        </w:rPr>
        <w:noBreakHyphen/>
        <w:t>Mundlak correlated random effects approach is used to account for individual heterogeneity. This requires a stronger set of assumptions than the individual fixed effects model regarding idiosyncratic shocks and unobserved individual heterogeneity. However, it affords considerable flexibility and allows for the identification of average partial effects and unconditional predicted probabilities</w:t>
      </w:r>
      <w:r>
        <w:rPr>
          <w:szCs w:val="24"/>
        </w:rPr>
        <w:t xml:space="preserve"> </w:t>
      </w:r>
      <w:r w:rsidRPr="00511054">
        <w:rPr>
          <w:szCs w:val="24"/>
        </w:rPr>
        <w:t>(Wooldridge 2019)</w:t>
      </w:r>
      <w:r>
        <w:rPr>
          <w:rStyle w:val="BodyTextChar"/>
        </w:rPr>
        <w:t>.</w:t>
      </w:r>
    </w:p>
    <w:p w14:paraId="43EF4FB3" w14:textId="77777777" w:rsidR="009C6940" w:rsidRDefault="009C6940" w:rsidP="009C6940">
      <w:pPr>
        <w:pStyle w:val="Heading3"/>
      </w:pPr>
      <w:r>
        <w:t>Bayesian methods</w:t>
      </w:r>
    </w:p>
    <w:p w14:paraId="4ED16D94" w14:textId="77777777" w:rsidR="009C6940" w:rsidRDefault="009C6940" w:rsidP="009C6940">
      <w:pPr>
        <w:pStyle w:val="BodyText"/>
      </w:pPr>
      <w:r>
        <w:t xml:space="preserve">Traditional, or frequentist, approaches to statistical inference typically calculate single ‘point’ estimates for each population parameter and the corresponding confidence intervals. Frequentist approaches assume that there are a ‘true’ set of underlying population parameters, and then construct an estimator, with errors resulting from finite sampling. Conclusions driven by a frequentist interpretation usually have a true/false conclusion resulting from statistical methods for testing hypotheses </w:t>
      </w:r>
      <w:r w:rsidRPr="0079644E">
        <w:rPr>
          <w:szCs w:val="24"/>
        </w:rPr>
        <w:t>(Wagenmakers et al. 2008)</w:t>
      </w:r>
      <w:r>
        <w:t>. As such, the probability assertions made under a frequentist approach are pre</w:t>
      </w:r>
      <w:r>
        <w:noBreakHyphen/>
        <w:t>sample. For example, a 95% confidence interval contains the true parameter value with a probability of 0.95 only before observing the data — after observing the data, the probability is either zero or one. However, confidence intervals are often incorrectly interpreted by many as a guide to post</w:t>
      </w:r>
      <w:r>
        <w:noBreakHyphen/>
        <w:t xml:space="preserve">sample uncertainty </w:t>
      </w:r>
      <w:r w:rsidRPr="002A5FB4">
        <w:rPr>
          <w:szCs w:val="24"/>
        </w:rPr>
        <w:t>(Hoekstra et al. 2014)</w:t>
      </w:r>
      <w:r>
        <w:t>.</w:t>
      </w:r>
    </w:p>
    <w:p w14:paraId="5365A1A7" w14:textId="77777777" w:rsidR="009C6940" w:rsidRDefault="009C6940" w:rsidP="009C6940">
      <w:pPr>
        <w:pStyle w:val="BodyText"/>
      </w:pPr>
      <w:r>
        <w:t xml:space="preserve">Bayesian inference treats everything as random before it is observed, and everything observed as no longer random. Unobserved parameters can be therefore be constructed as probabilistic statements that are conditional on observed data. This is one of the distinguishing features of a Bayesian approach. Bayesian inference attempts to assign probabilities to different sets of parameters, given a higher weight if they are more likely to lead to the observed data </w:t>
      </w:r>
      <w:r w:rsidRPr="0079644E">
        <w:rPr>
          <w:szCs w:val="24"/>
        </w:rPr>
        <w:t>(McElreath 2019)</w:t>
      </w:r>
      <w:r>
        <w:t>. Prior probability distributions are first specified and are then updated with information arising from the data, given the assumed model structure. The resultant probability distribution (the posterior probability distribution) can be interpreted as the distribution of possible values that a parameter can take.</w:t>
      </w:r>
    </w:p>
    <w:p w14:paraId="7CF76A2B" w14:textId="77777777" w:rsidR="009C6940" w:rsidRDefault="009C6940" w:rsidP="009C6940">
      <w:pPr>
        <w:pStyle w:val="BodyText"/>
      </w:pPr>
      <w:r>
        <w:t>For this analysis, there is not likely to exist a single ‘true’ value quantifying the benefits of the reforms recommended. As a result, Bayesian inference is used to evaluate the outcomes for many different scenarios and to assign probabilities to the likelihood of occurrence. The end product is a distribution of potential benefits and their associated credibility intervals (for example, ‘for reform X, there is a Y% chance that the labour force benefits will exceed $Z million’).</w:t>
      </w:r>
    </w:p>
    <w:p w14:paraId="3AB0E00B" w14:textId="77777777" w:rsidR="009C6940" w:rsidRPr="00954A4A" w:rsidRDefault="009C6940" w:rsidP="009C6940">
      <w:pPr>
        <w:pStyle w:val="BodyText"/>
      </w:pPr>
      <w:r w:rsidRPr="00954A4A">
        <w:t>To allow the analysis to be informed by the data, diffuse priors are used for the parameters in the model — that is, prior distributions with</w:t>
      </w:r>
      <w:r w:rsidRPr="00954A4A" w:rsidDel="00D63B2B">
        <w:t xml:space="preserve"> </w:t>
      </w:r>
      <w:r w:rsidRPr="00954A4A">
        <w:t>relatively large variances. The priors for the regression coefficients are that they are have a Normal</w:t>
      </w:r>
      <w:r>
        <w:t xml:space="preserve"> </w:t>
      </w:r>
      <w:r w:rsidRPr="00954A4A">
        <w:t>(0, 10) distribution and that</w:t>
      </w:r>
      <w:r w:rsidRPr="00954A4A" w:rsidDel="00D63B2B">
        <w:t xml:space="preserve"> </w:t>
      </w:r>
      <w:r w:rsidRPr="00954A4A">
        <w:t>the standard deviations have an Inverse Gamma</w:t>
      </w:r>
      <w:r>
        <w:t xml:space="preserve"> </w:t>
      </w:r>
      <w:r w:rsidRPr="00954A4A">
        <w:t>(0.5, 5) distribution.</w:t>
      </w:r>
    </w:p>
    <w:p w14:paraId="2E8FD98B" w14:textId="77777777" w:rsidR="009C6940" w:rsidRDefault="009C6940" w:rsidP="009C6940">
      <w:pPr>
        <w:pStyle w:val="Heading4"/>
      </w:pPr>
      <w:r>
        <w:lastRenderedPageBreak/>
        <w:t xml:space="preserve">How should parameter estimates be interpreted? </w:t>
      </w:r>
    </w:p>
    <w:p w14:paraId="5F997147" w14:textId="77777777" w:rsidR="009C6940" w:rsidRDefault="009C6940" w:rsidP="009C6940">
      <w:pPr>
        <w:pStyle w:val="BodyText"/>
      </w:pPr>
      <w:r>
        <w:t>The posterior distributions from a Bayesian</w:t>
      </w:r>
      <w:r>
        <w:noBreakHyphen/>
      </w:r>
      <w:r>
        <w:noBreakHyphen/>
        <w:t>estimated model are often simplified for presentation using summary statistics. The uncertainty associated with parameter values is often reported using the 5</w:t>
      </w:r>
      <w:r w:rsidRPr="009F29F5">
        <w:rPr>
          <w:vertAlign w:val="superscript"/>
        </w:rPr>
        <w:t>th</w:t>
      </w:r>
      <w:r>
        <w:t xml:space="preserve"> and 95</w:t>
      </w:r>
      <w:r w:rsidRPr="009F29F5">
        <w:rPr>
          <w:vertAlign w:val="superscript"/>
        </w:rPr>
        <w:t>th</w:t>
      </w:r>
      <w:r>
        <w:t xml:space="preserve"> percentiles of the posterior distribution — sometimes as a shaded area, sometimes as lines that indicate ranges. This can be interpreted as saying, ‘there is a 90% chance that the true parameter value lies in this range’.</w:t>
      </w:r>
    </w:p>
    <w:p w14:paraId="1C9B8B16" w14:textId="77777777" w:rsidR="009C6940" w:rsidRDefault="00AB0E42" w:rsidP="009C6940">
      <w:pPr>
        <w:pStyle w:val="Heading2"/>
      </w:pPr>
      <w:fldSimple w:instr=" COMMENTS  \* MERGEFORMAT " w:fldLock="1">
        <w:r w:rsidR="009C6940">
          <w:t>J.</w:t>
        </w:r>
      </w:fldSimple>
      <w:r w:rsidR="009C6940">
        <w:rPr>
          <w:noProof/>
        </w:rPr>
        <w:fldChar w:fldCharType="begin" w:fldLock="1"/>
      </w:r>
      <w:r w:rsidR="009C6940">
        <w:rPr>
          <w:noProof/>
        </w:rPr>
        <w:instrText xml:space="preserve"> SEQ Heading2 </w:instrText>
      </w:r>
      <w:r w:rsidR="009C6940">
        <w:rPr>
          <w:noProof/>
        </w:rPr>
        <w:fldChar w:fldCharType="separate"/>
      </w:r>
      <w:r w:rsidR="009C6940">
        <w:rPr>
          <w:noProof/>
        </w:rPr>
        <w:t>2</w:t>
      </w:r>
      <w:r w:rsidR="009C6940">
        <w:rPr>
          <w:noProof/>
        </w:rPr>
        <w:fldChar w:fldCharType="end"/>
      </w:r>
      <w:r w:rsidR="009C6940">
        <w:tab/>
        <w:t>Housing, Income and Labour Dynamics in Australia</w:t>
      </w:r>
    </w:p>
    <w:p w14:paraId="163379C0" w14:textId="77777777" w:rsidR="009C6940" w:rsidRDefault="009C6940" w:rsidP="009C6940">
      <w:pPr>
        <w:pStyle w:val="BodyText"/>
      </w:pPr>
      <w:r>
        <w:t>The HILDA survey is a nationally representative household panel survey, conducted annually and contains information from respondents on</w:t>
      </w:r>
      <w:r w:rsidDel="00D63B2B">
        <w:t xml:space="preserve"> </w:t>
      </w:r>
      <w:r>
        <w:t xml:space="preserve">a range of different areas including education, health, labour force status, and demography. As of May 2020, there were eighteen waves of data available, all but the first are </w:t>
      </w:r>
      <w:r w:rsidDel="00D63B2B">
        <w:t xml:space="preserve">used </w:t>
      </w:r>
      <w:r>
        <w:t>in the analysis undertaken here.</w:t>
      </w:r>
      <w:r>
        <w:rPr>
          <w:rStyle w:val="FootnoteReference"/>
        </w:rPr>
        <w:footnoteReference w:id="20"/>
      </w:r>
    </w:p>
    <w:p w14:paraId="4FD27B6A" w14:textId="77777777" w:rsidR="009C6940" w:rsidRDefault="009C6940" w:rsidP="009C6940">
      <w:pPr>
        <w:pStyle w:val="BodyText"/>
      </w:pPr>
      <w:r>
        <w:t xml:space="preserve">Following Frijters et. al. </w:t>
      </w:r>
      <w:r w:rsidRPr="000011C0">
        <w:t>(2014)</w:t>
      </w:r>
      <w:r>
        <w:t>, the analysis is focused on the Australian population aged between 21–64 years. Summary statistics for individual level characteristics are presented in table J.1. Mental health is measured using the mental component summary (box J.2).</w:t>
      </w:r>
    </w:p>
    <w:p w14:paraId="58D561FB"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21ABD66C" w14:textId="77777777" w:rsidTr="009C6940">
        <w:trPr>
          <w:tblHeader/>
        </w:trPr>
        <w:tc>
          <w:tcPr>
            <w:tcW w:w="5000" w:type="pct"/>
            <w:tcBorders>
              <w:top w:val="single" w:sz="6" w:space="0" w:color="78A22F"/>
              <w:left w:val="nil"/>
              <w:bottom w:val="nil"/>
              <w:right w:val="nil"/>
            </w:tcBorders>
            <w:shd w:val="clear" w:color="auto" w:fill="auto"/>
          </w:tcPr>
          <w:p w14:paraId="0D1CB72C" w14:textId="77777777" w:rsidR="009C6940" w:rsidRPr="00784A05" w:rsidRDefault="009C6940" w:rsidP="009C6940">
            <w:pPr>
              <w:pStyle w:val="TableTitle"/>
            </w:pPr>
            <w:r>
              <w:rPr>
                <w:b w:val="0"/>
              </w:rPr>
              <w:t>Table J.1</w:t>
            </w:r>
            <w:r>
              <w:tab/>
              <w:t>Sample means of key variables</w:t>
            </w:r>
            <w:r w:rsidRPr="00A575FF">
              <w:rPr>
                <w:rStyle w:val="NoteLabel"/>
                <w:b/>
              </w:rPr>
              <w:t>a</w:t>
            </w:r>
            <w:r>
              <w:rPr>
                <w:rStyle w:val="NoteLabel"/>
                <w:b/>
              </w:rPr>
              <w:t>,b</w:t>
            </w:r>
          </w:p>
        </w:tc>
      </w:tr>
      <w:tr w:rsidR="009C6940" w14:paraId="6DE66081" w14:textId="77777777" w:rsidTr="009C6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968"/>
              <w:gridCol w:w="1560"/>
              <w:gridCol w:w="1419"/>
              <w:gridCol w:w="1558"/>
            </w:tblGrid>
            <w:tr w:rsidR="009C6940" w14:paraId="466B0352" w14:textId="77777777" w:rsidTr="009C6940">
              <w:trPr>
                <w:tblHeader/>
              </w:trPr>
              <w:tc>
                <w:tcPr>
                  <w:tcW w:w="2333" w:type="pct"/>
                  <w:tcBorders>
                    <w:top w:val="single" w:sz="6" w:space="0" w:color="BFBFBF"/>
                    <w:bottom w:val="single" w:sz="6" w:space="0" w:color="BFBFBF"/>
                  </w:tcBorders>
                  <w:shd w:val="clear" w:color="auto" w:fill="auto"/>
                  <w:tcMar>
                    <w:top w:w="28" w:type="dxa"/>
                  </w:tcMar>
                </w:tcPr>
                <w:p w14:paraId="584DB2FE" w14:textId="77777777" w:rsidR="009C6940" w:rsidRDefault="009C6940" w:rsidP="009C6940">
                  <w:pPr>
                    <w:pStyle w:val="TableColumnHeading"/>
                    <w:jc w:val="left"/>
                  </w:pPr>
                </w:p>
              </w:tc>
              <w:tc>
                <w:tcPr>
                  <w:tcW w:w="917" w:type="pct"/>
                  <w:tcBorders>
                    <w:top w:val="single" w:sz="6" w:space="0" w:color="BFBFBF"/>
                    <w:bottom w:val="single" w:sz="6" w:space="0" w:color="BFBFBF"/>
                  </w:tcBorders>
                </w:tcPr>
                <w:p w14:paraId="37D8983C" w14:textId="77777777" w:rsidR="009C6940" w:rsidRDefault="009C6940" w:rsidP="009C6940">
                  <w:pPr>
                    <w:pStyle w:val="TableColumnHeading"/>
                  </w:pPr>
                  <w:r>
                    <w:t>All respondents</w:t>
                  </w:r>
                </w:p>
              </w:tc>
              <w:tc>
                <w:tcPr>
                  <w:tcW w:w="834" w:type="pct"/>
                  <w:tcBorders>
                    <w:top w:val="single" w:sz="6" w:space="0" w:color="BFBFBF"/>
                    <w:bottom w:val="single" w:sz="6" w:space="0" w:color="BFBFBF"/>
                  </w:tcBorders>
                  <w:shd w:val="clear" w:color="auto" w:fill="auto"/>
                  <w:tcMar>
                    <w:top w:w="28" w:type="dxa"/>
                  </w:tcMar>
                </w:tcPr>
                <w:p w14:paraId="0B550719" w14:textId="77777777" w:rsidR="009C6940" w:rsidRDefault="009C6940" w:rsidP="009C6940">
                  <w:pPr>
                    <w:pStyle w:val="TableColumnHeading"/>
                  </w:pPr>
                  <w:r>
                    <w:t xml:space="preserve">MCS </w:t>
                  </w:r>
                  <w:r w:rsidRPr="009542A3">
                    <w:t>≤</w:t>
                  </w:r>
                  <w:r>
                    <w:t xml:space="preserve"> 40</w:t>
                  </w:r>
                </w:p>
              </w:tc>
              <w:tc>
                <w:tcPr>
                  <w:tcW w:w="916" w:type="pct"/>
                  <w:tcBorders>
                    <w:top w:val="single" w:sz="6" w:space="0" w:color="BFBFBF"/>
                    <w:bottom w:val="single" w:sz="6" w:space="0" w:color="BFBFBF"/>
                  </w:tcBorders>
                  <w:shd w:val="clear" w:color="auto" w:fill="auto"/>
                  <w:tcMar>
                    <w:top w:w="28" w:type="dxa"/>
                  </w:tcMar>
                </w:tcPr>
                <w:p w14:paraId="57FE00A1" w14:textId="77777777" w:rsidR="009C6940" w:rsidRDefault="009C6940" w:rsidP="009C6940">
                  <w:pPr>
                    <w:pStyle w:val="TableColumnHeading"/>
                    <w:ind w:right="28"/>
                  </w:pPr>
                  <w:r>
                    <w:t>MCS &gt; 40</w:t>
                  </w:r>
                </w:p>
              </w:tc>
            </w:tr>
            <w:tr w:rsidR="009C6940" w14:paraId="0742C18C" w14:textId="77777777" w:rsidTr="009C6940">
              <w:tc>
                <w:tcPr>
                  <w:tcW w:w="2333" w:type="pct"/>
                  <w:tcBorders>
                    <w:top w:val="single" w:sz="6" w:space="0" w:color="BFBFBF"/>
                  </w:tcBorders>
                  <w:shd w:val="clear" w:color="auto" w:fill="auto"/>
                </w:tcPr>
                <w:p w14:paraId="126B2AAC" w14:textId="77777777" w:rsidR="009C6940" w:rsidRPr="00800743" w:rsidRDefault="009C6940" w:rsidP="009C6940">
                  <w:pPr>
                    <w:pStyle w:val="TableBodyText"/>
                    <w:spacing w:before="40"/>
                    <w:jc w:val="left"/>
                  </w:pPr>
                  <w:r>
                    <w:t>Employed</w:t>
                  </w:r>
                </w:p>
              </w:tc>
              <w:tc>
                <w:tcPr>
                  <w:tcW w:w="917" w:type="pct"/>
                  <w:tcBorders>
                    <w:top w:val="single" w:sz="6" w:space="0" w:color="BFBFBF"/>
                  </w:tcBorders>
                  <w:shd w:val="clear" w:color="auto" w:fill="auto"/>
                </w:tcPr>
                <w:p w14:paraId="3450BFB5" w14:textId="77777777" w:rsidR="009C6940" w:rsidRPr="00800743" w:rsidRDefault="009C6940" w:rsidP="009C6940">
                  <w:pPr>
                    <w:pStyle w:val="TableBodyText"/>
                    <w:spacing w:before="40"/>
                  </w:pPr>
                  <w:r w:rsidRPr="00D94E79">
                    <w:t>0.826</w:t>
                  </w:r>
                </w:p>
              </w:tc>
              <w:tc>
                <w:tcPr>
                  <w:tcW w:w="834" w:type="pct"/>
                  <w:tcBorders>
                    <w:top w:val="single" w:sz="6" w:space="0" w:color="BFBFBF"/>
                  </w:tcBorders>
                  <w:shd w:val="clear" w:color="auto" w:fill="auto"/>
                </w:tcPr>
                <w:p w14:paraId="18D75793" w14:textId="77777777" w:rsidR="009C6940" w:rsidRPr="00800743" w:rsidRDefault="009C6940" w:rsidP="009C6940">
                  <w:pPr>
                    <w:pStyle w:val="TableBodyText"/>
                    <w:spacing w:before="40"/>
                  </w:pPr>
                  <w:r w:rsidRPr="00D94E79">
                    <w:t>0.654</w:t>
                  </w:r>
                </w:p>
              </w:tc>
              <w:tc>
                <w:tcPr>
                  <w:tcW w:w="916" w:type="pct"/>
                  <w:tcBorders>
                    <w:top w:val="single" w:sz="6" w:space="0" w:color="BFBFBF"/>
                  </w:tcBorders>
                  <w:shd w:val="clear" w:color="auto" w:fill="auto"/>
                </w:tcPr>
                <w:p w14:paraId="18476D8F" w14:textId="77777777" w:rsidR="009C6940" w:rsidRPr="00800743" w:rsidRDefault="009C6940" w:rsidP="009C6940">
                  <w:pPr>
                    <w:pStyle w:val="TableBodyText"/>
                    <w:spacing w:before="40"/>
                    <w:ind w:right="28"/>
                  </w:pPr>
                  <w:r w:rsidRPr="00D94E79">
                    <w:t>0.857</w:t>
                  </w:r>
                </w:p>
              </w:tc>
            </w:tr>
            <w:tr w:rsidR="009C6940" w14:paraId="58164BE5" w14:textId="77777777" w:rsidTr="009C6940">
              <w:tc>
                <w:tcPr>
                  <w:tcW w:w="2333" w:type="pct"/>
                  <w:shd w:val="clear" w:color="auto" w:fill="auto"/>
                </w:tcPr>
                <w:p w14:paraId="2707CCFC" w14:textId="77777777" w:rsidR="009C6940" w:rsidRDefault="009C6940" w:rsidP="009C6940">
                  <w:pPr>
                    <w:pStyle w:val="TableBodyText"/>
                    <w:jc w:val="left"/>
                  </w:pPr>
                  <w:r>
                    <w:t>Full</w:t>
                  </w:r>
                  <w:r>
                    <w:noBreakHyphen/>
                    <w:t>time employment</w:t>
                  </w:r>
                </w:p>
              </w:tc>
              <w:tc>
                <w:tcPr>
                  <w:tcW w:w="917" w:type="pct"/>
                  <w:shd w:val="clear" w:color="auto" w:fill="auto"/>
                </w:tcPr>
                <w:p w14:paraId="714FB111" w14:textId="77777777" w:rsidR="009C6940" w:rsidRPr="00800743" w:rsidRDefault="009C6940" w:rsidP="009C6940">
                  <w:pPr>
                    <w:pStyle w:val="TableBodyText"/>
                  </w:pPr>
                  <w:r w:rsidRPr="00D94E79">
                    <w:t>0.606</w:t>
                  </w:r>
                </w:p>
              </w:tc>
              <w:tc>
                <w:tcPr>
                  <w:tcW w:w="834" w:type="pct"/>
                  <w:shd w:val="clear" w:color="auto" w:fill="auto"/>
                </w:tcPr>
                <w:p w14:paraId="1948CAFF" w14:textId="77777777" w:rsidR="009C6940" w:rsidRPr="00800743" w:rsidRDefault="009C6940" w:rsidP="009C6940">
                  <w:pPr>
                    <w:pStyle w:val="TableBodyText"/>
                  </w:pPr>
                  <w:r w:rsidRPr="00D94E79">
                    <w:t>0.444</w:t>
                  </w:r>
                </w:p>
              </w:tc>
              <w:tc>
                <w:tcPr>
                  <w:tcW w:w="916" w:type="pct"/>
                  <w:shd w:val="clear" w:color="auto" w:fill="auto"/>
                </w:tcPr>
                <w:p w14:paraId="18A048D1" w14:textId="77777777" w:rsidR="009C6940" w:rsidRPr="00800743" w:rsidRDefault="009C6940" w:rsidP="009C6940">
                  <w:pPr>
                    <w:pStyle w:val="TableBodyText"/>
                    <w:ind w:right="28"/>
                  </w:pPr>
                  <w:r w:rsidRPr="00D94E79">
                    <w:t>0.634</w:t>
                  </w:r>
                </w:p>
              </w:tc>
            </w:tr>
            <w:tr w:rsidR="009C6940" w14:paraId="50D20048" w14:textId="77777777" w:rsidTr="009C6940">
              <w:tc>
                <w:tcPr>
                  <w:tcW w:w="2333" w:type="pct"/>
                  <w:shd w:val="clear" w:color="auto" w:fill="auto"/>
                </w:tcPr>
                <w:p w14:paraId="6A6A8574" w14:textId="77777777" w:rsidR="009C6940" w:rsidRDefault="009C6940" w:rsidP="009C6940">
                  <w:pPr>
                    <w:pStyle w:val="TableBodyText"/>
                    <w:jc w:val="left"/>
                  </w:pPr>
                  <w:r>
                    <w:t>Part</w:t>
                  </w:r>
                  <w:r>
                    <w:noBreakHyphen/>
                    <w:t>time employment</w:t>
                  </w:r>
                </w:p>
              </w:tc>
              <w:tc>
                <w:tcPr>
                  <w:tcW w:w="917" w:type="pct"/>
                  <w:shd w:val="clear" w:color="auto" w:fill="auto"/>
                </w:tcPr>
                <w:p w14:paraId="138E973F" w14:textId="77777777" w:rsidR="009C6940" w:rsidRPr="00800743" w:rsidRDefault="009C6940" w:rsidP="009C6940">
                  <w:pPr>
                    <w:pStyle w:val="TableBodyText"/>
                  </w:pPr>
                  <w:r w:rsidRPr="00D94E79">
                    <w:t>0.221</w:t>
                  </w:r>
                </w:p>
              </w:tc>
              <w:tc>
                <w:tcPr>
                  <w:tcW w:w="834" w:type="pct"/>
                  <w:shd w:val="clear" w:color="auto" w:fill="auto"/>
                </w:tcPr>
                <w:p w14:paraId="604D1923" w14:textId="77777777" w:rsidR="009C6940" w:rsidRPr="00800743" w:rsidRDefault="009C6940" w:rsidP="009C6940">
                  <w:pPr>
                    <w:pStyle w:val="TableBodyText"/>
                  </w:pPr>
                  <w:r w:rsidRPr="00D94E79">
                    <w:t>0.211</w:t>
                  </w:r>
                </w:p>
              </w:tc>
              <w:tc>
                <w:tcPr>
                  <w:tcW w:w="916" w:type="pct"/>
                  <w:shd w:val="clear" w:color="auto" w:fill="auto"/>
                </w:tcPr>
                <w:p w14:paraId="08CA37F9" w14:textId="77777777" w:rsidR="009C6940" w:rsidRPr="00800743" w:rsidRDefault="009C6940" w:rsidP="009C6940">
                  <w:pPr>
                    <w:pStyle w:val="TableBodyText"/>
                    <w:ind w:right="28"/>
                  </w:pPr>
                  <w:r w:rsidRPr="00D94E79">
                    <w:t>0.222</w:t>
                  </w:r>
                </w:p>
              </w:tc>
            </w:tr>
            <w:tr w:rsidR="009C6940" w14:paraId="73A4F052" w14:textId="77777777" w:rsidTr="009C6940">
              <w:tc>
                <w:tcPr>
                  <w:tcW w:w="2333" w:type="pct"/>
                  <w:shd w:val="clear" w:color="auto" w:fill="auto"/>
                </w:tcPr>
                <w:p w14:paraId="2361A62C" w14:textId="77777777" w:rsidR="009C6940" w:rsidRDefault="009C6940" w:rsidP="009C6940">
                  <w:pPr>
                    <w:pStyle w:val="TableBodyText"/>
                    <w:jc w:val="left"/>
                  </w:pPr>
                  <w:r>
                    <w:t>Unemployed</w:t>
                  </w:r>
                </w:p>
              </w:tc>
              <w:tc>
                <w:tcPr>
                  <w:tcW w:w="917" w:type="pct"/>
                  <w:shd w:val="clear" w:color="auto" w:fill="auto"/>
                </w:tcPr>
                <w:p w14:paraId="74309B8E" w14:textId="77777777" w:rsidR="009C6940" w:rsidRPr="00800743" w:rsidRDefault="009C6940" w:rsidP="009C6940">
                  <w:pPr>
                    <w:pStyle w:val="TableBodyText"/>
                  </w:pPr>
                  <w:r w:rsidRPr="00D94E79">
                    <w:t>0.033</w:t>
                  </w:r>
                </w:p>
              </w:tc>
              <w:tc>
                <w:tcPr>
                  <w:tcW w:w="834" w:type="pct"/>
                  <w:shd w:val="clear" w:color="auto" w:fill="auto"/>
                </w:tcPr>
                <w:p w14:paraId="07CC91EC" w14:textId="77777777" w:rsidR="009C6940" w:rsidRPr="00800743" w:rsidRDefault="009C6940" w:rsidP="009C6940">
                  <w:pPr>
                    <w:pStyle w:val="TableBodyText"/>
                  </w:pPr>
                  <w:r w:rsidRPr="00D94E79">
                    <w:t>0.062</w:t>
                  </w:r>
                </w:p>
              </w:tc>
              <w:tc>
                <w:tcPr>
                  <w:tcW w:w="916" w:type="pct"/>
                  <w:shd w:val="clear" w:color="auto" w:fill="auto"/>
                </w:tcPr>
                <w:p w14:paraId="4E06BD9C" w14:textId="77777777" w:rsidR="009C6940" w:rsidRPr="00800743" w:rsidRDefault="009C6940" w:rsidP="009C6940">
                  <w:pPr>
                    <w:pStyle w:val="TableBodyText"/>
                    <w:ind w:right="28"/>
                  </w:pPr>
                  <w:r w:rsidRPr="00D94E79">
                    <w:t>0.028</w:t>
                  </w:r>
                </w:p>
              </w:tc>
            </w:tr>
            <w:tr w:rsidR="009C6940" w14:paraId="49BBCA7C" w14:textId="77777777" w:rsidTr="009C6940">
              <w:tc>
                <w:tcPr>
                  <w:tcW w:w="2333" w:type="pct"/>
                  <w:shd w:val="clear" w:color="auto" w:fill="auto"/>
                </w:tcPr>
                <w:p w14:paraId="19A47426" w14:textId="77777777" w:rsidR="009C6940" w:rsidRDefault="009C6940" w:rsidP="009C6940">
                  <w:pPr>
                    <w:pStyle w:val="TableBodyText"/>
                    <w:jc w:val="left"/>
                  </w:pPr>
                  <w:r>
                    <w:t>Not in the labour force</w:t>
                  </w:r>
                </w:p>
              </w:tc>
              <w:tc>
                <w:tcPr>
                  <w:tcW w:w="917" w:type="pct"/>
                  <w:shd w:val="clear" w:color="auto" w:fill="auto"/>
                </w:tcPr>
                <w:p w14:paraId="5508A11B" w14:textId="77777777" w:rsidR="009C6940" w:rsidRPr="00800743" w:rsidRDefault="009C6940" w:rsidP="009C6940">
                  <w:pPr>
                    <w:pStyle w:val="TableBodyText"/>
                  </w:pPr>
                  <w:r w:rsidRPr="00D94E79">
                    <w:t>0.141</w:t>
                  </w:r>
                </w:p>
              </w:tc>
              <w:tc>
                <w:tcPr>
                  <w:tcW w:w="834" w:type="pct"/>
                  <w:shd w:val="clear" w:color="auto" w:fill="auto"/>
                </w:tcPr>
                <w:p w14:paraId="471977B4" w14:textId="77777777" w:rsidR="009C6940" w:rsidRPr="00800743" w:rsidRDefault="009C6940" w:rsidP="009C6940">
                  <w:pPr>
                    <w:pStyle w:val="TableBodyText"/>
                  </w:pPr>
                  <w:r w:rsidRPr="00D94E79">
                    <w:t>0.283</w:t>
                  </w:r>
                </w:p>
              </w:tc>
              <w:tc>
                <w:tcPr>
                  <w:tcW w:w="916" w:type="pct"/>
                  <w:shd w:val="clear" w:color="auto" w:fill="auto"/>
                </w:tcPr>
                <w:p w14:paraId="371207A3" w14:textId="77777777" w:rsidR="009C6940" w:rsidRPr="00800743" w:rsidRDefault="009C6940" w:rsidP="009C6940">
                  <w:pPr>
                    <w:pStyle w:val="TableBodyText"/>
                    <w:ind w:right="28"/>
                  </w:pPr>
                  <w:r w:rsidRPr="00D94E79">
                    <w:t>0.116</w:t>
                  </w:r>
                </w:p>
              </w:tc>
            </w:tr>
            <w:tr w:rsidR="009C6940" w14:paraId="51AB4E90" w14:textId="77777777" w:rsidTr="009C6940">
              <w:tc>
                <w:tcPr>
                  <w:tcW w:w="2333" w:type="pct"/>
                  <w:shd w:val="clear" w:color="auto" w:fill="auto"/>
                </w:tcPr>
                <w:p w14:paraId="4453E1D2" w14:textId="77777777" w:rsidR="009C6940" w:rsidRDefault="009C6940" w:rsidP="009C6940">
                  <w:pPr>
                    <w:pStyle w:val="TableBodyText"/>
                    <w:jc w:val="left"/>
                  </w:pPr>
                  <w:r>
                    <w:t>Unemployment history</w:t>
                  </w:r>
                </w:p>
              </w:tc>
              <w:tc>
                <w:tcPr>
                  <w:tcW w:w="917" w:type="pct"/>
                  <w:shd w:val="clear" w:color="auto" w:fill="auto"/>
                </w:tcPr>
                <w:p w14:paraId="610B08E8" w14:textId="77777777" w:rsidR="009C6940" w:rsidRPr="00800743" w:rsidRDefault="009C6940" w:rsidP="009C6940">
                  <w:pPr>
                    <w:pStyle w:val="TableBodyText"/>
                  </w:pPr>
                  <w:r w:rsidRPr="00D94E79">
                    <w:t>0.043</w:t>
                  </w:r>
                </w:p>
              </w:tc>
              <w:tc>
                <w:tcPr>
                  <w:tcW w:w="834" w:type="pct"/>
                  <w:shd w:val="clear" w:color="auto" w:fill="auto"/>
                </w:tcPr>
                <w:p w14:paraId="7F61A164" w14:textId="77777777" w:rsidR="009C6940" w:rsidRPr="00800743" w:rsidRDefault="009C6940" w:rsidP="009C6940">
                  <w:pPr>
                    <w:pStyle w:val="TableBodyText"/>
                  </w:pPr>
                  <w:r w:rsidRPr="00D94E79">
                    <w:t>0.072</w:t>
                  </w:r>
                </w:p>
              </w:tc>
              <w:tc>
                <w:tcPr>
                  <w:tcW w:w="916" w:type="pct"/>
                  <w:shd w:val="clear" w:color="auto" w:fill="auto"/>
                </w:tcPr>
                <w:p w14:paraId="5F7975DB" w14:textId="77777777" w:rsidR="009C6940" w:rsidRPr="00800743" w:rsidRDefault="009C6940" w:rsidP="009C6940">
                  <w:pPr>
                    <w:pStyle w:val="TableBodyText"/>
                    <w:ind w:right="28"/>
                  </w:pPr>
                  <w:r w:rsidRPr="00D94E79">
                    <w:t>0.038</w:t>
                  </w:r>
                </w:p>
              </w:tc>
            </w:tr>
            <w:tr w:rsidR="009C6940" w14:paraId="36EA24C6" w14:textId="77777777" w:rsidTr="009C6940">
              <w:tc>
                <w:tcPr>
                  <w:tcW w:w="2333" w:type="pct"/>
                  <w:shd w:val="clear" w:color="auto" w:fill="auto"/>
                </w:tcPr>
                <w:p w14:paraId="33F1DBC1" w14:textId="77777777" w:rsidR="009C6940" w:rsidRDefault="009C6940" w:rsidP="009C6940">
                  <w:pPr>
                    <w:pStyle w:val="TableBodyText"/>
                    <w:jc w:val="left"/>
                  </w:pPr>
                </w:p>
              </w:tc>
              <w:tc>
                <w:tcPr>
                  <w:tcW w:w="917" w:type="pct"/>
                  <w:shd w:val="clear" w:color="auto" w:fill="auto"/>
                </w:tcPr>
                <w:p w14:paraId="6088551A" w14:textId="77777777" w:rsidR="009C6940" w:rsidRPr="00800743" w:rsidRDefault="009C6940" w:rsidP="009C6940">
                  <w:pPr>
                    <w:pStyle w:val="TableBodyText"/>
                  </w:pPr>
                </w:p>
              </w:tc>
              <w:tc>
                <w:tcPr>
                  <w:tcW w:w="834" w:type="pct"/>
                  <w:shd w:val="clear" w:color="auto" w:fill="auto"/>
                </w:tcPr>
                <w:p w14:paraId="6935A60D" w14:textId="77777777" w:rsidR="009C6940" w:rsidRPr="00800743" w:rsidRDefault="009C6940" w:rsidP="009C6940">
                  <w:pPr>
                    <w:pStyle w:val="TableBodyText"/>
                  </w:pPr>
                </w:p>
              </w:tc>
              <w:tc>
                <w:tcPr>
                  <w:tcW w:w="916" w:type="pct"/>
                  <w:shd w:val="clear" w:color="auto" w:fill="auto"/>
                </w:tcPr>
                <w:p w14:paraId="4A30383C" w14:textId="77777777" w:rsidR="009C6940" w:rsidRPr="00800743" w:rsidRDefault="009C6940" w:rsidP="009C6940">
                  <w:pPr>
                    <w:pStyle w:val="TableBodyText"/>
                    <w:ind w:right="28"/>
                  </w:pPr>
                </w:p>
              </w:tc>
            </w:tr>
            <w:tr w:rsidR="009C6940" w14:paraId="7103DD78" w14:textId="77777777" w:rsidTr="009C6940">
              <w:tc>
                <w:tcPr>
                  <w:tcW w:w="2333" w:type="pct"/>
                  <w:shd w:val="clear" w:color="auto" w:fill="auto"/>
                </w:tcPr>
                <w:p w14:paraId="4F9184A3" w14:textId="77777777" w:rsidR="009C6940" w:rsidRDefault="009C6940" w:rsidP="009C6940">
                  <w:pPr>
                    <w:pStyle w:val="TableBodyText"/>
                    <w:jc w:val="left"/>
                  </w:pPr>
                  <w:r>
                    <w:t>Mental component summary (MCS)</w:t>
                  </w:r>
                </w:p>
              </w:tc>
              <w:tc>
                <w:tcPr>
                  <w:tcW w:w="917" w:type="pct"/>
                  <w:shd w:val="clear" w:color="auto" w:fill="auto"/>
                </w:tcPr>
                <w:p w14:paraId="1C9A50B6" w14:textId="77777777" w:rsidR="009C6940" w:rsidRPr="00800743" w:rsidRDefault="009C6940" w:rsidP="009C6940">
                  <w:pPr>
                    <w:pStyle w:val="TableBodyText"/>
                  </w:pPr>
                  <w:r w:rsidRPr="00557536">
                    <w:t>50.498</w:t>
                  </w:r>
                </w:p>
              </w:tc>
              <w:tc>
                <w:tcPr>
                  <w:tcW w:w="834" w:type="pct"/>
                  <w:shd w:val="clear" w:color="auto" w:fill="auto"/>
                </w:tcPr>
                <w:p w14:paraId="67171461" w14:textId="77777777" w:rsidR="009C6940" w:rsidRPr="00800743" w:rsidRDefault="009C6940" w:rsidP="009C6940">
                  <w:pPr>
                    <w:pStyle w:val="TableBodyText"/>
                  </w:pPr>
                  <w:r w:rsidRPr="00557536">
                    <w:t>32.287</w:t>
                  </w:r>
                </w:p>
              </w:tc>
              <w:tc>
                <w:tcPr>
                  <w:tcW w:w="916" w:type="pct"/>
                  <w:shd w:val="clear" w:color="auto" w:fill="auto"/>
                </w:tcPr>
                <w:p w14:paraId="7B75CB44" w14:textId="77777777" w:rsidR="009C6940" w:rsidRDefault="009C6940" w:rsidP="009C6940">
                  <w:pPr>
                    <w:pStyle w:val="TableBodyText"/>
                    <w:ind w:right="28"/>
                  </w:pPr>
                  <w:r w:rsidRPr="00557536">
                    <w:t>53.694</w:t>
                  </w:r>
                </w:p>
              </w:tc>
            </w:tr>
            <w:tr w:rsidR="009C6940" w14:paraId="51884B73" w14:textId="77777777" w:rsidTr="009C6940">
              <w:tc>
                <w:tcPr>
                  <w:tcW w:w="2333" w:type="pct"/>
                  <w:shd w:val="clear" w:color="auto" w:fill="auto"/>
                </w:tcPr>
                <w:p w14:paraId="3C5448D8" w14:textId="77777777" w:rsidR="009C6940" w:rsidRDefault="009C6940" w:rsidP="009C6940">
                  <w:pPr>
                    <w:pStyle w:val="TableBodyText"/>
                    <w:jc w:val="left"/>
                  </w:pPr>
                  <w:r>
                    <w:t>Physical component summary (PCS)</w:t>
                  </w:r>
                </w:p>
              </w:tc>
              <w:tc>
                <w:tcPr>
                  <w:tcW w:w="917" w:type="pct"/>
                  <w:shd w:val="clear" w:color="auto" w:fill="auto"/>
                </w:tcPr>
                <w:p w14:paraId="087B50E0" w14:textId="77777777" w:rsidR="009C6940" w:rsidRPr="00800743" w:rsidRDefault="009C6940" w:rsidP="009C6940">
                  <w:pPr>
                    <w:pStyle w:val="TableBodyText"/>
                  </w:pPr>
                  <w:r w:rsidRPr="00557536">
                    <w:t>51.816</w:t>
                  </w:r>
                </w:p>
              </w:tc>
              <w:tc>
                <w:tcPr>
                  <w:tcW w:w="834" w:type="pct"/>
                  <w:shd w:val="clear" w:color="auto" w:fill="auto"/>
                </w:tcPr>
                <w:p w14:paraId="7DDA6302" w14:textId="77777777" w:rsidR="009C6940" w:rsidRPr="00800743" w:rsidRDefault="009C6940" w:rsidP="009C6940">
                  <w:pPr>
                    <w:pStyle w:val="TableBodyText"/>
                  </w:pPr>
                  <w:r w:rsidRPr="00557536">
                    <w:t>42.163</w:t>
                  </w:r>
                </w:p>
              </w:tc>
              <w:tc>
                <w:tcPr>
                  <w:tcW w:w="916" w:type="pct"/>
                  <w:shd w:val="clear" w:color="auto" w:fill="auto"/>
                </w:tcPr>
                <w:p w14:paraId="3E15486D" w14:textId="77777777" w:rsidR="009C6940" w:rsidRDefault="009C6940" w:rsidP="009C6940">
                  <w:pPr>
                    <w:pStyle w:val="TableBodyText"/>
                    <w:ind w:right="28"/>
                  </w:pPr>
                  <w:r w:rsidRPr="00557536">
                    <w:t>53.509</w:t>
                  </w:r>
                </w:p>
              </w:tc>
            </w:tr>
            <w:tr w:rsidR="009C6940" w14:paraId="0547D78F" w14:textId="77777777" w:rsidTr="009C6940">
              <w:tc>
                <w:tcPr>
                  <w:tcW w:w="2333" w:type="pct"/>
                  <w:shd w:val="clear" w:color="auto" w:fill="auto"/>
                </w:tcPr>
                <w:p w14:paraId="74C34A0C" w14:textId="77777777" w:rsidR="009C6940" w:rsidRDefault="009C6940" w:rsidP="009C6940">
                  <w:pPr>
                    <w:pStyle w:val="TableBodyText"/>
                    <w:jc w:val="left"/>
                  </w:pPr>
                  <w:r>
                    <w:t>Utility weight (quality</w:t>
                  </w:r>
                  <w:r>
                    <w:noBreakHyphen/>
                    <w:t>adjusted life years)</w:t>
                  </w:r>
                </w:p>
              </w:tc>
              <w:tc>
                <w:tcPr>
                  <w:tcW w:w="917" w:type="pct"/>
                  <w:shd w:val="clear" w:color="auto" w:fill="auto"/>
                </w:tcPr>
                <w:p w14:paraId="02FCB54F" w14:textId="77777777" w:rsidR="009C6940" w:rsidRPr="00800743" w:rsidRDefault="009C6940" w:rsidP="009C6940">
                  <w:pPr>
                    <w:pStyle w:val="TableBodyText"/>
                  </w:pPr>
                  <w:r w:rsidRPr="00557536">
                    <w:t>0.683</w:t>
                  </w:r>
                </w:p>
              </w:tc>
              <w:tc>
                <w:tcPr>
                  <w:tcW w:w="834" w:type="pct"/>
                  <w:shd w:val="clear" w:color="auto" w:fill="auto"/>
                </w:tcPr>
                <w:p w14:paraId="33C4506C" w14:textId="77777777" w:rsidR="009C6940" w:rsidRPr="00800743" w:rsidRDefault="009C6940" w:rsidP="009C6940">
                  <w:pPr>
                    <w:pStyle w:val="TableBodyText"/>
                  </w:pPr>
                  <w:r w:rsidRPr="00557536">
                    <w:t>0.347</w:t>
                  </w:r>
                </w:p>
              </w:tc>
              <w:tc>
                <w:tcPr>
                  <w:tcW w:w="916" w:type="pct"/>
                  <w:shd w:val="clear" w:color="auto" w:fill="auto"/>
                </w:tcPr>
                <w:p w14:paraId="0D4E05F9" w14:textId="77777777" w:rsidR="009C6940" w:rsidRPr="00800743" w:rsidRDefault="009C6940" w:rsidP="009C6940">
                  <w:pPr>
                    <w:pStyle w:val="TableBodyText"/>
                    <w:ind w:right="28"/>
                  </w:pPr>
                  <w:r w:rsidRPr="00557536">
                    <w:t>0.742</w:t>
                  </w:r>
                </w:p>
              </w:tc>
            </w:tr>
            <w:tr w:rsidR="009C6940" w14:paraId="50A8BFFE" w14:textId="77777777" w:rsidTr="009C6940">
              <w:tc>
                <w:tcPr>
                  <w:tcW w:w="2333" w:type="pct"/>
                  <w:shd w:val="clear" w:color="auto" w:fill="auto"/>
                  <w:vAlign w:val="bottom"/>
                </w:tcPr>
                <w:p w14:paraId="302541F9" w14:textId="77777777" w:rsidR="009C6940" w:rsidRDefault="009C6940" w:rsidP="009C6940">
                  <w:pPr>
                    <w:pStyle w:val="TableBodyText"/>
                    <w:jc w:val="left"/>
                  </w:pPr>
                </w:p>
              </w:tc>
              <w:tc>
                <w:tcPr>
                  <w:tcW w:w="917" w:type="pct"/>
                  <w:shd w:val="clear" w:color="auto" w:fill="auto"/>
                  <w:vAlign w:val="bottom"/>
                </w:tcPr>
                <w:p w14:paraId="2060A9B4" w14:textId="77777777" w:rsidR="009C6940" w:rsidRPr="00800743" w:rsidRDefault="009C6940" w:rsidP="009C6940">
                  <w:pPr>
                    <w:pStyle w:val="TableBodyText"/>
                  </w:pPr>
                </w:p>
              </w:tc>
              <w:tc>
                <w:tcPr>
                  <w:tcW w:w="834" w:type="pct"/>
                  <w:shd w:val="clear" w:color="auto" w:fill="auto"/>
                  <w:vAlign w:val="bottom"/>
                </w:tcPr>
                <w:p w14:paraId="375B135E" w14:textId="77777777" w:rsidR="009C6940" w:rsidRPr="00800743" w:rsidRDefault="009C6940" w:rsidP="009C6940">
                  <w:pPr>
                    <w:pStyle w:val="TableBodyText"/>
                  </w:pPr>
                </w:p>
              </w:tc>
              <w:tc>
                <w:tcPr>
                  <w:tcW w:w="916" w:type="pct"/>
                  <w:shd w:val="clear" w:color="auto" w:fill="auto"/>
                  <w:vAlign w:val="bottom"/>
                </w:tcPr>
                <w:p w14:paraId="3C02C0BC" w14:textId="77777777" w:rsidR="009C6940" w:rsidRPr="00800743" w:rsidRDefault="009C6940" w:rsidP="009C6940">
                  <w:pPr>
                    <w:pStyle w:val="TableBodyText"/>
                    <w:ind w:right="28"/>
                  </w:pPr>
                </w:p>
              </w:tc>
            </w:tr>
            <w:tr w:rsidR="009C6940" w14:paraId="476EF2D7" w14:textId="77777777" w:rsidTr="009C6940">
              <w:tc>
                <w:tcPr>
                  <w:tcW w:w="2333" w:type="pct"/>
                  <w:shd w:val="clear" w:color="auto" w:fill="auto"/>
                  <w:vAlign w:val="bottom"/>
                </w:tcPr>
                <w:p w14:paraId="74DA48FD" w14:textId="77777777" w:rsidR="009C6940" w:rsidRDefault="009C6940" w:rsidP="009C6940">
                  <w:pPr>
                    <w:pStyle w:val="TableBodyText"/>
                    <w:jc w:val="left"/>
                  </w:pPr>
                  <w:r>
                    <w:t>F</w:t>
                  </w:r>
                  <w:r w:rsidRPr="00800743">
                    <w:t>emale</w:t>
                  </w:r>
                </w:p>
              </w:tc>
              <w:tc>
                <w:tcPr>
                  <w:tcW w:w="917" w:type="pct"/>
                  <w:shd w:val="clear" w:color="auto" w:fill="auto"/>
                </w:tcPr>
                <w:p w14:paraId="752F0A51" w14:textId="77777777" w:rsidR="009C6940" w:rsidRPr="00800743" w:rsidRDefault="009C6940" w:rsidP="009C6940">
                  <w:pPr>
                    <w:pStyle w:val="TableBodyText"/>
                  </w:pPr>
                  <w:r w:rsidRPr="00E557D1">
                    <w:t>0.513</w:t>
                  </w:r>
                </w:p>
              </w:tc>
              <w:tc>
                <w:tcPr>
                  <w:tcW w:w="834" w:type="pct"/>
                  <w:shd w:val="clear" w:color="auto" w:fill="auto"/>
                </w:tcPr>
                <w:p w14:paraId="28ABC1BC" w14:textId="77777777" w:rsidR="009C6940" w:rsidRPr="00800743" w:rsidRDefault="009C6940" w:rsidP="009C6940">
                  <w:pPr>
                    <w:pStyle w:val="TableBodyText"/>
                  </w:pPr>
                  <w:r w:rsidRPr="00E557D1">
                    <w:t>0.583</w:t>
                  </w:r>
                </w:p>
              </w:tc>
              <w:tc>
                <w:tcPr>
                  <w:tcW w:w="916" w:type="pct"/>
                  <w:shd w:val="clear" w:color="auto" w:fill="auto"/>
                </w:tcPr>
                <w:p w14:paraId="603409F5" w14:textId="77777777" w:rsidR="009C6940" w:rsidRPr="00800743" w:rsidRDefault="009C6940" w:rsidP="009C6940">
                  <w:pPr>
                    <w:pStyle w:val="TableBodyText"/>
                    <w:ind w:right="28"/>
                  </w:pPr>
                  <w:r w:rsidRPr="00E557D1">
                    <w:t>0.501</w:t>
                  </w:r>
                </w:p>
              </w:tc>
            </w:tr>
            <w:tr w:rsidR="009C6940" w14:paraId="0769B2C5" w14:textId="77777777" w:rsidTr="009C6940">
              <w:tc>
                <w:tcPr>
                  <w:tcW w:w="2333" w:type="pct"/>
                  <w:shd w:val="clear" w:color="auto" w:fill="auto"/>
                </w:tcPr>
                <w:p w14:paraId="0666FF18" w14:textId="77777777" w:rsidR="009C6940" w:rsidRDefault="009C6940" w:rsidP="009C6940">
                  <w:pPr>
                    <w:pStyle w:val="TableBodyText"/>
                    <w:jc w:val="left"/>
                  </w:pPr>
                  <w:r>
                    <w:t>Age (single</w:t>
                  </w:r>
                  <w:r>
                    <w:noBreakHyphen/>
                    <w:t>year)</w:t>
                  </w:r>
                </w:p>
              </w:tc>
              <w:tc>
                <w:tcPr>
                  <w:tcW w:w="917" w:type="pct"/>
                  <w:shd w:val="clear" w:color="auto" w:fill="auto"/>
                </w:tcPr>
                <w:p w14:paraId="3854FF28" w14:textId="77777777" w:rsidR="009C6940" w:rsidRPr="00800743" w:rsidRDefault="009C6940" w:rsidP="009C6940">
                  <w:pPr>
                    <w:pStyle w:val="TableBodyText"/>
                  </w:pPr>
                  <w:r>
                    <w:t>40.290</w:t>
                  </w:r>
                </w:p>
              </w:tc>
              <w:tc>
                <w:tcPr>
                  <w:tcW w:w="834" w:type="pct"/>
                  <w:shd w:val="clear" w:color="auto" w:fill="auto"/>
                </w:tcPr>
                <w:p w14:paraId="2FCD674A" w14:textId="77777777" w:rsidR="009C6940" w:rsidRPr="00800743" w:rsidRDefault="009C6940" w:rsidP="009C6940">
                  <w:pPr>
                    <w:pStyle w:val="TableBodyText"/>
                  </w:pPr>
                  <w:r>
                    <w:t>39.860</w:t>
                  </w:r>
                </w:p>
              </w:tc>
              <w:tc>
                <w:tcPr>
                  <w:tcW w:w="916" w:type="pct"/>
                  <w:shd w:val="clear" w:color="auto" w:fill="auto"/>
                </w:tcPr>
                <w:p w14:paraId="76005FD7" w14:textId="77777777" w:rsidR="009C6940" w:rsidRPr="00800743" w:rsidRDefault="009C6940" w:rsidP="009C6940">
                  <w:pPr>
                    <w:pStyle w:val="TableBodyText"/>
                    <w:ind w:right="28"/>
                  </w:pPr>
                  <w:r>
                    <w:t>40.370</w:t>
                  </w:r>
                </w:p>
              </w:tc>
            </w:tr>
            <w:tr w:rsidR="009C6940" w14:paraId="07956D2E" w14:textId="77777777" w:rsidTr="009C6940">
              <w:tc>
                <w:tcPr>
                  <w:tcW w:w="2333" w:type="pct"/>
                  <w:shd w:val="clear" w:color="auto" w:fill="auto"/>
                </w:tcPr>
                <w:p w14:paraId="7CFBE630" w14:textId="77777777" w:rsidR="009C6940" w:rsidRDefault="009C6940" w:rsidP="009C6940">
                  <w:pPr>
                    <w:pStyle w:val="TableBodyText"/>
                    <w:jc w:val="left"/>
                  </w:pPr>
                </w:p>
              </w:tc>
              <w:tc>
                <w:tcPr>
                  <w:tcW w:w="917" w:type="pct"/>
                  <w:shd w:val="clear" w:color="auto" w:fill="auto"/>
                </w:tcPr>
                <w:p w14:paraId="66BAA93C" w14:textId="77777777" w:rsidR="009C6940" w:rsidRPr="00800743" w:rsidRDefault="009C6940" w:rsidP="009C6940">
                  <w:pPr>
                    <w:pStyle w:val="TableBodyText"/>
                  </w:pPr>
                </w:p>
              </w:tc>
              <w:tc>
                <w:tcPr>
                  <w:tcW w:w="834" w:type="pct"/>
                  <w:shd w:val="clear" w:color="auto" w:fill="auto"/>
                </w:tcPr>
                <w:p w14:paraId="21FB4EEC" w14:textId="77777777" w:rsidR="009C6940" w:rsidRPr="00800743" w:rsidRDefault="009C6940" w:rsidP="009C6940">
                  <w:pPr>
                    <w:pStyle w:val="TableBodyText"/>
                  </w:pPr>
                </w:p>
              </w:tc>
              <w:tc>
                <w:tcPr>
                  <w:tcW w:w="916" w:type="pct"/>
                  <w:shd w:val="clear" w:color="auto" w:fill="auto"/>
                </w:tcPr>
                <w:p w14:paraId="410F6B55" w14:textId="77777777" w:rsidR="009C6940" w:rsidRPr="00800743" w:rsidRDefault="009C6940" w:rsidP="009C6940">
                  <w:pPr>
                    <w:pStyle w:val="TableBodyText"/>
                    <w:ind w:right="28"/>
                  </w:pPr>
                </w:p>
              </w:tc>
            </w:tr>
            <w:tr w:rsidR="009C6940" w14:paraId="22B904D5" w14:textId="77777777" w:rsidTr="009C6940">
              <w:tc>
                <w:tcPr>
                  <w:tcW w:w="2333" w:type="pct"/>
                  <w:shd w:val="clear" w:color="auto" w:fill="auto"/>
                </w:tcPr>
                <w:p w14:paraId="0A8A3443" w14:textId="77777777" w:rsidR="009C6940" w:rsidRDefault="009C6940" w:rsidP="009C6940">
                  <w:pPr>
                    <w:pStyle w:val="TableBodyText"/>
                    <w:jc w:val="left"/>
                  </w:pPr>
                  <w:r>
                    <w:t>Highest qualification – University degree</w:t>
                  </w:r>
                </w:p>
              </w:tc>
              <w:tc>
                <w:tcPr>
                  <w:tcW w:w="917" w:type="pct"/>
                  <w:shd w:val="clear" w:color="auto" w:fill="auto"/>
                </w:tcPr>
                <w:p w14:paraId="7303AACE" w14:textId="77777777" w:rsidR="009C6940" w:rsidRPr="00800743" w:rsidRDefault="009C6940" w:rsidP="009C6940">
                  <w:pPr>
                    <w:pStyle w:val="TableBodyText"/>
                  </w:pPr>
                  <w:r w:rsidRPr="00A70ED2">
                    <w:t>0.318</w:t>
                  </w:r>
                </w:p>
              </w:tc>
              <w:tc>
                <w:tcPr>
                  <w:tcW w:w="834" w:type="pct"/>
                  <w:shd w:val="clear" w:color="auto" w:fill="auto"/>
                </w:tcPr>
                <w:p w14:paraId="6EBC9113" w14:textId="77777777" w:rsidR="009C6940" w:rsidRPr="00800743" w:rsidRDefault="009C6940" w:rsidP="009C6940">
                  <w:pPr>
                    <w:pStyle w:val="TableBodyText"/>
                  </w:pPr>
                  <w:r w:rsidRPr="00A70ED2">
                    <w:t>0.259</w:t>
                  </w:r>
                </w:p>
              </w:tc>
              <w:tc>
                <w:tcPr>
                  <w:tcW w:w="916" w:type="pct"/>
                  <w:shd w:val="clear" w:color="auto" w:fill="auto"/>
                </w:tcPr>
                <w:p w14:paraId="53168A00" w14:textId="77777777" w:rsidR="009C6940" w:rsidRPr="00800743" w:rsidRDefault="009C6940" w:rsidP="009C6940">
                  <w:pPr>
                    <w:pStyle w:val="TableBodyText"/>
                    <w:ind w:right="28"/>
                  </w:pPr>
                  <w:r w:rsidRPr="00A70ED2">
                    <w:t>0.329</w:t>
                  </w:r>
                </w:p>
              </w:tc>
            </w:tr>
            <w:tr w:rsidR="009C6940" w14:paraId="0EA05BD3" w14:textId="77777777" w:rsidTr="009C6940">
              <w:tc>
                <w:tcPr>
                  <w:tcW w:w="2333" w:type="pct"/>
                  <w:shd w:val="clear" w:color="auto" w:fill="auto"/>
                </w:tcPr>
                <w:p w14:paraId="2EFB2942" w14:textId="77777777" w:rsidR="009C6940" w:rsidRDefault="009C6940" w:rsidP="009C6940">
                  <w:pPr>
                    <w:pStyle w:val="TableBodyText"/>
                    <w:jc w:val="left"/>
                  </w:pPr>
                  <w:r>
                    <w:t>Highest qualification – Diploma/certificate</w:t>
                  </w:r>
                </w:p>
              </w:tc>
              <w:tc>
                <w:tcPr>
                  <w:tcW w:w="917" w:type="pct"/>
                  <w:shd w:val="clear" w:color="auto" w:fill="auto"/>
                </w:tcPr>
                <w:p w14:paraId="746AA68F" w14:textId="77777777" w:rsidR="009C6940" w:rsidRPr="00800743" w:rsidRDefault="009C6940" w:rsidP="009C6940">
                  <w:pPr>
                    <w:pStyle w:val="TableBodyText"/>
                  </w:pPr>
                  <w:r w:rsidRPr="00A70ED2">
                    <w:t>0.327</w:t>
                  </w:r>
                </w:p>
              </w:tc>
              <w:tc>
                <w:tcPr>
                  <w:tcW w:w="834" w:type="pct"/>
                  <w:shd w:val="clear" w:color="auto" w:fill="auto"/>
                </w:tcPr>
                <w:p w14:paraId="3A84B722" w14:textId="77777777" w:rsidR="009C6940" w:rsidRPr="00800743" w:rsidRDefault="009C6940" w:rsidP="009C6940">
                  <w:pPr>
                    <w:pStyle w:val="TableBodyText"/>
                  </w:pPr>
                  <w:r w:rsidRPr="00A70ED2">
                    <w:t>0.331</w:t>
                  </w:r>
                </w:p>
              </w:tc>
              <w:tc>
                <w:tcPr>
                  <w:tcW w:w="916" w:type="pct"/>
                  <w:shd w:val="clear" w:color="auto" w:fill="auto"/>
                </w:tcPr>
                <w:p w14:paraId="10725E82" w14:textId="77777777" w:rsidR="009C6940" w:rsidRPr="00800743" w:rsidRDefault="009C6940" w:rsidP="009C6940">
                  <w:pPr>
                    <w:pStyle w:val="TableBodyText"/>
                    <w:ind w:right="28"/>
                  </w:pPr>
                  <w:r w:rsidRPr="00A70ED2">
                    <w:t>0.326</w:t>
                  </w:r>
                </w:p>
              </w:tc>
            </w:tr>
            <w:tr w:rsidR="009C6940" w14:paraId="4A4963C2" w14:textId="77777777" w:rsidTr="009C6940">
              <w:tc>
                <w:tcPr>
                  <w:tcW w:w="2333" w:type="pct"/>
                  <w:shd w:val="clear" w:color="auto" w:fill="auto"/>
                </w:tcPr>
                <w:p w14:paraId="38EF62C7" w14:textId="77777777" w:rsidR="009C6940" w:rsidRDefault="009C6940" w:rsidP="009C6940">
                  <w:pPr>
                    <w:pStyle w:val="TableBodyText"/>
                    <w:jc w:val="left"/>
                  </w:pPr>
                  <w:r>
                    <w:t xml:space="preserve">Highest qualification – Year 12 </w:t>
                  </w:r>
                </w:p>
              </w:tc>
              <w:tc>
                <w:tcPr>
                  <w:tcW w:w="917" w:type="pct"/>
                  <w:shd w:val="clear" w:color="auto" w:fill="auto"/>
                </w:tcPr>
                <w:p w14:paraId="52AD3DD0" w14:textId="77777777" w:rsidR="009C6940" w:rsidRPr="00800743" w:rsidRDefault="009C6940" w:rsidP="009C6940">
                  <w:pPr>
                    <w:pStyle w:val="TableBodyText"/>
                  </w:pPr>
                  <w:r w:rsidRPr="00A70ED2">
                    <w:t>0.158</w:t>
                  </w:r>
                </w:p>
              </w:tc>
              <w:tc>
                <w:tcPr>
                  <w:tcW w:w="834" w:type="pct"/>
                  <w:shd w:val="clear" w:color="auto" w:fill="auto"/>
                </w:tcPr>
                <w:p w14:paraId="5B294661" w14:textId="77777777" w:rsidR="009C6940" w:rsidRPr="00800743" w:rsidRDefault="009C6940" w:rsidP="009C6940">
                  <w:pPr>
                    <w:pStyle w:val="TableBodyText"/>
                  </w:pPr>
                  <w:r w:rsidRPr="00A70ED2">
                    <w:t>0.164</w:t>
                  </w:r>
                </w:p>
              </w:tc>
              <w:tc>
                <w:tcPr>
                  <w:tcW w:w="916" w:type="pct"/>
                  <w:shd w:val="clear" w:color="auto" w:fill="auto"/>
                </w:tcPr>
                <w:p w14:paraId="597DCDB4" w14:textId="77777777" w:rsidR="009C6940" w:rsidRPr="00800743" w:rsidRDefault="009C6940" w:rsidP="009C6940">
                  <w:pPr>
                    <w:pStyle w:val="TableBodyText"/>
                    <w:ind w:right="28"/>
                  </w:pPr>
                  <w:r w:rsidRPr="00A70ED2">
                    <w:t>0.157</w:t>
                  </w:r>
                </w:p>
              </w:tc>
            </w:tr>
            <w:tr w:rsidR="009C6940" w14:paraId="7E015623" w14:textId="77777777" w:rsidTr="009C6940">
              <w:tc>
                <w:tcPr>
                  <w:tcW w:w="2333" w:type="pct"/>
                  <w:shd w:val="clear" w:color="auto" w:fill="auto"/>
                </w:tcPr>
                <w:p w14:paraId="7C84DC7E" w14:textId="77777777" w:rsidR="009C6940" w:rsidRDefault="009C6940" w:rsidP="009C6940">
                  <w:pPr>
                    <w:pStyle w:val="TableBodyText"/>
                    <w:jc w:val="left"/>
                  </w:pPr>
                </w:p>
              </w:tc>
              <w:tc>
                <w:tcPr>
                  <w:tcW w:w="917" w:type="pct"/>
                  <w:shd w:val="clear" w:color="auto" w:fill="auto"/>
                </w:tcPr>
                <w:p w14:paraId="100BD7DF" w14:textId="77777777" w:rsidR="009C6940" w:rsidRPr="00800743" w:rsidRDefault="009C6940" w:rsidP="009C6940">
                  <w:pPr>
                    <w:pStyle w:val="TableBodyText"/>
                  </w:pPr>
                </w:p>
              </w:tc>
              <w:tc>
                <w:tcPr>
                  <w:tcW w:w="834" w:type="pct"/>
                  <w:shd w:val="clear" w:color="auto" w:fill="auto"/>
                </w:tcPr>
                <w:p w14:paraId="3165307F" w14:textId="77777777" w:rsidR="009C6940" w:rsidRPr="00800743" w:rsidRDefault="009C6940" w:rsidP="009C6940">
                  <w:pPr>
                    <w:pStyle w:val="TableBodyText"/>
                  </w:pPr>
                </w:p>
              </w:tc>
              <w:tc>
                <w:tcPr>
                  <w:tcW w:w="916" w:type="pct"/>
                  <w:shd w:val="clear" w:color="auto" w:fill="auto"/>
                </w:tcPr>
                <w:p w14:paraId="1202519B" w14:textId="77777777" w:rsidR="009C6940" w:rsidRPr="00800743" w:rsidRDefault="009C6940" w:rsidP="009C6940">
                  <w:pPr>
                    <w:pStyle w:val="TableBodyText"/>
                    <w:ind w:right="28"/>
                  </w:pPr>
                </w:p>
              </w:tc>
            </w:tr>
            <w:tr w:rsidR="009C6940" w14:paraId="382268E3" w14:textId="77777777" w:rsidTr="009C6940">
              <w:tc>
                <w:tcPr>
                  <w:tcW w:w="2333" w:type="pct"/>
                  <w:shd w:val="clear" w:color="auto" w:fill="auto"/>
                </w:tcPr>
                <w:p w14:paraId="14526AB6" w14:textId="77777777" w:rsidR="009C6940" w:rsidRDefault="009C6940" w:rsidP="009C6940">
                  <w:pPr>
                    <w:pStyle w:val="TableBodyText"/>
                    <w:jc w:val="left"/>
                  </w:pPr>
                  <w:r>
                    <w:t>Married</w:t>
                  </w:r>
                </w:p>
              </w:tc>
              <w:tc>
                <w:tcPr>
                  <w:tcW w:w="917" w:type="pct"/>
                  <w:shd w:val="clear" w:color="auto" w:fill="auto"/>
                </w:tcPr>
                <w:p w14:paraId="38D49478" w14:textId="77777777" w:rsidR="009C6940" w:rsidRPr="00800743" w:rsidRDefault="009C6940" w:rsidP="009C6940">
                  <w:pPr>
                    <w:pStyle w:val="TableBodyText"/>
                  </w:pPr>
                  <w:r w:rsidRPr="00AE1910">
                    <w:t>0.688</w:t>
                  </w:r>
                </w:p>
              </w:tc>
              <w:tc>
                <w:tcPr>
                  <w:tcW w:w="834" w:type="pct"/>
                  <w:shd w:val="clear" w:color="auto" w:fill="auto"/>
                </w:tcPr>
                <w:p w14:paraId="4E509CF4" w14:textId="77777777" w:rsidR="009C6940" w:rsidRPr="00800743" w:rsidRDefault="009C6940" w:rsidP="009C6940">
                  <w:pPr>
                    <w:pStyle w:val="TableBodyText"/>
                  </w:pPr>
                  <w:r w:rsidRPr="00AE1910">
                    <w:t>0.561</w:t>
                  </w:r>
                </w:p>
              </w:tc>
              <w:tc>
                <w:tcPr>
                  <w:tcW w:w="916" w:type="pct"/>
                  <w:shd w:val="clear" w:color="auto" w:fill="auto"/>
                </w:tcPr>
                <w:p w14:paraId="05A222EC" w14:textId="77777777" w:rsidR="009C6940" w:rsidRPr="00800743" w:rsidRDefault="009C6940" w:rsidP="009C6940">
                  <w:pPr>
                    <w:pStyle w:val="TableBodyText"/>
                    <w:ind w:right="28"/>
                  </w:pPr>
                  <w:r w:rsidRPr="00AE1910">
                    <w:t>0.711</w:t>
                  </w:r>
                </w:p>
              </w:tc>
            </w:tr>
            <w:tr w:rsidR="009C6940" w14:paraId="6C46DAE6" w14:textId="77777777" w:rsidTr="009C6940">
              <w:tc>
                <w:tcPr>
                  <w:tcW w:w="2333" w:type="pct"/>
                  <w:shd w:val="clear" w:color="auto" w:fill="auto"/>
                </w:tcPr>
                <w:p w14:paraId="1B1EAC4D" w14:textId="77777777" w:rsidR="009C6940" w:rsidRDefault="009C6940" w:rsidP="009C6940">
                  <w:pPr>
                    <w:pStyle w:val="TableBodyText"/>
                    <w:jc w:val="left"/>
                  </w:pPr>
                  <w:r>
                    <w:t>Divorced</w:t>
                  </w:r>
                </w:p>
              </w:tc>
              <w:tc>
                <w:tcPr>
                  <w:tcW w:w="917" w:type="pct"/>
                  <w:shd w:val="clear" w:color="auto" w:fill="auto"/>
                </w:tcPr>
                <w:p w14:paraId="02C4C5AA" w14:textId="77777777" w:rsidR="009C6940" w:rsidRPr="00800743" w:rsidRDefault="009C6940" w:rsidP="009C6940">
                  <w:pPr>
                    <w:pStyle w:val="TableBodyText"/>
                  </w:pPr>
                  <w:r w:rsidRPr="00AE1910">
                    <w:t>0.089</w:t>
                  </w:r>
                </w:p>
              </w:tc>
              <w:tc>
                <w:tcPr>
                  <w:tcW w:w="834" w:type="pct"/>
                  <w:shd w:val="clear" w:color="auto" w:fill="auto"/>
                </w:tcPr>
                <w:p w14:paraId="51DFCD5E" w14:textId="77777777" w:rsidR="009C6940" w:rsidRPr="00800743" w:rsidRDefault="009C6940" w:rsidP="009C6940">
                  <w:pPr>
                    <w:pStyle w:val="TableBodyText"/>
                  </w:pPr>
                  <w:r w:rsidRPr="00AE1910">
                    <w:t>0.148</w:t>
                  </w:r>
                </w:p>
              </w:tc>
              <w:tc>
                <w:tcPr>
                  <w:tcW w:w="916" w:type="pct"/>
                  <w:shd w:val="clear" w:color="auto" w:fill="auto"/>
                </w:tcPr>
                <w:p w14:paraId="11D67B5A" w14:textId="77777777" w:rsidR="009C6940" w:rsidRPr="00800743" w:rsidRDefault="009C6940" w:rsidP="009C6940">
                  <w:pPr>
                    <w:pStyle w:val="TableBodyText"/>
                    <w:ind w:right="28"/>
                  </w:pPr>
                  <w:r w:rsidRPr="00AE1910">
                    <w:t>0.079</w:t>
                  </w:r>
                </w:p>
              </w:tc>
            </w:tr>
            <w:tr w:rsidR="009C6940" w14:paraId="55959509" w14:textId="77777777" w:rsidTr="009C6940">
              <w:tc>
                <w:tcPr>
                  <w:tcW w:w="2333" w:type="pct"/>
                  <w:shd w:val="clear" w:color="auto" w:fill="auto"/>
                </w:tcPr>
                <w:p w14:paraId="75489406" w14:textId="77777777" w:rsidR="009C6940" w:rsidRDefault="009C6940" w:rsidP="009C6940">
                  <w:pPr>
                    <w:pStyle w:val="TableBodyText"/>
                    <w:jc w:val="left"/>
                  </w:pPr>
                  <w:r>
                    <w:t>Lives in regional area</w:t>
                  </w:r>
                </w:p>
              </w:tc>
              <w:tc>
                <w:tcPr>
                  <w:tcW w:w="917" w:type="pct"/>
                  <w:shd w:val="clear" w:color="auto" w:fill="auto"/>
                </w:tcPr>
                <w:p w14:paraId="7C63AEB9" w14:textId="77777777" w:rsidR="009C6940" w:rsidRDefault="009C6940" w:rsidP="009C6940">
                  <w:pPr>
                    <w:pStyle w:val="TableBodyText"/>
                  </w:pPr>
                  <w:r w:rsidRPr="00AE1910">
                    <w:t>0.295</w:t>
                  </w:r>
                </w:p>
              </w:tc>
              <w:tc>
                <w:tcPr>
                  <w:tcW w:w="834" w:type="pct"/>
                  <w:shd w:val="clear" w:color="auto" w:fill="auto"/>
                </w:tcPr>
                <w:p w14:paraId="1732FBDA" w14:textId="77777777" w:rsidR="009C6940" w:rsidRDefault="009C6940" w:rsidP="009C6940">
                  <w:pPr>
                    <w:pStyle w:val="TableBodyText"/>
                  </w:pPr>
                  <w:r w:rsidRPr="00AE1910">
                    <w:t>0.304</w:t>
                  </w:r>
                </w:p>
              </w:tc>
              <w:tc>
                <w:tcPr>
                  <w:tcW w:w="916" w:type="pct"/>
                  <w:shd w:val="clear" w:color="auto" w:fill="auto"/>
                </w:tcPr>
                <w:p w14:paraId="19F48B6D" w14:textId="77777777" w:rsidR="009C6940" w:rsidRDefault="009C6940" w:rsidP="009C6940">
                  <w:pPr>
                    <w:pStyle w:val="TableBodyText"/>
                    <w:ind w:right="28"/>
                  </w:pPr>
                  <w:r w:rsidRPr="00AE1910">
                    <w:t>0.294</w:t>
                  </w:r>
                </w:p>
              </w:tc>
            </w:tr>
            <w:tr w:rsidR="009C6940" w14:paraId="25BE1969" w14:textId="77777777" w:rsidTr="009C6940">
              <w:tc>
                <w:tcPr>
                  <w:tcW w:w="2333" w:type="pct"/>
                  <w:shd w:val="clear" w:color="auto" w:fill="auto"/>
                </w:tcPr>
                <w:p w14:paraId="66835C33" w14:textId="77777777" w:rsidR="009C6940" w:rsidRPr="00800743" w:rsidRDefault="009C6940" w:rsidP="009C6940">
                  <w:pPr>
                    <w:pStyle w:val="TableBodyText"/>
                    <w:jc w:val="left"/>
                  </w:pPr>
                  <w:r>
                    <w:t>Aboriginal or Torres Strait Islander</w:t>
                  </w:r>
                </w:p>
              </w:tc>
              <w:tc>
                <w:tcPr>
                  <w:tcW w:w="917" w:type="pct"/>
                  <w:shd w:val="clear" w:color="auto" w:fill="auto"/>
                </w:tcPr>
                <w:p w14:paraId="5874F9E0" w14:textId="77777777" w:rsidR="009C6940" w:rsidRPr="00800743" w:rsidRDefault="009C6940" w:rsidP="009C6940">
                  <w:pPr>
                    <w:pStyle w:val="TableBodyText"/>
                  </w:pPr>
                  <w:r w:rsidRPr="00AE1910">
                    <w:t>0.020</w:t>
                  </w:r>
                </w:p>
              </w:tc>
              <w:tc>
                <w:tcPr>
                  <w:tcW w:w="834" w:type="pct"/>
                  <w:shd w:val="clear" w:color="auto" w:fill="auto"/>
                </w:tcPr>
                <w:p w14:paraId="1AA2EF0D" w14:textId="77777777" w:rsidR="009C6940" w:rsidRPr="00800743" w:rsidRDefault="009C6940" w:rsidP="009C6940">
                  <w:pPr>
                    <w:pStyle w:val="TableBodyText"/>
                  </w:pPr>
                  <w:r w:rsidRPr="00AE1910">
                    <w:t>0.032</w:t>
                  </w:r>
                </w:p>
              </w:tc>
              <w:tc>
                <w:tcPr>
                  <w:tcW w:w="916" w:type="pct"/>
                  <w:shd w:val="clear" w:color="auto" w:fill="auto"/>
                </w:tcPr>
                <w:p w14:paraId="77B9960B" w14:textId="77777777" w:rsidR="009C6940" w:rsidRPr="00800743" w:rsidRDefault="009C6940" w:rsidP="009C6940">
                  <w:pPr>
                    <w:pStyle w:val="TableBodyText"/>
                    <w:ind w:right="28"/>
                  </w:pPr>
                  <w:r w:rsidRPr="00AE1910">
                    <w:t>0.018</w:t>
                  </w:r>
                </w:p>
              </w:tc>
            </w:tr>
            <w:tr w:rsidR="009C6940" w14:paraId="4BBE2110" w14:textId="77777777" w:rsidTr="009C6940">
              <w:tc>
                <w:tcPr>
                  <w:tcW w:w="2333" w:type="pct"/>
                  <w:shd w:val="clear" w:color="auto" w:fill="auto"/>
                </w:tcPr>
                <w:p w14:paraId="08E19CE7" w14:textId="77777777" w:rsidR="009C6940" w:rsidRPr="00800743" w:rsidRDefault="009C6940" w:rsidP="009C6940">
                  <w:pPr>
                    <w:pStyle w:val="TableBodyText"/>
                    <w:jc w:val="left"/>
                  </w:pPr>
                  <w:r>
                    <w:t>Non</w:t>
                  </w:r>
                  <w:r>
                    <w:noBreakHyphen/>
                    <w:t>English speaking background</w:t>
                  </w:r>
                </w:p>
              </w:tc>
              <w:tc>
                <w:tcPr>
                  <w:tcW w:w="917" w:type="pct"/>
                  <w:shd w:val="clear" w:color="auto" w:fill="auto"/>
                </w:tcPr>
                <w:p w14:paraId="524CEF88" w14:textId="77777777" w:rsidR="009C6940" w:rsidRPr="00800743" w:rsidRDefault="009C6940" w:rsidP="009C6940">
                  <w:pPr>
                    <w:pStyle w:val="TableBodyText"/>
                  </w:pPr>
                  <w:r w:rsidRPr="00AE1910">
                    <w:t>0.170</w:t>
                  </w:r>
                </w:p>
              </w:tc>
              <w:tc>
                <w:tcPr>
                  <w:tcW w:w="834" w:type="pct"/>
                  <w:shd w:val="clear" w:color="auto" w:fill="auto"/>
                </w:tcPr>
                <w:p w14:paraId="6C8E1549" w14:textId="77777777" w:rsidR="009C6940" w:rsidRPr="00800743" w:rsidRDefault="009C6940" w:rsidP="009C6940">
                  <w:pPr>
                    <w:pStyle w:val="TableBodyText"/>
                  </w:pPr>
                  <w:r w:rsidRPr="00AE1910">
                    <w:t>0.155</w:t>
                  </w:r>
                </w:p>
              </w:tc>
              <w:tc>
                <w:tcPr>
                  <w:tcW w:w="916" w:type="pct"/>
                  <w:shd w:val="clear" w:color="auto" w:fill="auto"/>
                </w:tcPr>
                <w:p w14:paraId="21D38C67" w14:textId="77777777" w:rsidR="009C6940" w:rsidRPr="00800743" w:rsidRDefault="009C6940" w:rsidP="009C6940">
                  <w:pPr>
                    <w:pStyle w:val="TableBodyText"/>
                    <w:ind w:right="28"/>
                  </w:pPr>
                  <w:r w:rsidRPr="00AE1910">
                    <w:t>0.173</w:t>
                  </w:r>
                </w:p>
              </w:tc>
            </w:tr>
            <w:tr w:rsidR="009C6940" w14:paraId="5E3E486B" w14:textId="77777777" w:rsidTr="009C6940">
              <w:tc>
                <w:tcPr>
                  <w:tcW w:w="2333" w:type="pct"/>
                  <w:shd w:val="clear" w:color="auto" w:fill="auto"/>
                </w:tcPr>
                <w:p w14:paraId="58072DE4" w14:textId="77777777" w:rsidR="009C6940" w:rsidRPr="00800743" w:rsidRDefault="009C6940" w:rsidP="009C6940">
                  <w:pPr>
                    <w:pStyle w:val="TableBodyText"/>
                    <w:jc w:val="left"/>
                  </w:pPr>
                  <w:r>
                    <w:t>Currently studying</w:t>
                  </w:r>
                </w:p>
              </w:tc>
              <w:tc>
                <w:tcPr>
                  <w:tcW w:w="917" w:type="pct"/>
                  <w:shd w:val="clear" w:color="auto" w:fill="auto"/>
                </w:tcPr>
                <w:p w14:paraId="26785DD2" w14:textId="77777777" w:rsidR="009C6940" w:rsidRPr="00800743" w:rsidRDefault="009C6940" w:rsidP="009C6940">
                  <w:pPr>
                    <w:pStyle w:val="TableBodyText"/>
                  </w:pPr>
                  <w:r w:rsidRPr="00AE1910">
                    <w:t>0.045</w:t>
                  </w:r>
                </w:p>
              </w:tc>
              <w:tc>
                <w:tcPr>
                  <w:tcW w:w="834" w:type="pct"/>
                  <w:shd w:val="clear" w:color="auto" w:fill="auto"/>
                </w:tcPr>
                <w:p w14:paraId="72B3FA88" w14:textId="77777777" w:rsidR="009C6940" w:rsidRPr="00800743" w:rsidRDefault="009C6940" w:rsidP="009C6940">
                  <w:pPr>
                    <w:pStyle w:val="TableBodyText"/>
                  </w:pPr>
                  <w:r w:rsidRPr="00AE1910">
                    <w:t>0.049</w:t>
                  </w:r>
                </w:p>
              </w:tc>
              <w:tc>
                <w:tcPr>
                  <w:tcW w:w="916" w:type="pct"/>
                  <w:shd w:val="clear" w:color="auto" w:fill="auto"/>
                </w:tcPr>
                <w:p w14:paraId="7D9F2AEA" w14:textId="77777777" w:rsidR="009C6940" w:rsidRPr="00800743" w:rsidRDefault="009C6940" w:rsidP="009C6940">
                  <w:pPr>
                    <w:pStyle w:val="TableBodyText"/>
                    <w:ind w:right="28"/>
                  </w:pPr>
                  <w:r w:rsidRPr="00AE1910">
                    <w:t>0.044</w:t>
                  </w:r>
                </w:p>
              </w:tc>
            </w:tr>
            <w:tr w:rsidR="009C6940" w14:paraId="73FCBAB5" w14:textId="77777777" w:rsidTr="009C6940">
              <w:tc>
                <w:tcPr>
                  <w:tcW w:w="2333" w:type="pct"/>
                  <w:shd w:val="clear" w:color="auto" w:fill="auto"/>
                </w:tcPr>
                <w:p w14:paraId="166D22FD" w14:textId="77777777" w:rsidR="009C6940" w:rsidRDefault="009C6940" w:rsidP="009C6940">
                  <w:pPr>
                    <w:pStyle w:val="TableBodyText"/>
                    <w:jc w:val="left"/>
                  </w:pPr>
                </w:p>
              </w:tc>
              <w:tc>
                <w:tcPr>
                  <w:tcW w:w="917" w:type="pct"/>
                  <w:shd w:val="clear" w:color="auto" w:fill="auto"/>
                </w:tcPr>
                <w:p w14:paraId="73E40FE2" w14:textId="77777777" w:rsidR="009C6940" w:rsidRPr="00800743" w:rsidRDefault="009C6940" w:rsidP="009C6940">
                  <w:pPr>
                    <w:pStyle w:val="TableBodyText"/>
                  </w:pPr>
                </w:p>
              </w:tc>
              <w:tc>
                <w:tcPr>
                  <w:tcW w:w="834" w:type="pct"/>
                  <w:shd w:val="clear" w:color="auto" w:fill="auto"/>
                </w:tcPr>
                <w:p w14:paraId="0F42585A" w14:textId="77777777" w:rsidR="009C6940" w:rsidRPr="00800743" w:rsidRDefault="009C6940" w:rsidP="009C6940">
                  <w:pPr>
                    <w:pStyle w:val="TableBodyText"/>
                  </w:pPr>
                </w:p>
              </w:tc>
              <w:tc>
                <w:tcPr>
                  <w:tcW w:w="916" w:type="pct"/>
                  <w:shd w:val="clear" w:color="auto" w:fill="auto"/>
                </w:tcPr>
                <w:p w14:paraId="7F4422EC" w14:textId="77777777" w:rsidR="009C6940" w:rsidRPr="00800743" w:rsidRDefault="009C6940" w:rsidP="009C6940">
                  <w:pPr>
                    <w:pStyle w:val="TableBodyText"/>
                    <w:ind w:right="28"/>
                  </w:pPr>
                </w:p>
              </w:tc>
            </w:tr>
            <w:tr w:rsidR="009C6940" w14:paraId="449A79EF" w14:textId="77777777" w:rsidTr="009C6940">
              <w:tc>
                <w:tcPr>
                  <w:tcW w:w="2333" w:type="pct"/>
                  <w:shd w:val="clear" w:color="auto" w:fill="auto"/>
                </w:tcPr>
                <w:p w14:paraId="41939F13" w14:textId="77777777" w:rsidR="009C6940" w:rsidRPr="00800743" w:rsidRDefault="009C6940" w:rsidP="009C6940">
                  <w:pPr>
                    <w:pStyle w:val="TableBodyText"/>
                    <w:jc w:val="left"/>
                  </w:pPr>
                  <w:r>
                    <w:t xml:space="preserve">Number of children between ages </w:t>
                  </w:r>
                  <w:r w:rsidRPr="00800743">
                    <w:t>0</w:t>
                  </w:r>
                  <w:r>
                    <w:t>–</w:t>
                  </w:r>
                  <w:r w:rsidRPr="00800743">
                    <w:t>4</w:t>
                  </w:r>
                  <w:r>
                    <w:t> years</w:t>
                  </w:r>
                </w:p>
              </w:tc>
              <w:tc>
                <w:tcPr>
                  <w:tcW w:w="917" w:type="pct"/>
                  <w:shd w:val="clear" w:color="auto" w:fill="auto"/>
                </w:tcPr>
                <w:p w14:paraId="574A7657" w14:textId="77777777" w:rsidR="009C6940" w:rsidRPr="00800743" w:rsidRDefault="009C6940" w:rsidP="009C6940">
                  <w:pPr>
                    <w:pStyle w:val="TableBodyText"/>
                  </w:pPr>
                  <w:r w:rsidRPr="0019790A">
                    <w:t>0.229</w:t>
                  </w:r>
                </w:p>
              </w:tc>
              <w:tc>
                <w:tcPr>
                  <w:tcW w:w="834" w:type="pct"/>
                  <w:shd w:val="clear" w:color="auto" w:fill="auto"/>
                </w:tcPr>
                <w:p w14:paraId="5EAACAA9" w14:textId="77777777" w:rsidR="009C6940" w:rsidRPr="00800743" w:rsidRDefault="009C6940" w:rsidP="009C6940">
                  <w:pPr>
                    <w:pStyle w:val="TableBodyText"/>
                  </w:pPr>
                  <w:r w:rsidRPr="0019790A">
                    <w:t>0.203</w:t>
                  </w:r>
                </w:p>
              </w:tc>
              <w:tc>
                <w:tcPr>
                  <w:tcW w:w="916" w:type="pct"/>
                  <w:shd w:val="clear" w:color="auto" w:fill="auto"/>
                </w:tcPr>
                <w:p w14:paraId="592D942D" w14:textId="77777777" w:rsidR="009C6940" w:rsidRPr="00800743" w:rsidRDefault="009C6940" w:rsidP="009C6940">
                  <w:pPr>
                    <w:pStyle w:val="TableBodyText"/>
                    <w:ind w:right="28"/>
                  </w:pPr>
                  <w:r w:rsidRPr="0019790A">
                    <w:t>0.233</w:t>
                  </w:r>
                </w:p>
              </w:tc>
            </w:tr>
            <w:tr w:rsidR="009C6940" w14:paraId="37B92315" w14:textId="77777777" w:rsidTr="009C6940">
              <w:tc>
                <w:tcPr>
                  <w:tcW w:w="2333" w:type="pct"/>
                  <w:shd w:val="clear" w:color="auto" w:fill="auto"/>
                </w:tcPr>
                <w:p w14:paraId="75449BC4" w14:textId="77777777" w:rsidR="009C6940" w:rsidRPr="00800743" w:rsidRDefault="009C6940" w:rsidP="009C6940">
                  <w:pPr>
                    <w:pStyle w:val="TableBodyText"/>
                    <w:jc w:val="left"/>
                  </w:pPr>
                  <w:r>
                    <w:t>Number of children between ages 5–14 years</w:t>
                  </w:r>
                </w:p>
              </w:tc>
              <w:tc>
                <w:tcPr>
                  <w:tcW w:w="917" w:type="pct"/>
                  <w:shd w:val="clear" w:color="auto" w:fill="auto"/>
                </w:tcPr>
                <w:p w14:paraId="64189527" w14:textId="77777777" w:rsidR="009C6940" w:rsidRPr="00800743" w:rsidRDefault="009C6940" w:rsidP="009C6940">
                  <w:pPr>
                    <w:pStyle w:val="TableBodyText"/>
                  </w:pPr>
                  <w:r w:rsidRPr="0019790A">
                    <w:t>0.415</w:t>
                  </w:r>
                </w:p>
              </w:tc>
              <w:tc>
                <w:tcPr>
                  <w:tcW w:w="834" w:type="pct"/>
                  <w:shd w:val="clear" w:color="auto" w:fill="auto"/>
                </w:tcPr>
                <w:p w14:paraId="1E1EE930" w14:textId="77777777" w:rsidR="009C6940" w:rsidRPr="00800743" w:rsidRDefault="009C6940" w:rsidP="009C6940">
                  <w:pPr>
                    <w:pStyle w:val="TableBodyText"/>
                  </w:pPr>
                  <w:r w:rsidRPr="0019790A">
                    <w:t>0.403</w:t>
                  </w:r>
                </w:p>
              </w:tc>
              <w:tc>
                <w:tcPr>
                  <w:tcW w:w="916" w:type="pct"/>
                  <w:shd w:val="clear" w:color="auto" w:fill="auto"/>
                </w:tcPr>
                <w:p w14:paraId="22E49F1F" w14:textId="77777777" w:rsidR="009C6940" w:rsidRPr="00800743" w:rsidRDefault="009C6940" w:rsidP="009C6940">
                  <w:pPr>
                    <w:pStyle w:val="TableBodyText"/>
                    <w:ind w:right="28"/>
                  </w:pPr>
                  <w:r w:rsidRPr="0019790A">
                    <w:t>0.417</w:t>
                  </w:r>
                </w:p>
              </w:tc>
            </w:tr>
            <w:tr w:rsidR="009C6940" w14:paraId="72B50BCE" w14:textId="77777777" w:rsidTr="009C6940">
              <w:tc>
                <w:tcPr>
                  <w:tcW w:w="2333" w:type="pct"/>
                  <w:shd w:val="clear" w:color="auto" w:fill="auto"/>
                  <w:vAlign w:val="bottom"/>
                </w:tcPr>
                <w:p w14:paraId="5483A6A8" w14:textId="77777777" w:rsidR="009C6940" w:rsidRDefault="009C6940" w:rsidP="009C6940">
                  <w:pPr>
                    <w:pStyle w:val="TableBodyText"/>
                    <w:jc w:val="left"/>
                  </w:pPr>
                  <w:r>
                    <w:t>Number of children between ages 15–24 years</w:t>
                  </w:r>
                </w:p>
              </w:tc>
              <w:tc>
                <w:tcPr>
                  <w:tcW w:w="917" w:type="pct"/>
                </w:tcPr>
                <w:p w14:paraId="599D668D" w14:textId="77777777" w:rsidR="009C6940" w:rsidRDefault="009C6940" w:rsidP="009C6940">
                  <w:pPr>
                    <w:pStyle w:val="TableBodyText"/>
                  </w:pPr>
                  <w:r w:rsidRPr="0019790A">
                    <w:t>0.305</w:t>
                  </w:r>
                </w:p>
              </w:tc>
              <w:tc>
                <w:tcPr>
                  <w:tcW w:w="834" w:type="pct"/>
                  <w:shd w:val="clear" w:color="auto" w:fill="auto"/>
                </w:tcPr>
                <w:p w14:paraId="0674222B" w14:textId="77777777" w:rsidR="009C6940" w:rsidRDefault="009C6940" w:rsidP="009C6940">
                  <w:pPr>
                    <w:pStyle w:val="TableBodyText"/>
                  </w:pPr>
                  <w:r w:rsidRPr="0019790A">
                    <w:t>0.310</w:t>
                  </w:r>
                </w:p>
              </w:tc>
              <w:tc>
                <w:tcPr>
                  <w:tcW w:w="916" w:type="pct"/>
                  <w:shd w:val="clear" w:color="auto" w:fill="auto"/>
                </w:tcPr>
                <w:p w14:paraId="304F7129" w14:textId="77777777" w:rsidR="009C6940" w:rsidRDefault="009C6940" w:rsidP="009C6940">
                  <w:pPr>
                    <w:pStyle w:val="TableBodyText"/>
                    <w:ind w:right="28"/>
                  </w:pPr>
                  <w:r w:rsidRPr="0019790A">
                    <w:t>0.304</w:t>
                  </w:r>
                </w:p>
              </w:tc>
            </w:tr>
            <w:tr w:rsidR="009C6940" w14:paraId="051634E8" w14:textId="77777777" w:rsidTr="009C6940">
              <w:tc>
                <w:tcPr>
                  <w:tcW w:w="2333" w:type="pct"/>
                  <w:shd w:val="clear" w:color="auto" w:fill="auto"/>
                  <w:vAlign w:val="bottom"/>
                </w:tcPr>
                <w:p w14:paraId="2692DCD7" w14:textId="77777777" w:rsidR="009C6940" w:rsidRDefault="009C6940" w:rsidP="009C6940">
                  <w:pPr>
                    <w:pStyle w:val="TableBodyText"/>
                    <w:jc w:val="left"/>
                  </w:pPr>
                </w:p>
              </w:tc>
              <w:tc>
                <w:tcPr>
                  <w:tcW w:w="917" w:type="pct"/>
                  <w:vAlign w:val="bottom"/>
                </w:tcPr>
                <w:p w14:paraId="6B2EF972" w14:textId="77777777" w:rsidR="009C6940" w:rsidRPr="00800743" w:rsidRDefault="009C6940" w:rsidP="009C6940">
                  <w:pPr>
                    <w:pStyle w:val="TableBodyText"/>
                  </w:pPr>
                </w:p>
              </w:tc>
              <w:tc>
                <w:tcPr>
                  <w:tcW w:w="834" w:type="pct"/>
                  <w:shd w:val="clear" w:color="auto" w:fill="auto"/>
                  <w:vAlign w:val="bottom"/>
                </w:tcPr>
                <w:p w14:paraId="04248659" w14:textId="77777777" w:rsidR="009C6940" w:rsidRPr="00800743" w:rsidRDefault="009C6940" w:rsidP="009C6940">
                  <w:pPr>
                    <w:pStyle w:val="TableBodyText"/>
                  </w:pPr>
                </w:p>
              </w:tc>
              <w:tc>
                <w:tcPr>
                  <w:tcW w:w="916" w:type="pct"/>
                  <w:shd w:val="clear" w:color="auto" w:fill="auto"/>
                  <w:vAlign w:val="bottom"/>
                </w:tcPr>
                <w:p w14:paraId="0842C898" w14:textId="77777777" w:rsidR="009C6940" w:rsidRPr="00800743" w:rsidRDefault="009C6940" w:rsidP="009C6940">
                  <w:pPr>
                    <w:pStyle w:val="TableBodyText"/>
                    <w:ind w:right="28"/>
                  </w:pPr>
                </w:p>
              </w:tc>
            </w:tr>
            <w:tr w:rsidR="009C6940" w14:paraId="54624E0F" w14:textId="77777777" w:rsidTr="009C6940">
              <w:tc>
                <w:tcPr>
                  <w:tcW w:w="2333" w:type="pct"/>
                  <w:shd w:val="clear" w:color="auto" w:fill="auto"/>
                  <w:vAlign w:val="bottom"/>
                </w:tcPr>
                <w:p w14:paraId="3FF858E9" w14:textId="77777777" w:rsidR="009C6940" w:rsidRDefault="009C6940" w:rsidP="009C6940">
                  <w:pPr>
                    <w:pStyle w:val="TableBodyText"/>
                    <w:jc w:val="left"/>
                  </w:pPr>
                  <w:r>
                    <w:t>Many friends</w:t>
                  </w:r>
                </w:p>
              </w:tc>
              <w:tc>
                <w:tcPr>
                  <w:tcW w:w="917" w:type="pct"/>
                </w:tcPr>
                <w:p w14:paraId="3577B810" w14:textId="77777777" w:rsidR="009C6940" w:rsidRDefault="009C6940" w:rsidP="009C6940">
                  <w:pPr>
                    <w:pStyle w:val="TableBodyText"/>
                  </w:pPr>
                  <w:r w:rsidRPr="00EA483B">
                    <w:t>4.422</w:t>
                  </w:r>
                </w:p>
              </w:tc>
              <w:tc>
                <w:tcPr>
                  <w:tcW w:w="834" w:type="pct"/>
                  <w:shd w:val="clear" w:color="auto" w:fill="auto"/>
                </w:tcPr>
                <w:p w14:paraId="4CDD1A59" w14:textId="77777777" w:rsidR="009C6940" w:rsidRDefault="009C6940" w:rsidP="009C6940">
                  <w:pPr>
                    <w:pStyle w:val="TableBodyText"/>
                  </w:pPr>
                  <w:r w:rsidRPr="00EA483B">
                    <w:t>3.644</w:t>
                  </w:r>
                </w:p>
              </w:tc>
              <w:tc>
                <w:tcPr>
                  <w:tcW w:w="916" w:type="pct"/>
                  <w:shd w:val="clear" w:color="auto" w:fill="auto"/>
                </w:tcPr>
                <w:p w14:paraId="5948AEAF" w14:textId="77777777" w:rsidR="009C6940" w:rsidRDefault="009C6940" w:rsidP="009C6940">
                  <w:pPr>
                    <w:pStyle w:val="TableBodyText"/>
                    <w:ind w:right="28"/>
                  </w:pPr>
                  <w:r w:rsidRPr="00EA483B">
                    <w:t>4.559</w:t>
                  </w:r>
                </w:p>
              </w:tc>
            </w:tr>
            <w:tr w:rsidR="009C6940" w14:paraId="0313F857" w14:textId="77777777" w:rsidTr="009C6940">
              <w:tc>
                <w:tcPr>
                  <w:tcW w:w="2333" w:type="pct"/>
                  <w:shd w:val="clear" w:color="auto" w:fill="auto"/>
                  <w:vAlign w:val="bottom"/>
                </w:tcPr>
                <w:p w14:paraId="5A597129" w14:textId="77777777" w:rsidR="009C6940" w:rsidRDefault="009C6940" w:rsidP="009C6940">
                  <w:pPr>
                    <w:pStyle w:val="TableBodyText"/>
                    <w:jc w:val="left"/>
                  </w:pPr>
                </w:p>
              </w:tc>
              <w:tc>
                <w:tcPr>
                  <w:tcW w:w="917" w:type="pct"/>
                  <w:vAlign w:val="bottom"/>
                </w:tcPr>
                <w:p w14:paraId="34571853" w14:textId="77777777" w:rsidR="009C6940" w:rsidRPr="00800743" w:rsidRDefault="009C6940" w:rsidP="009C6940">
                  <w:pPr>
                    <w:pStyle w:val="TableBodyText"/>
                  </w:pPr>
                </w:p>
              </w:tc>
              <w:tc>
                <w:tcPr>
                  <w:tcW w:w="834" w:type="pct"/>
                  <w:shd w:val="clear" w:color="auto" w:fill="auto"/>
                  <w:vAlign w:val="bottom"/>
                </w:tcPr>
                <w:p w14:paraId="0C4CE73F" w14:textId="77777777" w:rsidR="009C6940" w:rsidRPr="00800743" w:rsidRDefault="009C6940" w:rsidP="009C6940">
                  <w:pPr>
                    <w:pStyle w:val="TableBodyText"/>
                  </w:pPr>
                </w:p>
              </w:tc>
              <w:tc>
                <w:tcPr>
                  <w:tcW w:w="916" w:type="pct"/>
                  <w:shd w:val="clear" w:color="auto" w:fill="auto"/>
                  <w:vAlign w:val="bottom"/>
                </w:tcPr>
                <w:p w14:paraId="7D500D1C" w14:textId="77777777" w:rsidR="009C6940" w:rsidRPr="00800743" w:rsidRDefault="009C6940" w:rsidP="009C6940">
                  <w:pPr>
                    <w:pStyle w:val="TableBodyText"/>
                    <w:ind w:right="28"/>
                  </w:pPr>
                </w:p>
              </w:tc>
            </w:tr>
            <w:tr w:rsidR="009C6940" w14:paraId="5E739020" w14:textId="77777777" w:rsidTr="009C6940">
              <w:tc>
                <w:tcPr>
                  <w:tcW w:w="2333" w:type="pct"/>
                  <w:shd w:val="clear" w:color="auto" w:fill="auto"/>
                  <w:vAlign w:val="bottom"/>
                </w:tcPr>
                <w:p w14:paraId="302ADD2D" w14:textId="77777777" w:rsidR="009C6940" w:rsidRDefault="009C6940" w:rsidP="009C6940">
                  <w:pPr>
                    <w:pStyle w:val="TableBodyText"/>
                    <w:jc w:val="left"/>
                  </w:pPr>
                  <w:r>
                    <w:t>Death of a close friend in the past 3 years</w:t>
                  </w:r>
                </w:p>
              </w:tc>
              <w:tc>
                <w:tcPr>
                  <w:tcW w:w="917" w:type="pct"/>
                </w:tcPr>
                <w:p w14:paraId="7773CA55" w14:textId="77777777" w:rsidR="009C6940" w:rsidRDefault="009C6940" w:rsidP="009C6940">
                  <w:pPr>
                    <w:pStyle w:val="TableBodyText"/>
                  </w:pPr>
                  <w:r w:rsidRPr="003B710E">
                    <w:t>0.167</w:t>
                  </w:r>
                </w:p>
              </w:tc>
              <w:tc>
                <w:tcPr>
                  <w:tcW w:w="834" w:type="pct"/>
                  <w:shd w:val="clear" w:color="auto" w:fill="auto"/>
                </w:tcPr>
                <w:p w14:paraId="30261E8F" w14:textId="77777777" w:rsidR="009C6940" w:rsidRDefault="009C6940" w:rsidP="009C6940">
                  <w:pPr>
                    <w:pStyle w:val="TableBodyText"/>
                  </w:pPr>
                  <w:r w:rsidRPr="003B710E">
                    <w:t>0.209</w:t>
                  </w:r>
                </w:p>
              </w:tc>
              <w:tc>
                <w:tcPr>
                  <w:tcW w:w="916" w:type="pct"/>
                  <w:shd w:val="clear" w:color="auto" w:fill="auto"/>
                </w:tcPr>
                <w:p w14:paraId="416F1B35" w14:textId="77777777" w:rsidR="009C6940" w:rsidRDefault="009C6940" w:rsidP="009C6940">
                  <w:pPr>
                    <w:pStyle w:val="TableBodyText"/>
                    <w:ind w:right="28"/>
                  </w:pPr>
                  <w:r w:rsidRPr="003B710E">
                    <w:t>0.159</w:t>
                  </w:r>
                </w:p>
              </w:tc>
            </w:tr>
            <w:tr w:rsidR="009C6940" w14:paraId="6ABD5A89" w14:textId="77777777" w:rsidTr="009C6940">
              <w:tc>
                <w:tcPr>
                  <w:tcW w:w="2333" w:type="pct"/>
                  <w:shd w:val="clear" w:color="auto" w:fill="auto"/>
                  <w:vAlign w:val="bottom"/>
                </w:tcPr>
                <w:p w14:paraId="126D0D98" w14:textId="77777777" w:rsidR="009C6940" w:rsidRDefault="009C6940" w:rsidP="009C6940">
                  <w:pPr>
                    <w:pStyle w:val="TableBodyText"/>
                    <w:jc w:val="left"/>
                  </w:pPr>
                </w:p>
              </w:tc>
              <w:tc>
                <w:tcPr>
                  <w:tcW w:w="917" w:type="pct"/>
                  <w:vAlign w:val="bottom"/>
                </w:tcPr>
                <w:p w14:paraId="7CAF3E42" w14:textId="77777777" w:rsidR="009C6940" w:rsidRPr="00800743" w:rsidRDefault="009C6940" w:rsidP="009C6940">
                  <w:pPr>
                    <w:pStyle w:val="TableBodyText"/>
                  </w:pPr>
                </w:p>
              </w:tc>
              <w:tc>
                <w:tcPr>
                  <w:tcW w:w="834" w:type="pct"/>
                  <w:shd w:val="clear" w:color="auto" w:fill="auto"/>
                  <w:vAlign w:val="bottom"/>
                </w:tcPr>
                <w:p w14:paraId="69F45319" w14:textId="77777777" w:rsidR="009C6940" w:rsidRPr="00800743" w:rsidRDefault="009C6940" w:rsidP="009C6940">
                  <w:pPr>
                    <w:pStyle w:val="TableBodyText"/>
                  </w:pPr>
                </w:p>
              </w:tc>
              <w:tc>
                <w:tcPr>
                  <w:tcW w:w="916" w:type="pct"/>
                  <w:shd w:val="clear" w:color="auto" w:fill="auto"/>
                  <w:vAlign w:val="bottom"/>
                </w:tcPr>
                <w:p w14:paraId="5D24E04A" w14:textId="77777777" w:rsidR="009C6940" w:rsidRPr="00800743" w:rsidRDefault="009C6940" w:rsidP="009C6940">
                  <w:pPr>
                    <w:pStyle w:val="TableBodyText"/>
                    <w:ind w:right="28"/>
                  </w:pPr>
                </w:p>
              </w:tc>
            </w:tr>
            <w:tr w:rsidR="009C6940" w14:paraId="18F9C905" w14:textId="77777777" w:rsidTr="009C6940">
              <w:tc>
                <w:tcPr>
                  <w:tcW w:w="2333" w:type="pct"/>
                  <w:tcBorders>
                    <w:bottom w:val="single" w:sz="4" w:space="0" w:color="BFBFBF"/>
                  </w:tcBorders>
                  <w:shd w:val="clear" w:color="auto" w:fill="auto"/>
                  <w:vAlign w:val="bottom"/>
                </w:tcPr>
                <w:p w14:paraId="7D4729EF" w14:textId="77777777" w:rsidR="009C6940" w:rsidRDefault="009C6940" w:rsidP="009C6940">
                  <w:pPr>
                    <w:pStyle w:val="TableBodyText"/>
                    <w:jc w:val="left"/>
                  </w:pPr>
                  <w:r>
                    <w:t>Sample size</w:t>
                  </w:r>
                </w:p>
              </w:tc>
              <w:tc>
                <w:tcPr>
                  <w:tcW w:w="917" w:type="pct"/>
                  <w:tcBorders>
                    <w:bottom w:val="single" w:sz="4" w:space="0" w:color="BFBFBF"/>
                  </w:tcBorders>
                  <w:vAlign w:val="bottom"/>
                </w:tcPr>
                <w:p w14:paraId="2E20B2CE" w14:textId="77777777" w:rsidR="009C6940" w:rsidRDefault="009C6940" w:rsidP="009C6940">
                  <w:pPr>
                    <w:pStyle w:val="TableBodyText"/>
                  </w:pPr>
                  <w:r>
                    <w:t>127 886</w:t>
                  </w:r>
                </w:p>
              </w:tc>
              <w:tc>
                <w:tcPr>
                  <w:tcW w:w="834" w:type="pct"/>
                  <w:tcBorders>
                    <w:bottom w:val="single" w:sz="4" w:space="0" w:color="BFBFBF"/>
                  </w:tcBorders>
                  <w:shd w:val="clear" w:color="auto" w:fill="auto"/>
                  <w:vAlign w:val="bottom"/>
                </w:tcPr>
                <w:p w14:paraId="377861C7" w14:textId="77777777" w:rsidR="009C6940" w:rsidRDefault="009C6940" w:rsidP="009C6940">
                  <w:pPr>
                    <w:pStyle w:val="TableBodyText"/>
                  </w:pPr>
                  <w:r>
                    <w:t>19 321</w:t>
                  </w:r>
                </w:p>
              </w:tc>
              <w:tc>
                <w:tcPr>
                  <w:tcW w:w="916" w:type="pct"/>
                  <w:tcBorders>
                    <w:bottom w:val="single" w:sz="4" w:space="0" w:color="BFBFBF"/>
                  </w:tcBorders>
                  <w:shd w:val="clear" w:color="auto" w:fill="auto"/>
                  <w:vAlign w:val="bottom"/>
                </w:tcPr>
                <w:p w14:paraId="204BDA13" w14:textId="77777777" w:rsidR="009C6940" w:rsidRDefault="009C6940" w:rsidP="009C6940">
                  <w:pPr>
                    <w:pStyle w:val="TableBodyText"/>
                    <w:ind w:right="28"/>
                  </w:pPr>
                  <w:r>
                    <w:t>108 565</w:t>
                  </w:r>
                </w:p>
              </w:tc>
            </w:tr>
          </w:tbl>
          <w:p w14:paraId="41A18E8C" w14:textId="77777777" w:rsidR="009C6940" w:rsidRDefault="009C6940" w:rsidP="009C6940">
            <w:pPr>
              <w:pStyle w:val="Box"/>
            </w:pPr>
          </w:p>
        </w:tc>
      </w:tr>
      <w:tr w:rsidR="009C6940" w14:paraId="41A93970" w14:textId="77777777" w:rsidTr="009C6940">
        <w:tc>
          <w:tcPr>
            <w:tcW w:w="5000" w:type="pct"/>
            <w:tcBorders>
              <w:top w:val="nil"/>
              <w:left w:val="nil"/>
              <w:bottom w:val="nil"/>
              <w:right w:val="nil"/>
            </w:tcBorders>
            <w:shd w:val="clear" w:color="auto" w:fill="auto"/>
          </w:tcPr>
          <w:p w14:paraId="3A11384A" w14:textId="77777777" w:rsidR="009C6940" w:rsidRDefault="009C6940" w:rsidP="009C6940">
            <w:pPr>
              <w:pStyle w:val="Note"/>
              <w:rPr>
                <w:i/>
              </w:rPr>
            </w:pPr>
            <w:r w:rsidRPr="008E77FE">
              <w:rPr>
                <w:rStyle w:val="NoteLabel"/>
              </w:rPr>
              <w:t>a</w:t>
            </w:r>
            <w:r>
              <w:t xml:space="preserve"> A mental component summary (MCS) score below 40 is considered indicative of mental illness </w:t>
            </w:r>
            <w:r w:rsidRPr="00410C0F">
              <w:rPr>
                <w:rFonts w:cs="Arial"/>
                <w:szCs w:val="24"/>
              </w:rPr>
              <w:t>(Kiely and Butterworth 2015)</w:t>
            </w:r>
            <w:r>
              <w:t xml:space="preserve">. ‘Unemployment history’ is defined as the proportion of time a person has been unemployed since finishing full-time education. ‘Many friends’ is a value between 1–7 based on participants response to the question ‘I seem to have a lot of friends’, where 7 represents strongly agree and 1 represents strongly disagree. </w:t>
            </w:r>
            <w:r>
              <w:rPr>
                <w:rStyle w:val="NoteLabel"/>
              </w:rPr>
              <w:t>b</w:t>
            </w:r>
            <w:r>
              <w:t xml:space="preserve"> Waves 2 to 18 of HILDA are pooled for estimation.</w:t>
            </w:r>
          </w:p>
        </w:tc>
      </w:tr>
      <w:tr w:rsidR="009C6940" w14:paraId="5D59D96E" w14:textId="77777777" w:rsidTr="009C6940">
        <w:tc>
          <w:tcPr>
            <w:tcW w:w="5000" w:type="pct"/>
            <w:tcBorders>
              <w:top w:val="nil"/>
              <w:left w:val="nil"/>
              <w:bottom w:val="nil"/>
              <w:right w:val="nil"/>
            </w:tcBorders>
            <w:shd w:val="clear" w:color="auto" w:fill="auto"/>
          </w:tcPr>
          <w:p w14:paraId="140D4D44" w14:textId="77777777" w:rsidR="009C6940" w:rsidRDefault="009C6940" w:rsidP="009C6940">
            <w:pPr>
              <w:pStyle w:val="Source"/>
            </w:pPr>
            <w:r>
              <w:rPr>
                <w:i/>
              </w:rPr>
              <w:t>Source</w:t>
            </w:r>
            <w:r w:rsidRPr="00167F06">
              <w:t xml:space="preserve">: </w:t>
            </w:r>
            <w:r>
              <w:t>Housing, Income and Labour Dynamics in Australia, waves 2–18.</w:t>
            </w:r>
          </w:p>
        </w:tc>
      </w:tr>
      <w:tr w:rsidR="009C6940" w14:paraId="5B3F7D75" w14:textId="77777777" w:rsidTr="009C6940">
        <w:tc>
          <w:tcPr>
            <w:tcW w:w="5000" w:type="pct"/>
            <w:tcBorders>
              <w:top w:val="nil"/>
              <w:left w:val="nil"/>
              <w:bottom w:val="single" w:sz="6" w:space="0" w:color="78A22F"/>
              <w:right w:val="nil"/>
            </w:tcBorders>
            <w:shd w:val="clear" w:color="auto" w:fill="auto"/>
          </w:tcPr>
          <w:p w14:paraId="5AF745D9" w14:textId="77777777" w:rsidR="009C6940" w:rsidRDefault="009C6940" w:rsidP="009C6940">
            <w:pPr>
              <w:pStyle w:val="Box"/>
              <w:spacing w:before="0" w:line="120" w:lineRule="exact"/>
            </w:pPr>
          </w:p>
        </w:tc>
      </w:tr>
      <w:tr w:rsidR="009C6940" w:rsidRPr="000863A5" w14:paraId="400552CE" w14:textId="77777777" w:rsidTr="009C6940">
        <w:tc>
          <w:tcPr>
            <w:tcW w:w="5000" w:type="pct"/>
            <w:tcBorders>
              <w:top w:val="single" w:sz="6" w:space="0" w:color="78A22F"/>
              <w:left w:val="nil"/>
              <w:bottom w:val="nil"/>
              <w:right w:val="nil"/>
            </w:tcBorders>
          </w:tcPr>
          <w:p w14:paraId="2DBCD35D" w14:textId="77777777" w:rsidR="009C6940" w:rsidRPr="00626D32" w:rsidRDefault="009C6940" w:rsidP="009C6940">
            <w:pPr>
              <w:pStyle w:val="BoxSpaceBelow"/>
            </w:pPr>
          </w:p>
        </w:tc>
      </w:tr>
    </w:tbl>
    <w:p w14:paraId="27466F45"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980BE07" w14:textId="77777777" w:rsidTr="009C6940">
        <w:trPr>
          <w:tblHeader/>
        </w:trPr>
        <w:tc>
          <w:tcPr>
            <w:tcW w:w="5000" w:type="pct"/>
            <w:tcBorders>
              <w:top w:val="single" w:sz="6" w:space="0" w:color="78A22F"/>
              <w:left w:val="nil"/>
              <w:bottom w:val="nil"/>
              <w:right w:val="nil"/>
            </w:tcBorders>
            <w:shd w:val="clear" w:color="auto" w:fill="F2F2F2"/>
          </w:tcPr>
          <w:p w14:paraId="54277A04" w14:textId="77777777" w:rsidR="009C6940" w:rsidRDefault="009C6940" w:rsidP="009C6940">
            <w:pPr>
              <w:pStyle w:val="BoxTitle"/>
            </w:pPr>
            <w:r>
              <w:rPr>
                <w:b w:val="0"/>
              </w:rPr>
              <w:t>Box J.2</w:t>
            </w:r>
            <w:r>
              <w:tab/>
            </w:r>
            <w:r w:rsidRPr="00660D08">
              <w:t>Measuring mental health</w:t>
            </w:r>
            <w:r>
              <w:t xml:space="preserve"> using the mental component summary</w:t>
            </w:r>
          </w:p>
        </w:tc>
      </w:tr>
      <w:tr w:rsidR="009C6940" w14:paraId="5ACD7915" w14:textId="77777777" w:rsidTr="009C6940">
        <w:tc>
          <w:tcPr>
            <w:tcW w:w="5000" w:type="pct"/>
            <w:tcBorders>
              <w:top w:val="nil"/>
              <w:left w:val="nil"/>
              <w:bottom w:val="nil"/>
              <w:right w:val="nil"/>
            </w:tcBorders>
            <w:shd w:val="clear" w:color="auto" w:fill="F2F2F2"/>
          </w:tcPr>
          <w:p w14:paraId="2B06CC77" w14:textId="77777777" w:rsidR="009C6940" w:rsidRDefault="009C6940" w:rsidP="009C6940">
            <w:pPr>
              <w:pStyle w:val="Box"/>
            </w:pPr>
            <w:r>
              <w:t>The measure of mental health used for this analysis is called the mental component summary (MCS). The MCS is derived from responses to the Short Form 36 (SF</w:t>
            </w:r>
            <w:r>
              <w:noBreakHyphen/>
              <w:t xml:space="preserve">36) questionnaire, and transformed into a range from 0 to 100, with a mean of 50 and standard deviation of 10, with higher scores corresponding to better mental health </w:t>
            </w:r>
            <w:r w:rsidRPr="00D7423F">
              <w:rPr>
                <w:rFonts w:cs="Arial"/>
                <w:szCs w:val="24"/>
              </w:rPr>
              <w:t>(Ware and Kosinski 2001)</w:t>
            </w:r>
            <w:r>
              <w:t>. The SF</w:t>
            </w:r>
            <w:r>
              <w:noBreakHyphen/>
              <w:t>36 is reflective of a range of health indicators over the preceding four weeks.</w:t>
            </w:r>
          </w:p>
          <w:p w14:paraId="3EDEB45E" w14:textId="77777777" w:rsidR="009C6940" w:rsidRDefault="009C6940" w:rsidP="009C6940">
            <w:pPr>
              <w:pStyle w:val="Box"/>
            </w:pPr>
            <w:r>
              <w:t>While the SF</w:t>
            </w:r>
            <w:r>
              <w:noBreakHyphen/>
              <w:t>36 does not include references to symptoms of specific diseases, the measures derived from it have been shown to be highly correlated with the frequency and severity of many health problems. The SF</w:t>
            </w:r>
            <w:r>
              <w:noBreakHyphen/>
              <w:t>36 is comprised of 36 questions relating to different aspects of an individual’s health</w:t>
            </w:r>
            <w:r>
              <w:noBreakHyphen/>
              <w:t>related quality of life. The 36 questions are used to derive eight subscales of health, each ranging from 0 to 100, that measure different elements of health: physical functioning; limitations in carrying out usual role due to physical problems; bodily pain; perception of general health; vitality; social functioning; limitations in carrying out usual role due to emotional problems; and mental health. The physical and mental health summary measures are produced by aggregating the most correlated of the subscales.</w:t>
            </w:r>
          </w:p>
          <w:p w14:paraId="00BA4A67" w14:textId="77777777" w:rsidR="009C6940" w:rsidRDefault="009C6940" w:rsidP="009C6940">
            <w:pPr>
              <w:pStyle w:val="Box"/>
            </w:pPr>
            <w:r>
              <w:t>To check the validity of the MCS as a measure of mental health, the distribution of the MCS of  people who have been previously diagnosed with long</w:t>
            </w:r>
            <w:r>
              <w:noBreakHyphen/>
              <w:t>term depression are compared with the corresponding distribution for those who have not been diagnosed with long</w:t>
            </w:r>
            <w:r>
              <w:noBreakHyphen/>
              <w:t>term depression (where long</w:t>
            </w:r>
            <w:r>
              <w:noBreakHyphen/>
              <w:t>term is defined as lasting or expected to last for at least six months). The figure below suggests that the MCS is strongly correlated with the diagnosis of depression, where people with lower MCS scores much more likely to have been diagnosed with depression.</w:t>
            </w:r>
          </w:p>
          <w:p w14:paraId="05C4F324" w14:textId="77777777" w:rsidR="009C6940" w:rsidRDefault="009C6940" w:rsidP="009C6940">
            <w:pPr>
              <w:pStyle w:val="Box"/>
            </w:pPr>
            <w:r>
              <w:t>While the draft report used an uncorrelated (orthogonal) factor solution to calculate the factor loadings to compute the PCS and MCS, the estimates presented here use a correlated (oblique) factor solution, as suggested by an expert roundtable.</w:t>
            </w:r>
          </w:p>
          <w:p w14:paraId="6FB05583" w14:textId="77777777" w:rsidR="009C6940" w:rsidRDefault="009C6940" w:rsidP="009C6940">
            <w:pPr>
              <w:pStyle w:val="Box"/>
            </w:pPr>
            <w:r>
              <w:rPr>
                <w:noProof/>
              </w:rPr>
              <w:drawing>
                <wp:inline distT="0" distB="0" distL="0" distR="0" wp14:anchorId="4CBC7D6E" wp14:editId="7624D07B">
                  <wp:extent cx="5379720" cy="2690778"/>
                  <wp:effectExtent l="0" t="0" r="0" b="0"/>
                  <wp:docPr id="50" name="Picture 50" descr="This figure shows the distribution of the mental component summary as a density plot, split by those who have been diagnosed with depression and those who have not. People who have been diagnosed with depression are more likely to have poor mental health, which demonstrates the validity of the mental component summary as a measure of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pression_MCS.emf"/>
                          <pic:cNvPicPr/>
                        </pic:nvPicPr>
                        <pic:blipFill>
                          <a:blip r:embed="rId96" cstate="print">
                            <a:extLst>
                              <a:ext uri="{28A0092B-C50C-407E-A947-70E740481C1C}">
                                <a14:useLocalDpi xmlns:a14="http://schemas.microsoft.com/office/drawing/2010/main" val="0"/>
                              </a:ext>
                            </a:extLst>
                          </a:blip>
                          <a:stretch>
                            <a:fillRect/>
                          </a:stretch>
                        </pic:blipFill>
                        <pic:spPr>
                          <a:xfrm>
                            <a:off x="0" y="0"/>
                            <a:ext cx="5385541" cy="2693689"/>
                          </a:xfrm>
                          <a:prstGeom prst="rect">
                            <a:avLst/>
                          </a:prstGeom>
                        </pic:spPr>
                      </pic:pic>
                    </a:graphicData>
                  </a:graphic>
                </wp:inline>
              </w:drawing>
            </w:r>
          </w:p>
        </w:tc>
      </w:tr>
      <w:tr w:rsidR="009C6940" w14:paraId="17B30BC4" w14:textId="77777777" w:rsidTr="009C6940">
        <w:tc>
          <w:tcPr>
            <w:tcW w:w="5000" w:type="pct"/>
            <w:tcBorders>
              <w:top w:val="nil"/>
              <w:left w:val="nil"/>
              <w:bottom w:val="nil"/>
              <w:right w:val="nil"/>
            </w:tcBorders>
            <w:shd w:val="clear" w:color="auto" w:fill="F2F2F2"/>
          </w:tcPr>
          <w:p w14:paraId="17AB0A33" w14:textId="77777777" w:rsidR="009C6940" w:rsidRDefault="009C6940" w:rsidP="009C6940">
            <w:pPr>
              <w:pStyle w:val="BoxSource"/>
            </w:pPr>
            <w:r>
              <w:rPr>
                <w:i/>
              </w:rPr>
              <w:t>Source</w:t>
            </w:r>
            <w:r w:rsidRPr="00167F06">
              <w:t xml:space="preserve">: </w:t>
            </w:r>
            <w:r>
              <w:t xml:space="preserve">Ware and Kosinski </w:t>
            </w:r>
            <w:r w:rsidRPr="00D7423F">
              <w:rPr>
                <w:rFonts w:cs="Arial"/>
              </w:rPr>
              <w:t>(2001)</w:t>
            </w:r>
            <w:r>
              <w:t>; Housing, Income and Labour Dynamics in Australia, wave 17.</w:t>
            </w:r>
          </w:p>
        </w:tc>
      </w:tr>
      <w:tr w:rsidR="009C6940" w14:paraId="36DC9CBF" w14:textId="77777777" w:rsidTr="009C6940">
        <w:tc>
          <w:tcPr>
            <w:tcW w:w="5000" w:type="pct"/>
            <w:tcBorders>
              <w:top w:val="nil"/>
              <w:left w:val="nil"/>
              <w:bottom w:val="single" w:sz="6" w:space="0" w:color="78A22F"/>
              <w:right w:val="nil"/>
            </w:tcBorders>
            <w:shd w:val="clear" w:color="auto" w:fill="F2F2F2"/>
          </w:tcPr>
          <w:p w14:paraId="4AD70B62" w14:textId="77777777" w:rsidR="009C6940" w:rsidRDefault="009C6940" w:rsidP="009C6940">
            <w:pPr>
              <w:pStyle w:val="Box"/>
              <w:spacing w:before="0" w:line="120" w:lineRule="exact"/>
            </w:pPr>
          </w:p>
        </w:tc>
      </w:tr>
      <w:tr w:rsidR="009C6940" w:rsidRPr="000863A5" w14:paraId="779032F7" w14:textId="77777777" w:rsidTr="009C6940">
        <w:tc>
          <w:tcPr>
            <w:tcW w:w="5000" w:type="pct"/>
            <w:tcBorders>
              <w:top w:val="single" w:sz="6" w:space="0" w:color="78A22F"/>
              <w:left w:val="nil"/>
              <w:bottom w:val="nil"/>
              <w:right w:val="nil"/>
            </w:tcBorders>
          </w:tcPr>
          <w:p w14:paraId="487625AD" w14:textId="77777777" w:rsidR="009C6940" w:rsidRPr="00626D32" w:rsidRDefault="009C6940" w:rsidP="009C6940">
            <w:pPr>
              <w:pStyle w:val="BoxSpaceBelow"/>
            </w:pPr>
          </w:p>
        </w:tc>
      </w:tr>
    </w:tbl>
    <w:p w14:paraId="720014C1" w14:textId="77777777" w:rsidR="009C6940" w:rsidRDefault="009C6940" w:rsidP="009C6940">
      <w:pPr>
        <w:pStyle w:val="Heading3"/>
      </w:pPr>
      <w:r>
        <w:lastRenderedPageBreak/>
        <w:t>Health-related quality of life</w:t>
      </w:r>
    </w:p>
    <w:p w14:paraId="08292707" w14:textId="77777777" w:rsidR="009C6940" w:rsidRDefault="009C6940" w:rsidP="009C6940">
      <w:pPr>
        <w:pStyle w:val="BodyText"/>
      </w:pPr>
      <w:r>
        <w:t>Health</w:t>
      </w:r>
      <w:r>
        <w:noBreakHyphen/>
        <w:t>related quality of life is measured in terms of QALYs. A QALY is the arithmetic product of life expectancy combined with a measure of the quality of life</w:t>
      </w:r>
      <w:r>
        <w:noBreakHyphen/>
        <w:t>years — as shown be a healthy utility weight — remaining. The time a person is likely to spend in a particular state of health is weighted by a utility weight, derived from the SF</w:t>
      </w:r>
      <w:r>
        <w:noBreakHyphen/>
        <w:t xml:space="preserve">6D instrument </w:t>
      </w:r>
      <w:r w:rsidRPr="005B0A4F">
        <w:rPr>
          <w:rFonts w:cs="Arial"/>
          <w:szCs w:val="24"/>
        </w:rPr>
        <w:t>(Norman et al. 2014)</w:t>
      </w:r>
      <w:r>
        <w:t>. A utility weight value of 1 indicates perfect health, while a health utility weight of</w:t>
      </w:r>
      <w:r w:rsidDel="00116F3D">
        <w:t xml:space="preserve"> </w:t>
      </w:r>
      <w:r>
        <w:t xml:space="preserve">0 is conceptually equivalent to death. Certain health states can be assigned a negative value as they may be characterised by severe disability and/or pain that are regarded as worse than death </w:t>
      </w:r>
      <w:r w:rsidRPr="00CF3696">
        <w:rPr>
          <w:szCs w:val="24"/>
        </w:rPr>
        <w:t>(Whitehead and Ali 2010)</w:t>
      </w:r>
      <w:r>
        <w:t>. In HILDA, the distribution of QALYs is left</w:t>
      </w:r>
      <w:r>
        <w:noBreakHyphen/>
        <w:t>skewed, with the majority of people having between 0.6–0.8 QALYs. (figure J.3).</w:t>
      </w:r>
    </w:p>
    <w:p w14:paraId="2DCAF536" w14:textId="77777777" w:rsidR="009C6940" w:rsidRDefault="009C6940" w:rsidP="009C6940">
      <w:pPr>
        <w:pStyle w:val="BodyText"/>
      </w:pPr>
      <w:r>
        <w:t>If an intervention provided perfect health for one additional year, it would produce one QALY. Likewise, an intervention providing an extra two years of life at a health status of 0.5 would equal one QALY.</w:t>
      </w:r>
    </w:p>
    <w:p w14:paraId="5E2DDEE6"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4695645" w14:textId="77777777" w:rsidTr="009C6940">
        <w:trPr>
          <w:tblHeader/>
        </w:trPr>
        <w:tc>
          <w:tcPr>
            <w:tcW w:w="5000" w:type="pct"/>
            <w:tcBorders>
              <w:top w:val="single" w:sz="6" w:space="0" w:color="78A22F"/>
              <w:left w:val="nil"/>
              <w:bottom w:val="nil"/>
              <w:right w:val="nil"/>
            </w:tcBorders>
            <w:shd w:val="clear" w:color="auto" w:fill="auto"/>
          </w:tcPr>
          <w:p w14:paraId="20CD05EF" w14:textId="77777777" w:rsidR="009C6940" w:rsidRPr="00176D3F" w:rsidRDefault="009C6940" w:rsidP="009C6940">
            <w:pPr>
              <w:pStyle w:val="FigureTitle"/>
            </w:pPr>
            <w:r w:rsidRPr="00784A05">
              <w:rPr>
                <w:b w:val="0"/>
              </w:rPr>
              <w:t xml:space="preserve">Figure </w:t>
            </w:r>
            <w:r>
              <w:rPr>
                <w:b w:val="0"/>
              </w:rPr>
              <w:t>J.3</w:t>
            </w:r>
            <w:r>
              <w:tab/>
              <w:t>Distribution of quality-adjusted life years in HILDA</w:t>
            </w:r>
          </w:p>
        </w:tc>
      </w:tr>
      <w:tr w:rsidR="009C6940" w14:paraId="5836473F" w14:textId="77777777" w:rsidTr="009C694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C6940" w:rsidRPr="00B1465D" w14:paraId="3F88BFFC" w14:textId="77777777" w:rsidTr="009C6940">
              <w:trPr>
                <w:tblHeader/>
                <w:jc w:val="center"/>
              </w:trPr>
              <w:tc>
                <w:tcPr>
                  <w:tcW w:w="5000" w:type="pct"/>
                  <w:tcBorders>
                    <w:top w:val="nil"/>
                    <w:bottom w:val="nil"/>
                  </w:tcBorders>
                </w:tcPr>
                <w:p w14:paraId="081F9AF8" w14:textId="77777777" w:rsidR="009C6940" w:rsidRPr="00B1465D" w:rsidRDefault="009C6940" w:rsidP="009C6940">
                  <w:pPr>
                    <w:pStyle w:val="Figure"/>
                    <w:spacing w:before="60" w:after="60"/>
                    <w:rPr>
                      <w:rFonts w:ascii="Arial" w:hAnsi="Arial" w:cs="Arial"/>
                      <w:sz w:val="18"/>
                      <w:szCs w:val="18"/>
                    </w:rPr>
                  </w:pPr>
                  <w:r>
                    <w:rPr>
                      <w:rFonts w:ascii="Arial" w:hAnsi="Arial" w:cs="Arial"/>
                      <w:noProof/>
                      <w:sz w:val="18"/>
                      <w:szCs w:val="18"/>
                    </w:rPr>
                    <w:drawing>
                      <wp:inline distT="0" distB="0" distL="0" distR="0" wp14:anchorId="7D5EF19F" wp14:editId="3E68532D">
                        <wp:extent cx="5372100" cy="2686967"/>
                        <wp:effectExtent l="0" t="0" r="0" b="0"/>
                        <wp:docPr id="51" name="Picture 51" descr="This figure shows the distribution of quality-adjusted life years across the HILDA survey sample. The distribution is left-skewed, where most respondents have a quality-adjusted life year between 0.6 and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QALY_Density.emf"/>
                                <pic:cNvPicPr/>
                              </pic:nvPicPr>
                              <pic:blipFill>
                                <a:blip r:embed="rId97" cstate="print">
                                  <a:extLst>
                                    <a:ext uri="{28A0092B-C50C-407E-A947-70E740481C1C}">
                                      <a14:useLocalDpi xmlns:a14="http://schemas.microsoft.com/office/drawing/2010/main" val="0"/>
                                    </a:ext>
                                  </a:extLst>
                                </a:blip>
                                <a:stretch>
                                  <a:fillRect/>
                                </a:stretch>
                              </pic:blipFill>
                              <pic:spPr>
                                <a:xfrm>
                                  <a:off x="0" y="0"/>
                                  <a:ext cx="5374421" cy="2688128"/>
                                </a:xfrm>
                                <a:prstGeom prst="rect">
                                  <a:avLst/>
                                </a:prstGeom>
                              </pic:spPr>
                            </pic:pic>
                          </a:graphicData>
                        </a:graphic>
                      </wp:inline>
                    </w:drawing>
                  </w:r>
                </w:p>
              </w:tc>
            </w:tr>
          </w:tbl>
          <w:p w14:paraId="7C3A009B" w14:textId="77777777" w:rsidR="009C6940" w:rsidRDefault="009C6940" w:rsidP="009C6940">
            <w:pPr>
              <w:pStyle w:val="Figure"/>
            </w:pPr>
          </w:p>
        </w:tc>
      </w:tr>
      <w:tr w:rsidR="009C6940" w:rsidRPr="00176D3F" w14:paraId="131D6604" w14:textId="77777777" w:rsidTr="009C6940">
        <w:tc>
          <w:tcPr>
            <w:tcW w:w="5000" w:type="pct"/>
            <w:tcBorders>
              <w:top w:val="nil"/>
              <w:left w:val="nil"/>
              <w:bottom w:val="nil"/>
              <w:right w:val="nil"/>
            </w:tcBorders>
            <w:shd w:val="clear" w:color="auto" w:fill="auto"/>
          </w:tcPr>
          <w:p w14:paraId="35582F5A" w14:textId="77777777" w:rsidR="009C6940" w:rsidRPr="00176D3F" w:rsidRDefault="009C6940" w:rsidP="009C6940">
            <w:pPr>
              <w:pStyle w:val="Source"/>
            </w:pPr>
            <w:r>
              <w:rPr>
                <w:i/>
              </w:rPr>
              <w:t>S</w:t>
            </w:r>
            <w:r w:rsidRPr="00784A05">
              <w:rPr>
                <w:i/>
              </w:rPr>
              <w:t>ource</w:t>
            </w:r>
            <w:r w:rsidRPr="00176D3F">
              <w:t xml:space="preserve">: </w:t>
            </w:r>
            <w:r>
              <w:t>Housing, Income and Labour Dynamics in Australia, waves 2–18.</w:t>
            </w:r>
          </w:p>
        </w:tc>
      </w:tr>
      <w:tr w:rsidR="009C6940" w14:paraId="3A201D94" w14:textId="77777777" w:rsidTr="009C6940">
        <w:tc>
          <w:tcPr>
            <w:tcW w:w="5000" w:type="pct"/>
            <w:tcBorders>
              <w:top w:val="nil"/>
              <w:left w:val="nil"/>
              <w:bottom w:val="single" w:sz="6" w:space="0" w:color="78A22F"/>
              <w:right w:val="nil"/>
            </w:tcBorders>
            <w:shd w:val="clear" w:color="auto" w:fill="auto"/>
          </w:tcPr>
          <w:p w14:paraId="69DF6484" w14:textId="77777777" w:rsidR="009C6940" w:rsidRDefault="009C6940" w:rsidP="009C6940">
            <w:pPr>
              <w:pStyle w:val="Figurespace"/>
            </w:pPr>
          </w:p>
        </w:tc>
      </w:tr>
      <w:tr w:rsidR="009C6940" w:rsidRPr="000863A5" w14:paraId="26E60C34" w14:textId="77777777" w:rsidTr="009C6940">
        <w:tc>
          <w:tcPr>
            <w:tcW w:w="5000" w:type="pct"/>
            <w:tcBorders>
              <w:top w:val="single" w:sz="6" w:space="0" w:color="78A22F"/>
              <w:left w:val="nil"/>
              <w:bottom w:val="nil"/>
              <w:right w:val="nil"/>
            </w:tcBorders>
          </w:tcPr>
          <w:p w14:paraId="7D1B99BE" w14:textId="77777777" w:rsidR="009C6940" w:rsidRPr="00626D32" w:rsidRDefault="009C6940" w:rsidP="009C6940">
            <w:pPr>
              <w:pStyle w:val="BoxSpaceBelow"/>
            </w:pPr>
          </w:p>
        </w:tc>
      </w:tr>
    </w:tbl>
    <w:p w14:paraId="626EFC3B" w14:textId="77777777" w:rsidR="009C6940" w:rsidRDefault="009C6940" w:rsidP="009C6940">
      <w:pPr>
        <w:pStyle w:val="Heading3"/>
      </w:pPr>
      <w:r>
        <w:t>Estimating parameters</w:t>
      </w:r>
    </w:p>
    <w:p w14:paraId="56CF5F5D" w14:textId="77777777" w:rsidR="009C6940" w:rsidRDefault="009C6940" w:rsidP="009C6940">
      <w:pPr>
        <w:pStyle w:val="BodyText"/>
      </w:pPr>
      <w:r>
        <w:t>Before estimating the model, continuous variables are rescaled so that the posterior distributions can be estimated more efficiently. In most cases, this involves normalising the variables to zero mean with a unit standard deviation. Some variables are categorical variables that need to be interpreted relative to a baseline (table J.2).</w:t>
      </w:r>
    </w:p>
    <w:p w14:paraId="6C8A5D42" w14:textId="77777777" w:rsidR="009C6940" w:rsidRDefault="009C6940" w:rsidP="009C694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625"/>
      </w:tblGrid>
      <w:tr w:rsidR="009C6940" w14:paraId="156CAA3B" w14:textId="77777777" w:rsidTr="009C6940">
        <w:tc>
          <w:tcPr>
            <w:tcW w:w="8625" w:type="dxa"/>
            <w:tcBorders>
              <w:top w:val="single" w:sz="6" w:space="0" w:color="78A22F"/>
              <w:left w:val="nil"/>
              <w:bottom w:val="nil"/>
              <w:right w:val="nil"/>
            </w:tcBorders>
            <w:shd w:val="clear" w:color="auto" w:fill="auto"/>
          </w:tcPr>
          <w:p w14:paraId="13288B17" w14:textId="77777777" w:rsidR="009C6940" w:rsidRPr="00784A05" w:rsidRDefault="009C6940" w:rsidP="009C6940">
            <w:pPr>
              <w:pStyle w:val="TableTitle"/>
            </w:pPr>
            <w:r>
              <w:rPr>
                <w:b w:val="0"/>
              </w:rPr>
              <w:t>Table J.2</w:t>
            </w:r>
            <w:r>
              <w:tab/>
              <w:t>Categorical variables — baseline</w:t>
            </w:r>
          </w:p>
        </w:tc>
      </w:tr>
      <w:tr w:rsidR="009C6940" w14:paraId="6119A79E" w14:textId="77777777" w:rsidTr="009C6940">
        <w:tc>
          <w:tcPr>
            <w:tcW w:w="8625"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98"/>
              <w:gridCol w:w="3543"/>
            </w:tblGrid>
            <w:tr w:rsidR="009C6940" w14:paraId="67186A5B" w14:textId="77777777" w:rsidTr="009C6940">
              <w:trPr>
                <w:tblHeader/>
              </w:trPr>
              <w:tc>
                <w:tcPr>
                  <w:tcW w:w="2876" w:type="pct"/>
                  <w:tcBorders>
                    <w:top w:val="single" w:sz="6" w:space="0" w:color="BFBFBF"/>
                    <w:bottom w:val="single" w:sz="6" w:space="0" w:color="BFBFBF"/>
                  </w:tcBorders>
                  <w:shd w:val="clear" w:color="auto" w:fill="auto"/>
                  <w:tcMar>
                    <w:top w:w="28" w:type="dxa"/>
                  </w:tcMar>
                </w:tcPr>
                <w:p w14:paraId="04CB47BE" w14:textId="77777777" w:rsidR="009C6940" w:rsidRDefault="009C6940" w:rsidP="009C6940">
                  <w:pPr>
                    <w:pStyle w:val="TableColumnHeading"/>
                    <w:jc w:val="left"/>
                  </w:pPr>
                  <w:r>
                    <w:t>Variable</w:t>
                  </w:r>
                </w:p>
              </w:tc>
              <w:tc>
                <w:tcPr>
                  <w:tcW w:w="2124" w:type="pct"/>
                  <w:tcBorders>
                    <w:top w:val="single" w:sz="6" w:space="0" w:color="BFBFBF"/>
                    <w:bottom w:val="single" w:sz="6" w:space="0" w:color="BFBFBF"/>
                  </w:tcBorders>
                </w:tcPr>
                <w:p w14:paraId="058C013E" w14:textId="77777777" w:rsidR="009C6940" w:rsidRDefault="009C6940" w:rsidP="009C6940">
                  <w:pPr>
                    <w:pStyle w:val="TableColumnHeading"/>
                    <w:jc w:val="left"/>
                  </w:pPr>
                  <w:r>
                    <w:t>Relative to:</w:t>
                  </w:r>
                </w:p>
              </w:tc>
            </w:tr>
            <w:tr w:rsidR="009C6940" w14:paraId="05DB3C2C" w14:textId="77777777" w:rsidTr="009C6940">
              <w:tc>
                <w:tcPr>
                  <w:tcW w:w="2876" w:type="pct"/>
                  <w:tcBorders>
                    <w:top w:val="single" w:sz="6" w:space="0" w:color="BFBFBF"/>
                  </w:tcBorders>
                </w:tcPr>
                <w:p w14:paraId="2EB52629" w14:textId="77777777" w:rsidR="009C6940" w:rsidRPr="00474A85" w:rsidRDefault="009C6940" w:rsidP="009C6940">
                  <w:pPr>
                    <w:pStyle w:val="TableUnitsRow"/>
                    <w:jc w:val="left"/>
                    <w:rPr>
                      <w:b/>
                    </w:rPr>
                  </w:pPr>
                  <w:r w:rsidRPr="00474A85">
                    <w:rPr>
                      <w:b/>
                    </w:rPr>
                    <w:t>Multiple categories</w:t>
                  </w:r>
                </w:p>
              </w:tc>
              <w:tc>
                <w:tcPr>
                  <w:tcW w:w="2124" w:type="pct"/>
                  <w:tcBorders>
                    <w:top w:val="single" w:sz="6" w:space="0" w:color="BFBFBF"/>
                  </w:tcBorders>
                </w:tcPr>
                <w:p w14:paraId="7685CB75" w14:textId="77777777" w:rsidR="009C6940" w:rsidRDefault="009C6940" w:rsidP="009C6940">
                  <w:pPr>
                    <w:pStyle w:val="TableUnitsRow"/>
                    <w:jc w:val="left"/>
                  </w:pPr>
                </w:p>
              </w:tc>
            </w:tr>
            <w:tr w:rsidR="009C6940" w14:paraId="4C0834CD" w14:textId="77777777" w:rsidTr="009C6940">
              <w:tc>
                <w:tcPr>
                  <w:tcW w:w="2876" w:type="pct"/>
                </w:tcPr>
                <w:p w14:paraId="46A0106B" w14:textId="77777777" w:rsidR="009C6940" w:rsidRDefault="009C6940" w:rsidP="009C6940">
                  <w:pPr>
                    <w:pStyle w:val="TableBodyText"/>
                    <w:jc w:val="left"/>
                  </w:pPr>
                  <w:r>
                    <w:t>Age 21–24 years, Age 25–44 years</w:t>
                  </w:r>
                </w:p>
              </w:tc>
              <w:tc>
                <w:tcPr>
                  <w:tcW w:w="2124" w:type="pct"/>
                </w:tcPr>
                <w:p w14:paraId="05A2A7B3" w14:textId="77777777" w:rsidR="009C6940" w:rsidRDefault="009C6940" w:rsidP="009C6940">
                  <w:pPr>
                    <w:pStyle w:val="TableBodyText"/>
                    <w:jc w:val="left"/>
                  </w:pPr>
                  <w:r>
                    <w:t>Age 45–64 years</w:t>
                  </w:r>
                </w:p>
              </w:tc>
            </w:tr>
            <w:tr w:rsidR="009C6940" w14:paraId="2373C41E" w14:textId="77777777" w:rsidTr="009C6940">
              <w:tc>
                <w:tcPr>
                  <w:tcW w:w="2876" w:type="pct"/>
                </w:tcPr>
                <w:p w14:paraId="71DE6DD8" w14:textId="77777777" w:rsidR="009C6940" w:rsidRDefault="009C6940" w:rsidP="009C6940">
                  <w:pPr>
                    <w:pStyle w:val="TableBodyText"/>
                    <w:jc w:val="left"/>
                  </w:pPr>
                  <w:r>
                    <w:t>Vic, Qld, SA, WA, Tas, NT, ACT</w:t>
                  </w:r>
                </w:p>
              </w:tc>
              <w:tc>
                <w:tcPr>
                  <w:tcW w:w="2124" w:type="pct"/>
                </w:tcPr>
                <w:p w14:paraId="7D28DB58" w14:textId="77777777" w:rsidR="009C6940" w:rsidRDefault="009C6940" w:rsidP="009C6940">
                  <w:pPr>
                    <w:pStyle w:val="TableBodyText"/>
                    <w:jc w:val="left"/>
                  </w:pPr>
                  <w:r>
                    <w:t>NSW</w:t>
                  </w:r>
                </w:p>
              </w:tc>
            </w:tr>
            <w:tr w:rsidR="009C6940" w14:paraId="5E016EBB" w14:textId="77777777" w:rsidTr="009C6940">
              <w:tc>
                <w:tcPr>
                  <w:tcW w:w="2876" w:type="pct"/>
                  <w:shd w:val="clear" w:color="auto" w:fill="auto"/>
                </w:tcPr>
                <w:p w14:paraId="2B378432" w14:textId="77777777" w:rsidR="009C6940" w:rsidRDefault="009C6940" w:rsidP="009C6940">
                  <w:pPr>
                    <w:pStyle w:val="TableBodyText"/>
                    <w:jc w:val="left"/>
                  </w:pPr>
                  <w:r>
                    <w:t>University degree, Diploma/certificate, High school</w:t>
                  </w:r>
                </w:p>
              </w:tc>
              <w:tc>
                <w:tcPr>
                  <w:tcW w:w="2124" w:type="pct"/>
                </w:tcPr>
                <w:p w14:paraId="0BD74F14" w14:textId="77777777" w:rsidR="009C6940" w:rsidRDefault="009C6940" w:rsidP="009C6940">
                  <w:pPr>
                    <w:pStyle w:val="TableBodyText"/>
                    <w:jc w:val="left"/>
                  </w:pPr>
                  <w:r>
                    <w:t>Did not graduate high school</w:t>
                  </w:r>
                </w:p>
              </w:tc>
            </w:tr>
            <w:tr w:rsidR="009C6940" w14:paraId="131040B9" w14:textId="77777777" w:rsidTr="009C6940">
              <w:tc>
                <w:tcPr>
                  <w:tcW w:w="2876" w:type="pct"/>
                  <w:shd w:val="clear" w:color="auto" w:fill="auto"/>
                </w:tcPr>
                <w:p w14:paraId="7801EC2C" w14:textId="77777777" w:rsidR="009C6940" w:rsidRDefault="009C6940" w:rsidP="009C6940">
                  <w:pPr>
                    <w:pStyle w:val="TableBodyText"/>
                    <w:jc w:val="left"/>
                  </w:pPr>
                </w:p>
              </w:tc>
              <w:tc>
                <w:tcPr>
                  <w:tcW w:w="2124" w:type="pct"/>
                </w:tcPr>
                <w:p w14:paraId="7CCE57EE" w14:textId="77777777" w:rsidR="009C6940" w:rsidRDefault="009C6940" w:rsidP="009C6940">
                  <w:pPr>
                    <w:pStyle w:val="TableBodyText"/>
                    <w:jc w:val="left"/>
                  </w:pPr>
                </w:p>
              </w:tc>
            </w:tr>
            <w:tr w:rsidR="009C6940" w14:paraId="63A3246D" w14:textId="77777777" w:rsidTr="009C6940">
              <w:tc>
                <w:tcPr>
                  <w:tcW w:w="2876" w:type="pct"/>
                  <w:shd w:val="clear" w:color="auto" w:fill="auto"/>
                </w:tcPr>
                <w:p w14:paraId="718FA50A" w14:textId="77777777" w:rsidR="009C6940" w:rsidRPr="00474A85" w:rsidRDefault="009C6940" w:rsidP="009C6940">
                  <w:pPr>
                    <w:pStyle w:val="TableBodyText"/>
                    <w:jc w:val="left"/>
                    <w:rPr>
                      <w:b/>
                    </w:rPr>
                  </w:pPr>
                  <w:r w:rsidRPr="00474A85">
                    <w:rPr>
                      <w:b/>
                    </w:rPr>
                    <w:t>Binary categories</w:t>
                  </w:r>
                </w:p>
              </w:tc>
              <w:tc>
                <w:tcPr>
                  <w:tcW w:w="2124" w:type="pct"/>
                </w:tcPr>
                <w:p w14:paraId="2EBB5470" w14:textId="77777777" w:rsidR="009C6940" w:rsidRDefault="009C6940" w:rsidP="009C6940">
                  <w:pPr>
                    <w:pStyle w:val="TableBodyText"/>
                    <w:jc w:val="left"/>
                  </w:pPr>
                </w:p>
              </w:tc>
            </w:tr>
            <w:tr w:rsidR="009C6940" w14:paraId="7762AE8E" w14:textId="77777777" w:rsidTr="009C6940">
              <w:tc>
                <w:tcPr>
                  <w:tcW w:w="2876" w:type="pct"/>
                  <w:shd w:val="clear" w:color="auto" w:fill="auto"/>
                </w:tcPr>
                <w:p w14:paraId="04B95E57" w14:textId="77777777" w:rsidR="009C6940" w:rsidRDefault="009C6940" w:rsidP="009C6940">
                  <w:pPr>
                    <w:pStyle w:val="TableBodyText"/>
                    <w:jc w:val="left"/>
                  </w:pPr>
                  <w:r>
                    <w:t>Female</w:t>
                  </w:r>
                </w:p>
              </w:tc>
              <w:tc>
                <w:tcPr>
                  <w:tcW w:w="2124" w:type="pct"/>
                </w:tcPr>
                <w:p w14:paraId="5664E2EE" w14:textId="77777777" w:rsidR="009C6940" w:rsidRDefault="009C6940" w:rsidP="009C6940">
                  <w:pPr>
                    <w:pStyle w:val="TableBodyText"/>
                    <w:jc w:val="left"/>
                  </w:pPr>
                </w:p>
              </w:tc>
            </w:tr>
            <w:tr w:rsidR="009C6940" w14:paraId="17F056FA" w14:textId="77777777" w:rsidTr="009C6940">
              <w:tc>
                <w:tcPr>
                  <w:tcW w:w="2876" w:type="pct"/>
                  <w:shd w:val="clear" w:color="auto" w:fill="auto"/>
                </w:tcPr>
                <w:p w14:paraId="1FCF8595" w14:textId="77777777" w:rsidR="009C6940" w:rsidRDefault="009C6940" w:rsidP="009C6940">
                  <w:pPr>
                    <w:pStyle w:val="TableBodyText"/>
                    <w:jc w:val="left"/>
                  </w:pPr>
                  <w:r>
                    <w:t>Married/de facto</w:t>
                  </w:r>
                </w:p>
              </w:tc>
              <w:tc>
                <w:tcPr>
                  <w:tcW w:w="2124" w:type="pct"/>
                </w:tcPr>
                <w:p w14:paraId="774472AD" w14:textId="77777777" w:rsidR="009C6940" w:rsidRDefault="009C6940" w:rsidP="009C6940">
                  <w:pPr>
                    <w:pStyle w:val="TableBodyText"/>
                    <w:jc w:val="left"/>
                  </w:pPr>
                </w:p>
              </w:tc>
            </w:tr>
            <w:tr w:rsidR="009C6940" w14:paraId="46D89A95" w14:textId="77777777" w:rsidTr="009C6940">
              <w:tc>
                <w:tcPr>
                  <w:tcW w:w="2876" w:type="pct"/>
                  <w:shd w:val="clear" w:color="auto" w:fill="auto"/>
                </w:tcPr>
                <w:p w14:paraId="7A457FAC" w14:textId="77777777" w:rsidR="009C6940" w:rsidRDefault="009C6940" w:rsidP="009C6940">
                  <w:pPr>
                    <w:pStyle w:val="TableBodyText"/>
                    <w:jc w:val="left"/>
                  </w:pPr>
                  <w:r>
                    <w:t>Divorced</w:t>
                  </w:r>
                </w:p>
              </w:tc>
              <w:tc>
                <w:tcPr>
                  <w:tcW w:w="2124" w:type="pct"/>
                </w:tcPr>
                <w:p w14:paraId="573FD4EE" w14:textId="77777777" w:rsidR="009C6940" w:rsidRDefault="009C6940" w:rsidP="009C6940">
                  <w:pPr>
                    <w:pStyle w:val="TableBodyText"/>
                    <w:jc w:val="left"/>
                  </w:pPr>
                </w:p>
              </w:tc>
            </w:tr>
            <w:tr w:rsidR="009C6940" w14:paraId="7B177EA7" w14:textId="77777777" w:rsidTr="009C6940">
              <w:tc>
                <w:tcPr>
                  <w:tcW w:w="2876" w:type="pct"/>
                  <w:shd w:val="clear" w:color="auto" w:fill="auto"/>
                </w:tcPr>
                <w:p w14:paraId="7EAF2416" w14:textId="77777777" w:rsidR="009C6940" w:rsidRDefault="009C6940" w:rsidP="009C6940">
                  <w:pPr>
                    <w:pStyle w:val="TableBodyText"/>
                    <w:jc w:val="left"/>
                  </w:pPr>
                  <w:r>
                    <w:t>Lives in a regional area</w:t>
                  </w:r>
                </w:p>
              </w:tc>
              <w:tc>
                <w:tcPr>
                  <w:tcW w:w="2124" w:type="pct"/>
                </w:tcPr>
                <w:p w14:paraId="200857A8" w14:textId="77777777" w:rsidR="009C6940" w:rsidRDefault="009C6940" w:rsidP="009C6940">
                  <w:pPr>
                    <w:pStyle w:val="TableBodyText"/>
                    <w:jc w:val="left"/>
                  </w:pPr>
                </w:p>
              </w:tc>
            </w:tr>
            <w:tr w:rsidR="009C6940" w14:paraId="04CB5DA9" w14:textId="77777777" w:rsidTr="009C6940">
              <w:tc>
                <w:tcPr>
                  <w:tcW w:w="2876" w:type="pct"/>
                  <w:shd w:val="clear" w:color="auto" w:fill="auto"/>
                </w:tcPr>
                <w:p w14:paraId="4F62B677" w14:textId="77777777" w:rsidR="009C6940" w:rsidRDefault="009C6940" w:rsidP="009C6940">
                  <w:pPr>
                    <w:pStyle w:val="TableBodyText"/>
                    <w:jc w:val="left"/>
                  </w:pPr>
                  <w:r>
                    <w:t>Aboriginal and Torres Strait islander</w:t>
                  </w:r>
                </w:p>
              </w:tc>
              <w:tc>
                <w:tcPr>
                  <w:tcW w:w="2124" w:type="pct"/>
                </w:tcPr>
                <w:p w14:paraId="18FEDF5B" w14:textId="77777777" w:rsidR="009C6940" w:rsidRDefault="009C6940" w:rsidP="009C6940">
                  <w:pPr>
                    <w:pStyle w:val="TableBodyText"/>
                    <w:jc w:val="left"/>
                  </w:pPr>
                </w:p>
              </w:tc>
            </w:tr>
            <w:tr w:rsidR="009C6940" w14:paraId="39693E6E" w14:textId="77777777" w:rsidTr="009C6940">
              <w:tc>
                <w:tcPr>
                  <w:tcW w:w="2876" w:type="pct"/>
                  <w:shd w:val="clear" w:color="auto" w:fill="auto"/>
                </w:tcPr>
                <w:p w14:paraId="08D4C755" w14:textId="77777777" w:rsidR="009C6940" w:rsidRDefault="009C6940" w:rsidP="009C6940">
                  <w:pPr>
                    <w:pStyle w:val="TableBodyText"/>
                    <w:jc w:val="left"/>
                  </w:pPr>
                  <w:r>
                    <w:t>Non</w:t>
                  </w:r>
                  <w:r>
                    <w:noBreakHyphen/>
                    <w:t>English speaking background (NESB)</w:t>
                  </w:r>
                </w:p>
              </w:tc>
              <w:tc>
                <w:tcPr>
                  <w:tcW w:w="2124" w:type="pct"/>
                </w:tcPr>
                <w:p w14:paraId="65EFBE6D" w14:textId="77777777" w:rsidR="009C6940" w:rsidRDefault="009C6940" w:rsidP="009C6940">
                  <w:pPr>
                    <w:pStyle w:val="TableBodyText"/>
                    <w:jc w:val="left"/>
                  </w:pPr>
                </w:p>
              </w:tc>
            </w:tr>
            <w:tr w:rsidR="009C6940" w14:paraId="7E105F1E" w14:textId="77777777" w:rsidTr="009C6940">
              <w:tc>
                <w:tcPr>
                  <w:tcW w:w="2876" w:type="pct"/>
                  <w:shd w:val="clear" w:color="auto" w:fill="auto"/>
                </w:tcPr>
                <w:p w14:paraId="158CCBD8" w14:textId="77777777" w:rsidR="009C6940" w:rsidRDefault="009C6940" w:rsidP="009C6940">
                  <w:pPr>
                    <w:pStyle w:val="TableBodyText"/>
                    <w:jc w:val="left"/>
                  </w:pPr>
                  <w:r>
                    <w:t>Currently studying</w:t>
                  </w:r>
                </w:p>
              </w:tc>
              <w:tc>
                <w:tcPr>
                  <w:tcW w:w="2124" w:type="pct"/>
                </w:tcPr>
                <w:p w14:paraId="5574D4B1" w14:textId="77777777" w:rsidR="009C6940" w:rsidRDefault="009C6940" w:rsidP="009C6940">
                  <w:pPr>
                    <w:pStyle w:val="TableBodyText"/>
                    <w:jc w:val="left"/>
                  </w:pPr>
                </w:p>
              </w:tc>
            </w:tr>
            <w:tr w:rsidR="009C6940" w14:paraId="77713296" w14:textId="77777777" w:rsidTr="009C6940">
              <w:tc>
                <w:tcPr>
                  <w:tcW w:w="2876" w:type="pct"/>
                  <w:tcBorders>
                    <w:bottom w:val="single" w:sz="4" w:space="0" w:color="D9D9D9" w:themeColor="background1" w:themeShade="D9"/>
                  </w:tcBorders>
                  <w:shd w:val="clear" w:color="auto" w:fill="auto"/>
                </w:tcPr>
                <w:p w14:paraId="551DF36A" w14:textId="77777777" w:rsidR="009C6940" w:rsidRDefault="009C6940" w:rsidP="009C6940">
                  <w:pPr>
                    <w:pStyle w:val="TableBodyText"/>
                    <w:jc w:val="left"/>
                  </w:pPr>
                  <w:r>
                    <w:t>Death of a friend in the past 3 years</w:t>
                  </w:r>
                </w:p>
              </w:tc>
              <w:tc>
                <w:tcPr>
                  <w:tcW w:w="2124" w:type="pct"/>
                  <w:tcBorders>
                    <w:bottom w:val="single" w:sz="4" w:space="0" w:color="D9D9D9" w:themeColor="background1" w:themeShade="D9"/>
                  </w:tcBorders>
                </w:tcPr>
                <w:p w14:paraId="79100A89" w14:textId="77777777" w:rsidR="009C6940" w:rsidRDefault="009C6940" w:rsidP="009C6940">
                  <w:pPr>
                    <w:pStyle w:val="TableBodyText"/>
                    <w:jc w:val="left"/>
                  </w:pPr>
                </w:p>
              </w:tc>
            </w:tr>
          </w:tbl>
          <w:p w14:paraId="4CAE9868" w14:textId="77777777" w:rsidR="009C6940" w:rsidRDefault="009C6940" w:rsidP="009C6940">
            <w:pPr>
              <w:pStyle w:val="Box"/>
            </w:pPr>
          </w:p>
        </w:tc>
      </w:tr>
      <w:tr w:rsidR="009C6940" w14:paraId="2E5A8BB7" w14:textId="77777777" w:rsidTr="009C6940">
        <w:tc>
          <w:tcPr>
            <w:tcW w:w="8625" w:type="dxa"/>
            <w:tcBorders>
              <w:top w:val="nil"/>
              <w:left w:val="nil"/>
              <w:bottom w:val="single" w:sz="6" w:space="0" w:color="78A22F"/>
              <w:right w:val="nil"/>
            </w:tcBorders>
            <w:shd w:val="clear" w:color="auto" w:fill="auto"/>
          </w:tcPr>
          <w:p w14:paraId="3040506F" w14:textId="77777777" w:rsidR="009C6940" w:rsidRDefault="009C6940" w:rsidP="009C6940">
            <w:pPr>
              <w:pStyle w:val="Box"/>
              <w:spacing w:before="0" w:line="120" w:lineRule="exact"/>
            </w:pPr>
          </w:p>
        </w:tc>
      </w:tr>
      <w:tr w:rsidR="009C6940" w:rsidRPr="000863A5" w14:paraId="64172081" w14:textId="77777777" w:rsidTr="009C6940">
        <w:tc>
          <w:tcPr>
            <w:tcW w:w="8625" w:type="dxa"/>
            <w:tcBorders>
              <w:top w:val="single" w:sz="6" w:space="0" w:color="78A22F"/>
              <w:left w:val="nil"/>
              <w:bottom w:val="nil"/>
              <w:right w:val="nil"/>
            </w:tcBorders>
          </w:tcPr>
          <w:p w14:paraId="62AEB9B4" w14:textId="77777777" w:rsidR="009C6940" w:rsidRPr="00626D32" w:rsidRDefault="009C6940" w:rsidP="009C6940">
            <w:pPr>
              <w:pStyle w:val="BoxSpaceBelow"/>
            </w:pPr>
          </w:p>
        </w:tc>
      </w:tr>
    </w:tbl>
    <w:p w14:paraId="6646E734" w14:textId="77777777" w:rsidR="009C6940" w:rsidRDefault="009C6940" w:rsidP="009C6940">
      <w:pPr>
        <w:pStyle w:val="BodyText"/>
      </w:pPr>
      <w:r>
        <w:t xml:space="preserve">The Productivity Commission used the statistical package Stan </w:t>
      </w:r>
      <w:r w:rsidRPr="003E2303">
        <w:rPr>
          <w:szCs w:val="24"/>
        </w:rPr>
        <w:t>(Carpenter et al. 2017)</w:t>
      </w:r>
      <w:r>
        <w:t xml:space="preserve"> through an interface to the R programming language to rescale the posterior distributions.</w:t>
      </w:r>
    </w:p>
    <w:p w14:paraId="492096C6" w14:textId="77777777" w:rsidR="009C6940" w:rsidRDefault="009C6940" w:rsidP="009C6940">
      <w:pPr>
        <w:pStyle w:val="BodyText"/>
      </w:pPr>
      <w:r>
        <w:t>For all but the simplest cases, there is no mathematical equation that defines the posterior distribution — this means that it needs to be estimated empirically. This estimation can be computationally difficult. Indeed it has only been possible to estimate complicated models in recent years, as computing power has increased. Stan uses an algorithm called Hamiltonian Monte Carlo to explore and sample from the posterior probability distribution. Statistical inference about the posterior distribution is conducted using these samples.</w:t>
      </w:r>
    </w:p>
    <w:p w14:paraId="0244FE74" w14:textId="77777777" w:rsidR="009C6940" w:rsidRDefault="00AB0E42" w:rsidP="009C6940">
      <w:pPr>
        <w:pStyle w:val="Heading2"/>
      </w:pPr>
      <w:fldSimple w:instr=" COMMENTS  \* MERGEFORMAT " w:fldLock="1">
        <w:r w:rsidR="009C6940">
          <w:t>J.</w:t>
        </w:r>
      </w:fldSimple>
      <w:r w:rsidR="009C6940">
        <w:rPr>
          <w:noProof/>
        </w:rPr>
        <w:fldChar w:fldCharType="begin" w:fldLock="1"/>
      </w:r>
      <w:r w:rsidR="009C6940">
        <w:rPr>
          <w:noProof/>
        </w:rPr>
        <w:instrText xml:space="preserve"> SEQ Heading2 </w:instrText>
      </w:r>
      <w:r w:rsidR="009C6940">
        <w:rPr>
          <w:noProof/>
        </w:rPr>
        <w:fldChar w:fldCharType="separate"/>
      </w:r>
      <w:r w:rsidR="009C6940">
        <w:rPr>
          <w:noProof/>
        </w:rPr>
        <w:t>3</w:t>
      </w:r>
      <w:r w:rsidR="009C6940">
        <w:rPr>
          <w:noProof/>
        </w:rPr>
        <w:fldChar w:fldCharType="end"/>
      </w:r>
      <w:r w:rsidR="009C6940">
        <w:tab/>
        <w:t>Parameter estimates</w:t>
      </w:r>
    </w:p>
    <w:p w14:paraId="2BE2576C"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39AD0F0E" w14:textId="77777777" w:rsidTr="009C6940">
        <w:trPr>
          <w:tblHeader/>
        </w:trPr>
        <w:tc>
          <w:tcPr>
            <w:tcW w:w="5000" w:type="pct"/>
            <w:tcBorders>
              <w:top w:val="single" w:sz="6" w:space="0" w:color="78A22F"/>
              <w:left w:val="nil"/>
              <w:bottom w:val="nil"/>
              <w:right w:val="nil"/>
            </w:tcBorders>
            <w:shd w:val="clear" w:color="auto" w:fill="auto"/>
          </w:tcPr>
          <w:p w14:paraId="25409551" w14:textId="77777777" w:rsidR="009C6940" w:rsidRPr="00784A05" w:rsidRDefault="009C6940" w:rsidP="009C6940">
            <w:pPr>
              <w:pStyle w:val="TableTitle"/>
            </w:pPr>
            <w:r>
              <w:rPr>
                <w:b w:val="0"/>
              </w:rPr>
              <w:t>Table J.3</w:t>
            </w:r>
            <w:r>
              <w:tab/>
              <w:t>Parameter estimates — Instrumental Variable equation</w:t>
            </w:r>
            <w:r w:rsidRPr="008D5680">
              <w:rPr>
                <w:rStyle w:val="NoteLabel"/>
                <w:b/>
              </w:rPr>
              <w:t>a,</w:t>
            </w:r>
            <w:r w:rsidRPr="00054B36">
              <w:rPr>
                <w:rStyle w:val="NoteLabel"/>
                <w:b/>
              </w:rPr>
              <w:t>b</w:t>
            </w:r>
          </w:p>
        </w:tc>
      </w:tr>
      <w:tr w:rsidR="009C6940" w14:paraId="12B11A7F" w14:textId="77777777" w:rsidTr="009C6940">
        <w:tc>
          <w:tcPr>
            <w:tcW w:w="5000" w:type="pct"/>
            <w:tcBorders>
              <w:top w:val="nil"/>
              <w:left w:val="nil"/>
              <w:bottom w:val="nil"/>
              <w:right w:val="nil"/>
            </w:tcBorders>
            <w:shd w:val="clear" w:color="auto" w:fill="auto"/>
          </w:tcPr>
          <w:tbl>
            <w:tblPr>
              <w:tblW w:w="4923" w:type="pct"/>
              <w:tblCellMar>
                <w:top w:w="28" w:type="dxa"/>
                <w:left w:w="0" w:type="dxa"/>
                <w:right w:w="0" w:type="dxa"/>
              </w:tblCellMar>
              <w:tblLook w:val="0000" w:firstRow="0" w:lastRow="0" w:firstColumn="0" w:lastColumn="0" w:noHBand="0" w:noVBand="0"/>
            </w:tblPr>
            <w:tblGrid>
              <w:gridCol w:w="2267"/>
              <w:gridCol w:w="1134"/>
              <w:gridCol w:w="1134"/>
              <w:gridCol w:w="1276"/>
              <w:gridCol w:w="1186"/>
              <w:gridCol w:w="1377"/>
            </w:tblGrid>
            <w:tr w:rsidR="009C6940" w14:paraId="020C8599" w14:textId="77777777" w:rsidTr="009C6940">
              <w:trPr>
                <w:tblHeader/>
              </w:trPr>
              <w:tc>
                <w:tcPr>
                  <w:tcW w:w="1354" w:type="pct"/>
                  <w:tcBorders>
                    <w:top w:val="single" w:sz="6" w:space="0" w:color="BFBFBF"/>
                    <w:bottom w:val="single" w:sz="6" w:space="0" w:color="BFBFBF"/>
                  </w:tcBorders>
                  <w:shd w:val="clear" w:color="auto" w:fill="auto"/>
                  <w:tcMar>
                    <w:top w:w="28" w:type="dxa"/>
                  </w:tcMar>
                </w:tcPr>
                <w:p w14:paraId="3F2762A1" w14:textId="77777777" w:rsidR="009C6940" w:rsidRDefault="009C6940" w:rsidP="009C6940">
                  <w:pPr>
                    <w:pStyle w:val="TableColumnHeading"/>
                    <w:jc w:val="left"/>
                  </w:pPr>
                  <w:r>
                    <w:t>V</w:t>
                  </w:r>
                  <w:r w:rsidRPr="00B9642D">
                    <w:t>ariable</w:t>
                  </w:r>
                </w:p>
              </w:tc>
              <w:tc>
                <w:tcPr>
                  <w:tcW w:w="677" w:type="pct"/>
                  <w:tcBorders>
                    <w:top w:val="single" w:sz="6" w:space="0" w:color="BFBFBF"/>
                    <w:bottom w:val="single" w:sz="6" w:space="0" w:color="BFBFBF"/>
                  </w:tcBorders>
                </w:tcPr>
                <w:p w14:paraId="64FF8C75" w14:textId="77777777" w:rsidR="009C6940" w:rsidRDefault="009C6940" w:rsidP="009C6940">
                  <w:pPr>
                    <w:pStyle w:val="TableColumnHeading"/>
                  </w:pPr>
                  <w:r>
                    <w:t>M</w:t>
                  </w:r>
                  <w:r w:rsidRPr="00B9642D">
                    <w:t>ean</w:t>
                  </w:r>
                </w:p>
              </w:tc>
              <w:tc>
                <w:tcPr>
                  <w:tcW w:w="677" w:type="pct"/>
                  <w:tcBorders>
                    <w:top w:val="single" w:sz="6" w:space="0" w:color="BFBFBF"/>
                    <w:bottom w:val="single" w:sz="6" w:space="0" w:color="BFBFBF"/>
                  </w:tcBorders>
                </w:tcPr>
                <w:p w14:paraId="3ABC59C4" w14:textId="77777777" w:rsidR="009C6940" w:rsidRDefault="009C6940" w:rsidP="009C6940">
                  <w:pPr>
                    <w:pStyle w:val="TableColumnHeading"/>
                  </w:pPr>
                  <w:r>
                    <w:t>SD</w:t>
                  </w:r>
                </w:p>
              </w:tc>
              <w:tc>
                <w:tcPr>
                  <w:tcW w:w="762" w:type="pct"/>
                  <w:tcBorders>
                    <w:top w:val="single" w:sz="6" w:space="0" w:color="BFBFBF"/>
                    <w:bottom w:val="single" w:sz="6" w:space="0" w:color="BFBFBF"/>
                  </w:tcBorders>
                </w:tcPr>
                <w:p w14:paraId="66CC984E" w14:textId="77777777" w:rsidR="009C6940" w:rsidRDefault="009C6940" w:rsidP="009C6940">
                  <w:pPr>
                    <w:pStyle w:val="TableColumnHeading"/>
                  </w:pPr>
                  <w:r>
                    <w:t>5</w:t>
                  </w:r>
                  <w:r w:rsidRPr="00321AD3">
                    <w:rPr>
                      <w:vertAlign w:val="superscript"/>
                    </w:rPr>
                    <w:t>th</w:t>
                  </w:r>
                  <w:r>
                    <w:t xml:space="preserve"> percentile</w:t>
                  </w:r>
                </w:p>
              </w:tc>
              <w:tc>
                <w:tcPr>
                  <w:tcW w:w="708" w:type="pct"/>
                  <w:tcBorders>
                    <w:top w:val="single" w:sz="6" w:space="0" w:color="BFBFBF"/>
                    <w:bottom w:val="single" w:sz="6" w:space="0" w:color="BFBFBF"/>
                  </w:tcBorders>
                  <w:shd w:val="clear" w:color="auto" w:fill="auto"/>
                  <w:tcMar>
                    <w:top w:w="28" w:type="dxa"/>
                  </w:tcMar>
                </w:tcPr>
                <w:p w14:paraId="51FBDBF3" w14:textId="77777777" w:rsidR="009C6940" w:rsidRDefault="009C6940" w:rsidP="009C6940">
                  <w:pPr>
                    <w:pStyle w:val="TableColumnHeading"/>
                  </w:pPr>
                  <w:r>
                    <w:t>Median</w:t>
                  </w:r>
                </w:p>
              </w:tc>
              <w:tc>
                <w:tcPr>
                  <w:tcW w:w="822" w:type="pct"/>
                  <w:tcBorders>
                    <w:top w:val="single" w:sz="6" w:space="0" w:color="BFBFBF"/>
                    <w:bottom w:val="single" w:sz="6" w:space="0" w:color="BFBFBF"/>
                  </w:tcBorders>
                  <w:shd w:val="clear" w:color="auto" w:fill="auto"/>
                  <w:tcMar>
                    <w:top w:w="28" w:type="dxa"/>
                  </w:tcMar>
                </w:tcPr>
                <w:p w14:paraId="4631DD88" w14:textId="77777777" w:rsidR="009C6940" w:rsidRDefault="009C6940" w:rsidP="009C6940">
                  <w:pPr>
                    <w:pStyle w:val="TableColumnHeading"/>
                    <w:ind w:right="28"/>
                  </w:pPr>
                  <w:r>
                    <w:t>95</w:t>
                  </w:r>
                  <w:r w:rsidRPr="00321AD3">
                    <w:rPr>
                      <w:vertAlign w:val="superscript"/>
                    </w:rPr>
                    <w:t>th</w:t>
                  </w:r>
                  <w:r>
                    <w:t xml:space="preserve"> percentile</w:t>
                  </w:r>
                </w:p>
              </w:tc>
            </w:tr>
            <w:tr w:rsidR="009C6940" w14:paraId="5242E678" w14:textId="77777777" w:rsidTr="009C6940">
              <w:tc>
                <w:tcPr>
                  <w:tcW w:w="1354" w:type="pct"/>
                  <w:tcBorders>
                    <w:top w:val="single" w:sz="6" w:space="0" w:color="BFBFBF"/>
                  </w:tcBorders>
                  <w:vAlign w:val="bottom"/>
                </w:tcPr>
                <w:p w14:paraId="356DF43B" w14:textId="77777777" w:rsidR="009C6940" w:rsidRDefault="009C6940" w:rsidP="009C6940">
                  <w:pPr>
                    <w:pStyle w:val="TableUnitsRow"/>
                    <w:jc w:val="left"/>
                  </w:pPr>
                  <w:r>
                    <w:t>Age 21–</w:t>
                  </w:r>
                  <w:r w:rsidRPr="005368AA">
                    <w:t>24</w:t>
                  </w:r>
                  <w:r>
                    <w:t> years</w:t>
                  </w:r>
                </w:p>
              </w:tc>
              <w:tc>
                <w:tcPr>
                  <w:tcW w:w="677" w:type="pct"/>
                  <w:tcBorders>
                    <w:top w:val="single" w:sz="6" w:space="0" w:color="BFBFBF"/>
                  </w:tcBorders>
                  <w:vAlign w:val="bottom"/>
                </w:tcPr>
                <w:p w14:paraId="563F575F" w14:textId="77777777" w:rsidR="009C6940" w:rsidRDefault="009C6940" w:rsidP="009C6940">
                  <w:pPr>
                    <w:pStyle w:val="TableBodyText"/>
                    <w:spacing w:before="40"/>
                  </w:pPr>
                  <w:r>
                    <w:t>-0.112</w:t>
                  </w:r>
                </w:p>
              </w:tc>
              <w:tc>
                <w:tcPr>
                  <w:tcW w:w="677" w:type="pct"/>
                  <w:tcBorders>
                    <w:top w:val="single" w:sz="6" w:space="0" w:color="BFBFBF"/>
                  </w:tcBorders>
                  <w:vAlign w:val="bottom"/>
                </w:tcPr>
                <w:p w14:paraId="5707C37B" w14:textId="77777777" w:rsidR="009C6940" w:rsidRDefault="009C6940" w:rsidP="009C6940">
                  <w:pPr>
                    <w:pStyle w:val="TableBodyText"/>
                    <w:spacing w:before="40"/>
                  </w:pPr>
                  <w:r>
                    <w:t>0.011</w:t>
                  </w:r>
                </w:p>
              </w:tc>
              <w:tc>
                <w:tcPr>
                  <w:tcW w:w="762" w:type="pct"/>
                  <w:tcBorders>
                    <w:top w:val="single" w:sz="6" w:space="0" w:color="BFBFBF"/>
                  </w:tcBorders>
                  <w:vAlign w:val="bottom"/>
                </w:tcPr>
                <w:p w14:paraId="5FE33C12" w14:textId="77777777" w:rsidR="009C6940" w:rsidRDefault="009C6940" w:rsidP="009C6940">
                  <w:pPr>
                    <w:pStyle w:val="TableBodyText"/>
                    <w:spacing w:before="40"/>
                  </w:pPr>
                  <w:r>
                    <w:t>-0.130</w:t>
                  </w:r>
                </w:p>
              </w:tc>
              <w:tc>
                <w:tcPr>
                  <w:tcW w:w="708" w:type="pct"/>
                  <w:tcBorders>
                    <w:top w:val="single" w:sz="6" w:space="0" w:color="BFBFBF"/>
                  </w:tcBorders>
                  <w:vAlign w:val="bottom"/>
                </w:tcPr>
                <w:p w14:paraId="2B845814" w14:textId="77777777" w:rsidR="009C6940" w:rsidRDefault="009C6940" w:rsidP="009C6940">
                  <w:pPr>
                    <w:pStyle w:val="TableBodyText"/>
                    <w:spacing w:before="40"/>
                  </w:pPr>
                  <w:r>
                    <w:t>-0.112</w:t>
                  </w:r>
                </w:p>
              </w:tc>
              <w:tc>
                <w:tcPr>
                  <w:tcW w:w="822" w:type="pct"/>
                  <w:tcBorders>
                    <w:top w:val="single" w:sz="6" w:space="0" w:color="BFBFBF"/>
                  </w:tcBorders>
                  <w:vAlign w:val="bottom"/>
                </w:tcPr>
                <w:p w14:paraId="0F33D36E" w14:textId="77777777" w:rsidR="009C6940" w:rsidRDefault="009C6940" w:rsidP="009C6940">
                  <w:pPr>
                    <w:pStyle w:val="TableBodyText"/>
                    <w:spacing w:before="40"/>
                    <w:ind w:right="11"/>
                  </w:pPr>
                  <w:r>
                    <w:t>-0.093</w:t>
                  </w:r>
                </w:p>
              </w:tc>
            </w:tr>
            <w:tr w:rsidR="009C6940" w14:paraId="2753B982" w14:textId="77777777" w:rsidTr="009C6940">
              <w:tc>
                <w:tcPr>
                  <w:tcW w:w="1354" w:type="pct"/>
                  <w:vAlign w:val="bottom"/>
                </w:tcPr>
                <w:p w14:paraId="6B907CAE" w14:textId="77777777" w:rsidR="009C6940" w:rsidRDefault="009C6940" w:rsidP="009C6940">
                  <w:pPr>
                    <w:pStyle w:val="TableBodyText"/>
                    <w:jc w:val="left"/>
                  </w:pPr>
                  <w:r w:rsidRPr="005368AA">
                    <w:t>Age 25</w:t>
                  </w:r>
                  <w:r>
                    <w:t>–</w:t>
                  </w:r>
                  <w:r w:rsidRPr="005368AA">
                    <w:t>44</w:t>
                  </w:r>
                  <w:r>
                    <w:t> years</w:t>
                  </w:r>
                </w:p>
              </w:tc>
              <w:tc>
                <w:tcPr>
                  <w:tcW w:w="677" w:type="pct"/>
                  <w:vAlign w:val="bottom"/>
                </w:tcPr>
                <w:p w14:paraId="210C1F6A" w14:textId="77777777" w:rsidR="009C6940" w:rsidRDefault="009C6940" w:rsidP="009C6940">
                  <w:pPr>
                    <w:pStyle w:val="TableBodyText"/>
                  </w:pPr>
                  <w:r>
                    <w:t>-0.107</w:t>
                  </w:r>
                </w:p>
              </w:tc>
              <w:tc>
                <w:tcPr>
                  <w:tcW w:w="677" w:type="pct"/>
                  <w:vAlign w:val="bottom"/>
                </w:tcPr>
                <w:p w14:paraId="691DF741" w14:textId="77777777" w:rsidR="009C6940" w:rsidRDefault="009C6940" w:rsidP="009C6940">
                  <w:pPr>
                    <w:pStyle w:val="TableBodyText"/>
                  </w:pPr>
                  <w:r>
                    <w:t>0.007</w:t>
                  </w:r>
                </w:p>
              </w:tc>
              <w:tc>
                <w:tcPr>
                  <w:tcW w:w="762" w:type="pct"/>
                  <w:vAlign w:val="bottom"/>
                </w:tcPr>
                <w:p w14:paraId="3DA358F9" w14:textId="77777777" w:rsidR="009C6940" w:rsidRDefault="009C6940" w:rsidP="009C6940">
                  <w:pPr>
                    <w:pStyle w:val="TableBodyText"/>
                  </w:pPr>
                  <w:r>
                    <w:t>-0.119</w:t>
                  </w:r>
                </w:p>
              </w:tc>
              <w:tc>
                <w:tcPr>
                  <w:tcW w:w="708" w:type="pct"/>
                  <w:vAlign w:val="bottom"/>
                </w:tcPr>
                <w:p w14:paraId="3E991290" w14:textId="77777777" w:rsidR="009C6940" w:rsidRDefault="009C6940" w:rsidP="009C6940">
                  <w:pPr>
                    <w:pStyle w:val="TableBodyText"/>
                  </w:pPr>
                  <w:r>
                    <w:t>-0.107</w:t>
                  </w:r>
                </w:p>
              </w:tc>
              <w:tc>
                <w:tcPr>
                  <w:tcW w:w="822" w:type="pct"/>
                  <w:vAlign w:val="bottom"/>
                </w:tcPr>
                <w:p w14:paraId="1169EA71" w14:textId="77777777" w:rsidR="009C6940" w:rsidRDefault="009C6940" w:rsidP="009C6940">
                  <w:pPr>
                    <w:pStyle w:val="TableBodyText"/>
                    <w:ind w:right="11"/>
                  </w:pPr>
                  <w:r>
                    <w:t>-0.096</w:t>
                  </w:r>
                </w:p>
              </w:tc>
            </w:tr>
            <w:tr w:rsidR="009C6940" w14:paraId="4D7DE1FD" w14:textId="77777777" w:rsidTr="009C6940">
              <w:tc>
                <w:tcPr>
                  <w:tcW w:w="1354" w:type="pct"/>
                  <w:vAlign w:val="bottom"/>
                </w:tcPr>
                <w:p w14:paraId="52007C81" w14:textId="77777777" w:rsidR="009C6940" w:rsidRDefault="009C6940" w:rsidP="009C6940">
                  <w:pPr>
                    <w:pStyle w:val="TableBodyText"/>
                    <w:jc w:val="left"/>
                  </w:pPr>
                  <w:r w:rsidRPr="005368AA">
                    <w:t>University degree</w:t>
                  </w:r>
                </w:p>
              </w:tc>
              <w:tc>
                <w:tcPr>
                  <w:tcW w:w="677" w:type="pct"/>
                  <w:vAlign w:val="bottom"/>
                </w:tcPr>
                <w:p w14:paraId="77B53741" w14:textId="77777777" w:rsidR="009C6940" w:rsidRDefault="009C6940" w:rsidP="009C6940">
                  <w:pPr>
                    <w:pStyle w:val="TableBodyText"/>
                  </w:pPr>
                  <w:r>
                    <w:t>-0.038</w:t>
                  </w:r>
                </w:p>
              </w:tc>
              <w:tc>
                <w:tcPr>
                  <w:tcW w:w="677" w:type="pct"/>
                  <w:vAlign w:val="bottom"/>
                </w:tcPr>
                <w:p w14:paraId="7E15A302" w14:textId="77777777" w:rsidR="009C6940" w:rsidRDefault="009C6940" w:rsidP="009C6940">
                  <w:pPr>
                    <w:pStyle w:val="TableBodyText"/>
                  </w:pPr>
                  <w:r>
                    <w:t>0.006</w:t>
                  </w:r>
                </w:p>
              </w:tc>
              <w:tc>
                <w:tcPr>
                  <w:tcW w:w="762" w:type="pct"/>
                  <w:vAlign w:val="bottom"/>
                </w:tcPr>
                <w:p w14:paraId="1F1B813C" w14:textId="77777777" w:rsidR="009C6940" w:rsidRDefault="009C6940" w:rsidP="009C6940">
                  <w:pPr>
                    <w:pStyle w:val="TableBodyText"/>
                  </w:pPr>
                  <w:r>
                    <w:t>-0.049</w:t>
                  </w:r>
                </w:p>
              </w:tc>
              <w:tc>
                <w:tcPr>
                  <w:tcW w:w="708" w:type="pct"/>
                  <w:vAlign w:val="bottom"/>
                </w:tcPr>
                <w:p w14:paraId="7D3997DC" w14:textId="77777777" w:rsidR="009C6940" w:rsidRDefault="009C6940" w:rsidP="009C6940">
                  <w:pPr>
                    <w:pStyle w:val="TableBodyText"/>
                  </w:pPr>
                  <w:r>
                    <w:t>-0.038</w:t>
                  </w:r>
                </w:p>
              </w:tc>
              <w:tc>
                <w:tcPr>
                  <w:tcW w:w="822" w:type="pct"/>
                  <w:vAlign w:val="bottom"/>
                </w:tcPr>
                <w:p w14:paraId="2583D48D" w14:textId="77777777" w:rsidR="009C6940" w:rsidRDefault="009C6940" w:rsidP="009C6940">
                  <w:pPr>
                    <w:pStyle w:val="TableBodyText"/>
                    <w:ind w:right="11"/>
                  </w:pPr>
                  <w:r>
                    <w:t>-0.028</w:t>
                  </w:r>
                </w:p>
              </w:tc>
            </w:tr>
            <w:tr w:rsidR="009C6940" w14:paraId="71DDAACB" w14:textId="77777777" w:rsidTr="009C6940">
              <w:tc>
                <w:tcPr>
                  <w:tcW w:w="1354" w:type="pct"/>
                  <w:vAlign w:val="bottom"/>
                </w:tcPr>
                <w:p w14:paraId="71538CA9" w14:textId="77777777" w:rsidR="009C6940" w:rsidRDefault="009C6940" w:rsidP="009C6940">
                  <w:pPr>
                    <w:pStyle w:val="TableBodyText"/>
                    <w:jc w:val="left"/>
                  </w:pPr>
                  <w:r w:rsidRPr="005368AA">
                    <w:t>Diploma/certificate</w:t>
                  </w:r>
                </w:p>
              </w:tc>
              <w:tc>
                <w:tcPr>
                  <w:tcW w:w="677" w:type="pct"/>
                  <w:vAlign w:val="bottom"/>
                </w:tcPr>
                <w:p w14:paraId="2D4822DC" w14:textId="77777777" w:rsidR="009C6940" w:rsidRDefault="009C6940" w:rsidP="009C6940">
                  <w:pPr>
                    <w:pStyle w:val="TableBodyText"/>
                  </w:pPr>
                  <w:r>
                    <w:t>-0.004</w:t>
                  </w:r>
                </w:p>
              </w:tc>
              <w:tc>
                <w:tcPr>
                  <w:tcW w:w="677" w:type="pct"/>
                  <w:vAlign w:val="bottom"/>
                </w:tcPr>
                <w:p w14:paraId="436E2850" w14:textId="77777777" w:rsidR="009C6940" w:rsidRDefault="009C6940" w:rsidP="009C6940">
                  <w:pPr>
                    <w:pStyle w:val="TableBodyText"/>
                  </w:pPr>
                  <w:r>
                    <w:t>0.006</w:t>
                  </w:r>
                </w:p>
              </w:tc>
              <w:tc>
                <w:tcPr>
                  <w:tcW w:w="762" w:type="pct"/>
                  <w:vAlign w:val="bottom"/>
                </w:tcPr>
                <w:p w14:paraId="740D6F75" w14:textId="77777777" w:rsidR="009C6940" w:rsidRDefault="009C6940" w:rsidP="009C6940">
                  <w:pPr>
                    <w:pStyle w:val="TableBodyText"/>
                  </w:pPr>
                  <w:r>
                    <w:t>-0.014</w:t>
                  </w:r>
                </w:p>
              </w:tc>
              <w:tc>
                <w:tcPr>
                  <w:tcW w:w="708" w:type="pct"/>
                  <w:vAlign w:val="bottom"/>
                </w:tcPr>
                <w:p w14:paraId="4279D902" w14:textId="77777777" w:rsidR="009C6940" w:rsidRDefault="009C6940" w:rsidP="009C6940">
                  <w:pPr>
                    <w:pStyle w:val="TableBodyText"/>
                  </w:pPr>
                  <w:r>
                    <w:t>-0.004</w:t>
                  </w:r>
                </w:p>
              </w:tc>
              <w:tc>
                <w:tcPr>
                  <w:tcW w:w="822" w:type="pct"/>
                  <w:vAlign w:val="bottom"/>
                </w:tcPr>
                <w:p w14:paraId="57870528" w14:textId="77777777" w:rsidR="009C6940" w:rsidRDefault="009C6940" w:rsidP="009C6940">
                  <w:pPr>
                    <w:pStyle w:val="TableBodyText"/>
                    <w:ind w:right="11"/>
                  </w:pPr>
                  <w:r>
                    <w:t>0.005</w:t>
                  </w:r>
                </w:p>
              </w:tc>
            </w:tr>
            <w:tr w:rsidR="009C6940" w14:paraId="59793B62" w14:textId="77777777" w:rsidTr="009C6940">
              <w:tc>
                <w:tcPr>
                  <w:tcW w:w="1354" w:type="pct"/>
                  <w:vAlign w:val="bottom"/>
                </w:tcPr>
                <w:p w14:paraId="5FEE10BA" w14:textId="77777777" w:rsidR="009C6940" w:rsidRDefault="009C6940" w:rsidP="009C6940">
                  <w:pPr>
                    <w:pStyle w:val="TableBodyText"/>
                    <w:jc w:val="left"/>
                  </w:pPr>
                  <w:r w:rsidRPr="005368AA">
                    <w:t>High school graduate</w:t>
                  </w:r>
                </w:p>
              </w:tc>
              <w:tc>
                <w:tcPr>
                  <w:tcW w:w="677" w:type="pct"/>
                  <w:vAlign w:val="bottom"/>
                </w:tcPr>
                <w:p w14:paraId="4B048776" w14:textId="77777777" w:rsidR="009C6940" w:rsidRDefault="009C6940" w:rsidP="009C6940">
                  <w:pPr>
                    <w:pStyle w:val="TableBodyText"/>
                  </w:pPr>
                  <w:r>
                    <w:t>-0.018</w:t>
                  </w:r>
                </w:p>
              </w:tc>
              <w:tc>
                <w:tcPr>
                  <w:tcW w:w="677" w:type="pct"/>
                  <w:vAlign w:val="bottom"/>
                </w:tcPr>
                <w:p w14:paraId="07CD962F" w14:textId="77777777" w:rsidR="009C6940" w:rsidRDefault="009C6940" w:rsidP="009C6940">
                  <w:pPr>
                    <w:pStyle w:val="TableBodyText"/>
                  </w:pPr>
                  <w:r>
                    <w:t>0.007</w:t>
                  </w:r>
                </w:p>
              </w:tc>
              <w:tc>
                <w:tcPr>
                  <w:tcW w:w="762" w:type="pct"/>
                  <w:vAlign w:val="bottom"/>
                </w:tcPr>
                <w:p w14:paraId="75073428" w14:textId="77777777" w:rsidR="009C6940" w:rsidRDefault="009C6940" w:rsidP="009C6940">
                  <w:pPr>
                    <w:pStyle w:val="TableBodyText"/>
                  </w:pPr>
                  <w:r>
                    <w:t>-0.029</w:t>
                  </w:r>
                </w:p>
              </w:tc>
              <w:tc>
                <w:tcPr>
                  <w:tcW w:w="708" w:type="pct"/>
                  <w:vAlign w:val="bottom"/>
                </w:tcPr>
                <w:p w14:paraId="3068CD61" w14:textId="77777777" w:rsidR="009C6940" w:rsidRDefault="009C6940" w:rsidP="009C6940">
                  <w:pPr>
                    <w:pStyle w:val="TableBodyText"/>
                  </w:pPr>
                  <w:r>
                    <w:t>-0.018</w:t>
                  </w:r>
                </w:p>
              </w:tc>
              <w:tc>
                <w:tcPr>
                  <w:tcW w:w="822" w:type="pct"/>
                  <w:vAlign w:val="bottom"/>
                </w:tcPr>
                <w:p w14:paraId="3F9BDCFA" w14:textId="77777777" w:rsidR="009C6940" w:rsidRDefault="009C6940" w:rsidP="009C6940">
                  <w:pPr>
                    <w:pStyle w:val="TableBodyText"/>
                    <w:ind w:right="11"/>
                  </w:pPr>
                  <w:r>
                    <w:t>-0.006</w:t>
                  </w:r>
                </w:p>
              </w:tc>
            </w:tr>
            <w:tr w:rsidR="009C6940" w14:paraId="0637B9C0" w14:textId="77777777" w:rsidTr="009C6940">
              <w:tc>
                <w:tcPr>
                  <w:tcW w:w="1354" w:type="pct"/>
                  <w:vAlign w:val="bottom"/>
                </w:tcPr>
                <w:p w14:paraId="1AE81344" w14:textId="77777777" w:rsidR="009C6940" w:rsidRDefault="009C6940" w:rsidP="009C6940">
                  <w:pPr>
                    <w:pStyle w:val="TableBodyText"/>
                    <w:jc w:val="left"/>
                  </w:pPr>
                  <w:r w:rsidRPr="005368AA">
                    <w:t>Married</w:t>
                  </w:r>
                  <w:r>
                    <w:t>/de facto</w:t>
                  </w:r>
                </w:p>
              </w:tc>
              <w:tc>
                <w:tcPr>
                  <w:tcW w:w="677" w:type="pct"/>
                  <w:vAlign w:val="bottom"/>
                </w:tcPr>
                <w:p w14:paraId="5437EA6C" w14:textId="77777777" w:rsidR="009C6940" w:rsidRDefault="009C6940" w:rsidP="009C6940">
                  <w:pPr>
                    <w:pStyle w:val="TableBodyText"/>
                  </w:pPr>
                  <w:r>
                    <w:t>0.189</w:t>
                  </w:r>
                </w:p>
              </w:tc>
              <w:tc>
                <w:tcPr>
                  <w:tcW w:w="677" w:type="pct"/>
                  <w:vAlign w:val="bottom"/>
                </w:tcPr>
                <w:p w14:paraId="00291F75" w14:textId="77777777" w:rsidR="009C6940" w:rsidRDefault="009C6940" w:rsidP="009C6940">
                  <w:pPr>
                    <w:pStyle w:val="TableBodyText"/>
                  </w:pPr>
                  <w:r>
                    <w:t>0.006</w:t>
                  </w:r>
                </w:p>
              </w:tc>
              <w:tc>
                <w:tcPr>
                  <w:tcW w:w="762" w:type="pct"/>
                  <w:vAlign w:val="bottom"/>
                </w:tcPr>
                <w:p w14:paraId="44A88666" w14:textId="77777777" w:rsidR="009C6940" w:rsidRDefault="009C6940" w:rsidP="009C6940">
                  <w:pPr>
                    <w:pStyle w:val="TableBodyText"/>
                  </w:pPr>
                  <w:r>
                    <w:t>0.178</w:t>
                  </w:r>
                </w:p>
              </w:tc>
              <w:tc>
                <w:tcPr>
                  <w:tcW w:w="708" w:type="pct"/>
                  <w:vAlign w:val="bottom"/>
                </w:tcPr>
                <w:p w14:paraId="1038C80F" w14:textId="77777777" w:rsidR="009C6940" w:rsidRDefault="009C6940" w:rsidP="009C6940">
                  <w:pPr>
                    <w:pStyle w:val="TableBodyText"/>
                  </w:pPr>
                  <w:r>
                    <w:t>0.189</w:t>
                  </w:r>
                </w:p>
              </w:tc>
              <w:tc>
                <w:tcPr>
                  <w:tcW w:w="822" w:type="pct"/>
                  <w:vAlign w:val="bottom"/>
                </w:tcPr>
                <w:p w14:paraId="6D5F9082" w14:textId="77777777" w:rsidR="009C6940" w:rsidRDefault="009C6940" w:rsidP="009C6940">
                  <w:pPr>
                    <w:pStyle w:val="TableBodyText"/>
                    <w:ind w:right="11"/>
                  </w:pPr>
                  <w:r>
                    <w:t>0.199</w:t>
                  </w:r>
                </w:p>
              </w:tc>
            </w:tr>
            <w:tr w:rsidR="009C6940" w14:paraId="31EC3CBC" w14:textId="77777777" w:rsidTr="009C6940">
              <w:tc>
                <w:tcPr>
                  <w:tcW w:w="1354" w:type="pct"/>
                  <w:vAlign w:val="bottom"/>
                </w:tcPr>
                <w:p w14:paraId="22DDAB3B" w14:textId="77777777" w:rsidR="009C6940" w:rsidRDefault="009C6940" w:rsidP="009C6940">
                  <w:pPr>
                    <w:pStyle w:val="TableBodyText"/>
                    <w:jc w:val="left"/>
                  </w:pPr>
                  <w:r w:rsidRPr="005368AA">
                    <w:t>Divorced</w:t>
                  </w:r>
                </w:p>
              </w:tc>
              <w:tc>
                <w:tcPr>
                  <w:tcW w:w="677" w:type="pct"/>
                  <w:vAlign w:val="bottom"/>
                </w:tcPr>
                <w:p w14:paraId="2CFEBDEB" w14:textId="77777777" w:rsidR="009C6940" w:rsidRDefault="009C6940" w:rsidP="009C6940">
                  <w:pPr>
                    <w:pStyle w:val="TableBodyText"/>
                  </w:pPr>
                  <w:r>
                    <w:t>0.036</w:t>
                  </w:r>
                </w:p>
              </w:tc>
              <w:tc>
                <w:tcPr>
                  <w:tcW w:w="677" w:type="pct"/>
                  <w:vAlign w:val="bottom"/>
                </w:tcPr>
                <w:p w14:paraId="43C89EC9" w14:textId="77777777" w:rsidR="009C6940" w:rsidRDefault="009C6940" w:rsidP="009C6940">
                  <w:pPr>
                    <w:pStyle w:val="TableBodyText"/>
                  </w:pPr>
                  <w:r>
                    <w:t>0.009</w:t>
                  </w:r>
                </w:p>
              </w:tc>
              <w:tc>
                <w:tcPr>
                  <w:tcW w:w="762" w:type="pct"/>
                  <w:vAlign w:val="bottom"/>
                </w:tcPr>
                <w:p w14:paraId="02806AA0" w14:textId="77777777" w:rsidR="009C6940" w:rsidRDefault="009C6940" w:rsidP="009C6940">
                  <w:pPr>
                    <w:pStyle w:val="TableBodyText"/>
                  </w:pPr>
                  <w:r>
                    <w:t>0.022</w:t>
                  </w:r>
                </w:p>
              </w:tc>
              <w:tc>
                <w:tcPr>
                  <w:tcW w:w="708" w:type="pct"/>
                  <w:vAlign w:val="bottom"/>
                </w:tcPr>
                <w:p w14:paraId="13873B4B" w14:textId="77777777" w:rsidR="009C6940" w:rsidRDefault="009C6940" w:rsidP="009C6940">
                  <w:pPr>
                    <w:pStyle w:val="TableBodyText"/>
                  </w:pPr>
                  <w:r>
                    <w:t>0.036</w:t>
                  </w:r>
                </w:p>
              </w:tc>
              <w:tc>
                <w:tcPr>
                  <w:tcW w:w="822" w:type="pct"/>
                  <w:vAlign w:val="bottom"/>
                </w:tcPr>
                <w:p w14:paraId="45FA6472" w14:textId="77777777" w:rsidR="009C6940" w:rsidRDefault="009C6940" w:rsidP="009C6940">
                  <w:pPr>
                    <w:pStyle w:val="TableBodyText"/>
                    <w:ind w:right="11"/>
                  </w:pPr>
                  <w:r>
                    <w:t>0.049</w:t>
                  </w:r>
                </w:p>
              </w:tc>
            </w:tr>
            <w:tr w:rsidR="009C6940" w14:paraId="658B4CA1" w14:textId="77777777" w:rsidTr="009C6940">
              <w:tc>
                <w:tcPr>
                  <w:tcW w:w="1354" w:type="pct"/>
                  <w:vAlign w:val="bottom"/>
                </w:tcPr>
                <w:p w14:paraId="4EE2D189" w14:textId="77777777" w:rsidR="009C6940" w:rsidRDefault="009C6940" w:rsidP="009C6940">
                  <w:pPr>
                    <w:pStyle w:val="TableBodyText"/>
                    <w:jc w:val="left"/>
                  </w:pPr>
                  <w:r w:rsidRPr="005368AA">
                    <w:t>Vic</w:t>
                  </w:r>
                </w:p>
              </w:tc>
              <w:tc>
                <w:tcPr>
                  <w:tcW w:w="677" w:type="pct"/>
                  <w:vAlign w:val="bottom"/>
                </w:tcPr>
                <w:p w14:paraId="6E8D5B6B" w14:textId="77777777" w:rsidR="009C6940" w:rsidRDefault="009C6940" w:rsidP="009C6940">
                  <w:pPr>
                    <w:pStyle w:val="TableBodyText"/>
                  </w:pPr>
                  <w:r>
                    <w:t>-0.046</w:t>
                  </w:r>
                </w:p>
              </w:tc>
              <w:tc>
                <w:tcPr>
                  <w:tcW w:w="677" w:type="pct"/>
                  <w:vAlign w:val="bottom"/>
                </w:tcPr>
                <w:p w14:paraId="3FF9123B" w14:textId="77777777" w:rsidR="009C6940" w:rsidRDefault="009C6940" w:rsidP="009C6940">
                  <w:pPr>
                    <w:pStyle w:val="TableBodyText"/>
                  </w:pPr>
                  <w:r>
                    <w:t>0.005</w:t>
                  </w:r>
                </w:p>
              </w:tc>
              <w:tc>
                <w:tcPr>
                  <w:tcW w:w="762" w:type="pct"/>
                  <w:vAlign w:val="bottom"/>
                </w:tcPr>
                <w:p w14:paraId="513D2CBC" w14:textId="77777777" w:rsidR="009C6940" w:rsidRDefault="009C6940" w:rsidP="009C6940">
                  <w:pPr>
                    <w:pStyle w:val="TableBodyText"/>
                  </w:pPr>
                  <w:r>
                    <w:t>-0.054</w:t>
                  </w:r>
                </w:p>
              </w:tc>
              <w:tc>
                <w:tcPr>
                  <w:tcW w:w="708" w:type="pct"/>
                  <w:vAlign w:val="bottom"/>
                </w:tcPr>
                <w:p w14:paraId="32EA1731" w14:textId="77777777" w:rsidR="009C6940" w:rsidRDefault="009C6940" w:rsidP="009C6940">
                  <w:pPr>
                    <w:pStyle w:val="TableBodyText"/>
                  </w:pPr>
                  <w:r>
                    <w:t>-0.046</w:t>
                  </w:r>
                </w:p>
              </w:tc>
              <w:tc>
                <w:tcPr>
                  <w:tcW w:w="822" w:type="pct"/>
                  <w:vAlign w:val="bottom"/>
                </w:tcPr>
                <w:p w14:paraId="5988860B" w14:textId="77777777" w:rsidR="009C6940" w:rsidRDefault="009C6940" w:rsidP="009C6940">
                  <w:pPr>
                    <w:pStyle w:val="TableBodyText"/>
                    <w:ind w:right="11"/>
                  </w:pPr>
                  <w:r>
                    <w:t>-0.038</w:t>
                  </w:r>
                </w:p>
              </w:tc>
            </w:tr>
            <w:tr w:rsidR="009C6940" w14:paraId="54AA995B" w14:textId="77777777" w:rsidTr="009C6940">
              <w:tc>
                <w:tcPr>
                  <w:tcW w:w="1354" w:type="pct"/>
                  <w:vAlign w:val="bottom"/>
                </w:tcPr>
                <w:p w14:paraId="2C07A743" w14:textId="77777777" w:rsidR="009C6940" w:rsidRDefault="009C6940" w:rsidP="009C6940">
                  <w:pPr>
                    <w:pStyle w:val="TableBodyText"/>
                    <w:jc w:val="left"/>
                  </w:pPr>
                  <w:r w:rsidRPr="005368AA">
                    <w:t>Qld</w:t>
                  </w:r>
                </w:p>
              </w:tc>
              <w:tc>
                <w:tcPr>
                  <w:tcW w:w="677" w:type="pct"/>
                  <w:vAlign w:val="bottom"/>
                </w:tcPr>
                <w:p w14:paraId="3CA888F6" w14:textId="77777777" w:rsidR="009C6940" w:rsidRDefault="009C6940" w:rsidP="009C6940">
                  <w:pPr>
                    <w:pStyle w:val="TableBodyText"/>
                  </w:pPr>
                  <w:r>
                    <w:t>0.022</w:t>
                  </w:r>
                </w:p>
              </w:tc>
              <w:tc>
                <w:tcPr>
                  <w:tcW w:w="677" w:type="pct"/>
                  <w:vAlign w:val="bottom"/>
                </w:tcPr>
                <w:p w14:paraId="289B141E" w14:textId="77777777" w:rsidR="009C6940" w:rsidRDefault="009C6940" w:rsidP="009C6940">
                  <w:pPr>
                    <w:pStyle w:val="TableBodyText"/>
                  </w:pPr>
                  <w:r>
                    <w:t>0.006</w:t>
                  </w:r>
                </w:p>
              </w:tc>
              <w:tc>
                <w:tcPr>
                  <w:tcW w:w="762" w:type="pct"/>
                  <w:vAlign w:val="bottom"/>
                </w:tcPr>
                <w:p w14:paraId="605F9910" w14:textId="77777777" w:rsidR="009C6940" w:rsidRDefault="009C6940" w:rsidP="009C6940">
                  <w:pPr>
                    <w:pStyle w:val="TableBodyText"/>
                  </w:pPr>
                  <w:r>
                    <w:t>0.012</w:t>
                  </w:r>
                </w:p>
              </w:tc>
              <w:tc>
                <w:tcPr>
                  <w:tcW w:w="708" w:type="pct"/>
                  <w:vAlign w:val="bottom"/>
                </w:tcPr>
                <w:p w14:paraId="4E7FF6AB" w14:textId="77777777" w:rsidR="009C6940" w:rsidRDefault="009C6940" w:rsidP="009C6940">
                  <w:pPr>
                    <w:pStyle w:val="TableBodyText"/>
                  </w:pPr>
                  <w:r>
                    <w:t>0.022</w:t>
                  </w:r>
                </w:p>
              </w:tc>
              <w:tc>
                <w:tcPr>
                  <w:tcW w:w="822" w:type="pct"/>
                  <w:vAlign w:val="bottom"/>
                </w:tcPr>
                <w:p w14:paraId="1E26E1A1" w14:textId="77777777" w:rsidR="009C6940" w:rsidRDefault="009C6940" w:rsidP="009C6940">
                  <w:pPr>
                    <w:pStyle w:val="TableBodyText"/>
                    <w:ind w:right="11"/>
                  </w:pPr>
                  <w:r>
                    <w:t>0.031</w:t>
                  </w:r>
                </w:p>
              </w:tc>
            </w:tr>
            <w:tr w:rsidR="009C6940" w14:paraId="5005F221" w14:textId="77777777" w:rsidTr="009C6940">
              <w:tc>
                <w:tcPr>
                  <w:tcW w:w="1354" w:type="pct"/>
                  <w:vAlign w:val="bottom"/>
                </w:tcPr>
                <w:p w14:paraId="2FCA16EB" w14:textId="77777777" w:rsidR="009C6940" w:rsidRDefault="009C6940" w:rsidP="009C6940">
                  <w:pPr>
                    <w:pStyle w:val="TableBodyText"/>
                    <w:jc w:val="left"/>
                  </w:pPr>
                  <w:r w:rsidRPr="005368AA">
                    <w:t>SA</w:t>
                  </w:r>
                </w:p>
              </w:tc>
              <w:tc>
                <w:tcPr>
                  <w:tcW w:w="677" w:type="pct"/>
                  <w:vAlign w:val="bottom"/>
                </w:tcPr>
                <w:p w14:paraId="76DE0D8F" w14:textId="77777777" w:rsidR="009C6940" w:rsidRDefault="009C6940" w:rsidP="009C6940">
                  <w:pPr>
                    <w:pStyle w:val="TableBodyText"/>
                  </w:pPr>
                  <w:r>
                    <w:t>-0.027</w:t>
                  </w:r>
                </w:p>
              </w:tc>
              <w:tc>
                <w:tcPr>
                  <w:tcW w:w="677" w:type="pct"/>
                  <w:vAlign w:val="bottom"/>
                </w:tcPr>
                <w:p w14:paraId="3FBB1F22" w14:textId="77777777" w:rsidR="009C6940" w:rsidRDefault="009C6940" w:rsidP="009C6940">
                  <w:pPr>
                    <w:pStyle w:val="TableBodyText"/>
                  </w:pPr>
                  <w:r>
                    <w:t>0.008</w:t>
                  </w:r>
                </w:p>
              </w:tc>
              <w:tc>
                <w:tcPr>
                  <w:tcW w:w="762" w:type="pct"/>
                  <w:vAlign w:val="bottom"/>
                </w:tcPr>
                <w:p w14:paraId="08A642AE" w14:textId="77777777" w:rsidR="009C6940" w:rsidRDefault="009C6940" w:rsidP="009C6940">
                  <w:pPr>
                    <w:pStyle w:val="TableBodyText"/>
                  </w:pPr>
                  <w:r>
                    <w:t>-0.040</w:t>
                  </w:r>
                </w:p>
              </w:tc>
              <w:tc>
                <w:tcPr>
                  <w:tcW w:w="708" w:type="pct"/>
                  <w:vAlign w:val="bottom"/>
                </w:tcPr>
                <w:p w14:paraId="6D58D331" w14:textId="77777777" w:rsidR="009C6940" w:rsidRDefault="009C6940" w:rsidP="009C6940">
                  <w:pPr>
                    <w:pStyle w:val="TableBodyText"/>
                  </w:pPr>
                  <w:r>
                    <w:t>-0.027</w:t>
                  </w:r>
                </w:p>
              </w:tc>
              <w:tc>
                <w:tcPr>
                  <w:tcW w:w="822" w:type="pct"/>
                  <w:vAlign w:val="bottom"/>
                </w:tcPr>
                <w:p w14:paraId="03AAF1AB" w14:textId="77777777" w:rsidR="009C6940" w:rsidRDefault="009C6940" w:rsidP="009C6940">
                  <w:pPr>
                    <w:pStyle w:val="TableBodyText"/>
                    <w:ind w:right="11"/>
                  </w:pPr>
                  <w:r>
                    <w:t>-0.012</w:t>
                  </w:r>
                </w:p>
              </w:tc>
            </w:tr>
            <w:tr w:rsidR="009C6940" w14:paraId="248EE10A" w14:textId="77777777" w:rsidTr="009C6940">
              <w:tc>
                <w:tcPr>
                  <w:tcW w:w="1354" w:type="pct"/>
                  <w:vAlign w:val="bottom"/>
                </w:tcPr>
                <w:p w14:paraId="0F26C0FF" w14:textId="77777777" w:rsidR="009C6940" w:rsidRDefault="009C6940" w:rsidP="009C6940">
                  <w:pPr>
                    <w:pStyle w:val="TableBodyText"/>
                    <w:jc w:val="left"/>
                  </w:pPr>
                  <w:r w:rsidRPr="005368AA">
                    <w:t>WA</w:t>
                  </w:r>
                </w:p>
              </w:tc>
              <w:tc>
                <w:tcPr>
                  <w:tcW w:w="677" w:type="pct"/>
                  <w:vAlign w:val="bottom"/>
                </w:tcPr>
                <w:p w14:paraId="5CC6A46B" w14:textId="77777777" w:rsidR="009C6940" w:rsidRDefault="009C6940" w:rsidP="009C6940">
                  <w:pPr>
                    <w:pStyle w:val="TableBodyText"/>
                  </w:pPr>
                  <w:r>
                    <w:t>-0.011</w:t>
                  </w:r>
                </w:p>
              </w:tc>
              <w:tc>
                <w:tcPr>
                  <w:tcW w:w="677" w:type="pct"/>
                  <w:vAlign w:val="bottom"/>
                </w:tcPr>
                <w:p w14:paraId="4B9E7609" w14:textId="77777777" w:rsidR="009C6940" w:rsidRDefault="009C6940" w:rsidP="009C6940">
                  <w:pPr>
                    <w:pStyle w:val="TableBodyText"/>
                  </w:pPr>
                  <w:r>
                    <w:t>0.007</w:t>
                  </w:r>
                </w:p>
              </w:tc>
              <w:tc>
                <w:tcPr>
                  <w:tcW w:w="762" w:type="pct"/>
                  <w:vAlign w:val="bottom"/>
                </w:tcPr>
                <w:p w14:paraId="192316F5" w14:textId="77777777" w:rsidR="009C6940" w:rsidRDefault="009C6940" w:rsidP="009C6940">
                  <w:pPr>
                    <w:pStyle w:val="TableBodyText"/>
                  </w:pPr>
                  <w:r>
                    <w:t>-0.023</w:t>
                  </w:r>
                </w:p>
              </w:tc>
              <w:tc>
                <w:tcPr>
                  <w:tcW w:w="708" w:type="pct"/>
                  <w:vAlign w:val="bottom"/>
                </w:tcPr>
                <w:p w14:paraId="723466C1" w14:textId="77777777" w:rsidR="009C6940" w:rsidRDefault="009C6940" w:rsidP="009C6940">
                  <w:pPr>
                    <w:pStyle w:val="TableBodyText"/>
                  </w:pPr>
                  <w:r>
                    <w:t>-0.011</w:t>
                  </w:r>
                </w:p>
              </w:tc>
              <w:tc>
                <w:tcPr>
                  <w:tcW w:w="822" w:type="pct"/>
                  <w:vAlign w:val="bottom"/>
                </w:tcPr>
                <w:p w14:paraId="5F56EB54" w14:textId="77777777" w:rsidR="009C6940" w:rsidRDefault="009C6940" w:rsidP="009C6940">
                  <w:pPr>
                    <w:pStyle w:val="TableBodyText"/>
                    <w:ind w:right="11"/>
                  </w:pPr>
                  <w:r>
                    <w:t>0.001</w:t>
                  </w:r>
                </w:p>
              </w:tc>
            </w:tr>
            <w:tr w:rsidR="009C6940" w14:paraId="5E97AEB9" w14:textId="77777777" w:rsidTr="009C6940">
              <w:tc>
                <w:tcPr>
                  <w:tcW w:w="1354" w:type="pct"/>
                  <w:vAlign w:val="bottom"/>
                </w:tcPr>
                <w:p w14:paraId="185C0936" w14:textId="77777777" w:rsidR="009C6940" w:rsidRDefault="009C6940" w:rsidP="009C6940">
                  <w:pPr>
                    <w:pStyle w:val="TableBodyText"/>
                    <w:jc w:val="left"/>
                  </w:pPr>
                  <w:r w:rsidRPr="005368AA">
                    <w:t>Tas</w:t>
                  </w:r>
                </w:p>
              </w:tc>
              <w:tc>
                <w:tcPr>
                  <w:tcW w:w="677" w:type="pct"/>
                  <w:vAlign w:val="bottom"/>
                </w:tcPr>
                <w:p w14:paraId="1DDA2886" w14:textId="77777777" w:rsidR="009C6940" w:rsidRDefault="009C6940" w:rsidP="009C6940">
                  <w:pPr>
                    <w:pStyle w:val="TableBodyText"/>
                  </w:pPr>
                  <w:r>
                    <w:t>-0.006</w:t>
                  </w:r>
                </w:p>
              </w:tc>
              <w:tc>
                <w:tcPr>
                  <w:tcW w:w="677" w:type="pct"/>
                  <w:vAlign w:val="bottom"/>
                </w:tcPr>
                <w:p w14:paraId="5551503B" w14:textId="77777777" w:rsidR="009C6940" w:rsidRDefault="009C6940" w:rsidP="009C6940">
                  <w:pPr>
                    <w:pStyle w:val="TableBodyText"/>
                  </w:pPr>
                  <w:r>
                    <w:t>0.014</w:t>
                  </w:r>
                </w:p>
              </w:tc>
              <w:tc>
                <w:tcPr>
                  <w:tcW w:w="762" w:type="pct"/>
                  <w:vAlign w:val="bottom"/>
                </w:tcPr>
                <w:p w14:paraId="2B7FC013" w14:textId="77777777" w:rsidR="009C6940" w:rsidRDefault="009C6940" w:rsidP="009C6940">
                  <w:pPr>
                    <w:pStyle w:val="TableBodyText"/>
                  </w:pPr>
                  <w:r>
                    <w:t>-0.031</w:t>
                  </w:r>
                </w:p>
              </w:tc>
              <w:tc>
                <w:tcPr>
                  <w:tcW w:w="708" w:type="pct"/>
                  <w:vAlign w:val="bottom"/>
                </w:tcPr>
                <w:p w14:paraId="5EF86E2B" w14:textId="77777777" w:rsidR="009C6940" w:rsidRDefault="009C6940" w:rsidP="009C6940">
                  <w:pPr>
                    <w:pStyle w:val="TableBodyText"/>
                  </w:pPr>
                  <w:r>
                    <w:t>-0.006</w:t>
                  </w:r>
                </w:p>
              </w:tc>
              <w:tc>
                <w:tcPr>
                  <w:tcW w:w="822" w:type="pct"/>
                  <w:vAlign w:val="bottom"/>
                </w:tcPr>
                <w:p w14:paraId="7BA75C95" w14:textId="77777777" w:rsidR="009C6940" w:rsidRDefault="009C6940" w:rsidP="009C6940">
                  <w:pPr>
                    <w:pStyle w:val="TableBodyText"/>
                    <w:ind w:right="11"/>
                  </w:pPr>
                  <w:r>
                    <w:t>0.017</w:t>
                  </w:r>
                </w:p>
              </w:tc>
            </w:tr>
            <w:tr w:rsidR="009C6940" w14:paraId="5E1B2F8E" w14:textId="77777777" w:rsidTr="009C6940">
              <w:tc>
                <w:tcPr>
                  <w:tcW w:w="1354" w:type="pct"/>
                  <w:vAlign w:val="bottom"/>
                </w:tcPr>
                <w:p w14:paraId="7C16CCF0" w14:textId="77777777" w:rsidR="009C6940" w:rsidRDefault="009C6940" w:rsidP="009C6940">
                  <w:pPr>
                    <w:pStyle w:val="TableBodyText"/>
                    <w:jc w:val="left"/>
                  </w:pPr>
                  <w:r w:rsidRPr="005368AA">
                    <w:t>NT</w:t>
                  </w:r>
                </w:p>
              </w:tc>
              <w:tc>
                <w:tcPr>
                  <w:tcW w:w="677" w:type="pct"/>
                  <w:vAlign w:val="bottom"/>
                </w:tcPr>
                <w:p w14:paraId="11C11C4F" w14:textId="77777777" w:rsidR="009C6940" w:rsidRDefault="009C6940" w:rsidP="009C6940">
                  <w:pPr>
                    <w:pStyle w:val="TableBodyText"/>
                  </w:pPr>
                  <w:r>
                    <w:t>-0.037</w:t>
                  </w:r>
                </w:p>
              </w:tc>
              <w:tc>
                <w:tcPr>
                  <w:tcW w:w="677" w:type="pct"/>
                  <w:vAlign w:val="bottom"/>
                </w:tcPr>
                <w:p w14:paraId="3867C5C3" w14:textId="77777777" w:rsidR="009C6940" w:rsidRDefault="009C6940" w:rsidP="009C6940">
                  <w:pPr>
                    <w:pStyle w:val="TableBodyText"/>
                  </w:pPr>
                  <w:r>
                    <w:t>0.022</w:t>
                  </w:r>
                </w:p>
              </w:tc>
              <w:tc>
                <w:tcPr>
                  <w:tcW w:w="762" w:type="pct"/>
                  <w:vAlign w:val="bottom"/>
                </w:tcPr>
                <w:p w14:paraId="001A9320" w14:textId="77777777" w:rsidR="009C6940" w:rsidRDefault="009C6940" w:rsidP="009C6940">
                  <w:pPr>
                    <w:pStyle w:val="TableBodyText"/>
                  </w:pPr>
                  <w:r>
                    <w:t>-0.073</w:t>
                  </w:r>
                </w:p>
              </w:tc>
              <w:tc>
                <w:tcPr>
                  <w:tcW w:w="708" w:type="pct"/>
                  <w:vAlign w:val="bottom"/>
                </w:tcPr>
                <w:p w14:paraId="168AD877" w14:textId="77777777" w:rsidR="009C6940" w:rsidRDefault="009C6940" w:rsidP="009C6940">
                  <w:pPr>
                    <w:pStyle w:val="TableBodyText"/>
                  </w:pPr>
                  <w:r>
                    <w:t>-0.036</w:t>
                  </w:r>
                </w:p>
              </w:tc>
              <w:tc>
                <w:tcPr>
                  <w:tcW w:w="822" w:type="pct"/>
                  <w:vAlign w:val="bottom"/>
                </w:tcPr>
                <w:p w14:paraId="679F1CA7" w14:textId="77777777" w:rsidR="009C6940" w:rsidRDefault="009C6940" w:rsidP="009C6940">
                  <w:pPr>
                    <w:pStyle w:val="TableBodyText"/>
                    <w:ind w:right="11"/>
                  </w:pPr>
                  <w:r>
                    <w:t>-0.001</w:t>
                  </w:r>
                </w:p>
              </w:tc>
            </w:tr>
            <w:tr w:rsidR="009C6940" w14:paraId="62ADB6E3" w14:textId="77777777" w:rsidTr="009C6940">
              <w:tc>
                <w:tcPr>
                  <w:tcW w:w="1354" w:type="pct"/>
                  <w:vAlign w:val="bottom"/>
                </w:tcPr>
                <w:p w14:paraId="53FC346D" w14:textId="77777777" w:rsidR="009C6940" w:rsidRDefault="009C6940" w:rsidP="009C6940">
                  <w:pPr>
                    <w:pStyle w:val="TableBodyText"/>
                    <w:jc w:val="left"/>
                  </w:pPr>
                  <w:r w:rsidRPr="005368AA">
                    <w:t>ACT</w:t>
                  </w:r>
                </w:p>
              </w:tc>
              <w:tc>
                <w:tcPr>
                  <w:tcW w:w="677" w:type="pct"/>
                  <w:vAlign w:val="bottom"/>
                </w:tcPr>
                <w:p w14:paraId="0D740B46" w14:textId="77777777" w:rsidR="009C6940" w:rsidRDefault="009C6940" w:rsidP="009C6940">
                  <w:pPr>
                    <w:pStyle w:val="TableBodyText"/>
                  </w:pPr>
                  <w:r>
                    <w:t>0.006</w:t>
                  </w:r>
                </w:p>
              </w:tc>
              <w:tc>
                <w:tcPr>
                  <w:tcW w:w="677" w:type="pct"/>
                  <w:vAlign w:val="bottom"/>
                </w:tcPr>
                <w:p w14:paraId="37E12F75" w14:textId="77777777" w:rsidR="009C6940" w:rsidRDefault="009C6940" w:rsidP="009C6940">
                  <w:pPr>
                    <w:pStyle w:val="TableBodyText"/>
                  </w:pPr>
                  <w:r>
                    <w:t>0.015</w:t>
                  </w:r>
                </w:p>
              </w:tc>
              <w:tc>
                <w:tcPr>
                  <w:tcW w:w="762" w:type="pct"/>
                  <w:vAlign w:val="bottom"/>
                </w:tcPr>
                <w:p w14:paraId="54E669BA" w14:textId="77777777" w:rsidR="009C6940" w:rsidRDefault="009C6940" w:rsidP="009C6940">
                  <w:pPr>
                    <w:pStyle w:val="TableBodyText"/>
                  </w:pPr>
                  <w:r>
                    <w:t>-0.017</w:t>
                  </w:r>
                </w:p>
              </w:tc>
              <w:tc>
                <w:tcPr>
                  <w:tcW w:w="708" w:type="pct"/>
                  <w:vAlign w:val="bottom"/>
                </w:tcPr>
                <w:p w14:paraId="2672F6B0" w14:textId="77777777" w:rsidR="009C6940" w:rsidRDefault="009C6940" w:rsidP="009C6940">
                  <w:pPr>
                    <w:pStyle w:val="TableBodyText"/>
                  </w:pPr>
                  <w:r>
                    <w:t>0.006</w:t>
                  </w:r>
                </w:p>
              </w:tc>
              <w:tc>
                <w:tcPr>
                  <w:tcW w:w="822" w:type="pct"/>
                  <w:vAlign w:val="bottom"/>
                </w:tcPr>
                <w:p w14:paraId="236E89EB" w14:textId="77777777" w:rsidR="009C6940" w:rsidRDefault="009C6940" w:rsidP="009C6940">
                  <w:pPr>
                    <w:pStyle w:val="TableBodyText"/>
                    <w:ind w:right="11"/>
                  </w:pPr>
                  <w:r>
                    <w:t>0.030</w:t>
                  </w:r>
                </w:p>
              </w:tc>
            </w:tr>
            <w:tr w:rsidR="009C6940" w14:paraId="4F4DB075" w14:textId="77777777" w:rsidTr="009C6940">
              <w:tc>
                <w:tcPr>
                  <w:tcW w:w="1354" w:type="pct"/>
                  <w:vAlign w:val="bottom"/>
                </w:tcPr>
                <w:p w14:paraId="3D4E1D59" w14:textId="77777777" w:rsidR="009C6940" w:rsidRDefault="009C6940" w:rsidP="009C6940">
                  <w:pPr>
                    <w:pStyle w:val="TableBodyText"/>
                    <w:jc w:val="left"/>
                  </w:pPr>
                  <w:r w:rsidRPr="005368AA">
                    <w:t>NESB</w:t>
                  </w:r>
                </w:p>
              </w:tc>
              <w:tc>
                <w:tcPr>
                  <w:tcW w:w="677" w:type="pct"/>
                  <w:vAlign w:val="bottom"/>
                </w:tcPr>
                <w:p w14:paraId="78C8B4F9" w14:textId="77777777" w:rsidR="009C6940" w:rsidRDefault="009C6940" w:rsidP="009C6940">
                  <w:pPr>
                    <w:pStyle w:val="TableBodyText"/>
                  </w:pPr>
                  <w:r>
                    <w:t>0.074</w:t>
                  </w:r>
                </w:p>
              </w:tc>
              <w:tc>
                <w:tcPr>
                  <w:tcW w:w="677" w:type="pct"/>
                  <w:vAlign w:val="bottom"/>
                </w:tcPr>
                <w:p w14:paraId="46D3A5E6" w14:textId="77777777" w:rsidR="009C6940" w:rsidRDefault="009C6940" w:rsidP="009C6940">
                  <w:pPr>
                    <w:pStyle w:val="TableBodyText"/>
                  </w:pPr>
                  <w:r>
                    <w:t>0.006</w:t>
                  </w:r>
                </w:p>
              </w:tc>
              <w:tc>
                <w:tcPr>
                  <w:tcW w:w="762" w:type="pct"/>
                  <w:vAlign w:val="bottom"/>
                </w:tcPr>
                <w:p w14:paraId="409042B2" w14:textId="77777777" w:rsidR="009C6940" w:rsidRDefault="009C6940" w:rsidP="009C6940">
                  <w:pPr>
                    <w:pStyle w:val="TableBodyText"/>
                  </w:pPr>
                  <w:r>
                    <w:t>0.065</w:t>
                  </w:r>
                </w:p>
              </w:tc>
              <w:tc>
                <w:tcPr>
                  <w:tcW w:w="708" w:type="pct"/>
                  <w:vAlign w:val="bottom"/>
                </w:tcPr>
                <w:p w14:paraId="795B6DD8" w14:textId="77777777" w:rsidR="009C6940" w:rsidRDefault="009C6940" w:rsidP="009C6940">
                  <w:pPr>
                    <w:pStyle w:val="TableBodyText"/>
                  </w:pPr>
                  <w:r>
                    <w:t>0.074</w:t>
                  </w:r>
                </w:p>
              </w:tc>
              <w:tc>
                <w:tcPr>
                  <w:tcW w:w="822" w:type="pct"/>
                  <w:vAlign w:val="bottom"/>
                </w:tcPr>
                <w:p w14:paraId="4391E6BD" w14:textId="77777777" w:rsidR="009C6940" w:rsidRDefault="009C6940" w:rsidP="009C6940">
                  <w:pPr>
                    <w:pStyle w:val="TableBodyText"/>
                    <w:ind w:right="11"/>
                  </w:pPr>
                  <w:r>
                    <w:t>0.083</w:t>
                  </w:r>
                </w:p>
              </w:tc>
            </w:tr>
            <w:tr w:rsidR="009C6940" w14:paraId="544A4D94" w14:textId="77777777" w:rsidTr="009C6940">
              <w:tc>
                <w:tcPr>
                  <w:tcW w:w="1354" w:type="pct"/>
                  <w:vAlign w:val="bottom"/>
                </w:tcPr>
                <w:p w14:paraId="72776380" w14:textId="77777777" w:rsidR="009C6940" w:rsidRDefault="009C6940" w:rsidP="009C6940">
                  <w:pPr>
                    <w:pStyle w:val="TableBodyText"/>
                    <w:jc w:val="left"/>
                  </w:pPr>
                  <w:r w:rsidRPr="005368AA">
                    <w:t>Currently studying</w:t>
                  </w:r>
                </w:p>
              </w:tc>
              <w:tc>
                <w:tcPr>
                  <w:tcW w:w="677" w:type="pct"/>
                  <w:vAlign w:val="bottom"/>
                </w:tcPr>
                <w:p w14:paraId="69310E06" w14:textId="77777777" w:rsidR="009C6940" w:rsidRDefault="009C6940" w:rsidP="009C6940">
                  <w:pPr>
                    <w:pStyle w:val="TableBodyText"/>
                  </w:pPr>
                  <w:r>
                    <w:t>-0.062</w:t>
                  </w:r>
                </w:p>
              </w:tc>
              <w:tc>
                <w:tcPr>
                  <w:tcW w:w="677" w:type="pct"/>
                  <w:vAlign w:val="bottom"/>
                </w:tcPr>
                <w:p w14:paraId="19F3E502" w14:textId="77777777" w:rsidR="009C6940" w:rsidRDefault="009C6940" w:rsidP="009C6940">
                  <w:pPr>
                    <w:pStyle w:val="TableBodyText"/>
                  </w:pPr>
                  <w:r>
                    <w:t>0.010</w:t>
                  </w:r>
                </w:p>
              </w:tc>
              <w:tc>
                <w:tcPr>
                  <w:tcW w:w="762" w:type="pct"/>
                  <w:vAlign w:val="bottom"/>
                </w:tcPr>
                <w:p w14:paraId="3CA535A0" w14:textId="77777777" w:rsidR="009C6940" w:rsidRDefault="009C6940" w:rsidP="009C6940">
                  <w:pPr>
                    <w:pStyle w:val="TableBodyText"/>
                  </w:pPr>
                  <w:r>
                    <w:t>-0.079</w:t>
                  </w:r>
                </w:p>
              </w:tc>
              <w:tc>
                <w:tcPr>
                  <w:tcW w:w="708" w:type="pct"/>
                  <w:vAlign w:val="bottom"/>
                </w:tcPr>
                <w:p w14:paraId="290701EF" w14:textId="77777777" w:rsidR="009C6940" w:rsidRDefault="009C6940" w:rsidP="009C6940">
                  <w:pPr>
                    <w:pStyle w:val="TableBodyText"/>
                  </w:pPr>
                  <w:r>
                    <w:t>-0.062</w:t>
                  </w:r>
                </w:p>
              </w:tc>
              <w:tc>
                <w:tcPr>
                  <w:tcW w:w="822" w:type="pct"/>
                  <w:vAlign w:val="bottom"/>
                </w:tcPr>
                <w:p w14:paraId="0CE1FA41" w14:textId="77777777" w:rsidR="009C6940" w:rsidRDefault="009C6940" w:rsidP="009C6940">
                  <w:pPr>
                    <w:pStyle w:val="TableBodyText"/>
                    <w:ind w:right="11"/>
                  </w:pPr>
                  <w:r>
                    <w:t>-0.045</w:t>
                  </w:r>
                </w:p>
              </w:tc>
            </w:tr>
            <w:tr w:rsidR="009C6940" w14:paraId="75CE5899" w14:textId="77777777" w:rsidTr="009C6940">
              <w:tc>
                <w:tcPr>
                  <w:tcW w:w="1354" w:type="pct"/>
                  <w:vAlign w:val="bottom"/>
                </w:tcPr>
                <w:p w14:paraId="418F08EC" w14:textId="77777777" w:rsidR="009C6940" w:rsidRDefault="009C6940" w:rsidP="009C6940">
                  <w:pPr>
                    <w:pStyle w:val="TableBodyText"/>
                    <w:jc w:val="left"/>
                  </w:pPr>
                  <w:r w:rsidRPr="005368AA">
                    <w:t xml:space="preserve">Lives in </w:t>
                  </w:r>
                  <w:r>
                    <w:t xml:space="preserve">a </w:t>
                  </w:r>
                  <w:r w:rsidRPr="005368AA">
                    <w:t>regional area</w:t>
                  </w:r>
                </w:p>
              </w:tc>
              <w:tc>
                <w:tcPr>
                  <w:tcW w:w="677" w:type="pct"/>
                  <w:vAlign w:val="bottom"/>
                </w:tcPr>
                <w:p w14:paraId="27561DA1" w14:textId="77777777" w:rsidR="009C6940" w:rsidRDefault="009C6940" w:rsidP="009C6940">
                  <w:pPr>
                    <w:pStyle w:val="TableBodyText"/>
                  </w:pPr>
                  <w:r>
                    <w:t>0.038</w:t>
                  </w:r>
                </w:p>
              </w:tc>
              <w:tc>
                <w:tcPr>
                  <w:tcW w:w="677" w:type="pct"/>
                  <w:vAlign w:val="bottom"/>
                </w:tcPr>
                <w:p w14:paraId="2DBB5F70" w14:textId="77777777" w:rsidR="009C6940" w:rsidRDefault="009C6940" w:rsidP="009C6940">
                  <w:pPr>
                    <w:pStyle w:val="TableBodyText"/>
                  </w:pPr>
                  <w:r>
                    <w:t>0.005</w:t>
                  </w:r>
                </w:p>
              </w:tc>
              <w:tc>
                <w:tcPr>
                  <w:tcW w:w="762" w:type="pct"/>
                  <w:vAlign w:val="bottom"/>
                </w:tcPr>
                <w:p w14:paraId="08491D23" w14:textId="77777777" w:rsidR="009C6940" w:rsidRDefault="009C6940" w:rsidP="009C6940">
                  <w:pPr>
                    <w:pStyle w:val="TableBodyText"/>
                  </w:pPr>
                  <w:r>
                    <w:t>0.030</w:t>
                  </w:r>
                </w:p>
              </w:tc>
              <w:tc>
                <w:tcPr>
                  <w:tcW w:w="708" w:type="pct"/>
                  <w:vAlign w:val="bottom"/>
                </w:tcPr>
                <w:p w14:paraId="77EF8C32" w14:textId="77777777" w:rsidR="009C6940" w:rsidRDefault="009C6940" w:rsidP="009C6940">
                  <w:pPr>
                    <w:pStyle w:val="TableBodyText"/>
                  </w:pPr>
                  <w:r>
                    <w:t>0.038</w:t>
                  </w:r>
                </w:p>
              </w:tc>
              <w:tc>
                <w:tcPr>
                  <w:tcW w:w="822" w:type="pct"/>
                  <w:vAlign w:val="bottom"/>
                </w:tcPr>
                <w:p w14:paraId="3BE25B1E" w14:textId="77777777" w:rsidR="009C6940" w:rsidRDefault="009C6940" w:rsidP="009C6940">
                  <w:pPr>
                    <w:pStyle w:val="TableBodyText"/>
                    <w:ind w:right="11"/>
                  </w:pPr>
                  <w:r>
                    <w:t>0.046</w:t>
                  </w:r>
                </w:p>
              </w:tc>
            </w:tr>
            <w:tr w:rsidR="009C6940" w14:paraId="1F039072" w14:textId="77777777" w:rsidTr="009C6940">
              <w:tc>
                <w:tcPr>
                  <w:tcW w:w="1354" w:type="pct"/>
                  <w:vAlign w:val="bottom"/>
                </w:tcPr>
                <w:p w14:paraId="0829E976" w14:textId="77777777" w:rsidR="009C6940" w:rsidRDefault="009C6940" w:rsidP="009C6940">
                  <w:pPr>
                    <w:pStyle w:val="TableBodyText"/>
                    <w:jc w:val="left"/>
                  </w:pPr>
                  <w:r w:rsidRPr="005368AA">
                    <w:t>Indigenous</w:t>
                  </w:r>
                </w:p>
              </w:tc>
              <w:tc>
                <w:tcPr>
                  <w:tcW w:w="677" w:type="pct"/>
                  <w:vAlign w:val="bottom"/>
                </w:tcPr>
                <w:p w14:paraId="4AEDFB5B" w14:textId="77777777" w:rsidR="009C6940" w:rsidRDefault="009C6940" w:rsidP="009C6940">
                  <w:pPr>
                    <w:pStyle w:val="TableBodyText"/>
                  </w:pPr>
                  <w:r>
                    <w:t>-0.056</w:t>
                  </w:r>
                </w:p>
              </w:tc>
              <w:tc>
                <w:tcPr>
                  <w:tcW w:w="677" w:type="pct"/>
                  <w:vAlign w:val="bottom"/>
                </w:tcPr>
                <w:p w14:paraId="26D0A156" w14:textId="77777777" w:rsidR="009C6940" w:rsidRDefault="009C6940" w:rsidP="009C6940">
                  <w:pPr>
                    <w:pStyle w:val="TableBodyText"/>
                  </w:pPr>
                  <w:r>
                    <w:t>0.014</w:t>
                  </w:r>
                </w:p>
              </w:tc>
              <w:tc>
                <w:tcPr>
                  <w:tcW w:w="762" w:type="pct"/>
                  <w:vAlign w:val="bottom"/>
                </w:tcPr>
                <w:p w14:paraId="2CCA1A77" w14:textId="77777777" w:rsidR="009C6940" w:rsidRDefault="009C6940" w:rsidP="009C6940">
                  <w:pPr>
                    <w:pStyle w:val="TableBodyText"/>
                  </w:pPr>
                  <w:r>
                    <w:t>-0.080</w:t>
                  </w:r>
                </w:p>
              </w:tc>
              <w:tc>
                <w:tcPr>
                  <w:tcW w:w="708" w:type="pct"/>
                  <w:vAlign w:val="bottom"/>
                </w:tcPr>
                <w:p w14:paraId="6065FFE0" w14:textId="77777777" w:rsidR="009C6940" w:rsidRDefault="009C6940" w:rsidP="009C6940">
                  <w:pPr>
                    <w:pStyle w:val="TableBodyText"/>
                  </w:pPr>
                  <w:r>
                    <w:t>-0.057</w:t>
                  </w:r>
                </w:p>
              </w:tc>
              <w:tc>
                <w:tcPr>
                  <w:tcW w:w="822" w:type="pct"/>
                  <w:vAlign w:val="bottom"/>
                </w:tcPr>
                <w:p w14:paraId="44161A81" w14:textId="77777777" w:rsidR="009C6940" w:rsidRDefault="009C6940" w:rsidP="009C6940">
                  <w:pPr>
                    <w:pStyle w:val="TableBodyText"/>
                    <w:ind w:right="11"/>
                  </w:pPr>
                  <w:r>
                    <w:t>-0.033</w:t>
                  </w:r>
                </w:p>
              </w:tc>
            </w:tr>
            <w:tr w:rsidR="009C6940" w14:paraId="118A53DC" w14:textId="77777777" w:rsidTr="009C6940">
              <w:tc>
                <w:tcPr>
                  <w:tcW w:w="1354" w:type="pct"/>
                  <w:vAlign w:val="bottom"/>
                </w:tcPr>
                <w:p w14:paraId="66C92720" w14:textId="77777777" w:rsidR="009C6940" w:rsidRDefault="009C6940" w:rsidP="009C6940">
                  <w:pPr>
                    <w:pStyle w:val="TableBodyText"/>
                    <w:jc w:val="left"/>
                  </w:pPr>
                  <w:r w:rsidRPr="005368AA">
                    <w:t>Unemploy</w:t>
                  </w:r>
                  <w:r>
                    <w:t>ment</w:t>
                  </w:r>
                  <w:r w:rsidRPr="005368AA">
                    <w:t xml:space="preserve"> history</w:t>
                  </w:r>
                </w:p>
              </w:tc>
              <w:tc>
                <w:tcPr>
                  <w:tcW w:w="677" w:type="pct"/>
                  <w:vAlign w:val="bottom"/>
                </w:tcPr>
                <w:p w14:paraId="4DEEDBED" w14:textId="77777777" w:rsidR="009C6940" w:rsidRDefault="009C6940" w:rsidP="009C6940">
                  <w:pPr>
                    <w:pStyle w:val="TableBodyText"/>
                  </w:pPr>
                  <w:r>
                    <w:t>-0.020</w:t>
                  </w:r>
                </w:p>
              </w:tc>
              <w:tc>
                <w:tcPr>
                  <w:tcW w:w="677" w:type="pct"/>
                  <w:vAlign w:val="bottom"/>
                </w:tcPr>
                <w:p w14:paraId="5F78031D" w14:textId="77777777" w:rsidR="009C6940" w:rsidRDefault="009C6940" w:rsidP="009C6940">
                  <w:pPr>
                    <w:pStyle w:val="TableBodyText"/>
                  </w:pPr>
                  <w:r>
                    <w:t>0.002</w:t>
                  </w:r>
                </w:p>
              </w:tc>
              <w:tc>
                <w:tcPr>
                  <w:tcW w:w="762" w:type="pct"/>
                  <w:vAlign w:val="bottom"/>
                </w:tcPr>
                <w:p w14:paraId="1A1C5E95" w14:textId="77777777" w:rsidR="009C6940" w:rsidRDefault="009C6940" w:rsidP="009C6940">
                  <w:pPr>
                    <w:pStyle w:val="TableBodyText"/>
                  </w:pPr>
                  <w:r>
                    <w:t>-0.024</w:t>
                  </w:r>
                </w:p>
              </w:tc>
              <w:tc>
                <w:tcPr>
                  <w:tcW w:w="708" w:type="pct"/>
                  <w:vAlign w:val="bottom"/>
                </w:tcPr>
                <w:p w14:paraId="4D6534F2" w14:textId="77777777" w:rsidR="009C6940" w:rsidRDefault="009C6940" w:rsidP="009C6940">
                  <w:pPr>
                    <w:pStyle w:val="TableBodyText"/>
                  </w:pPr>
                  <w:r>
                    <w:t>-0.020</w:t>
                  </w:r>
                </w:p>
              </w:tc>
              <w:tc>
                <w:tcPr>
                  <w:tcW w:w="822" w:type="pct"/>
                  <w:vAlign w:val="bottom"/>
                </w:tcPr>
                <w:p w14:paraId="3EAD184F" w14:textId="77777777" w:rsidR="009C6940" w:rsidRDefault="009C6940" w:rsidP="009C6940">
                  <w:pPr>
                    <w:pStyle w:val="TableBodyText"/>
                    <w:ind w:right="11"/>
                  </w:pPr>
                  <w:r>
                    <w:t>-0.017</w:t>
                  </w:r>
                </w:p>
              </w:tc>
            </w:tr>
            <w:tr w:rsidR="009C6940" w14:paraId="672B1632" w14:textId="77777777" w:rsidTr="009C6940">
              <w:tc>
                <w:tcPr>
                  <w:tcW w:w="1354" w:type="pct"/>
                  <w:vAlign w:val="bottom"/>
                </w:tcPr>
                <w:p w14:paraId="02BFEB81" w14:textId="77777777" w:rsidR="009C6940" w:rsidRDefault="009C6940" w:rsidP="009C6940">
                  <w:pPr>
                    <w:pStyle w:val="TableBodyText"/>
                    <w:jc w:val="left"/>
                  </w:pPr>
                  <w:r w:rsidRPr="005368AA">
                    <w:t>Experience</w:t>
                  </w:r>
                </w:p>
              </w:tc>
              <w:tc>
                <w:tcPr>
                  <w:tcW w:w="677" w:type="pct"/>
                  <w:vAlign w:val="bottom"/>
                </w:tcPr>
                <w:p w14:paraId="17BA5968" w14:textId="77777777" w:rsidR="009C6940" w:rsidRDefault="009C6940" w:rsidP="009C6940">
                  <w:pPr>
                    <w:pStyle w:val="TableBodyText"/>
                  </w:pPr>
                  <w:r>
                    <w:t>-0.079</w:t>
                  </w:r>
                </w:p>
              </w:tc>
              <w:tc>
                <w:tcPr>
                  <w:tcW w:w="677" w:type="pct"/>
                  <w:vAlign w:val="bottom"/>
                </w:tcPr>
                <w:p w14:paraId="63049E55" w14:textId="77777777" w:rsidR="009C6940" w:rsidRDefault="009C6940" w:rsidP="009C6940">
                  <w:pPr>
                    <w:pStyle w:val="TableBodyText"/>
                  </w:pPr>
                  <w:r>
                    <w:t>0.021</w:t>
                  </w:r>
                </w:p>
              </w:tc>
              <w:tc>
                <w:tcPr>
                  <w:tcW w:w="762" w:type="pct"/>
                  <w:vAlign w:val="bottom"/>
                </w:tcPr>
                <w:p w14:paraId="433B1286" w14:textId="77777777" w:rsidR="009C6940" w:rsidRDefault="009C6940" w:rsidP="009C6940">
                  <w:pPr>
                    <w:pStyle w:val="TableBodyText"/>
                  </w:pPr>
                  <w:r>
                    <w:t>-0.115</w:t>
                  </w:r>
                </w:p>
              </w:tc>
              <w:tc>
                <w:tcPr>
                  <w:tcW w:w="708" w:type="pct"/>
                  <w:vAlign w:val="bottom"/>
                </w:tcPr>
                <w:p w14:paraId="4C426AE2" w14:textId="77777777" w:rsidR="009C6940" w:rsidRDefault="009C6940" w:rsidP="009C6940">
                  <w:pPr>
                    <w:pStyle w:val="TableBodyText"/>
                  </w:pPr>
                  <w:r>
                    <w:t>-0.078</w:t>
                  </w:r>
                </w:p>
              </w:tc>
              <w:tc>
                <w:tcPr>
                  <w:tcW w:w="822" w:type="pct"/>
                  <w:vAlign w:val="bottom"/>
                </w:tcPr>
                <w:p w14:paraId="2B0B2F87" w14:textId="77777777" w:rsidR="009C6940" w:rsidRDefault="009C6940" w:rsidP="009C6940">
                  <w:pPr>
                    <w:pStyle w:val="TableBodyText"/>
                    <w:ind w:right="11"/>
                  </w:pPr>
                  <w:r>
                    <w:t>-0.044</w:t>
                  </w:r>
                </w:p>
              </w:tc>
            </w:tr>
            <w:tr w:rsidR="009C6940" w14:paraId="18F69E77" w14:textId="77777777" w:rsidTr="009C6940">
              <w:tc>
                <w:tcPr>
                  <w:tcW w:w="1354" w:type="pct"/>
                  <w:vAlign w:val="bottom"/>
                </w:tcPr>
                <w:p w14:paraId="7AFF794B" w14:textId="77777777" w:rsidR="009C6940" w:rsidRDefault="009C6940" w:rsidP="009C6940">
                  <w:pPr>
                    <w:pStyle w:val="TableBodyText"/>
                    <w:jc w:val="left"/>
                  </w:pPr>
                  <w:r w:rsidRPr="005368AA">
                    <w:t>Experience squared</w:t>
                  </w:r>
                </w:p>
              </w:tc>
              <w:tc>
                <w:tcPr>
                  <w:tcW w:w="677" w:type="pct"/>
                  <w:vAlign w:val="bottom"/>
                </w:tcPr>
                <w:p w14:paraId="35DD1920" w14:textId="77777777" w:rsidR="009C6940" w:rsidRDefault="009C6940" w:rsidP="009C6940">
                  <w:pPr>
                    <w:pStyle w:val="TableBodyText"/>
                  </w:pPr>
                  <w:r>
                    <w:t>0.108</w:t>
                  </w:r>
                </w:p>
              </w:tc>
              <w:tc>
                <w:tcPr>
                  <w:tcW w:w="677" w:type="pct"/>
                  <w:vAlign w:val="bottom"/>
                </w:tcPr>
                <w:p w14:paraId="7E19A33C" w14:textId="77777777" w:rsidR="009C6940" w:rsidRDefault="009C6940" w:rsidP="009C6940">
                  <w:pPr>
                    <w:pStyle w:val="TableBodyText"/>
                  </w:pPr>
                  <w:r>
                    <w:t>0.018</w:t>
                  </w:r>
                </w:p>
              </w:tc>
              <w:tc>
                <w:tcPr>
                  <w:tcW w:w="762" w:type="pct"/>
                  <w:vAlign w:val="bottom"/>
                </w:tcPr>
                <w:p w14:paraId="389820FE" w14:textId="77777777" w:rsidR="009C6940" w:rsidRDefault="009C6940" w:rsidP="009C6940">
                  <w:pPr>
                    <w:pStyle w:val="TableBodyText"/>
                  </w:pPr>
                  <w:r>
                    <w:t>0.078</w:t>
                  </w:r>
                </w:p>
              </w:tc>
              <w:tc>
                <w:tcPr>
                  <w:tcW w:w="708" w:type="pct"/>
                  <w:vAlign w:val="bottom"/>
                </w:tcPr>
                <w:p w14:paraId="3F369534" w14:textId="77777777" w:rsidR="009C6940" w:rsidRDefault="009C6940" w:rsidP="009C6940">
                  <w:pPr>
                    <w:pStyle w:val="TableBodyText"/>
                  </w:pPr>
                  <w:r>
                    <w:t>0.107</w:t>
                  </w:r>
                </w:p>
              </w:tc>
              <w:tc>
                <w:tcPr>
                  <w:tcW w:w="822" w:type="pct"/>
                  <w:vAlign w:val="bottom"/>
                </w:tcPr>
                <w:p w14:paraId="2C06B911" w14:textId="77777777" w:rsidR="009C6940" w:rsidRDefault="009C6940" w:rsidP="009C6940">
                  <w:pPr>
                    <w:pStyle w:val="TableBodyText"/>
                    <w:ind w:right="11"/>
                  </w:pPr>
                  <w:r>
                    <w:t>0.138</w:t>
                  </w:r>
                </w:p>
              </w:tc>
            </w:tr>
            <w:tr w:rsidR="009C6940" w14:paraId="22D23346" w14:textId="77777777" w:rsidTr="009C6940">
              <w:tc>
                <w:tcPr>
                  <w:tcW w:w="1354" w:type="pct"/>
                  <w:vAlign w:val="bottom"/>
                </w:tcPr>
                <w:p w14:paraId="4829F42D" w14:textId="77777777" w:rsidR="009C6940" w:rsidRDefault="009C6940" w:rsidP="009C6940">
                  <w:pPr>
                    <w:pStyle w:val="TableBodyText"/>
                    <w:jc w:val="left"/>
                  </w:pPr>
                  <w:r w:rsidRPr="005368AA">
                    <w:t>PCS</w:t>
                  </w:r>
                </w:p>
              </w:tc>
              <w:tc>
                <w:tcPr>
                  <w:tcW w:w="677" w:type="pct"/>
                  <w:vAlign w:val="bottom"/>
                </w:tcPr>
                <w:p w14:paraId="0C893DFD" w14:textId="77777777" w:rsidR="009C6940" w:rsidRDefault="009C6940" w:rsidP="009C6940">
                  <w:pPr>
                    <w:pStyle w:val="TableBodyText"/>
                  </w:pPr>
                  <w:r>
                    <w:t>0.596</w:t>
                  </w:r>
                </w:p>
              </w:tc>
              <w:tc>
                <w:tcPr>
                  <w:tcW w:w="677" w:type="pct"/>
                  <w:vAlign w:val="bottom"/>
                </w:tcPr>
                <w:p w14:paraId="081BCC02" w14:textId="77777777" w:rsidR="009C6940" w:rsidRDefault="009C6940" w:rsidP="009C6940">
                  <w:pPr>
                    <w:pStyle w:val="TableBodyText"/>
                  </w:pPr>
                  <w:r>
                    <w:t>0.002</w:t>
                  </w:r>
                </w:p>
              </w:tc>
              <w:tc>
                <w:tcPr>
                  <w:tcW w:w="762" w:type="pct"/>
                  <w:vAlign w:val="bottom"/>
                </w:tcPr>
                <w:p w14:paraId="2D6E2BF0" w14:textId="77777777" w:rsidR="009C6940" w:rsidRDefault="009C6940" w:rsidP="009C6940">
                  <w:pPr>
                    <w:pStyle w:val="TableBodyText"/>
                  </w:pPr>
                  <w:r>
                    <w:t>0.593</w:t>
                  </w:r>
                </w:p>
              </w:tc>
              <w:tc>
                <w:tcPr>
                  <w:tcW w:w="708" w:type="pct"/>
                  <w:vAlign w:val="bottom"/>
                </w:tcPr>
                <w:p w14:paraId="76986D67" w14:textId="77777777" w:rsidR="009C6940" w:rsidRDefault="009C6940" w:rsidP="009C6940">
                  <w:pPr>
                    <w:pStyle w:val="TableBodyText"/>
                  </w:pPr>
                  <w:r>
                    <w:t>0.596</w:t>
                  </w:r>
                </w:p>
              </w:tc>
              <w:tc>
                <w:tcPr>
                  <w:tcW w:w="822" w:type="pct"/>
                  <w:vAlign w:val="bottom"/>
                </w:tcPr>
                <w:p w14:paraId="50A9F2BE" w14:textId="77777777" w:rsidR="009C6940" w:rsidRDefault="009C6940" w:rsidP="009C6940">
                  <w:pPr>
                    <w:pStyle w:val="TableBodyText"/>
                    <w:ind w:right="11"/>
                  </w:pPr>
                  <w:r>
                    <w:t>0.600</w:t>
                  </w:r>
                </w:p>
              </w:tc>
            </w:tr>
            <w:tr w:rsidR="009C6940" w14:paraId="6B8E0FF2" w14:textId="77777777" w:rsidTr="009C6940">
              <w:tc>
                <w:tcPr>
                  <w:tcW w:w="1354" w:type="pct"/>
                  <w:vAlign w:val="bottom"/>
                </w:tcPr>
                <w:p w14:paraId="7505CC82" w14:textId="77777777" w:rsidR="009C6940" w:rsidRDefault="009C6940" w:rsidP="009C6940">
                  <w:pPr>
                    <w:pStyle w:val="TableBodyText"/>
                    <w:jc w:val="left"/>
                  </w:pPr>
                  <w:r w:rsidRPr="005368AA">
                    <w:t>Children 0</w:t>
                  </w:r>
                  <w:r>
                    <w:t>–</w:t>
                  </w:r>
                  <w:r w:rsidRPr="005368AA">
                    <w:t>4</w:t>
                  </w:r>
                  <w:r>
                    <w:t> years</w:t>
                  </w:r>
                </w:p>
              </w:tc>
              <w:tc>
                <w:tcPr>
                  <w:tcW w:w="677" w:type="pct"/>
                  <w:vAlign w:val="bottom"/>
                </w:tcPr>
                <w:p w14:paraId="7A838D63" w14:textId="77777777" w:rsidR="009C6940" w:rsidRDefault="009C6940" w:rsidP="009C6940">
                  <w:pPr>
                    <w:pStyle w:val="TableBodyText"/>
                  </w:pPr>
                  <w:r>
                    <w:t>-0.021</w:t>
                  </w:r>
                </w:p>
              </w:tc>
              <w:tc>
                <w:tcPr>
                  <w:tcW w:w="677" w:type="pct"/>
                  <w:vAlign w:val="bottom"/>
                </w:tcPr>
                <w:p w14:paraId="23D3FA0A" w14:textId="77777777" w:rsidR="009C6940" w:rsidRDefault="009C6940" w:rsidP="009C6940">
                  <w:pPr>
                    <w:pStyle w:val="TableBodyText"/>
                  </w:pPr>
                  <w:r>
                    <w:t>0.003</w:t>
                  </w:r>
                </w:p>
              </w:tc>
              <w:tc>
                <w:tcPr>
                  <w:tcW w:w="762" w:type="pct"/>
                  <w:vAlign w:val="bottom"/>
                </w:tcPr>
                <w:p w14:paraId="162C1AD7" w14:textId="77777777" w:rsidR="009C6940" w:rsidRDefault="009C6940" w:rsidP="009C6940">
                  <w:pPr>
                    <w:pStyle w:val="TableBodyText"/>
                  </w:pPr>
                  <w:r>
                    <w:t>-0.026</w:t>
                  </w:r>
                </w:p>
              </w:tc>
              <w:tc>
                <w:tcPr>
                  <w:tcW w:w="708" w:type="pct"/>
                  <w:vAlign w:val="bottom"/>
                </w:tcPr>
                <w:p w14:paraId="350E6F57" w14:textId="77777777" w:rsidR="009C6940" w:rsidRDefault="009C6940" w:rsidP="009C6940">
                  <w:pPr>
                    <w:pStyle w:val="TableBodyText"/>
                  </w:pPr>
                  <w:r>
                    <w:t>-0.021</w:t>
                  </w:r>
                </w:p>
              </w:tc>
              <w:tc>
                <w:tcPr>
                  <w:tcW w:w="822" w:type="pct"/>
                  <w:vAlign w:val="bottom"/>
                </w:tcPr>
                <w:p w14:paraId="05D23028" w14:textId="77777777" w:rsidR="009C6940" w:rsidRDefault="009C6940" w:rsidP="009C6940">
                  <w:pPr>
                    <w:pStyle w:val="TableBodyText"/>
                    <w:ind w:right="11"/>
                  </w:pPr>
                  <w:r>
                    <w:t>-0.016</w:t>
                  </w:r>
                </w:p>
              </w:tc>
            </w:tr>
            <w:tr w:rsidR="009C6940" w14:paraId="690277E6" w14:textId="77777777" w:rsidTr="009C6940">
              <w:tc>
                <w:tcPr>
                  <w:tcW w:w="1354" w:type="pct"/>
                  <w:vAlign w:val="bottom"/>
                </w:tcPr>
                <w:p w14:paraId="4406B791" w14:textId="77777777" w:rsidR="009C6940" w:rsidRDefault="009C6940" w:rsidP="009C6940">
                  <w:pPr>
                    <w:pStyle w:val="TableBodyText"/>
                    <w:jc w:val="left"/>
                  </w:pPr>
                  <w:r>
                    <w:t>Children 5–</w:t>
                  </w:r>
                  <w:r w:rsidRPr="005368AA">
                    <w:t>14</w:t>
                  </w:r>
                  <w:r>
                    <w:t> years</w:t>
                  </w:r>
                </w:p>
              </w:tc>
              <w:tc>
                <w:tcPr>
                  <w:tcW w:w="677" w:type="pct"/>
                  <w:vAlign w:val="bottom"/>
                </w:tcPr>
                <w:p w14:paraId="50BD0ADE" w14:textId="77777777" w:rsidR="009C6940" w:rsidRDefault="009C6940" w:rsidP="009C6940">
                  <w:pPr>
                    <w:pStyle w:val="TableBodyText"/>
                  </w:pPr>
                  <w:r>
                    <w:t>-0.031</w:t>
                  </w:r>
                </w:p>
              </w:tc>
              <w:tc>
                <w:tcPr>
                  <w:tcW w:w="677" w:type="pct"/>
                  <w:vAlign w:val="bottom"/>
                </w:tcPr>
                <w:p w14:paraId="7F56D4A4" w14:textId="77777777" w:rsidR="009C6940" w:rsidRDefault="009C6940" w:rsidP="009C6940">
                  <w:pPr>
                    <w:pStyle w:val="TableBodyText"/>
                  </w:pPr>
                  <w:r>
                    <w:t>0.004</w:t>
                  </w:r>
                </w:p>
              </w:tc>
              <w:tc>
                <w:tcPr>
                  <w:tcW w:w="762" w:type="pct"/>
                  <w:vAlign w:val="bottom"/>
                </w:tcPr>
                <w:p w14:paraId="41288A4B" w14:textId="77777777" w:rsidR="009C6940" w:rsidRDefault="009C6940" w:rsidP="009C6940">
                  <w:pPr>
                    <w:pStyle w:val="TableBodyText"/>
                  </w:pPr>
                  <w:r>
                    <w:t>-0.037</w:t>
                  </w:r>
                </w:p>
              </w:tc>
              <w:tc>
                <w:tcPr>
                  <w:tcW w:w="708" w:type="pct"/>
                  <w:vAlign w:val="bottom"/>
                </w:tcPr>
                <w:p w14:paraId="4B4E3CAE" w14:textId="77777777" w:rsidR="009C6940" w:rsidRDefault="009C6940" w:rsidP="009C6940">
                  <w:pPr>
                    <w:pStyle w:val="TableBodyText"/>
                  </w:pPr>
                  <w:r>
                    <w:t>-0.031</w:t>
                  </w:r>
                </w:p>
              </w:tc>
              <w:tc>
                <w:tcPr>
                  <w:tcW w:w="822" w:type="pct"/>
                  <w:vAlign w:val="bottom"/>
                </w:tcPr>
                <w:p w14:paraId="137ACC76" w14:textId="77777777" w:rsidR="009C6940" w:rsidRDefault="009C6940" w:rsidP="009C6940">
                  <w:pPr>
                    <w:pStyle w:val="TableBodyText"/>
                    <w:ind w:right="11"/>
                  </w:pPr>
                  <w:r>
                    <w:t>-0.024</w:t>
                  </w:r>
                </w:p>
              </w:tc>
            </w:tr>
            <w:tr w:rsidR="009C6940" w14:paraId="37240521" w14:textId="77777777" w:rsidTr="009C6940">
              <w:tc>
                <w:tcPr>
                  <w:tcW w:w="1354" w:type="pct"/>
                  <w:vAlign w:val="bottom"/>
                </w:tcPr>
                <w:p w14:paraId="1EBE92C4" w14:textId="77777777" w:rsidR="009C6940" w:rsidRDefault="009C6940" w:rsidP="009C6940">
                  <w:pPr>
                    <w:pStyle w:val="TableBodyText"/>
                    <w:jc w:val="left"/>
                  </w:pPr>
                  <w:r>
                    <w:t>Children 15–</w:t>
                  </w:r>
                  <w:r w:rsidRPr="005368AA">
                    <w:t>24</w:t>
                  </w:r>
                  <w:r>
                    <w:t> years</w:t>
                  </w:r>
                </w:p>
              </w:tc>
              <w:tc>
                <w:tcPr>
                  <w:tcW w:w="677" w:type="pct"/>
                  <w:vAlign w:val="bottom"/>
                </w:tcPr>
                <w:p w14:paraId="10112560" w14:textId="77777777" w:rsidR="009C6940" w:rsidRDefault="009C6940" w:rsidP="009C6940">
                  <w:pPr>
                    <w:pStyle w:val="TableBodyText"/>
                  </w:pPr>
                  <w:r>
                    <w:t>-0.025</w:t>
                  </w:r>
                </w:p>
              </w:tc>
              <w:tc>
                <w:tcPr>
                  <w:tcW w:w="677" w:type="pct"/>
                  <w:vAlign w:val="bottom"/>
                </w:tcPr>
                <w:p w14:paraId="7CD381E1" w14:textId="77777777" w:rsidR="009C6940" w:rsidRDefault="009C6940" w:rsidP="009C6940">
                  <w:pPr>
                    <w:pStyle w:val="TableBodyText"/>
                  </w:pPr>
                  <w:r>
                    <w:t>0.003</w:t>
                  </w:r>
                </w:p>
              </w:tc>
              <w:tc>
                <w:tcPr>
                  <w:tcW w:w="762" w:type="pct"/>
                  <w:vAlign w:val="bottom"/>
                </w:tcPr>
                <w:p w14:paraId="592A82CF" w14:textId="77777777" w:rsidR="009C6940" w:rsidRDefault="009C6940" w:rsidP="009C6940">
                  <w:pPr>
                    <w:pStyle w:val="TableBodyText"/>
                  </w:pPr>
                  <w:r>
                    <w:t>-0.031</w:t>
                  </w:r>
                </w:p>
              </w:tc>
              <w:tc>
                <w:tcPr>
                  <w:tcW w:w="708" w:type="pct"/>
                  <w:vAlign w:val="bottom"/>
                </w:tcPr>
                <w:p w14:paraId="4EE91298" w14:textId="77777777" w:rsidR="009C6940" w:rsidRDefault="009C6940" w:rsidP="009C6940">
                  <w:pPr>
                    <w:pStyle w:val="TableBodyText"/>
                  </w:pPr>
                  <w:r>
                    <w:t>-0.025</w:t>
                  </w:r>
                </w:p>
              </w:tc>
              <w:tc>
                <w:tcPr>
                  <w:tcW w:w="822" w:type="pct"/>
                  <w:vAlign w:val="bottom"/>
                </w:tcPr>
                <w:p w14:paraId="5E7B316D" w14:textId="77777777" w:rsidR="009C6940" w:rsidRDefault="009C6940" w:rsidP="009C6940">
                  <w:pPr>
                    <w:pStyle w:val="TableBodyText"/>
                    <w:ind w:right="11"/>
                  </w:pPr>
                  <w:r>
                    <w:t>-0.019</w:t>
                  </w:r>
                </w:p>
              </w:tc>
            </w:tr>
            <w:tr w:rsidR="009C6940" w14:paraId="2C85A50B" w14:textId="77777777" w:rsidTr="009C6940">
              <w:tc>
                <w:tcPr>
                  <w:tcW w:w="1354" w:type="pct"/>
                </w:tcPr>
                <w:p w14:paraId="7BE5975B" w14:textId="77777777" w:rsidR="009C6940" w:rsidRDefault="009C6940" w:rsidP="009C6940">
                  <w:pPr>
                    <w:pStyle w:val="TableBodyText"/>
                    <w:jc w:val="left"/>
                  </w:pPr>
                  <w:r>
                    <w:t>Many friends</w:t>
                  </w:r>
                </w:p>
              </w:tc>
              <w:tc>
                <w:tcPr>
                  <w:tcW w:w="677" w:type="pct"/>
                  <w:vAlign w:val="bottom"/>
                </w:tcPr>
                <w:p w14:paraId="31EC6C21" w14:textId="77777777" w:rsidR="009C6940" w:rsidRDefault="009C6940" w:rsidP="009C6940">
                  <w:pPr>
                    <w:pStyle w:val="TableBodyText"/>
                  </w:pPr>
                  <w:r>
                    <w:t>0.109</w:t>
                  </w:r>
                </w:p>
              </w:tc>
              <w:tc>
                <w:tcPr>
                  <w:tcW w:w="677" w:type="pct"/>
                  <w:vAlign w:val="bottom"/>
                </w:tcPr>
                <w:p w14:paraId="55FD0162" w14:textId="77777777" w:rsidR="009C6940" w:rsidRDefault="009C6940" w:rsidP="009C6940">
                  <w:pPr>
                    <w:pStyle w:val="TableBodyText"/>
                  </w:pPr>
                  <w:r>
                    <w:t>0.003</w:t>
                  </w:r>
                </w:p>
              </w:tc>
              <w:tc>
                <w:tcPr>
                  <w:tcW w:w="762" w:type="pct"/>
                  <w:vAlign w:val="bottom"/>
                </w:tcPr>
                <w:p w14:paraId="662AECCF" w14:textId="77777777" w:rsidR="009C6940" w:rsidRDefault="009C6940" w:rsidP="009C6940">
                  <w:pPr>
                    <w:pStyle w:val="TableBodyText"/>
                  </w:pPr>
                  <w:r>
                    <w:t>0.105</w:t>
                  </w:r>
                </w:p>
              </w:tc>
              <w:tc>
                <w:tcPr>
                  <w:tcW w:w="708" w:type="pct"/>
                  <w:vAlign w:val="bottom"/>
                </w:tcPr>
                <w:p w14:paraId="17CBA3BC" w14:textId="77777777" w:rsidR="009C6940" w:rsidRDefault="009C6940" w:rsidP="009C6940">
                  <w:pPr>
                    <w:pStyle w:val="TableBodyText"/>
                  </w:pPr>
                  <w:r>
                    <w:t>0.109</w:t>
                  </w:r>
                </w:p>
              </w:tc>
              <w:tc>
                <w:tcPr>
                  <w:tcW w:w="822" w:type="pct"/>
                  <w:vAlign w:val="bottom"/>
                </w:tcPr>
                <w:p w14:paraId="7A55114D" w14:textId="77777777" w:rsidR="009C6940" w:rsidRDefault="009C6940" w:rsidP="009C6940">
                  <w:pPr>
                    <w:pStyle w:val="TableBodyText"/>
                    <w:ind w:right="11"/>
                  </w:pPr>
                  <w:r>
                    <w:t>0.114</w:t>
                  </w:r>
                </w:p>
              </w:tc>
            </w:tr>
            <w:tr w:rsidR="009C6940" w14:paraId="16325FDD" w14:textId="77777777" w:rsidTr="009C6940">
              <w:trPr>
                <w:trHeight w:val="52"/>
              </w:trPr>
              <w:tc>
                <w:tcPr>
                  <w:tcW w:w="1354" w:type="pct"/>
                </w:tcPr>
                <w:p w14:paraId="1E196A65" w14:textId="77777777" w:rsidR="009C6940" w:rsidRDefault="009C6940" w:rsidP="009C6940">
                  <w:pPr>
                    <w:pStyle w:val="TableBodyText"/>
                    <w:jc w:val="left"/>
                  </w:pPr>
                  <w:r>
                    <w:t>Female</w:t>
                  </w:r>
                </w:p>
              </w:tc>
              <w:tc>
                <w:tcPr>
                  <w:tcW w:w="677" w:type="pct"/>
                  <w:vAlign w:val="bottom"/>
                </w:tcPr>
                <w:p w14:paraId="50135E89" w14:textId="77777777" w:rsidR="009C6940" w:rsidRDefault="009C6940" w:rsidP="009C6940">
                  <w:pPr>
                    <w:pStyle w:val="TableBodyText"/>
                  </w:pPr>
                  <w:r>
                    <w:t>-0.093</w:t>
                  </w:r>
                </w:p>
              </w:tc>
              <w:tc>
                <w:tcPr>
                  <w:tcW w:w="677" w:type="pct"/>
                  <w:vAlign w:val="bottom"/>
                </w:tcPr>
                <w:p w14:paraId="121E904E" w14:textId="77777777" w:rsidR="009C6940" w:rsidRDefault="009C6940" w:rsidP="009C6940">
                  <w:pPr>
                    <w:pStyle w:val="TableBodyText"/>
                  </w:pPr>
                  <w:r>
                    <w:t>0.004</w:t>
                  </w:r>
                </w:p>
              </w:tc>
              <w:tc>
                <w:tcPr>
                  <w:tcW w:w="762" w:type="pct"/>
                  <w:vAlign w:val="bottom"/>
                </w:tcPr>
                <w:p w14:paraId="3992AE58" w14:textId="77777777" w:rsidR="009C6940" w:rsidRDefault="009C6940" w:rsidP="009C6940">
                  <w:pPr>
                    <w:pStyle w:val="TableBodyText"/>
                  </w:pPr>
                  <w:r>
                    <w:t>-0.100</w:t>
                  </w:r>
                </w:p>
              </w:tc>
              <w:tc>
                <w:tcPr>
                  <w:tcW w:w="708" w:type="pct"/>
                  <w:vAlign w:val="bottom"/>
                </w:tcPr>
                <w:p w14:paraId="4B372DAD" w14:textId="77777777" w:rsidR="009C6940" w:rsidRDefault="009C6940" w:rsidP="009C6940">
                  <w:pPr>
                    <w:pStyle w:val="TableBodyText"/>
                  </w:pPr>
                  <w:r>
                    <w:t>-0.092</w:t>
                  </w:r>
                </w:p>
              </w:tc>
              <w:tc>
                <w:tcPr>
                  <w:tcW w:w="822" w:type="pct"/>
                  <w:vAlign w:val="bottom"/>
                </w:tcPr>
                <w:p w14:paraId="1EE0192C" w14:textId="77777777" w:rsidR="009C6940" w:rsidRDefault="009C6940" w:rsidP="009C6940">
                  <w:pPr>
                    <w:pStyle w:val="TableBodyText"/>
                    <w:ind w:right="11"/>
                  </w:pPr>
                  <w:r>
                    <w:t>-0.085</w:t>
                  </w:r>
                </w:p>
              </w:tc>
            </w:tr>
            <w:tr w:rsidR="009C6940" w14:paraId="005919B4" w14:textId="77777777" w:rsidTr="009C6940">
              <w:tc>
                <w:tcPr>
                  <w:tcW w:w="1354" w:type="pct"/>
                  <w:tcBorders>
                    <w:bottom w:val="single" w:sz="6" w:space="0" w:color="BFBFBF"/>
                  </w:tcBorders>
                  <w:shd w:val="clear" w:color="auto" w:fill="auto"/>
                </w:tcPr>
                <w:p w14:paraId="25946193" w14:textId="77777777" w:rsidR="009C6940" w:rsidRDefault="009C6940" w:rsidP="009C6940">
                  <w:pPr>
                    <w:pStyle w:val="TableBodyText"/>
                    <w:jc w:val="left"/>
                  </w:pPr>
                  <w:r>
                    <w:t>Death of a friend</w:t>
                  </w:r>
                </w:p>
              </w:tc>
              <w:tc>
                <w:tcPr>
                  <w:tcW w:w="677" w:type="pct"/>
                  <w:tcBorders>
                    <w:bottom w:val="single" w:sz="6" w:space="0" w:color="BFBFBF"/>
                  </w:tcBorders>
                  <w:vAlign w:val="bottom"/>
                </w:tcPr>
                <w:p w14:paraId="48701866" w14:textId="77777777" w:rsidR="009C6940" w:rsidRDefault="009C6940" w:rsidP="009C6940">
                  <w:pPr>
                    <w:pStyle w:val="TableBodyText"/>
                  </w:pPr>
                  <w:r>
                    <w:t>-0.058</w:t>
                  </w:r>
                </w:p>
              </w:tc>
              <w:tc>
                <w:tcPr>
                  <w:tcW w:w="677" w:type="pct"/>
                  <w:tcBorders>
                    <w:bottom w:val="single" w:sz="6" w:space="0" w:color="BFBFBF"/>
                  </w:tcBorders>
                  <w:vAlign w:val="bottom"/>
                </w:tcPr>
                <w:p w14:paraId="0F64CC49" w14:textId="77777777" w:rsidR="009C6940" w:rsidRDefault="009C6940" w:rsidP="009C6940">
                  <w:pPr>
                    <w:pStyle w:val="TableBodyText"/>
                  </w:pPr>
                  <w:r>
                    <w:t>0.005</w:t>
                  </w:r>
                </w:p>
              </w:tc>
              <w:tc>
                <w:tcPr>
                  <w:tcW w:w="762" w:type="pct"/>
                  <w:tcBorders>
                    <w:bottom w:val="single" w:sz="6" w:space="0" w:color="BFBFBF"/>
                  </w:tcBorders>
                  <w:vAlign w:val="bottom"/>
                </w:tcPr>
                <w:p w14:paraId="28FDCE15" w14:textId="77777777" w:rsidR="009C6940" w:rsidRDefault="009C6940" w:rsidP="009C6940">
                  <w:pPr>
                    <w:pStyle w:val="TableBodyText"/>
                  </w:pPr>
                  <w:r>
                    <w:t>-0.067</w:t>
                  </w:r>
                </w:p>
              </w:tc>
              <w:tc>
                <w:tcPr>
                  <w:tcW w:w="708" w:type="pct"/>
                  <w:tcBorders>
                    <w:bottom w:val="single" w:sz="6" w:space="0" w:color="BFBFBF"/>
                  </w:tcBorders>
                  <w:shd w:val="clear" w:color="auto" w:fill="auto"/>
                  <w:vAlign w:val="bottom"/>
                </w:tcPr>
                <w:p w14:paraId="2BD7D2FF" w14:textId="77777777" w:rsidR="009C6940" w:rsidRDefault="009C6940" w:rsidP="009C6940">
                  <w:pPr>
                    <w:pStyle w:val="TableBodyText"/>
                  </w:pPr>
                  <w:r>
                    <w:t>-0.058</w:t>
                  </w:r>
                </w:p>
              </w:tc>
              <w:tc>
                <w:tcPr>
                  <w:tcW w:w="822" w:type="pct"/>
                  <w:tcBorders>
                    <w:bottom w:val="single" w:sz="6" w:space="0" w:color="BFBFBF"/>
                  </w:tcBorders>
                  <w:shd w:val="clear" w:color="auto" w:fill="auto"/>
                  <w:vAlign w:val="bottom"/>
                </w:tcPr>
                <w:p w14:paraId="11C65289" w14:textId="77777777" w:rsidR="009C6940" w:rsidRDefault="009C6940" w:rsidP="009C6940">
                  <w:pPr>
                    <w:pStyle w:val="TableBodyText"/>
                    <w:ind w:right="11"/>
                  </w:pPr>
                  <w:r>
                    <w:t>-0.049</w:t>
                  </w:r>
                </w:p>
              </w:tc>
            </w:tr>
          </w:tbl>
          <w:p w14:paraId="753BD040" w14:textId="77777777" w:rsidR="009C6940" w:rsidRDefault="009C6940" w:rsidP="009C6940">
            <w:pPr>
              <w:pStyle w:val="Box"/>
            </w:pPr>
          </w:p>
        </w:tc>
      </w:tr>
      <w:tr w:rsidR="009C6940" w14:paraId="7D2B8309" w14:textId="77777777" w:rsidTr="009C6940">
        <w:tc>
          <w:tcPr>
            <w:tcW w:w="5000" w:type="pct"/>
            <w:tcBorders>
              <w:top w:val="nil"/>
              <w:left w:val="nil"/>
              <w:bottom w:val="nil"/>
              <w:right w:val="nil"/>
            </w:tcBorders>
            <w:shd w:val="clear" w:color="auto" w:fill="auto"/>
          </w:tcPr>
          <w:p w14:paraId="2F522393" w14:textId="77777777" w:rsidR="009C6940" w:rsidRDefault="009C6940" w:rsidP="009C6940">
            <w:pPr>
              <w:pStyle w:val="Note"/>
              <w:rPr>
                <w:i/>
              </w:rPr>
            </w:pPr>
            <w:r w:rsidRPr="008E77FE">
              <w:rPr>
                <w:rStyle w:val="NoteLabel"/>
              </w:rPr>
              <w:t>a</w:t>
            </w:r>
            <w:r>
              <w:t xml:space="preserve"> Year</w:t>
            </w:r>
            <w:r>
              <w:noBreakHyphen/>
              <w:t xml:space="preserve">specific fixed effects are included in the model, but not shown here. </w:t>
            </w:r>
            <w:r>
              <w:rPr>
                <w:rStyle w:val="NoteLabel"/>
              </w:rPr>
              <w:t>b</w:t>
            </w:r>
            <w:r>
              <w:t xml:space="preserve"> The covariates and outcome variable were standardised prior to estimation.</w:t>
            </w:r>
          </w:p>
        </w:tc>
      </w:tr>
      <w:tr w:rsidR="009C6940" w14:paraId="30DFCC92" w14:textId="77777777" w:rsidTr="009C6940">
        <w:tc>
          <w:tcPr>
            <w:tcW w:w="5000" w:type="pct"/>
            <w:tcBorders>
              <w:top w:val="nil"/>
              <w:left w:val="nil"/>
              <w:bottom w:val="nil"/>
              <w:right w:val="nil"/>
            </w:tcBorders>
            <w:shd w:val="clear" w:color="auto" w:fill="auto"/>
          </w:tcPr>
          <w:p w14:paraId="094ED8CC" w14:textId="77777777" w:rsidR="009C6940" w:rsidRDefault="009C6940" w:rsidP="009C6940">
            <w:pPr>
              <w:pStyle w:val="Source"/>
            </w:pPr>
            <w:r>
              <w:rPr>
                <w:i/>
              </w:rPr>
              <w:t>Source</w:t>
            </w:r>
            <w:r w:rsidRPr="00167F06">
              <w:t xml:space="preserve">: </w:t>
            </w:r>
            <w:r>
              <w:t xml:space="preserve">Productivity Commission estimates using </w:t>
            </w:r>
            <w:r w:rsidRPr="008A6045">
              <w:t>Housing, Income and Labour Dynamics in Australia</w:t>
            </w:r>
            <w:r>
              <w:t>.</w:t>
            </w:r>
          </w:p>
        </w:tc>
      </w:tr>
      <w:tr w:rsidR="009C6940" w14:paraId="6C64DFC7" w14:textId="77777777" w:rsidTr="009C6940">
        <w:tc>
          <w:tcPr>
            <w:tcW w:w="5000" w:type="pct"/>
            <w:tcBorders>
              <w:top w:val="nil"/>
              <w:left w:val="nil"/>
              <w:bottom w:val="single" w:sz="6" w:space="0" w:color="78A22F"/>
              <w:right w:val="nil"/>
            </w:tcBorders>
            <w:shd w:val="clear" w:color="auto" w:fill="auto"/>
          </w:tcPr>
          <w:p w14:paraId="14B7DB4D" w14:textId="77777777" w:rsidR="009C6940" w:rsidRDefault="009C6940" w:rsidP="009C6940">
            <w:pPr>
              <w:pStyle w:val="Box"/>
              <w:spacing w:before="0" w:line="120" w:lineRule="exact"/>
            </w:pPr>
          </w:p>
        </w:tc>
      </w:tr>
      <w:tr w:rsidR="009C6940" w:rsidRPr="000863A5" w14:paraId="47ADB1F5" w14:textId="77777777" w:rsidTr="009C6940">
        <w:tc>
          <w:tcPr>
            <w:tcW w:w="5000" w:type="pct"/>
            <w:tcBorders>
              <w:top w:val="single" w:sz="6" w:space="0" w:color="78A22F"/>
              <w:left w:val="nil"/>
              <w:bottom w:val="nil"/>
              <w:right w:val="nil"/>
            </w:tcBorders>
          </w:tcPr>
          <w:p w14:paraId="74E9C815" w14:textId="77777777" w:rsidR="009C6940" w:rsidRPr="00626D32" w:rsidRDefault="009C6940" w:rsidP="009C6940">
            <w:pPr>
              <w:pStyle w:val="BoxSpaceBelow"/>
            </w:pPr>
          </w:p>
        </w:tc>
      </w:tr>
    </w:tbl>
    <w:p w14:paraId="6D90E63C"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4B51875F" w14:textId="77777777" w:rsidTr="009C6940">
        <w:trPr>
          <w:tblHeader/>
        </w:trPr>
        <w:tc>
          <w:tcPr>
            <w:tcW w:w="5000" w:type="pct"/>
            <w:tcBorders>
              <w:top w:val="single" w:sz="6" w:space="0" w:color="78A22F"/>
              <w:left w:val="nil"/>
              <w:bottom w:val="nil"/>
              <w:right w:val="nil"/>
            </w:tcBorders>
            <w:shd w:val="clear" w:color="auto" w:fill="auto"/>
          </w:tcPr>
          <w:p w14:paraId="6ADD6AA7" w14:textId="77777777" w:rsidR="009C6940" w:rsidRPr="00784A05" w:rsidRDefault="009C6940" w:rsidP="009C6940">
            <w:pPr>
              <w:pStyle w:val="TableTitle"/>
            </w:pPr>
            <w:r>
              <w:rPr>
                <w:b w:val="0"/>
              </w:rPr>
              <w:t>Table J.4</w:t>
            </w:r>
            <w:r>
              <w:tab/>
              <w:t>Parameter estimates — Wage equation</w:t>
            </w:r>
            <w:r w:rsidRPr="008D5680">
              <w:rPr>
                <w:rStyle w:val="NoteLabel"/>
                <w:b/>
              </w:rPr>
              <w:t>a,b</w:t>
            </w:r>
          </w:p>
        </w:tc>
      </w:tr>
      <w:tr w:rsidR="009C6940" w14:paraId="34B2B894" w14:textId="77777777" w:rsidTr="009C6940">
        <w:tc>
          <w:tcPr>
            <w:tcW w:w="5000" w:type="pct"/>
            <w:tcBorders>
              <w:top w:val="nil"/>
              <w:left w:val="nil"/>
              <w:bottom w:val="nil"/>
              <w:right w:val="nil"/>
            </w:tcBorders>
            <w:shd w:val="clear" w:color="auto" w:fill="auto"/>
          </w:tcPr>
          <w:tbl>
            <w:tblPr>
              <w:tblW w:w="4923" w:type="pct"/>
              <w:tblCellMar>
                <w:top w:w="28" w:type="dxa"/>
                <w:left w:w="0" w:type="dxa"/>
                <w:right w:w="0" w:type="dxa"/>
              </w:tblCellMar>
              <w:tblLook w:val="0000" w:firstRow="0" w:lastRow="0" w:firstColumn="0" w:lastColumn="0" w:noHBand="0" w:noVBand="0"/>
            </w:tblPr>
            <w:tblGrid>
              <w:gridCol w:w="2267"/>
              <w:gridCol w:w="1134"/>
              <w:gridCol w:w="1134"/>
              <w:gridCol w:w="1276"/>
              <w:gridCol w:w="1186"/>
              <w:gridCol w:w="1377"/>
            </w:tblGrid>
            <w:tr w:rsidR="009C6940" w14:paraId="7538768A" w14:textId="77777777" w:rsidTr="009C6940">
              <w:trPr>
                <w:tblHeader/>
              </w:trPr>
              <w:tc>
                <w:tcPr>
                  <w:tcW w:w="1354" w:type="pct"/>
                  <w:tcBorders>
                    <w:top w:val="single" w:sz="6" w:space="0" w:color="BFBFBF"/>
                    <w:bottom w:val="single" w:sz="6" w:space="0" w:color="BFBFBF"/>
                  </w:tcBorders>
                  <w:shd w:val="clear" w:color="auto" w:fill="auto"/>
                  <w:tcMar>
                    <w:top w:w="28" w:type="dxa"/>
                  </w:tcMar>
                </w:tcPr>
                <w:p w14:paraId="11C32759" w14:textId="77777777" w:rsidR="009C6940" w:rsidRDefault="009C6940" w:rsidP="009C6940">
                  <w:pPr>
                    <w:pStyle w:val="TableColumnHeading"/>
                    <w:jc w:val="left"/>
                  </w:pPr>
                  <w:r>
                    <w:t>V</w:t>
                  </w:r>
                  <w:r w:rsidRPr="00B9642D">
                    <w:t>ariable</w:t>
                  </w:r>
                </w:p>
              </w:tc>
              <w:tc>
                <w:tcPr>
                  <w:tcW w:w="677" w:type="pct"/>
                  <w:tcBorders>
                    <w:top w:val="single" w:sz="6" w:space="0" w:color="BFBFBF"/>
                    <w:bottom w:val="single" w:sz="6" w:space="0" w:color="BFBFBF"/>
                  </w:tcBorders>
                </w:tcPr>
                <w:p w14:paraId="06C94106" w14:textId="77777777" w:rsidR="009C6940" w:rsidRDefault="009C6940" w:rsidP="009C6940">
                  <w:pPr>
                    <w:pStyle w:val="TableColumnHeading"/>
                  </w:pPr>
                  <w:r>
                    <w:t>M</w:t>
                  </w:r>
                  <w:r w:rsidRPr="00B9642D">
                    <w:t>ean</w:t>
                  </w:r>
                </w:p>
              </w:tc>
              <w:tc>
                <w:tcPr>
                  <w:tcW w:w="677" w:type="pct"/>
                  <w:tcBorders>
                    <w:top w:val="single" w:sz="6" w:space="0" w:color="BFBFBF"/>
                    <w:bottom w:val="single" w:sz="6" w:space="0" w:color="BFBFBF"/>
                  </w:tcBorders>
                </w:tcPr>
                <w:p w14:paraId="71D045CA" w14:textId="77777777" w:rsidR="009C6940" w:rsidRDefault="009C6940" w:rsidP="009C6940">
                  <w:pPr>
                    <w:pStyle w:val="TableColumnHeading"/>
                  </w:pPr>
                  <w:r>
                    <w:t>SD</w:t>
                  </w:r>
                </w:p>
              </w:tc>
              <w:tc>
                <w:tcPr>
                  <w:tcW w:w="762" w:type="pct"/>
                  <w:tcBorders>
                    <w:top w:val="single" w:sz="6" w:space="0" w:color="BFBFBF"/>
                    <w:bottom w:val="single" w:sz="6" w:space="0" w:color="BFBFBF"/>
                  </w:tcBorders>
                </w:tcPr>
                <w:p w14:paraId="5E124294" w14:textId="77777777" w:rsidR="009C6940" w:rsidRDefault="009C6940" w:rsidP="009C6940">
                  <w:pPr>
                    <w:pStyle w:val="TableColumnHeading"/>
                  </w:pPr>
                  <w:r>
                    <w:t>5</w:t>
                  </w:r>
                  <w:r w:rsidRPr="00321AD3">
                    <w:rPr>
                      <w:vertAlign w:val="superscript"/>
                    </w:rPr>
                    <w:t>th</w:t>
                  </w:r>
                  <w:r>
                    <w:t xml:space="preserve"> percentile</w:t>
                  </w:r>
                </w:p>
              </w:tc>
              <w:tc>
                <w:tcPr>
                  <w:tcW w:w="708" w:type="pct"/>
                  <w:tcBorders>
                    <w:top w:val="single" w:sz="6" w:space="0" w:color="BFBFBF"/>
                    <w:bottom w:val="single" w:sz="6" w:space="0" w:color="BFBFBF"/>
                  </w:tcBorders>
                  <w:shd w:val="clear" w:color="auto" w:fill="auto"/>
                  <w:tcMar>
                    <w:top w:w="28" w:type="dxa"/>
                  </w:tcMar>
                </w:tcPr>
                <w:p w14:paraId="7D910CB1" w14:textId="77777777" w:rsidR="009C6940" w:rsidRDefault="009C6940" w:rsidP="009C6940">
                  <w:pPr>
                    <w:pStyle w:val="TableColumnHeading"/>
                  </w:pPr>
                  <w:r>
                    <w:t>Median</w:t>
                  </w:r>
                </w:p>
              </w:tc>
              <w:tc>
                <w:tcPr>
                  <w:tcW w:w="822" w:type="pct"/>
                  <w:tcBorders>
                    <w:top w:val="single" w:sz="6" w:space="0" w:color="BFBFBF"/>
                    <w:bottom w:val="single" w:sz="6" w:space="0" w:color="BFBFBF"/>
                  </w:tcBorders>
                  <w:shd w:val="clear" w:color="auto" w:fill="auto"/>
                  <w:tcMar>
                    <w:top w:w="28" w:type="dxa"/>
                  </w:tcMar>
                </w:tcPr>
                <w:p w14:paraId="40A0D5D7" w14:textId="77777777" w:rsidR="009C6940" w:rsidRDefault="009C6940" w:rsidP="009C6940">
                  <w:pPr>
                    <w:pStyle w:val="TableColumnHeading"/>
                    <w:ind w:right="28"/>
                  </w:pPr>
                  <w:r>
                    <w:t>95</w:t>
                  </w:r>
                  <w:r w:rsidRPr="00321AD3">
                    <w:rPr>
                      <w:vertAlign w:val="superscript"/>
                    </w:rPr>
                    <w:t>th</w:t>
                  </w:r>
                  <w:r>
                    <w:t xml:space="preserve"> percentile</w:t>
                  </w:r>
                </w:p>
              </w:tc>
            </w:tr>
            <w:tr w:rsidR="009C6940" w14:paraId="300DA546" w14:textId="77777777" w:rsidTr="009C6940">
              <w:tc>
                <w:tcPr>
                  <w:tcW w:w="1354" w:type="pct"/>
                  <w:tcBorders>
                    <w:top w:val="single" w:sz="6" w:space="0" w:color="BFBFBF"/>
                  </w:tcBorders>
                  <w:vAlign w:val="bottom"/>
                </w:tcPr>
                <w:p w14:paraId="12287962" w14:textId="77777777" w:rsidR="009C6940" w:rsidRDefault="009C6940" w:rsidP="009C6940">
                  <w:pPr>
                    <w:pStyle w:val="TableBodyText"/>
                    <w:jc w:val="left"/>
                  </w:pPr>
                  <w:r>
                    <w:t>Age 21–</w:t>
                  </w:r>
                  <w:r w:rsidRPr="005368AA">
                    <w:t>24</w:t>
                  </w:r>
                  <w:r>
                    <w:t> years</w:t>
                  </w:r>
                </w:p>
              </w:tc>
              <w:tc>
                <w:tcPr>
                  <w:tcW w:w="677" w:type="pct"/>
                  <w:tcBorders>
                    <w:top w:val="single" w:sz="6" w:space="0" w:color="BFBFBF"/>
                  </w:tcBorders>
                  <w:vAlign w:val="bottom"/>
                </w:tcPr>
                <w:p w14:paraId="35C551C9" w14:textId="77777777" w:rsidR="009C6940" w:rsidRDefault="009C6940" w:rsidP="009C6940">
                  <w:pPr>
                    <w:pStyle w:val="TableBodyText"/>
                  </w:pPr>
                  <w:r>
                    <w:t>0.035</w:t>
                  </w:r>
                </w:p>
              </w:tc>
              <w:tc>
                <w:tcPr>
                  <w:tcW w:w="677" w:type="pct"/>
                  <w:tcBorders>
                    <w:top w:val="single" w:sz="6" w:space="0" w:color="BFBFBF"/>
                  </w:tcBorders>
                  <w:vAlign w:val="bottom"/>
                </w:tcPr>
                <w:p w14:paraId="6DDF53CC" w14:textId="77777777" w:rsidR="009C6940" w:rsidRDefault="009C6940" w:rsidP="009C6940">
                  <w:pPr>
                    <w:pStyle w:val="TableBodyText"/>
                  </w:pPr>
                  <w:r>
                    <w:t>0.007</w:t>
                  </w:r>
                </w:p>
              </w:tc>
              <w:tc>
                <w:tcPr>
                  <w:tcW w:w="762" w:type="pct"/>
                  <w:tcBorders>
                    <w:top w:val="single" w:sz="6" w:space="0" w:color="BFBFBF"/>
                  </w:tcBorders>
                  <w:vAlign w:val="bottom"/>
                </w:tcPr>
                <w:p w14:paraId="2B9EB9C3" w14:textId="77777777" w:rsidR="009C6940" w:rsidRDefault="009C6940" w:rsidP="009C6940">
                  <w:pPr>
                    <w:pStyle w:val="TableBodyText"/>
                  </w:pPr>
                  <w:r>
                    <w:t>0.024</w:t>
                  </w:r>
                </w:p>
              </w:tc>
              <w:tc>
                <w:tcPr>
                  <w:tcW w:w="708" w:type="pct"/>
                  <w:tcBorders>
                    <w:top w:val="single" w:sz="6" w:space="0" w:color="BFBFBF"/>
                  </w:tcBorders>
                  <w:vAlign w:val="bottom"/>
                </w:tcPr>
                <w:p w14:paraId="0349430A" w14:textId="77777777" w:rsidR="009C6940" w:rsidRDefault="009C6940" w:rsidP="009C6940">
                  <w:pPr>
                    <w:pStyle w:val="TableBodyText"/>
                  </w:pPr>
                  <w:r>
                    <w:t>0.035</w:t>
                  </w:r>
                </w:p>
              </w:tc>
              <w:tc>
                <w:tcPr>
                  <w:tcW w:w="822" w:type="pct"/>
                  <w:tcBorders>
                    <w:top w:val="single" w:sz="6" w:space="0" w:color="BFBFBF"/>
                  </w:tcBorders>
                  <w:vAlign w:val="bottom"/>
                </w:tcPr>
                <w:p w14:paraId="2C9D77E7" w14:textId="77777777" w:rsidR="009C6940" w:rsidRDefault="009C6940" w:rsidP="009C6940">
                  <w:pPr>
                    <w:pStyle w:val="TableBodyText"/>
                    <w:ind w:right="11"/>
                  </w:pPr>
                  <w:r>
                    <w:t>0.048</w:t>
                  </w:r>
                </w:p>
              </w:tc>
            </w:tr>
            <w:tr w:rsidR="009C6940" w14:paraId="4B168E94" w14:textId="77777777" w:rsidTr="009C6940">
              <w:tc>
                <w:tcPr>
                  <w:tcW w:w="1354" w:type="pct"/>
                  <w:vAlign w:val="bottom"/>
                </w:tcPr>
                <w:p w14:paraId="168A3C6F" w14:textId="77777777" w:rsidR="009C6940" w:rsidRDefault="009C6940" w:rsidP="009C6940">
                  <w:pPr>
                    <w:pStyle w:val="TableBodyText"/>
                    <w:jc w:val="left"/>
                  </w:pPr>
                  <w:r>
                    <w:t>Age 25–</w:t>
                  </w:r>
                  <w:r w:rsidRPr="005368AA">
                    <w:t>44</w:t>
                  </w:r>
                  <w:r>
                    <w:t> years</w:t>
                  </w:r>
                </w:p>
              </w:tc>
              <w:tc>
                <w:tcPr>
                  <w:tcW w:w="677" w:type="pct"/>
                  <w:vAlign w:val="bottom"/>
                </w:tcPr>
                <w:p w14:paraId="503D252C" w14:textId="77777777" w:rsidR="009C6940" w:rsidRDefault="009C6940" w:rsidP="009C6940">
                  <w:pPr>
                    <w:pStyle w:val="TableBodyText"/>
                  </w:pPr>
                  <w:r>
                    <w:t>0.060</w:t>
                  </w:r>
                </w:p>
              </w:tc>
              <w:tc>
                <w:tcPr>
                  <w:tcW w:w="677" w:type="pct"/>
                  <w:vAlign w:val="bottom"/>
                </w:tcPr>
                <w:p w14:paraId="54C7E153" w14:textId="77777777" w:rsidR="009C6940" w:rsidRDefault="009C6940" w:rsidP="009C6940">
                  <w:pPr>
                    <w:pStyle w:val="TableBodyText"/>
                  </w:pPr>
                  <w:r>
                    <w:t>0.004</w:t>
                  </w:r>
                </w:p>
              </w:tc>
              <w:tc>
                <w:tcPr>
                  <w:tcW w:w="762" w:type="pct"/>
                  <w:vAlign w:val="bottom"/>
                </w:tcPr>
                <w:p w14:paraId="131C0CEA" w14:textId="77777777" w:rsidR="009C6940" w:rsidRDefault="009C6940" w:rsidP="009C6940">
                  <w:pPr>
                    <w:pStyle w:val="TableBodyText"/>
                  </w:pPr>
                  <w:r>
                    <w:t>0.053</w:t>
                  </w:r>
                </w:p>
              </w:tc>
              <w:tc>
                <w:tcPr>
                  <w:tcW w:w="708" w:type="pct"/>
                  <w:vAlign w:val="bottom"/>
                </w:tcPr>
                <w:p w14:paraId="362825BB" w14:textId="77777777" w:rsidR="009C6940" w:rsidRDefault="009C6940" w:rsidP="009C6940">
                  <w:pPr>
                    <w:pStyle w:val="TableBodyText"/>
                  </w:pPr>
                  <w:r>
                    <w:t>0.059</w:t>
                  </w:r>
                </w:p>
              </w:tc>
              <w:tc>
                <w:tcPr>
                  <w:tcW w:w="822" w:type="pct"/>
                  <w:vAlign w:val="bottom"/>
                </w:tcPr>
                <w:p w14:paraId="3D3C3DAB" w14:textId="77777777" w:rsidR="009C6940" w:rsidRDefault="009C6940" w:rsidP="009C6940">
                  <w:pPr>
                    <w:pStyle w:val="TableBodyText"/>
                    <w:ind w:right="11"/>
                  </w:pPr>
                  <w:r>
                    <w:t>0.066</w:t>
                  </w:r>
                </w:p>
              </w:tc>
            </w:tr>
            <w:tr w:rsidR="009C6940" w14:paraId="1F6DBA81" w14:textId="77777777" w:rsidTr="009C6940">
              <w:tc>
                <w:tcPr>
                  <w:tcW w:w="1354" w:type="pct"/>
                  <w:vAlign w:val="bottom"/>
                </w:tcPr>
                <w:p w14:paraId="3B68AC37" w14:textId="77777777" w:rsidR="009C6940" w:rsidRDefault="009C6940" w:rsidP="009C6940">
                  <w:pPr>
                    <w:pStyle w:val="TableBodyText"/>
                    <w:jc w:val="left"/>
                  </w:pPr>
                  <w:r w:rsidRPr="005368AA">
                    <w:t>University degree</w:t>
                  </w:r>
                </w:p>
              </w:tc>
              <w:tc>
                <w:tcPr>
                  <w:tcW w:w="677" w:type="pct"/>
                  <w:vAlign w:val="bottom"/>
                </w:tcPr>
                <w:p w14:paraId="39A39BC3" w14:textId="77777777" w:rsidR="009C6940" w:rsidRDefault="009C6940" w:rsidP="009C6940">
                  <w:pPr>
                    <w:pStyle w:val="TableBodyText"/>
                  </w:pPr>
                  <w:r>
                    <w:t>0.309</w:t>
                  </w:r>
                </w:p>
              </w:tc>
              <w:tc>
                <w:tcPr>
                  <w:tcW w:w="677" w:type="pct"/>
                  <w:vAlign w:val="bottom"/>
                </w:tcPr>
                <w:p w14:paraId="549B6340" w14:textId="77777777" w:rsidR="009C6940" w:rsidRDefault="009C6940" w:rsidP="009C6940">
                  <w:pPr>
                    <w:pStyle w:val="TableBodyText"/>
                  </w:pPr>
                  <w:r>
                    <w:t>0.004</w:t>
                  </w:r>
                </w:p>
              </w:tc>
              <w:tc>
                <w:tcPr>
                  <w:tcW w:w="762" w:type="pct"/>
                  <w:vAlign w:val="bottom"/>
                </w:tcPr>
                <w:p w14:paraId="683B7F2A" w14:textId="77777777" w:rsidR="009C6940" w:rsidRDefault="009C6940" w:rsidP="009C6940">
                  <w:pPr>
                    <w:pStyle w:val="TableBodyText"/>
                  </w:pPr>
                  <w:r>
                    <w:t>0.303</w:t>
                  </w:r>
                </w:p>
              </w:tc>
              <w:tc>
                <w:tcPr>
                  <w:tcW w:w="708" w:type="pct"/>
                  <w:vAlign w:val="bottom"/>
                </w:tcPr>
                <w:p w14:paraId="4D8A6432" w14:textId="77777777" w:rsidR="009C6940" w:rsidRDefault="009C6940" w:rsidP="009C6940">
                  <w:pPr>
                    <w:pStyle w:val="TableBodyText"/>
                  </w:pPr>
                  <w:r>
                    <w:t>0.309</w:t>
                  </w:r>
                </w:p>
              </w:tc>
              <w:tc>
                <w:tcPr>
                  <w:tcW w:w="822" w:type="pct"/>
                  <w:vAlign w:val="bottom"/>
                </w:tcPr>
                <w:p w14:paraId="5132A842" w14:textId="77777777" w:rsidR="009C6940" w:rsidRDefault="009C6940" w:rsidP="009C6940">
                  <w:pPr>
                    <w:pStyle w:val="TableBodyText"/>
                    <w:ind w:right="11"/>
                  </w:pPr>
                  <w:r>
                    <w:t>0.315</w:t>
                  </w:r>
                </w:p>
              </w:tc>
            </w:tr>
            <w:tr w:rsidR="009C6940" w14:paraId="693DE729" w14:textId="77777777" w:rsidTr="009C6940">
              <w:tc>
                <w:tcPr>
                  <w:tcW w:w="1354" w:type="pct"/>
                  <w:vAlign w:val="bottom"/>
                </w:tcPr>
                <w:p w14:paraId="4F98A820" w14:textId="77777777" w:rsidR="009C6940" w:rsidRDefault="009C6940" w:rsidP="009C6940">
                  <w:pPr>
                    <w:pStyle w:val="TableBodyText"/>
                    <w:jc w:val="left"/>
                  </w:pPr>
                  <w:r w:rsidRPr="005368AA">
                    <w:t>Diploma/certificate</w:t>
                  </w:r>
                </w:p>
              </w:tc>
              <w:tc>
                <w:tcPr>
                  <w:tcW w:w="677" w:type="pct"/>
                  <w:vAlign w:val="bottom"/>
                </w:tcPr>
                <w:p w14:paraId="2E76B57C" w14:textId="77777777" w:rsidR="009C6940" w:rsidRDefault="009C6940" w:rsidP="009C6940">
                  <w:pPr>
                    <w:pStyle w:val="TableBodyText"/>
                  </w:pPr>
                  <w:r>
                    <w:t>0.101</w:t>
                  </w:r>
                </w:p>
              </w:tc>
              <w:tc>
                <w:tcPr>
                  <w:tcW w:w="677" w:type="pct"/>
                  <w:vAlign w:val="bottom"/>
                </w:tcPr>
                <w:p w14:paraId="1B1D1211" w14:textId="77777777" w:rsidR="009C6940" w:rsidRDefault="009C6940" w:rsidP="009C6940">
                  <w:pPr>
                    <w:pStyle w:val="TableBodyText"/>
                  </w:pPr>
                  <w:r>
                    <w:t>0.003</w:t>
                  </w:r>
                </w:p>
              </w:tc>
              <w:tc>
                <w:tcPr>
                  <w:tcW w:w="762" w:type="pct"/>
                  <w:vAlign w:val="bottom"/>
                </w:tcPr>
                <w:p w14:paraId="454ADC9C" w14:textId="77777777" w:rsidR="009C6940" w:rsidRDefault="009C6940" w:rsidP="009C6940">
                  <w:pPr>
                    <w:pStyle w:val="TableBodyText"/>
                  </w:pPr>
                  <w:r>
                    <w:t>0.095</w:t>
                  </w:r>
                </w:p>
              </w:tc>
              <w:tc>
                <w:tcPr>
                  <w:tcW w:w="708" w:type="pct"/>
                  <w:vAlign w:val="bottom"/>
                </w:tcPr>
                <w:p w14:paraId="63FE1C9E" w14:textId="77777777" w:rsidR="009C6940" w:rsidRDefault="009C6940" w:rsidP="009C6940">
                  <w:pPr>
                    <w:pStyle w:val="TableBodyText"/>
                  </w:pPr>
                  <w:r>
                    <w:t>0.101</w:t>
                  </w:r>
                </w:p>
              </w:tc>
              <w:tc>
                <w:tcPr>
                  <w:tcW w:w="822" w:type="pct"/>
                  <w:vAlign w:val="bottom"/>
                </w:tcPr>
                <w:p w14:paraId="269CD256" w14:textId="77777777" w:rsidR="009C6940" w:rsidRDefault="009C6940" w:rsidP="009C6940">
                  <w:pPr>
                    <w:pStyle w:val="TableBodyText"/>
                    <w:ind w:right="11"/>
                  </w:pPr>
                  <w:r>
                    <w:t>0.106</w:t>
                  </w:r>
                </w:p>
              </w:tc>
            </w:tr>
            <w:tr w:rsidR="009C6940" w14:paraId="26391C4B" w14:textId="77777777" w:rsidTr="009C6940">
              <w:tc>
                <w:tcPr>
                  <w:tcW w:w="1354" w:type="pct"/>
                  <w:vAlign w:val="bottom"/>
                </w:tcPr>
                <w:p w14:paraId="06D9F966" w14:textId="77777777" w:rsidR="009C6940" w:rsidRDefault="009C6940" w:rsidP="009C6940">
                  <w:pPr>
                    <w:pStyle w:val="TableBodyText"/>
                    <w:jc w:val="left"/>
                  </w:pPr>
                  <w:r w:rsidRPr="005368AA">
                    <w:t>High school graduate</w:t>
                  </w:r>
                </w:p>
              </w:tc>
              <w:tc>
                <w:tcPr>
                  <w:tcW w:w="677" w:type="pct"/>
                  <w:vAlign w:val="bottom"/>
                </w:tcPr>
                <w:p w14:paraId="734167F0" w14:textId="77777777" w:rsidR="009C6940" w:rsidRDefault="009C6940" w:rsidP="009C6940">
                  <w:pPr>
                    <w:pStyle w:val="TableBodyText"/>
                  </w:pPr>
                  <w:r>
                    <w:t>0.103</w:t>
                  </w:r>
                </w:p>
              </w:tc>
              <w:tc>
                <w:tcPr>
                  <w:tcW w:w="677" w:type="pct"/>
                  <w:vAlign w:val="bottom"/>
                </w:tcPr>
                <w:p w14:paraId="2F3D50A2" w14:textId="77777777" w:rsidR="009C6940" w:rsidRDefault="009C6940" w:rsidP="009C6940">
                  <w:pPr>
                    <w:pStyle w:val="TableBodyText"/>
                  </w:pPr>
                  <w:r>
                    <w:t>0.004</w:t>
                  </w:r>
                </w:p>
              </w:tc>
              <w:tc>
                <w:tcPr>
                  <w:tcW w:w="762" w:type="pct"/>
                  <w:vAlign w:val="bottom"/>
                </w:tcPr>
                <w:p w14:paraId="5E4B26CC" w14:textId="77777777" w:rsidR="009C6940" w:rsidRDefault="009C6940" w:rsidP="009C6940">
                  <w:pPr>
                    <w:pStyle w:val="TableBodyText"/>
                  </w:pPr>
                  <w:r>
                    <w:t>0.097</w:t>
                  </w:r>
                </w:p>
              </w:tc>
              <w:tc>
                <w:tcPr>
                  <w:tcW w:w="708" w:type="pct"/>
                  <w:vAlign w:val="bottom"/>
                </w:tcPr>
                <w:p w14:paraId="041C590C" w14:textId="77777777" w:rsidR="009C6940" w:rsidRDefault="009C6940" w:rsidP="009C6940">
                  <w:pPr>
                    <w:pStyle w:val="TableBodyText"/>
                  </w:pPr>
                  <w:r>
                    <w:t>0.103</w:t>
                  </w:r>
                </w:p>
              </w:tc>
              <w:tc>
                <w:tcPr>
                  <w:tcW w:w="822" w:type="pct"/>
                  <w:vAlign w:val="bottom"/>
                </w:tcPr>
                <w:p w14:paraId="4E90DB47" w14:textId="77777777" w:rsidR="009C6940" w:rsidRDefault="009C6940" w:rsidP="009C6940">
                  <w:pPr>
                    <w:pStyle w:val="TableBodyText"/>
                    <w:ind w:right="11"/>
                  </w:pPr>
                  <w:r>
                    <w:t>0.109</w:t>
                  </w:r>
                </w:p>
              </w:tc>
            </w:tr>
            <w:tr w:rsidR="009C6940" w14:paraId="2F92105D" w14:textId="77777777" w:rsidTr="009C6940">
              <w:tc>
                <w:tcPr>
                  <w:tcW w:w="1354" w:type="pct"/>
                  <w:vAlign w:val="bottom"/>
                </w:tcPr>
                <w:p w14:paraId="77FF397E" w14:textId="77777777" w:rsidR="009C6940" w:rsidRDefault="009C6940" w:rsidP="009C6940">
                  <w:pPr>
                    <w:pStyle w:val="TableBodyText"/>
                    <w:jc w:val="left"/>
                  </w:pPr>
                  <w:r w:rsidRPr="005368AA">
                    <w:t>Married</w:t>
                  </w:r>
                </w:p>
              </w:tc>
              <w:tc>
                <w:tcPr>
                  <w:tcW w:w="677" w:type="pct"/>
                  <w:vAlign w:val="bottom"/>
                </w:tcPr>
                <w:p w14:paraId="154D8538" w14:textId="77777777" w:rsidR="009C6940" w:rsidRDefault="009C6940" w:rsidP="009C6940">
                  <w:pPr>
                    <w:pStyle w:val="TableBodyText"/>
                  </w:pPr>
                  <w:r>
                    <w:t>0.070</w:t>
                  </w:r>
                </w:p>
              </w:tc>
              <w:tc>
                <w:tcPr>
                  <w:tcW w:w="677" w:type="pct"/>
                  <w:vAlign w:val="bottom"/>
                </w:tcPr>
                <w:p w14:paraId="59FC854A" w14:textId="77777777" w:rsidR="009C6940" w:rsidRDefault="009C6940" w:rsidP="009C6940">
                  <w:pPr>
                    <w:pStyle w:val="TableBodyText"/>
                  </w:pPr>
                  <w:r>
                    <w:t>0.003</w:t>
                  </w:r>
                </w:p>
              </w:tc>
              <w:tc>
                <w:tcPr>
                  <w:tcW w:w="762" w:type="pct"/>
                  <w:vAlign w:val="bottom"/>
                </w:tcPr>
                <w:p w14:paraId="479260D1" w14:textId="77777777" w:rsidR="009C6940" w:rsidRDefault="009C6940" w:rsidP="009C6940">
                  <w:pPr>
                    <w:pStyle w:val="TableBodyText"/>
                  </w:pPr>
                  <w:r>
                    <w:t>0.065</w:t>
                  </w:r>
                </w:p>
              </w:tc>
              <w:tc>
                <w:tcPr>
                  <w:tcW w:w="708" w:type="pct"/>
                  <w:vAlign w:val="bottom"/>
                </w:tcPr>
                <w:p w14:paraId="55991235" w14:textId="77777777" w:rsidR="009C6940" w:rsidRDefault="009C6940" w:rsidP="009C6940">
                  <w:pPr>
                    <w:pStyle w:val="TableBodyText"/>
                  </w:pPr>
                  <w:r>
                    <w:t>0.069</w:t>
                  </w:r>
                </w:p>
              </w:tc>
              <w:tc>
                <w:tcPr>
                  <w:tcW w:w="822" w:type="pct"/>
                  <w:vAlign w:val="bottom"/>
                </w:tcPr>
                <w:p w14:paraId="6C5C64C0" w14:textId="77777777" w:rsidR="009C6940" w:rsidRDefault="009C6940" w:rsidP="009C6940">
                  <w:pPr>
                    <w:pStyle w:val="TableBodyText"/>
                    <w:ind w:right="11"/>
                  </w:pPr>
                  <w:r>
                    <w:t>0.075</w:t>
                  </w:r>
                </w:p>
              </w:tc>
            </w:tr>
            <w:tr w:rsidR="009C6940" w14:paraId="582CE46B" w14:textId="77777777" w:rsidTr="009C6940">
              <w:tc>
                <w:tcPr>
                  <w:tcW w:w="1354" w:type="pct"/>
                  <w:vAlign w:val="bottom"/>
                </w:tcPr>
                <w:p w14:paraId="118A87F2" w14:textId="77777777" w:rsidR="009C6940" w:rsidRDefault="009C6940" w:rsidP="009C6940">
                  <w:pPr>
                    <w:pStyle w:val="TableBodyText"/>
                    <w:jc w:val="left"/>
                  </w:pPr>
                  <w:r w:rsidRPr="005368AA">
                    <w:t>Divorced</w:t>
                  </w:r>
                </w:p>
              </w:tc>
              <w:tc>
                <w:tcPr>
                  <w:tcW w:w="677" w:type="pct"/>
                  <w:vAlign w:val="bottom"/>
                </w:tcPr>
                <w:p w14:paraId="0A8DFF52" w14:textId="77777777" w:rsidR="009C6940" w:rsidRDefault="009C6940" w:rsidP="009C6940">
                  <w:pPr>
                    <w:pStyle w:val="TableBodyText"/>
                  </w:pPr>
                  <w:r>
                    <w:t>0.036</w:t>
                  </w:r>
                </w:p>
              </w:tc>
              <w:tc>
                <w:tcPr>
                  <w:tcW w:w="677" w:type="pct"/>
                  <w:vAlign w:val="bottom"/>
                </w:tcPr>
                <w:p w14:paraId="0488AD4E" w14:textId="77777777" w:rsidR="009C6940" w:rsidRDefault="009C6940" w:rsidP="009C6940">
                  <w:pPr>
                    <w:pStyle w:val="TableBodyText"/>
                  </w:pPr>
                  <w:r>
                    <w:t>0.005</w:t>
                  </w:r>
                </w:p>
              </w:tc>
              <w:tc>
                <w:tcPr>
                  <w:tcW w:w="762" w:type="pct"/>
                  <w:vAlign w:val="bottom"/>
                </w:tcPr>
                <w:p w14:paraId="0A6D4BE0" w14:textId="77777777" w:rsidR="009C6940" w:rsidRDefault="009C6940" w:rsidP="009C6940">
                  <w:pPr>
                    <w:pStyle w:val="TableBodyText"/>
                  </w:pPr>
                  <w:r>
                    <w:t>0.028</w:t>
                  </w:r>
                </w:p>
              </w:tc>
              <w:tc>
                <w:tcPr>
                  <w:tcW w:w="708" w:type="pct"/>
                  <w:vAlign w:val="bottom"/>
                </w:tcPr>
                <w:p w14:paraId="1E048F3E" w14:textId="77777777" w:rsidR="009C6940" w:rsidRDefault="009C6940" w:rsidP="009C6940">
                  <w:pPr>
                    <w:pStyle w:val="TableBodyText"/>
                  </w:pPr>
                  <w:r>
                    <w:t>0.036</w:t>
                  </w:r>
                </w:p>
              </w:tc>
              <w:tc>
                <w:tcPr>
                  <w:tcW w:w="822" w:type="pct"/>
                  <w:vAlign w:val="bottom"/>
                </w:tcPr>
                <w:p w14:paraId="2FF80036" w14:textId="77777777" w:rsidR="009C6940" w:rsidRDefault="009C6940" w:rsidP="009C6940">
                  <w:pPr>
                    <w:pStyle w:val="TableBodyText"/>
                    <w:ind w:right="11"/>
                  </w:pPr>
                  <w:r>
                    <w:t>0.043</w:t>
                  </w:r>
                </w:p>
              </w:tc>
            </w:tr>
            <w:tr w:rsidR="009C6940" w14:paraId="5541F846" w14:textId="77777777" w:rsidTr="009C6940">
              <w:tc>
                <w:tcPr>
                  <w:tcW w:w="1354" w:type="pct"/>
                  <w:vAlign w:val="bottom"/>
                </w:tcPr>
                <w:p w14:paraId="4D43BDAE" w14:textId="77777777" w:rsidR="009C6940" w:rsidRDefault="009C6940" w:rsidP="009C6940">
                  <w:pPr>
                    <w:pStyle w:val="TableBodyText"/>
                    <w:jc w:val="left"/>
                  </w:pPr>
                  <w:r w:rsidRPr="005368AA">
                    <w:t>Vic</w:t>
                  </w:r>
                </w:p>
              </w:tc>
              <w:tc>
                <w:tcPr>
                  <w:tcW w:w="677" w:type="pct"/>
                  <w:vAlign w:val="bottom"/>
                </w:tcPr>
                <w:p w14:paraId="3AD089C3" w14:textId="77777777" w:rsidR="009C6940" w:rsidRDefault="009C6940" w:rsidP="009C6940">
                  <w:pPr>
                    <w:pStyle w:val="TableBodyText"/>
                  </w:pPr>
                  <w:r>
                    <w:t>-0.029</w:t>
                  </w:r>
                </w:p>
              </w:tc>
              <w:tc>
                <w:tcPr>
                  <w:tcW w:w="677" w:type="pct"/>
                  <w:vAlign w:val="bottom"/>
                </w:tcPr>
                <w:p w14:paraId="6D41D79A" w14:textId="77777777" w:rsidR="009C6940" w:rsidRDefault="009C6940" w:rsidP="009C6940">
                  <w:pPr>
                    <w:pStyle w:val="TableBodyText"/>
                  </w:pPr>
                  <w:r>
                    <w:t>0.003</w:t>
                  </w:r>
                </w:p>
              </w:tc>
              <w:tc>
                <w:tcPr>
                  <w:tcW w:w="762" w:type="pct"/>
                  <w:vAlign w:val="bottom"/>
                </w:tcPr>
                <w:p w14:paraId="11F92004" w14:textId="77777777" w:rsidR="009C6940" w:rsidRDefault="009C6940" w:rsidP="009C6940">
                  <w:pPr>
                    <w:pStyle w:val="TableBodyText"/>
                  </w:pPr>
                  <w:r>
                    <w:t>-0.034</w:t>
                  </w:r>
                </w:p>
              </w:tc>
              <w:tc>
                <w:tcPr>
                  <w:tcW w:w="708" w:type="pct"/>
                  <w:vAlign w:val="bottom"/>
                </w:tcPr>
                <w:p w14:paraId="1D4DF0AD" w14:textId="77777777" w:rsidR="009C6940" w:rsidRDefault="009C6940" w:rsidP="009C6940">
                  <w:pPr>
                    <w:pStyle w:val="TableBodyText"/>
                  </w:pPr>
                  <w:r>
                    <w:t>-0.029</w:t>
                  </w:r>
                </w:p>
              </w:tc>
              <w:tc>
                <w:tcPr>
                  <w:tcW w:w="822" w:type="pct"/>
                  <w:vAlign w:val="bottom"/>
                </w:tcPr>
                <w:p w14:paraId="5216F1AA" w14:textId="77777777" w:rsidR="009C6940" w:rsidRDefault="009C6940" w:rsidP="009C6940">
                  <w:pPr>
                    <w:pStyle w:val="TableBodyText"/>
                    <w:ind w:right="11"/>
                  </w:pPr>
                  <w:r>
                    <w:t>-0.025</w:t>
                  </w:r>
                </w:p>
              </w:tc>
            </w:tr>
            <w:tr w:rsidR="009C6940" w14:paraId="218044A9" w14:textId="77777777" w:rsidTr="009C6940">
              <w:tc>
                <w:tcPr>
                  <w:tcW w:w="1354" w:type="pct"/>
                  <w:vAlign w:val="bottom"/>
                </w:tcPr>
                <w:p w14:paraId="5EDE7663" w14:textId="77777777" w:rsidR="009C6940" w:rsidRDefault="009C6940" w:rsidP="009C6940">
                  <w:pPr>
                    <w:pStyle w:val="TableBodyText"/>
                    <w:jc w:val="left"/>
                  </w:pPr>
                  <w:r w:rsidRPr="005368AA">
                    <w:t>Qld</w:t>
                  </w:r>
                </w:p>
              </w:tc>
              <w:tc>
                <w:tcPr>
                  <w:tcW w:w="677" w:type="pct"/>
                  <w:vAlign w:val="bottom"/>
                </w:tcPr>
                <w:p w14:paraId="17708F75" w14:textId="77777777" w:rsidR="009C6940" w:rsidRDefault="009C6940" w:rsidP="009C6940">
                  <w:pPr>
                    <w:pStyle w:val="TableBodyText"/>
                  </w:pPr>
                  <w:r>
                    <w:t>-0.022</w:t>
                  </w:r>
                </w:p>
              </w:tc>
              <w:tc>
                <w:tcPr>
                  <w:tcW w:w="677" w:type="pct"/>
                  <w:vAlign w:val="bottom"/>
                </w:tcPr>
                <w:p w14:paraId="543C26A9" w14:textId="77777777" w:rsidR="009C6940" w:rsidRDefault="009C6940" w:rsidP="009C6940">
                  <w:pPr>
                    <w:pStyle w:val="TableBodyText"/>
                  </w:pPr>
                  <w:r>
                    <w:t>0.003</w:t>
                  </w:r>
                </w:p>
              </w:tc>
              <w:tc>
                <w:tcPr>
                  <w:tcW w:w="762" w:type="pct"/>
                  <w:vAlign w:val="bottom"/>
                </w:tcPr>
                <w:p w14:paraId="22A41336" w14:textId="77777777" w:rsidR="009C6940" w:rsidRDefault="009C6940" w:rsidP="009C6940">
                  <w:pPr>
                    <w:pStyle w:val="TableBodyText"/>
                  </w:pPr>
                  <w:r>
                    <w:t>-0.027</w:t>
                  </w:r>
                </w:p>
              </w:tc>
              <w:tc>
                <w:tcPr>
                  <w:tcW w:w="708" w:type="pct"/>
                  <w:vAlign w:val="bottom"/>
                </w:tcPr>
                <w:p w14:paraId="0B81D517" w14:textId="77777777" w:rsidR="009C6940" w:rsidRDefault="009C6940" w:rsidP="009C6940">
                  <w:pPr>
                    <w:pStyle w:val="TableBodyText"/>
                  </w:pPr>
                  <w:r>
                    <w:t>-0.022</w:t>
                  </w:r>
                </w:p>
              </w:tc>
              <w:tc>
                <w:tcPr>
                  <w:tcW w:w="822" w:type="pct"/>
                  <w:vAlign w:val="bottom"/>
                </w:tcPr>
                <w:p w14:paraId="0ED87800" w14:textId="77777777" w:rsidR="009C6940" w:rsidRDefault="009C6940" w:rsidP="009C6940">
                  <w:pPr>
                    <w:pStyle w:val="TableBodyText"/>
                    <w:ind w:right="11"/>
                  </w:pPr>
                  <w:r>
                    <w:t>-0.017</w:t>
                  </w:r>
                </w:p>
              </w:tc>
            </w:tr>
            <w:tr w:rsidR="009C6940" w14:paraId="492E8C69" w14:textId="77777777" w:rsidTr="009C6940">
              <w:tc>
                <w:tcPr>
                  <w:tcW w:w="1354" w:type="pct"/>
                  <w:vAlign w:val="bottom"/>
                </w:tcPr>
                <w:p w14:paraId="50D6C4C3" w14:textId="77777777" w:rsidR="009C6940" w:rsidRDefault="009C6940" w:rsidP="009C6940">
                  <w:pPr>
                    <w:pStyle w:val="TableBodyText"/>
                    <w:jc w:val="left"/>
                  </w:pPr>
                  <w:r w:rsidRPr="005368AA">
                    <w:t>SA</w:t>
                  </w:r>
                </w:p>
              </w:tc>
              <w:tc>
                <w:tcPr>
                  <w:tcW w:w="677" w:type="pct"/>
                  <w:vAlign w:val="bottom"/>
                </w:tcPr>
                <w:p w14:paraId="5A473D9C" w14:textId="77777777" w:rsidR="009C6940" w:rsidRDefault="009C6940" w:rsidP="009C6940">
                  <w:pPr>
                    <w:pStyle w:val="TableBodyText"/>
                  </w:pPr>
                  <w:r>
                    <w:t>-0.052</w:t>
                  </w:r>
                </w:p>
              </w:tc>
              <w:tc>
                <w:tcPr>
                  <w:tcW w:w="677" w:type="pct"/>
                  <w:vAlign w:val="bottom"/>
                </w:tcPr>
                <w:p w14:paraId="7A138287" w14:textId="77777777" w:rsidR="009C6940" w:rsidRDefault="009C6940" w:rsidP="009C6940">
                  <w:pPr>
                    <w:pStyle w:val="TableBodyText"/>
                  </w:pPr>
                  <w:r>
                    <w:t>0.004</w:t>
                  </w:r>
                </w:p>
              </w:tc>
              <w:tc>
                <w:tcPr>
                  <w:tcW w:w="762" w:type="pct"/>
                  <w:vAlign w:val="bottom"/>
                </w:tcPr>
                <w:p w14:paraId="598374B8" w14:textId="77777777" w:rsidR="009C6940" w:rsidRDefault="009C6940" w:rsidP="009C6940">
                  <w:pPr>
                    <w:pStyle w:val="TableBodyText"/>
                  </w:pPr>
                  <w:r>
                    <w:t>-0.059</w:t>
                  </w:r>
                </w:p>
              </w:tc>
              <w:tc>
                <w:tcPr>
                  <w:tcW w:w="708" w:type="pct"/>
                  <w:vAlign w:val="bottom"/>
                </w:tcPr>
                <w:p w14:paraId="2321A477" w14:textId="77777777" w:rsidR="009C6940" w:rsidRDefault="009C6940" w:rsidP="009C6940">
                  <w:pPr>
                    <w:pStyle w:val="TableBodyText"/>
                  </w:pPr>
                  <w:r>
                    <w:t>-0.052</w:t>
                  </w:r>
                </w:p>
              </w:tc>
              <w:tc>
                <w:tcPr>
                  <w:tcW w:w="822" w:type="pct"/>
                  <w:vAlign w:val="bottom"/>
                </w:tcPr>
                <w:p w14:paraId="5CAF391A" w14:textId="77777777" w:rsidR="009C6940" w:rsidRDefault="009C6940" w:rsidP="009C6940">
                  <w:pPr>
                    <w:pStyle w:val="TableBodyText"/>
                    <w:ind w:right="11"/>
                  </w:pPr>
                  <w:r>
                    <w:t>-0.045</w:t>
                  </w:r>
                </w:p>
              </w:tc>
            </w:tr>
            <w:tr w:rsidR="009C6940" w14:paraId="64BBA9CC" w14:textId="77777777" w:rsidTr="009C6940">
              <w:tc>
                <w:tcPr>
                  <w:tcW w:w="1354" w:type="pct"/>
                  <w:vAlign w:val="bottom"/>
                </w:tcPr>
                <w:p w14:paraId="19CD7C8D" w14:textId="77777777" w:rsidR="009C6940" w:rsidRDefault="009C6940" w:rsidP="009C6940">
                  <w:pPr>
                    <w:pStyle w:val="TableBodyText"/>
                    <w:jc w:val="left"/>
                  </w:pPr>
                  <w:r w:rsidRPr="005368AA">
                    <w:t>WA</w:t>
                  </w:r>
                </w:p>
              </w:tc>
              <w:tc>
                <w:tcPr>
                  <w:tcW w:w="677" w:type="pct"/>
                  <w:vAlign w:val="bottom"/>
                </w:tcPr>
                <w:p w14:paraId="7B2FEFFB" w14:textId="77777777" w:rsidR="009C6940" w:rsidRDefault="009C6940" w:rsidP="009C6940">
                  <w:pPr>
                    <w:pStyle w:val="TableBodyText"/>
                  </w:pPr>
                  <w:r>
                    <w:t>0.034</w:t>
                  </w:r>
                </w:p>
              </w:tc>
              <w:tc>
                <w:tcPr>
                  <w:tcW w:w="677" w:type="pct"/>
                  <w:vAlign w:val="bottom"/>
                </w:tcPr>
                <w:p w14:paraId="79166A50" w14:textId="77777777" w:rsidR="009C6940" w:rsidRDefault="009C6940" w:rsidP="009C6940">
                  <w:pPr>
                    <w:pStyle w:val="TableBodyText"/>
                  </w:pPr>
                  <w:r>
                    <w:t>0.004</w:t>
                  </w:r>
                </w:p>
              </w:tc>
              <w:tc>
                <w:tcPr>
                  <w:tcW w:w="762" w:type="pct"/>
                  <w:vAlign w:val="bottom"/>
                </w:tcPr>
                <w:p w14:paraId="6BF98242" w14:textId="77777777" w:rsidR="009C6940" w:rsidRDefault="009C6940" w:rsidP="009C6940">
                  <w:pPr>
                    <w:pStyle w:val="TableBodyText"/>
                  </w:pPr>
                  <w:r>
                    <w:t>0.028</w:t>
                  </w:r>
                </w:p>
              </w:tc>
              <w:tc>
                <w:tcPr>
                  <w:tcW w:w="708" w:type="pct"/>
                  <w:vAlign w:val="bottom"/>
                </w:tcPr>
                <w:p w14:paraId="5E072046" w14:textId="77777777" w:rsidR="009C6940" w:rsidRDefault="009C6940" w:rsidP="009C6940">
                  <w:pPr>
                    <w:pStyle w:val="TableBodyText"/>
                  </w:pPr>
                  <w:r>
                    <w:t>0.034</w:t>
                  </w:r>
                </w:p>
              </w:tc>
              <w:tc>
                <w:tcPr>
                  <w:tcW w:w="822" w:type="pct"/>
                  <w:vAlign w:val="bottom"/>
                </w:tcPr>
                <w:p w14:paraId="526E18D6" w14:textId="77777777" w:rsidR="009C6940" w:rsidRDefault="009C6940" w:rsidP="009C6940">
                  <w:pPr>
                    <w:pStyle w:val="TableBodyText"/>
                    <w:ind w:right="11"/>
                  </w:pPr>
                  <w:r>
                    <w:t>0.040</w:t>
                  </w:r>
                </w:p>
              </w:tc>
            </w:tr>
            <w:tr w:rsidR="009C6940" w14:paraId="0264A440" w14:textId="77777777" w:rsidTr="009C6940">
              <w:tc>
                <w:tcPr>
                  <w:tcW w:w="1354" w:type="pct"/>
                  <w:vAlign w:val="bottom"/>
                </w:tcPr>
                <w:p w14:paraId="0E6DF212" w14:textId="77777777" w:rsidR="009C6940" w:rsidRDefault="009C6940" w:rsidP="009C6940">
                  <w:pPr>
                    <w:pStyle w:val="TableBodyText"/>
                    <w:jc w:val="left"/>
                  </w:pPr>
                  <w:r w:rsidRPr="005368AA">
                    <w:t>Tas</w:t>
                  </w:r>
                </w:p>
              </w:tc>
              <w:tc>
                <w:tcPr>
                  <w:tcW w:w="677" w:type="pct"/>
                  <w:vAlign w:val="bottom"/>
                </w:tcPr>
                <w:p w14:paraId="2AEC52CA" w14:textId="77777777" w:rsidR="009C6940" w:rsidRDefault="009C6940" w:rsidP="009C6940">
                  <w:pPr>
                    <w:pStyle w:val="TableBodyText"/>
                  </w:pPr>
                  <w:r>
                    <w:t>-0.028</w:t>
                  </w:r>
                </w:p>
              </w:tc>
              <w:tc>
                <w:tcPr>
                  <w:tcW w:w="677" w:type="pct"/>
                  <w:vAlign w:val="bottom"/>
                </w:tcPr>
                <w:p w14:paraId="4730D657" w14:textId="77777777" w:rsidR="009C6940" w:rsidRDefault="009C6940" w:rsidP="009C6940">
                  <w:pPr>
                    <w:pStyle w:val="TableBodyText"/>
                  </w:pPr>
                  <w:r>
                    <w:t>0.007</w:t>
                  </w:r>
                </w:p>
              </w:tc>
              <w:tc>
                <w:tcPr>
                  <w:tcW w:w="762" w:type="pct"/>
                  <w:vAlign w:val="bottom"/>
                </w:tcPr>
                <w:p w14:paraId="379BA1F8" w14:textId="77777777" w:rsidR="009C6940" w:rsidRDefault="009C6940" w:rsidP="009C6940">
                  <w:pPr>
                    <w:pStyle w:val="TableBodyText"/>
                  </w:pPr>
                  <w:r>
                    <w:t>-0.040</w:t>
                  </w:r>
                </w:p>
              </w:tc>
              <w:tc>
                <w:tcPr>
                  <w:tcW w:w="708" w:type="pct"/>
                  <w:vAlign w:val="bottom"/>
                </w:tcPr>
                <w:p w14:paraId="68A1832E" w14:textId="77777777" w:rsidR="009C6940" w:rsidRDefault="009C6940" w:rsidP="009C6940">
                  <w:pPr>
                    <w:pStyle w:val="TableBodyText"/>
                  </w:pPr>
                  <w:r>
                    <w:t>-0.028</w:t>
                  </w:r>
                </w:p>
              </w:tc>
              <w:tc>
                <w:tcPr>
                  <w:tcW w:w="822" w:type="pct"/>
                  <w:vAlign w:val="bottom"/>
                </w:tcPr>
                <w:p w14:paraId="17325E9E" w14:textId="77777777" w:rsidR="009C6940" w:rsidRDefault="009C6940" w:rsidP="009C6940">
                  <w:pPr>
                    <w:pStyle w:val="TableBodyText"/>
                    <w:ind w:right="11"/>
                  </w:pPr>
                  <w:r>
                    <w:t>-0.016</w:t>
                  </w:r>
                </w:p>
              </w:tc>
            </w:tr>
            <w:tr w:rsidR="009C6940" w14:paraId="44B44DCA" w14:textId="77777777" w:rsidTr="009C6940">
              <w:tc>
                <w:tcPr>
                  <w:tcW w:w="1354" w:type="pct"/>
                  <w:vAlign w:val="bottom"/>
                </w:tcPr>
                <w:p w14:paraId="69FDDE59" w14:textId="77777777" w:rsidR="009C6940" w:rsidRDefault="009C6940" w:rsidP="009C6940">
                  <w:pPr>
                    <w:pStyle w:val="TableBodyText"/>
                    <w:jc w:val="left"/>
                  </w:pPr>
                  <w:r w:rsidRPr="005368AA">
                    <w:t>NT</w:t>
                  </w:r>
                </w:p>
              </w:tc>
              <w:tc>
                <w:tcPr>
                  <w:tcW w:w="677" w:type="pct"/>
                  <w:vAlign w:val="bottom"/>
                </w:tcPr>
                <w:p w14:paraId="4B47F7E4" w14:textId="77777777" w:rsidR="009C6940" w:rsidRDefault="009C6940" w:rsidP="009C6940">
                  <w:pPr>
                    <w:pStyle w:val="TableBodyText"/>
                  </w:pPr>
                  <w:r>
                    <w:t>0.035</w:t>
                  </w:r>
                </w:p>
              </w:tc>
              <w:tc>
                <w:tcPr>
                  <w:tcW w:w="677" w:type="pct"/>
                  <w:vAlign w:val="bottom"/>
                </w:tcPr>
                <w:p w14:paraId="22FDC477" w14:textId="77777777" w:rsidR="009C6940" w:rsidRDefault="009C6940" w:rsidP="009C6940">
                  <w:pPr>
                    <w:pStyle w:val="TableBodyText"/>
                  </w:pPr>
                  <w:r>
                    <w:t>0.010</w:t>
                  </w:r>
                </w:p>
              </w:tc>
              <w:tc>
                <w:tcPr>
                  <w:tcW w:w="762" w:type="pct"/>
                  <w:vAlign w:val="bottom"/>
                </w:tcPr>
                <w:p w14:paraId="7C66CC83" w14:textId="77777777" w:rsidR="009C6940" w:rsidRDefault="009C6940" w:rsidP="009C6940">
                  <w:pPr>
                    <w:pStyle w:val="TableBodyText"/>
                  </w:pPr>
                  <w:r>
                    <w:t>0.018</w:t>
                  </w:r>
                </w:p>
              </w:tc>
              <w:tc>
                <w:tcPr>
                  <w:tcW w:w="708" w:type="pct"/>
                  <w:vAlign w:val="bottom"/>
                </w:tcPr>
                <w:p w14:paraId="0EC0C224" w14:textId="77777777" w:rsidR="009C6940" w:rsidRDefault="009C6940" w:rsidP="009C6940">
                  <w:pPr>
                    <w:pStyle w:val="TableBodyText"/>
                  </w:pPr>
                  <w:r>
                    <w:t>0.034</w:t>
                  </w:r>
                </w:p>
              </w:tc>
              <w:tc>
                <w:tcPr>
                  <w:tcW w:w="822" w:type="pct"/>
                  <w:vAlign w:val="bottom"/>
                </w:tcPr>
                <w:p w14:paraId="13E49EFF" w14:textId="77777777" w:rsidR="009C6940" w:rsidRDefault="009C6940" w:rsidP="009C6940">
                  <w:pPr>
                    <w:pStyle w:val="TableBodyText"/>
                    <w:ind w:right="11"/>
                  </w:pPr>
                  <w:r>
                    <w:t>0.052</w:t>
                  </w:r>
                </w:p>
              </w:tc>
            </w:tr>
            <w:tr w:rsidR="009C6940" w14:paraId="3E0DC252" w14:textId="77777777" w:rsidTr="009C6940">
              <w:tc>
                <w:tcPr>
                  <w:tcW w:w="1354" w:type="pct"/>
                  <w:vAlign w:val="bottom"/>
                </w:tcPr>
                <w:p w14:paraId="54191E37" w14:textId="77777777" w:rsidR="009C6940" w:rsidRDefault="009C6940" w:rsidP="009C6940">
                  <w:pPr>
                    <w:pStyle w:val="TableBodyText"/>
                    <w:jc w:val="left"/>
                  </w:pPr>
                  <w:r w:rsidRPr="005368AA">
                    <w:t>ACT</w:t>
                  </w:r>
                </w:p>
              </w:tc>
              <w:tc>
                <w:tcPr>
                  <w:tcW w:w="677" w:type="pct"/>
                  <w:vAlign w:val="bottom"/>
                </w:tcPr>
                <w:p w14:paraId="62A90A08" w14:textId="77777777" w:rsidR="009C6940" w:rsidRDefault="009C6940" w:rsidP="009C6940">
                  <w:pPr>
                    <w:pStyle w:val="TableBodyText"/>
                  </w:pPr>
                  <w:r>
                    <w:t>0.100</w:t>
                  </w:r>
                </w:p>
              </w:tc>
              <w:tc>
                <w:tcPr>
                  <w:tcW w:w="677" w:type="pct"/>
                  <w:vAlign w:val="bottom"/>
                </w:tcPr>
                <w:p w14:paraId="09F2BDE2" w14:textId="77777777" w:rsidR="009C6940" w:rsidRDefault="009C6940" w:rsidP="009C6940">
                  <w:pPr>
                    <w:pStyle w:val="TableBodyText"/>
                  </w:pPr>
                  <w:r>
                    <w:t>0.007</w:t>
                  </w:r>
                </w:p>
              </w:tc>
              <w:tc>
                <w:tcPr>
                  <w:tcW w:w="762" w:type="pct"/>
                  <w:vAlign w:val="bottom"/>
                </w:tcPr>
                <w:p w14:paraId="406B4CEF" w14:textId="77777777" w:rsidR="009C6940" w:rsidRDefault="009C6940" w:rsidP="009C6940">
                  <w:pPr>
                    <w:pStyle w:val="TableBodyText"/>
                  </w:pPr>
                  <w:r>
                    <w:t>0.088</w:t>
                  </w:r>
                </w:p>
              </w:tc>
              <w:tc>
                <w:tcPr>
                  <w:tcW w:w="708" w:type="pct"/>
                  <w:vAlign w:val="bottom"/>
                </w:tcPr>
                <w:p w14:paraId="6F7351C0" w14:textId="77777777" w:rsidR="009C6940" w:rsidRDefault="009C6940" w:rsidP="009C6940">
                  <w:pPr>
                    <w:pStyle w:val="TableBodyText"/>
                  </w:pPr>
                  <w:r>
                    <w:t>0.100</w:t>
                  </w:r>
                </w:p>
              </w:tc>
              <w:tc>
                <w:tcPr>
                  <w:tcW w:w="822" w:type="pct"/>
                  <w:vAlign w:val="bottom"/>
                </w:tcPr>
                <w:p w14:paraId="3614264A" w14:textId="77777777" w:rsidR="009C6940" w:rsidRDefault="009C6940" w:rsidP="009C6940">
                  <w:pPr>
                    <w:pStyle w:val="TableBodyText"/>
                    <w:ind w:right="11"/>
                  </w:pPr>
                  <w:r>
                    <w:t>0.112</w:t>
                  </w:r>
                </w:p>
              </w:tc>
            </w:tr>
            <w:tr w:rsidR="009C6940" w14:paraId="3F5C55E4" w14:textId="77777777" w:rsidTr="009C6940">
              <w:tc>
                <w:tcPr>
                  <w:tcW w:w="1354" w:type="pct"/>
                  <w:vAlign w:val="bottom"/>
                </w:tcPr>
                <w:p w14:paraId="30E48AAC" w14:textId="77777777" w:rsidR="009C6940" w:rsidRDefault="009C6940" w:rsidP="009C6940">
                  <w:pPr>
                    <w:pStyle w:val="TableBodyText"/>
                    <w:jc w:val="left"/>
                  </w:pPr>
                  <w:r w:rsidRPr="005368AA">
                    <w:t>NESB</w:t>
                  </w:r>
                </w:p>
              </w:tc>
              <w:tc>
                <w:tcPr>
                  <w:tcW w:w="677" w:type="pct"/>
                  <w:vAlign w:val="bottom"/>
                </w:tcPr>
                <w:p w14:paraId="4AA8BBE1" w14:textId="77777777" w:rsidR="009C6940" w:rsidRDefault="009C6940" w:rsidP="009C6940">
                  <w:pPr>
                    <w:pStyle w:val="TableBodyText"/>
                  </w:pPr>
                  <w:r>
                    <w:t>-0.067</w:t>
                  </w:r>
                </w:p>
              </w:tc>
              <w:tc>
                <w:tcPr>
                  <w:tcW w:w="677" w:type="pct"/>
                  <w:vAlign w:val="bottom"/>
                </w:tcPr>
                <w:p w14:paraId="463C86F2" w14:textId="77777777" w:rsidR="009C6940" w:rsidRDefault="009C6940" w:rsidP="009C6940">
                  <w:pPr>
                    <w:pStyle w:val="TableBodyText"/>
                  </w:pPr>
                  <w:r>
                    <w:t>0.003</w:t>
                  </w:r>
                </w:p>
              </w:tc>
              <w:tc>
                <w:tcPr>
                  <w:tcW w:w="762" w:type="pct"/>
                  <w:vAlign w:val="bottom"/>
                </w:tcPr>
                <w:p w14:paraId="1B11D473" w14:textId="77777777" w:rsidR="009C6940" w:rsidRDefault="009C6940" w:rsidP="009C6940">
                  <w:pPr>
                    <w:pStyle w:val="TableBodyText"/>
                  </w:pPr>
                  <w:r>
                    <w:t>-0.072</w:t>
                  </w:r>
                </w:p>
              </w:tc>
              <w:tc>
                <w:tcPr>
                  <w:tcW w:w="708" w:type="pct"/>
                  <w:vAlign w:val="bottom"/>
                </w:tcPr>
                <w:p w14:paraId="160FEDC9" w14:textId="77777777" w:rsidR="009C6940" w:rsidRDefault="009C6940" w:rsidP="009C6940">
                  <w:pPr>
                    <w:pStyle w:val="TableBodyText"/>
                  </w:pPr>
                  <w:r>
                    <w:t>-0.067</w:t>
                  </w:r>
                </w:p>
              </w:tc>
              <w:tc>
                <w:tcPr>
                  <w:tcW w:w="822" w:type="pct"/>
                  <w:vAlign w:val="bottom"/>
                </w:tcPr>
                <w:p w14:paraId="7C21FFB9" w14:textId="77777777" w:rsidR="009C6940" w:rsidRDefault="009C6940" w:rsidP="009C6940">
                  <w:pPr>
                    <w:pStyle w:val="TableBodyText"/>
                    <w:ind w:right="11"/>
                  </w:pPr>
                  <w:r>
                    <w:t>-0.062</w:t>
                  </w:r>
                </w:p>
              </w:tc>
            </w:tr>
            <w:tr w:rsidR="009C6940" w14:paraId="103464B6" w14:textId="77777777" w:rsidTr="009C6940">
              <w:tc>
                <w:tcPr>
                  <w:tcW w:w="1354" w:type="pct"/>
                  <w:vAlign w:val="bottom"/>
                </w:tcPr>
                <w:p w14:paraId="5457E511" w14:textId="77777777" w:rsidR="009C6940" w:rsidRDefault="009C6940" w:rsidP="009C6940">
                  <w:pPr>
                    <w:pStyle w:val="TableBodyText"/>
                    <w:jc w:val="left"/>
                  </w:pPr>
                  <w:r w:rsidRPr="005368AA">
                    <w:t>Currently studying</w:t>
                  </w:r>
                </w:p>
              </w:tc>
              <w:tc>
                <w:tcPr>
                  <w:tcW w:w="677" w:type="pct"/>
                  <w:vAlign w:val="bottom"/>
                </w:tcPr>
                <w:p w14:paraId="4AFBA3D4" w14:textId="77777777" w:rsidR="009C6940" w:rsidRDefault="009C6940" w:rsidP="009C6940">
                  <w:pPr>
                    <w:pStyle w:val="TableBodyText"/>
                  </w:pPr>
                  <w:r>
                    <w:t>0.010</w:t>
                  </w:r>
                </w:p>
              </w:tc>
              <w:tc>
                <w:tcPr>
                  <w:tcW w:w="677" w:type="pct"/>
                  <w:vAlign w:val="bottom"/>
                </w:tcPr>
                <w:p w14:paraId="32C8D003" w14:textId="77777777" w:rsidR="009C6940" w:rsidRDefault="009C6940" w:rsidP="009C6940">
                  <w:pPr>
                    <w:pStyle w:val="TableBodyText"/>
                  </w:pPr>
                  <w:r>
                    <w:t>0.006</w:t>
                  </w:r>
                </w:p>
              </w:tc>
              <w:tc>
                <w:tcPr>
                  <w:tcW w:w="762" w:type="pct"/>
                  <w:vAlign w:val="bottom"/>
                </w:tcPr>
                <w:p w14:paraId="5CE0CE51" w14:textId="77777777" w:rsidR="009C6940" w:rsidRDefault="009C6940" w:rsidP="009C6940">
                  <w:pPr>
                    <w:pStyle w:val="TableBodyText"/>
                  </w:pPr>
                  <w:r>
                    <w:t>-0.001</w:t>
                  </w:r>
                </w:p>
              </w:tc>
              <w:tc>
                <w:tcPr>
                  <w:tcW w:w="708" w:type="pct"/>
                  <w:vAlign w:val="bottom"/>
                </w:tcPr>
                <w:p w14:paraId="3757E15A" w14:textId="77777777" w:rsidR="009C6940" w:rsidRDefault="009C6940" w:rsidP="009C6940">
                  <w:pPr>
                    <w:pStyle w:val="TableBodyText"/>
                  </w:pPr>
                  <w:r>
                    <w:t>0.010</w:t>
                  </w:r>
                </w:p>
              </w:tc>
              <w:tc>
                <w:tcPr>
                  <w:tcW w:w="822" w:type="pct"/>
                  <w:vAlign w:val="bottom"/>
                </w:tcPr>
                <w:p w14:paraId="416D1110" w14:textId="77777777" w:rsidR="009C6940" w:rsidRDefault="009C6940" w:rsidP="009C6940">
                  <w:pPr>
                    <w:pStyle w:val="TableBodyText"/>
                    <w:ind w:right="11"/>
                  </w:pPr>
                  <w:r>
                    <w:t>0.020</w:t>
                  </w:r>
                </w:p>
              </w:tc>
            </w:tr>
            <w:tr w:rsidR="009C6940" w14:paraId="605FA6A9" w14:textId="77777777" w:rsidTr="009C6940">
              <w:tc>
                <w:tcPr>
                  <w:tcW w:w="1354" w:type="pct"/>
                  <w:vAlign w:val="bottom"/>
                </w:tcPr>
                <w:p w14:paraId="4508620C" w14:textId="77777777" w:rsidR="009C6940" w:rsidRDefault="009C6940" w:rsidP="009C6940">
                  <w:pPr>
                    <w:pStyle w:val="TableBodyText"/>
                    <w:jc w:val="left"/>
                  </w:pPr>
                  <w:r w:rsidRPr="005368AA">
                    <w:t>Lives in</w:t>
                  </w:r>
                  <w:r>
                    <w:t xml:space="preserve"> a</w:t>
                  </w:r>
                  <w:r w:rsidRPr="005368AA">
                    <w:t xml:space="preserve"> regional area</w:t>
                  </w:r>
                </w:p>
              </w:tc>
              <w:tc>
                <w:tcPr>
                  <w:tcW w:w="677" w:type="pct"/>
                  <w:vAlign w:val="bottom"/>
                </w:tcPr>
                <w:p w14:paraId="6DA64E95" w14:textId="77777777" w:rsidR="009C6940" w:rsidRDefault="009C6940" w:rsidP="009C6940">
                  <w:pPr>
                    <w:pStyle w:val="TableBodyText"/>
                  </w:pPr>
                  <w:r>
                    <w:t>-0.059</w:t>
                  </w:r>
                </w:p>
              </w:tc>
              <w:tc>
                <w:tcPr>
                  <w:tcW w:w="677" w:type="pct"/>
                  <w:vAlign w:val="bottom"/>
                </w:tcPr>
                <w:p w14:paraId="20219D5F" w14:textId="77777777" w:rsidR="009C6940" w:rsidRDefault="009C6940" w:rsidP="009C6940">
                  <w:pPr>
                    <w:pStyle w:val="TableBodyText"/>
                  </w:pPr>
                  <w:r>
                    <w:t>0.002</w:t>
                  </w:r>
                </w:p>
              </w:tc>
              <w:tc>
                <w:tcPr>
                  <w:tcW w:w="762" w:type="pct"/>
                  <w:vAlign w:val="bottom"/>
                </w:tcPr>
                <w:p w14:paraId="449F0713" w14:textId="77777777" w:rsidR="009C6940" w:rsidRDefault="009C6940" w:rsidP="009C6940">
                  <w:pPr>
                    <w:pStyle w:val="TableBodyText"/>
                  </w:pPr>
                  <w:r>
                    <w:t>-0.063</w:t>
                  </w:r>
                </w:p>
              </w:tc>
              <w:tc>
                <w:tcPr>
                  <w:tcW w:w="708" w:type="pct"/>
                  <w:vAlign w:val="bottom"/>
                </w:tcPr>
                <w:p w14:paraId="23DF3B45" w14:textId="77777777" w:rsidR="009C6940" w:rsidRDefault="009C6940" w:rsidP="009C6940">
                  <w:pPr>
                    <w:pStyle w:val="TableBodyText"/>
                  </w:pPr>
                  <w:r>
                    <w:t>-0.059</w:t>
                  </w:r>
                </w:p>
              </w:tc>
              <w:tc>
                <w:tcPr>
                  <w:tcW w:w="822" w:type="pct"/>
                  <w:vAlign w:val="bottom"/>
                </w:tcPr>
                <w:p w14:paraId="45F197F7" w14:textId="77777777" w:rsidR="009C6940" w:rsidRDefault="009C6940" w:rsidP="009C6940">
                  <w:pPr>
                    <w:pStyle w:val="TableBodyText"/>
                    <w:ind w:right="11"/>
                  </w:pPr>
                  <w:r>
                    <w:t>-0.055</w:t>
                  </w:r>
                </w:p>
              </w:tc>
            </w:tr>
            <w:tr w:rsidR="009C6940" w14:paraId="631CEEC2" w14:textId="77777777" w:rsidTr="009C6940">
              <w:tc>
                <w:tcPr>
                  <w:tcW w:w="1354" w:type="pct"/>
                  <w:vAlign w:val="bottom"/>
                </w:tcPr>
                <w:p w14:paraId="5089899E" w14:textId="77777777" w:rsidR="009C6940" w:rsidRDefault="009C6940" w:rsidP="009C6940">
                  <w:pPr>
                    <w:pStyle w:val="TableBodyText"/>
                    <w:jc w:val="left"/>
                  </w:pPr>
                  <w:r w:rsidRPr="005368AA">
                    <w:t>Indigenous</w:t>
                  </w:r>
                </w:p>
              </w:tc>
              <w:tc>
                <w:tcPr>
                  <w:tcW w:w="677" w:type="pct"/>
                  <w:vAlign w:val="bottom"/>
                </w:tcPr>
                <w:p w14:paraId="477165A3" w14:textId="77777777" w:rsidR="009C6940" w:rsidRDefault="009C6940" w:rsidP="009C6940">
                  <w:pPr>
                    <w:pStyle w:val="TableBodyText"/>
                  </w:pPr>
                  <w:r>
                    <w:t>0.043</w:t>
                  </w:r>
                </w:p>
              </w:tc>
              <w:tc>
                <w:tcPr>
                  <w:tcW w:w="677" w:type="pct"/>
                  <w:vAlign w:val="bottom"/>
                </w:tcPr>
                <w:p w14:paraId="645505FD" w14:textId="77777777" w:rsidR="009C6940" w:rsidRDefault="009C6940" w:rsidP="009C6940">
                  <w:pPr>
                    <w:pStyle w:val="TableBodyText"/>
                  </w:pPr>
                  <w:r>
                    <w:t>0.008</w:t>
                  </w:r>
                </w:p>
              </w:tc>
              <w:tc>
                <w:tcPr>
                  <w:tcW w:w="762" w:type="pct"/>
                  <w:vAlign w:val="bottom"/>
                </w:tcPr>
                <w:p w14:paraId="2CD3AAB4" w14:textId="77777777" w:rsidR="009C6940" w:rsidRDefault="009C6940" w:rsidP="009C6940">
                  <w:pPr>
                    <w:pStyle w:val="TableBodyText"/>
                  </w:pPr>
                  <w:r>
                    <w:t>0.030</w:t>
                  </w:r>
                </w:p>
              </w:tc>
              <w:tc>
                <w:tcPr>
                  <w:tcW w:w="708" w:type="pct"/>
                  <w:vAlign w:val="bottom"/>
                </w:tcPr>
                <w:p w14:paraId="4F489587" w14:textId="77777777" w:rsidR="009C6940" w:rsidRDefault="009C6940" w:rsidP="009C6940">
                  <w:pPr>
                    <w:pStyle w:val="TableBodyText"/>
                  </w:pPr>
                  <w:r>
                    <w:t>0.043</w:t>
                  </w:r>
                </w:p>
              </w:tc>
              <w:tc>
                <w:tcPr>
                  <w:tcW w:w="822" w:type="pct"/>
                  <w:vAlign w:val="bottom"/>
                </w:tcPr>
                <w:p w14:paraId="2E9D4997" w14:textId="77777777" w:rsidR="009C6940" w:rsidRDefault="009C6940" w:rsidP="009C6940">
                  <w:pPr>
                    <w:pStyle w:val="TableBodyText"/>
                    <w:ind w:right="11"/>
                  </w:pPr>
                  <w:r>
                    <w:t>0.055</w:t>
                  </w:r>
                </w:p>
              </w:tc>
            </w:tr>
            <w:tr w:rsidR="009C6940" w14:paraId="0BFB0CDF" w14:textId="77777777" w:rsidTr="009C6940">
              <w:tc>
                <w:tcPr>
                  <w:tcW w:w="1354" w:type="pct"/>
                  <w:vAlign w:val="bottom"/>
                </w:tcPr>
                <w:p w14:paraId="68007E90" w14:textId="77777777" w:rsidR="009C6940" w:rsidRDefault="009C6940" w:rsidP="009C6940">
                  <w:pPr>
                    <w:pStyle w:val="TableBodyText"/>
                    <w:jc w:val="left"/>
                  </w:pPr>
                  <w:r w:rsidRPr="005368AA">
                    <w:t>Experience</w:t>
                  </w:r>
                </w:p>
              </w:tc>
              <w:tc>
                <w:tcPr>
                  <w:tcW w:w="677" w:type="pct"/>
                  <w:vAlign w:val="bottom"/>
                </w:tcPr>
                <w:p w14:paraId="76043E57" w14:textId="77777777" w:rsidR="009C6940" w:rsidRDefault="009C6940" w:rsidP="009C6940">
                  <w:pPr>
                    <w:pStyle w:val="TableBodyText"/>
                  </w:pPr>
                  <w:r>
                    <w:t>0.236</w:t>
                  </w:r>
                </w:p>
              </w:tc>
              <w:tc>
                <w:tcPr>
                  <w:tcW w:w="677" w:type="pct"/>
                  <w:vAlign w:val="bottom"/>
                </w:tcPr>
                <w:p w14:paraId="1BD87C41" w14:textId="77777777" w:rsidR="009C6940" w:rsidRDefault="009C6940" w:rsidP="009C6940">
                  <w:pPr>
                    <w:pStyle w:val="TableBodyText"/>
                  </w:pPr>
                  <w:r>
                    <w:t>0.010</w:t>
                  </w:r>
                </w:p>
              </w:tc>
              <w:tc>
                <w:tcPr>
                  <w:tcW w:w="762" w:type="pct"/>
                  <w:vAlign w:val="bottom"/>
                </w:tcPr>
                <w:p w14:paraId="5B238BC6" w14:textId="77777777" w:rsidR="009C6940" w:rsidRDefault="009C6940" w:rsidP="009C6940">
                  <w:pPr>
                    <w:pStyle w:val="TableBodyText"/>
                  </w:pPr>
                  <w:r>
                    <w:t>0.220</w:t>
                  </w:r>
                </w:p>
              </w:tc>
              <w:tc>
                <w:tcPr>
                  <w:tcW w:w="708" w:type="pct"/>
                  <w:vAlign w:val="bottom"/>
                </w:tcPr>
                <w:p w14:paraId="7DB613AD" w14:textId="77777777" w:rsidR="009C6940" w:rsidRDefault="009C6940" w:rsidP="009C6940">
                  <w:pPr>
                    <w:pStyle w:val="TableBodyText"/>
                  </w:pPr>
                  <w:r>
                    <w:t>0.236</w:t>
                  </w:r>
                </w:p>
              </w:tc>
              <w:tc>
                <w:tcPr>
                  <w:tcW w:w="822" w:type="pct"/>
                  <w:vAlign w:val="bottom"/>
                </w:tcPr>
                <w:p w14:paraId="4D1DD180" w14:textId="77777777" w:rsidR="009C6940" w:rsidRDefault="009C6940" w:rsidP="009C6940">
                  <w:pPr>
                    <w:pStyle w:val="TableBodyText"/>
                    <w:ind w:right="11"/>
                  </w:pPr>
                  <w:r>
                    <w:t>0.253</w:t>
                  </w:r>
                </w:p>
              </w:tc>
            </w:tr>
            <w:tr w:rsidR="009C6940" w14:paraId="613CB5C0" w14:textId="77777777" w:rsidTr="009C6940">
              <w:tc>
                <w:tcPr>
                  <w:tcW w:w="1354" w:type="pct"/>
                  <w:vAlign w:val="bottom"/>
                </w:tcPr>
                <w:p w14:paraId="392973AB" w14:textId="77777777" w:rsidR="009C6940" w:rsidRDefault="009C6940" w:rsidP="009C6940">
                  <w:pPr>
                    <w:pStyle w:val="TableBodyText"/>
                    <w:jc w:val="left"/>
                  </w:pPr>
                  <w:r w:rsidRPr="005368AA">
                    <w:t>Experience squared</w:t>
                  </w:r>
                </w:p>
              </w:tc>
              <w:tc>
                <w:tcPr>
                  <w:tcW w:w="677" w:type="pct"/>
                  <w:vAlign w:val="bottom"/>
                </w:tcPr>
                <w:p w14:paraId="06474ADB" w14:textId="77777777" w:rsidR="009C6940" w:rsidRDefault="009C6940" w:rsidP="009C6940">
                  <w:pPr>
                    <w:pStyle w:val="TableBodyText"/>
                  </w:pPr>
                  <w:r>
                    <w:t>-0.088</w:t>
                  </w:r>
                </w:p>
              </w:tc>
              <w:tc>
                <w:tcPr>
                  <w:tcW w:w="677" w:type="pct"/>
                  <w:vAlign w:val="bottom"/>
                </w:tcPr>
                <w:p w14:paraId="780F5DF7" w14:textId="77777777" w:rsidR="009C6940" w:rsidRDefault="009C6940" w:rsidP="009C6940">
                  <w:pPr>
                    <w:pStyle w:val="TableBodyText"/>
                  </w:pPr>
                  <w:r>
                    <w:t>0.009</w:t>
                  </w:r>
                </w:p>
              </w:tc>
              <w:tc>
                <w:tcPr>
                  <w:tcW w:w="762" w:type="pct"/>
                  <w:vAlign w:val="bottom"/>
                </w:tcPr>
                <w:p w14:paraId="0094C598" w14:textId="77777777" w:rsidR="009C6940" w:rsidRDefault="009C6940" w:rsidP="009C6940">
                  <w:pPr>
                    <w:pStyle w:val="TableBodyText"/>
                  </w:pPr>
                  <w:r>
                    <w:t>-0.102</w:t>
                  </w:r>
                </w:p>
              </w:tc>
              <w:tc>
                <w:tcPr>
                  <w:tcW w:w="708" w:type="pct"/>
                  <w:vAlign w:val="bottom"/>
                </w:tcPr>
                <w:p w14:paraId="666D0B3E" w14:textId="77777777" w:rsidR="009C6940" w:rsidRDefault="009C6940" w:rsidP="009C6940">
                  <w:pPr>
                    <w:pStyle w:val="TableBodyText"/>
                  </w:pPr>
                  <w:r>
                    <w:t>-0.088</w:t>
                  </w:r>
                </w:p>
              </w:tc>
              <w:tc>
                <w:tcPr>
                  <w:tcW w:w="822" w:type="pct"/>
                  <w:vAlign w:val="bottom"/>
                </w:tcPr>
                <w:p w14:paraId="00553E1E" w14:textId="77777777" w:rsidR="009C6940" w:rsidRDefault="009C6940" w:rsidP="009C6940">
                  <w:pPr>
                    <w:pStyle w:val="TableBodyText"/>
                    <w:ind w:right="11"/>
                  </w:pPr>
                  <w:r>
                    <w:t>-0.074</w:t>
                  </w:r>
                </w:p>
              </w:tc>
            </w:tr>
            <w:tr w:rsidR="009C6940" w14:paraId="37A3059E" w14:textId="77777777" w:rsidTr="009C6940">
              <w:tc>
                <w:tcPr>
                  <w:tcW w:w="1354" w:type="pct"/>
                  <w:vAlign w:val="bottom"/>
                </w:tcPr>
                <w:p w14:paraId="71157112" w14:textId="77777777" w:rsidR="009C6940" w:rsidRDefault="009C6940" w:rsidP="009C6940">
                  <w:pPr>
                    <w:pStyle w:val="TableBodyText"/>
                    <w:jc w:val="left"/>
                  </w:pPr>
                  <w:r w:rsidRPr="005368AA">
                    <w:t>PCS</w:t>
                  </w:r>
                </w:p>
              </w:tc>
              <w:tc>
                <w:tcPr>
                  <w:tcW w:w="677" w:type="pct"/>
                  <w:vAlign w:val="bottom"/>
                </w:tcPr>
                <w:p w14:paraId="5E9FC476" w14:textId="77777777" w:rsidR="009C6940" w:rsidRDefault="009C6940" w:rsidP="009C6940">
                  <w:pPr>
                    <w:pStyle w:val="TableBodyText"/>
                  </w:pPr>
                  <w:r>
                    <w:t>0.022</w:t>
                  </w:r>
                </w:p>
              </w:tc>
              <w:tc>
                <w:tcPr>
                  <w:tcW w:w="677" w:type="pct"/>
                  <w:vAlign w:val="bottom"/>
                </w:tcPr>
                <w:p w14:paraId="3240C5B3" w14:textId="77777777" w:rsidR="009C6940" w:rsidRDefault="009C6940" w:rsidP="009C6940">
                  <w:pPr>
                    <w:pStyle w:val="TableBodyText"/>
                  </w:pPr>
                  <w:r>
                    <w:t>0.002</w:t>
                  </w:r>
                </w:p>
              </w:tc>
              <w:tc>
                <w:tcPr>
                  <w:tcW w:w="762" w:type="pct"/>
                  <w:vAlign w:val="bottom"/>
                </w:tcPr>
                <w:p w14:paraId="79ED2DE7" w14:textId="77777777" w:rsidR="009C6940" w:rsidRDefault="009C6940" w:rsidP="009C6940">
                  <w:pPr>
                    <w:pStyle w:val="TableBodyText"/>
                  </w:pPr>
                  <w:r>
                    <w:t>0.019</w:t>
                  </w:r>
                </w:p>
              </w:tc>
              <w:tc>
                <w:tcPr>
                  <w:tcW w:w="708" w:type="pct"/>
                  <w:vAlign w:val="bottom"/>
                </w:tcPr>
                <w:p w14:paraId="1B06FADF" w14:textId="77777777" w:rsidR="009C6940" w:rsidRDefault="009C6940" w:rsidP="009C6940">
                  <w:pPr>
                    <w:pStyle w:val="TableBodyText"/>
                  </w:pPr>
                  <w:r>
                    <w:t>0.022</w:t>
                  </w:r>
                </w:p>
              </w:tc>
              <w:tc>
                <w:tcPr>
                  <w:tcW w:w="822" w:type="pct"/>
                  <w:vAlign w:val="bottom"/>
                </w:tcPr>
                <w:p w14:paraId="75D2EB8A" w14:textId="77777777" w:rsidR="009C6940" w:rsidRDefault="009C6940" w:rsidP="009C6940">
                  <w:pPr>
                    <w:pStyle w:val="TableBodyText"/>
                    <w:ind w:right="11"/>
                  </w:pPr>
                  <w:r>
                    <w:t>0.024</w:t>
                  </w:r>
                </w:p>
              </w:tc>
            </w:tr>
            <w:tr w:rsidR="009C6940" w14:paraId="7AD70897" w14:textId="77777777" w:rsidTr="009C6940">
              <w:tc>
                <w:tcPr>
                  <w:tcW w:w="1354" w:type="pct"/>
                  <w:vAlign w:val="bottom"/>
                </w:tcPr>
                <w:p w14:paraId="041B5B3D" w14:textId="77777777" w:rsidR="009C6940" w:rsidRDefault="009C6940" w:rsidP="009C6940">
                  <w:pPr>
                    <w:pStyle w:val="TableBodyText"/>
                    <w:jc w:val="left"/>
                  </w:pPr>
                  <w:r w:rsidRPr="005368AA">
                    <w:t>Many friends</w:t>
                  </w:r>
                </w:p>
              </w:tc>
              <w:tc>
                <w:tcPr>
                  <w:tcW w:w="677" w:type="pct"/>
                  <w:vAlign w:val="bottom"/>
                </w:tcPr>
                <w:p w14:paraId="2887E8A9" w14:textId="77777777" w:rsidR="009C6940" w:rsidRDefault="009C6940" w:rsidP="009C6940">
                  <w:pPr>
                    <w:pStyle w:val="TableBodyText"/>
                  </w:pPr>
                  <w:r>
                    <w:t>-0.003</w:t>
                  </w:r>
                </w:p>
              </w:tc>
              <w:tc>
                <w:tcPr>
                  <w:tcW w:w="677" w:type="pct"/>
                  <w:vAlign w:val="bottom"/>
                </w:tcPr>
                <w:p w14:paraId="00F56966" w14:textId="77777777" w:rsidR="009C6940" w:rsidRDefault="009C6940" w:rsidP="009C6940">
                  <w:pPr>
                    <w:pStyle w:val="TableBodyText"/>
                  </w:pPr>
                  <w:r>
                    <w:t>0.002</w:t>
                  </w:r>
                </w:p>
              </w:tc>
              <w:tc>
                <w:tcPr>
                  <w:tcW w:w="762" w:type="pct"/>
                  <w:vAlign w:val="bottom"/>
                </w:tcPr>
                <w:p w14:paraId="61D924E7" w14:textId="77777777" w:rsidR="009C6940" w:rsidRDefault="009C6940" w:rsidP="009C6940">
                  <w:pPr>
                    <w:pStyle w:val="TableBodyText"/>
                  </w:pPr>
                  <w:r>
                    <w:t>-0.006</w:t>
                  </w:r>
                </w:p>
              </w:tc>
              <w:tc>
                <w:tcPr>
                  <w:tcW w:w="708" w:type="pct"/>
                  <w:vAlign w:val="bottom"/>
                </w:tcPr>
                <w:p w14:paraId="62698A42" w14:textId="77777777" w:rsidR="009C6940" w:rsidRDefault="009C6940" w:rsidP="009C6940">
                  <w:pPr>
                    <w:pStyle w:val="TableBodyText"/>
                  </w:pPr>
                  <w:r>
                    <w:t>-0.003</w:t>
                  </w:r>
                </w:p>
              </w:tc>
              <w:tc>
                <w:tcPr>
                  <w:tcW w:w="822" w:type="pct"/>
                  <w:vAlign w:val="bottom"/>
                </w:tcPr>
                <w:p w14:paraId="05E9F134" w14:textId="77777777" w:rsidR="009C6940" w:rsidRDefault="009C6940" w:rsidP="009C6940">
                  <w:pPr>
                    <w:pStyle w:val="TableBodyText"/>
                    <w:ind w:right="11"/>
                  </w:pPr>
                  <w:r>
                    <w:t>-0.001</w:t>
                  </w:r>
                </w:p>
              </w:tc>
            </w:tr>
            <w:tr w:rsidR="009C6940" w14:paraId="763862DE" w14:textId="77777777" w:rsidTr="009C6940">
              <w:tc>
                <w:tcPr>
                  <w:tcW w:w="1354" w:type="pct"/>
                  <w:vAlign w:val="bottom"/>
                </w:tcPr>
                <w:p w14:paraId="26718B9B" w14:textId="77777777" w:rsidR="009C6940" w:rsidRDefault="009C6940" w:rsidP="009C6940">
                  <w:pPr>
                    <w:pStyle w:val="TableBodyText"/>
                    <w:jc w:val="left"/>
                  </w:pPr>
                  <w:r w:rsidRPr="005368AA">
                    <w:t>Female</w:t>
                  </w:r>
                </w:p>
              </w:tc>
              <w:tc>
                <w:tcPr>
                  <w:tcW w:w="677" w:type="pct"/>
                  <w:vAlign w:val="bottom"/>
                </w:tcPr>
                <w:p w14:paraId="6D0591CC" w14:textId="77777777" w:rsidR="009C6940" w:rsidRDefault="009C6940" w:rsidP="009C6940">
                  <w:pPr>
                    <w:pStyle w:val="TableBodyText"/>
                  </w:pPr>
                  <w:r>
                    <w:t>-0.071</w:t>
                  </w:r>
                </w:p>
              </w:tc>
              <w:tc>
                <w:tcPr>
                  <w:tcW w:w="677" w:type="pct"/>
                  <w:vAlign w:val="bottom"/>
                </w:tcPr>
                <w:p w14:paraId="09B72CCF" w14:textId="77777777" w:rsidR="009C6940" w:rsidRDefault="009C6940" w:rsidP="009C6940">
                  <w:pPr>
                    <w:pStyle w:val="TableBodyText"/>
                  </w:pPr>
                  <w:r>
                    <w:t>0.002</w:t>
                  </w:r>
                </w:p>
              </w:tc>
              <w:tc>
                <w:tcPr>
                  <w:tcW w:w="762" w:type="pct"/>
                  <w:vAlign w:val="bottom"/>
                </w:tcPr>
                <w:p w14:paraId="533EB1AD" w14:textId="77777777" w:rsidR="009C6940" w:rsidRDefault="009C6940" w:rsidP="009C6940">
                  <w:pPr>
                    <w:pStyle w:val="TableBodyText"/>
                  </w:pPr>
                  <w:r>
                    <w:t>-0.075</w:t>
                  </w:r>
                </w:p>
              </w:tc>
              <w:tc>
                <w:tcPr>
                  <w:tcW w:w="708" w:type="pct"/>
                  <w:vAlign w:val="bottom"/>
                </w:tcPr>
                <w:p w14:paraId="273327B2" w14:textId="77777777" w:rsidR="009C6940" w:rsidRDefault="009C6940" w:rsidP="009C6940">
                  <w:pPr>
                    <w:pStyle w:val="TableBodyText"/>
                  </w:pPr>
                  <w:r>
                    <w:t>-0.071</w:t>
                  </w:r>
                </w:p>
              </w:tc>
              <w:tc>
                <w:tcPr>
                  <w:tcW w:w="822" w:type="pct"/>
                  <w:vAlign w:val="bottom"/>
                </w:tcPr>
                <w:p w14:paraId="70869614" w14:textId="77777777" w:rsidR="009C6940" w:rsidRDefault="009C6940" w:rsidP="009C6940">
                  <w:pPr>
                    <w:pStyle w:val="TableBodyText"/>
                    <w:ind w:right="11"/>
                  </w:pPr>
                  <w:r>
                    <w:t>-0.067</w:t>
                  </w:r>
                </w:p>
              </w:tc>
            </w:tr>
            <w:tr w:rsidR="009C6940" w14:paraId="2794CED3" w14:textId="77777777" w:rsidTr="009C6940">
              <w:tc>
                <w:tcPr>
                  <w:tcW w:w="1354" w:type="pct"/>
                  <w:tcBorders>
                    <w:bottom w:val="single" w:sz="6" w:space="0" w:color="BFBFBF"/>
                  </w:tcBorders>
                  <w:shd w:val="clear" w:color="auto" w:fill="auto"/>
                </w:tcPr>
                <w:p w14:paraId="6C35C42D" w14:textId="77777777" w:rsidR="009C6940" w:rsidRDefault="009C6940" w:rsidP="009C6940">
                  <w:pPr>
                    <w:pStyle w:val="TableBodyText"/>
                    <w:jc w:val="left"/>
                  </w:pPr>
                  <w:r w:rsidRPr="005368AA">
                    <w:t>MCS</w:t>
                  </w:r>
                </w:p>
              </w:tc>
              <w:tc>
                <w:tcPr>
                  <w:tcW w:w="677" w:type="pct"/>
                  <w:tcBorders>
                    <w:bottom w:val="single" w:sz="6" w:space="0" w:color="BFBFBF"/>
                  </w:tcBorders>
                  <w:vAlign w:val="bottom"/>
                </w:tcPr>
                <w:p w14:paraId="65B3D0FB" w14:textId="77777777" w:rsidR="009C6940" w:rsidRDefault="009C6940" w:rsidP="009C6940">
                  <w:pPr>
                    <w:pStyle w:val="TableBodyText"/>
                  </w:pPr>
                  <w:r>
                    <w:t>0.009</w:t>
                  </w:r>
                </w:p>
              </w:tc>
              <w:tc>
                <w:tcPr>
                  <w:tcW w:w="677" w:type="pct"/>
                  <w:tcBorders>
                    <w:bottom w:val="single" w:sz="6" w:space="0" w:color="BFBFBF"/>
                  </w:tcBorders>
                  <w:vAlign w:val="bottom"/>
                </w:tcPr>
                <w:p w14:paraId="3E6516E8" w14:textId="77777777" w:rsidR="009C6940" w:rsidRDefault="009C6940" w:rsidP="009C6940">
                  <w:pPr>
                    <w:pStyle w:val="TableBodyText"/>
                  </w:pPr>
                  <w:r>
                    <w:t>0.002</w:t>
                  </w:r>
                </w:p>
              </w:tc>
              <w:tc>
                <w:tcPr>
                  <w:tcW w:w="762" w:type="pct"/>
                  <w:tcBorders>
                    <w:bottom w:val="single" w:sz="6" w:space="0" w:color="BFBFBF"/>
                  </w:tcBorders>
                  <w:vAlign w:val="bottom"/>
                </w:tcPr>
                <w:p w14:paraId="472CA76F" w14:textId="77777777" w:rsidR="009C6940" w:rsidRDefault="009C6940" w:rsidP="009C6940">
                  <w:pPr>
                    <w:pStyle w:val="TableBodyText"/>
                  </w:pPr>
                  <w:r>
                    <w:t>0.007</w:t>
                  </w:r>
                </w:p>
              </w:tc>
              <w:tc>
                <w:tcPr>
                  <w:tcW w:w="708" w:type="pct"/>
                  <w:tcBorders>
                    <w:bottom w:val="single" w:sz="6" w:space="0" w:color="BFBFBF"/>
                  </w:tcBorders>
                  <w:shd w:val="clear" w:color="auto" w:fill="auto"/>
                  <w:vAlign w:val="bottom"/>
                </w:tcPr>
                <w:p w14:paraId="17202F68" w14:textId="77777777" w:rsidR="009C6940" w:rsidRDefault="009C6940" w:rsidP="009C6940">
                  <w:pPr>
                    <w:pStyle w:val="TableBodyText"/>
                  </w:pPr>
                  <w:r>
                    <w:t>0.009</w:t>
                  </w:r>
                </w:p>
              </w:tc>
              <w:tc>
                <w:tcPr>
                  <w:tcW w:w="822" w:type="pct"/>
                  <w:tcBorders>
                    <w:bottom w:val="single" w:sz="6" w:space="0" w:color="BFBFBF"/>
                  </w:tcBorders>
                  <w:shd w:val="clear" w:color="auto" w:fill="auto"/>
                  <w:vAlign w:val="bottom"/>
                </w:tcPr>
                <w:p w14:paraId="48C779B4" w14:textId="77777777" w:rsidR="009C6940" w:rsidRDefault="009C6940" w:rsidP="009C6940">
                  <w:pPr>
                    <w:pStyle w:val="TableBodyText"/>
                    <w:ind w:right="11"/>
                  </w:pPr>
                  <w:r>
                    <w:t>0.012</w:t>
                  </w:r>
                </w:p>
              </w:tc>
            </w:tr>
          </w:tbl>
          <w:p w14:paraId="12CF45BA" w14:textId="77777777" w:rsidR="009C6940" w:rsidRDefault="009C6940" w:rsidP="009C6940">
            <w:pPr>
              <w:pStyle w:val="Box"/>
            </w:pPr>
          </w:p>
        </w:tc>
      </w:tr>
      <w:tr w:rsidR="009C6940" w14:paraId="41858C56" w14:textId="77777777" w:rsidTr="009C6940">
        <w:tc>
          <w:tcPr>
            <w:tcW w:w="5000" w:type="pct"/>
            <w:tcBorders>
              <w:top w:val="nil"/>
              <w:left w:val="nil"/>
              <w:bottom w:val="nil"/>
              <w:right w:val="nil"/>
            </w:tcBorders>
            <w:shd w:val="clear" w:color="auto" w:fill="auto"/>
          </w:tcPr>
          <w:p w14:paraId="475FCE99" w14:textId="77777777" w:rsidR="009C6940" w:rsidRDefault="009C6940" w:rsidP="009C6940">
            <w:pPr>
              <w:pStyle w:val="Note"/>
              <w:rPr>
                <w:i/>
              </w:rPr>
            </w:pPr>
            <w:r w:rsidRPr="008E77FE">
              <w:rPr>
                <w:rStyle w:val="NoteLabel"/>
              </w:rPr>
              <w:t>a</w:t>
            </w:r>
            <w:r>
              <w:t xml:space="preserve"> Year</w:t>
            </w:r>
            <w:r>
              <w:noBreakHyphen/>
              <w:t xml:space="preserve">specific fixed effects are included in the model, but not shown here. </w:t>
            </w:r>
            <w:r>
              <w:rPr>
                <w:rStyle w:val="NoteLabel"/>
              </w:rPr>
              <w:t>b</w:t>
            </w:r>
            <w:r>
              <w:t xml:space="preserve"> The covariates and outcome variable were standardised prior to estimation.</w:t>
            </w:r>
          </w:p>
        </w:tc>
      </w:tr>
      <w:tr w:rsidR="009C6940" w14:paraId="45D39399" w14:textId="77777777" w:rsidTr="009C6940">
        <w:tc>
          <w:tcPr>
            <w:tcW w:w="5000" w:type="pct"/>
            <w:tcBorders>
              <w:top w:val="nil"/>
              <w:left w:val="nil"/>
              <w:bottom w:val="nil"/>
              <w:right w:val="nil"/>
            </w:tcBorders>
            <w:shd w:val="clear" w:color="auto" w:fill="auto"/>
          </w:tcPr>
          <w:p w14:paraId="3B65A765" w14:textId="77777777" w:rsidR="009C6940" w:rsidRDefault="009C6940" w:rsidP="009C6940">
            <w:pPr>
              <w:pStyle w:val="Source"/>
            </w:pPr>
            <w:r>
              <w:rPr>
                <w:i/>
              </w:rPr>
              <w:t>Source</w:t>
            </w:r>
            <w:r w:rsidRPr="00167F06">
              <w:t xml:space="preserve">: </w:t>
            </w:r>
            <w:r>
              <w:t xml:space="preserve">Productivity Commission estimates using </w:t>
            </w:r>
            <w:r w:rsidRPr="008A6045">
              <w:t>Housing, Income and Labour Dynamics in Australia</w:t>
            </w:r>
            <w:r>
              <w:t>.</w:t>
            </w:r>
          </w:p>
        </w:tc>
      </w:tr>
      <w:tr w:rsidR="009C6940" w14:paraId="7D0077BC" w14:textId="77777777" w:rsidTr="009C6940">
        <w:tc>
          <w:tcPr>
            <w:tcW w:w="5000" w:type="pct"/>
            <w:tcBorders>
              <w:top w:val="nil"/>
              <w:left w:val="nil"/>
              <w:bottom w:val="single" w:sz="6" w:space="0" w:color="78A22F"/>
              <w:right w:val="nil"/>
            </w:tcBorders>
            <w:shd w:val="clear" w:color="auto" w:fill="auto"/>
          </w:tcPr>
          <w:p w14:paraId="60D2407A" w14:textId="77777777" w:rsidR="009C6940" w:rsidRDefault="009C6940" w:rsidP="009C6940">
            <w:pPr>
              <w:pStyle w:val="Box"/>
              <w:spacing w:before="0" w:line="120" w:lineRule="exact"/>
            </w:pPr>
          </w:p>
        </w:tc>
      </w:tr>
      <w:tr w:rsidR="009C6940" w:rsidRPr="000863A5" w14:paraId="5C6804BA" w14:textId="77777777" w:rsidTr="009C6940">
        <w:tc>
          <w:tcPr>
            <w:tcW w:w="5000" w:type="pct"/>
            <w:tcBorders>
              <w:top w:val="single" w:sz="6" w:space="0" w:color="78A22F"/>
              <w:left w:val="nil"/>
              <w:bottom w:val="nil"/>
              <w:right w:val="nil"/>
            </w:tcBorders>
          </w:tcPr>
          <w:p w14:paraId="15FE6B53" w14:textId="77777777" w:rsidR="009C6940" w:rsidRPr="00626D32" w:rsidRDefault="009C6940" w:rsidP="009C6940">
            <w:pPr>
              <w:pStyle w:val="BoxSpaceBelow"/>
            </w:pPr>
          </w:p>
        </w:tc>
      </w:tr>
    </w:tbl>
    <w:p w14:paraId="1D8A288B" w14:textId="77777777" w:rsidR="009C6940" w:rsidRDefault="009C6940" w:rsidP="009C694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C6940" w14:paraId="794ED66B" w14:textId="77777777" w:rsidTr="009C6940">
        <w:trPr>
          <w:tblHeader/>
        </w:trPr>
        <w:tc>
          <w:tcPr>
            <w:tcW w:w="5000" w:type="pct"/>
            <w:tcBorders>
              <w:top w:val="single" w:sz="6" w:space="0" w:color="78A22F"/>
              <w:left w:val="nil"/>
              <w:bottom w:val="nil"/>
              <w:right w:val="nil"/>
            </w:tcBorders>
            <w:shd w:val="clear" w:color="auto" w:fill="auto"/>
          </w:tcPr>
          <w:p w14:paraId="58420F39" w14:textId="77777777" w:rsidR="009C6940" w:rsidRPr="00784A05" w:rsidRDefault="009C6940" w:rsidP="009C6940">
            <w:pPr>
              <w:pStyle w:val="TableTitle"/>
            </w:pPr>
            <w:r>
              <w:rPr>
                <w:b w:val="0"/>
              </w:rPr>
              <w:t>Table J.5</w:t>
            </w:r>
            <w:r>
              <w:tab/>
              <w:t>Parameter estimates — QALY equation</w:t>
            </w:r>
            <w:r w:rsidRPr="00B853C7">
              <w:rPr>
                <w:rStyle w:val="NoteLabel"/>
                <w:b/>
              </w:rPr>
              <w:t>a,b</w:t>
            </w:r>
          </w:p>
        </w:tc>
      </w:tr>
      <w:tr w:rsidR="009C6940" w14:paraId="43EC58D8" w14:textId="77777777" w:rsidTr="009C6940">
        <w:tc>
          <w:tcPr>
            <w:tcW w:w="5000" w:type="pct"/>
            <w:tcBorders>
              <w:top w:val="nil"/>
              <w:left w:val="nil"/>
              <w:bottom w:val="nil"/>
              <w:right w:val="nil"/>
            </w:tcBorders>
            <w:shd w:val="clear" w:color="auto" w:fill="auto"/>
          </w:tcPr>
          <w:tbl>
            <w:tblPr>
              <w:tblW w:w="4923" w:type="pct"/>
              <w:tblCellMar>
                <w:top w:w="28" w:type="dxa"/>
                <w:left w:w="0" w:type="dxa"/>
                <w:right w:w="0" w:type="dxa"/>
              </w:tblCellMar>
              <w:tblLook w:val="0000" w:firstRow="0" w:lastRow="0" w:firstColumn="0" w:lastColumn="0" w:noHBand="0" w:noVBand="0"/>
            </w:tblPr>
            <w:tblGrid>
              <w:gridCol w:w="2267"/>
              <w:gridCol w:w="1134"/>
              <w:gridCol w:w="1134"/>
              <w:gridCol w:w="1276"/>
              <w:gridCol w:w="1186"/>
              <w:gridCol w:w="1377"/>
            </w:tblGrid>
            <w:tr w:rsidR="009C6940" w14:paraId="366730F3" w14:textId="77777777" w:rsidTr="009C6940">
              <w:trPr>
                <w:tblHeader/>
              </w:trPr>
              <w:tc>
                <w:tcPr>
                  <w:tcW w:w="1354" w:type="pct"/>
                  <w:tcBorders>
                    <w:top w:val="single" w:sz="6" w:space="0" w:color="BFBFBF"/>
                    <w:bottom w:val="single" w:sz="6" w:space="0" w:color="BFBFBF"/>
                  </w:tcBorders>
                  <w:shd w:val="clear" w:color="auto" w:fill="auto"/>
                  <w:tcMar>
                    <w:top w:w="28" w:type="dxa"/>
                  </w:tcMar>
                </w:tcPr>
                <w:p w14:paraId="6084C978" w14:textId="77777777" w:rsidR="009C6940" w:rsidRDefault="009C6940" w:rsidP="009C6940">
                  <w:pPr>
                    <w:pStyle w:val="TableColumnHeading"/>
                    <w:jc w:val="left"/>
                  </w:pPr>
                  <w:r>
                    <w:t>V</w:t>
                  </w:r>
                  <w:r w:rsidRPr="00B9642D">
                    <w:t>ariable</w:t>
                  </w:r>
                </w:p>
              </w:tc>
              <w:tc>
                <w:tcPr>
                  <w:tcW w:w="677" w:type="pct"/>
                  <w:tcBorders>
                    <w:top w:val="single" w:sz="6" w:space="0" w:color="BFBFBF"/>
                    <w:bottom w:val="single" w:sz="6" w:space="0" w:color="BFBFBF"/>
                  </w:tcBorders>
                </w:tcPr>
                <w:p w14:paraId="6131F182" w14:textId="77777777" w:rsidR="009C6940" w:rsidRDefault="009C6940" w:rsidP="009C6940">
                  <w:pPr>
                    <w:pStyle w:val="TableColumnHeading"/>
                  </w:pPr>
                  <w:r>
                    <w:t>M</w:t>
                  </w:r>
                  <w:r w:rsidRPr="00B9642D">
                    <w:t>ean</w:t>
                  </w:r>
                </w:p>
              </w:tc>
              <w:tc>
                <w:tcPr>
                  <w:tcW w:w="677" w:type="pct"/>
                  <w:tcBorders>
                    <w:top w:val="single" w:sz="6" w:space="0" w:color="BFBFBF"/>
                    <w:bottom w:val="single" w:sz="6" w:space="0" w:color="BFBFBF"/>
                  </w:tcBorders>
                </w:tcPr>
                <w:p w14:paraId="540AFE2A" w14:textId="77777777" w:rsidR="009C6940" w:rsidRDefault="009C6940" w:rsidP="009C6940">
                  <w:pPr>
                    <w:pStyle w:val="TableColumnHeading"/>
                  </w:pPr>
                  <w:r>
                    <w:t>SD</w:t>
                  </w:r>
                </w:p>
              </w:tc>
              <w:tc>
                <w:tcPr>
                  <w:tcW w:w="762" w:type="pct"/>
                  <w:tcBorders>
                    <w:top w:val="single" w:sz="6" w:space="0" w:color="BFBFBF"/>
                    <w:bottom w:val="single" w:sz="6" w:space="0" w:color="BFBFBF"/>
                  </w:tcBorders>
                </w:tcPr>
                <w:p w14:paraId="44C5675A" w14:textId="77777777" w:rsidR="009C6940" w:rsidRDefault="009C6940" w:rsidP="009C6940">
                  <w:pPr>
                    <w:pStyle w:val="TableColumnHeading"/>
                  </w:pPr>
                  <w:r>
                    <w:t>5</w:t>
                  </w:r>
                  <w:r w:rsidRPr="00321AD3">
                    <w:rPr>
                      <w:vertAlign w:val="superscript"/>
                    </w:rPr>
                    <w:t>th</w:t>
                  </w:r>
                  <w:r>
                    <w:t xml:space="preserve"> percentile</w:t>
                  </w:r>
                </w:p>
              </w:tc>
              <w:tc>
                <w:tcPr>
                  <w:tcW w:w="708" w:type="pct"/>
                  <w:tcBorders>
                    <w:top w:val="single" w:sz="6" w:space="0" w:color="BFBFBF"/>
                    <w:bottom w:val="single" w:sz="6" w:space="0" w:color="BFBFBF"/>
                  </w:tcBorders>
                  <w:shd w:val="clear" w:color="auto" w:fill="auto"/>
                  <w:tcMar>
                    <w:top w:w="28" w:type="dxa"/>
                  </w:tcMar>
                </w:tcPr>
                <w:p w14:paraId="641AB638" w14:textId="77777777" w:rsidR="009C6940" w:rsidRDefault="009C6940" w:rsidP="009C6940">
                  <w:pPr>
                    <w:pStyle w:val="TableColumnHeading"/>
                  </w:pPr>
                  <w:r>
                    <w:t>Median</w:t>
                  </w:r>
                </w:p>
              </w:tc>
              <w:tc>
                <w:tcPr>
                  <w:tcW w:w="822" w:type="pct"/>
                  <w:tcBorders>
                    <w:top w:val="single" w:sz="6" w:space="0" w:color="BFBFBF"/>
                    <w:bottom w:val="single" w:sz="6" w:space="0" w:color="BFBFBF"/>
                  </w:tcBorders>
                  <w:shd w:val="clear" w:color="auto" w:fill="auto"/>
                  <w:tcMar>
                    <w:top w:w="28" w:type="dxa"/>
                  </w:tcMar>
                </w:tcPr>
                <w:p w14:paraId="6FCD69F8" w14:textId="77777777" w:rsidR="009C6940" w:rsidRDefault="009C6940" w:rsidP="009C6940">
                  <w:pPr>
                    <w:pStyle w:val="TableColumnHeading"/>
                    <w:ind w:right="28"/>
                  </w:pPr>
                  <w:r>
                    <w:t>95</w:t>
                  </w:r>
                  <w:r w:rsidRPr="00321AD3">
                    <w:rPr>
                      <w:vertAlign w:val="superscript"/>
                    </w:rPr>
                    <w:t>th</w:t>
                  </w:r>
                  <w:r>
                    <w:t xml:space="preserve"> percentile</w:t>
                  </w:r>
                </w:p>
              </w:tc>
            </w:tr>
            <w:tr w:rsidR="009C6940" w14:paraId="78B00D86" w14:textId="77777777" w:rsidTr="009C6940">
              <w:tc>
                <w:tcPr>
                  <w:tcW w:w="1354" w:type="pct"/>
                  <w:tcBorders>
                    <w:top w:val="single" w:sz="6" w:space="0" w:color="BFBFBF"/>
                  </w:tcBorders>
                  <w:vAlign w:val="bottom"/>
                </w:tcPr>
                <w:p w14:paraId="2FCDBCCF" w14:textId="77777777" w:rsidR="009C6940" w:rsidRDefault="009C6940" w:rsidP="009C6940">
                  <w:pPr>
                    <w:pStyle w:val="TableBodyText"/>
                    <w:jc w:val="left"/>
                  </w:pPr>
                  <w:r>
                    <w:t>Age 21–</w:t>
                  </w:r>
                  <w:r w:rsidRPr="005368AA">
                    <w:t>24</w:t>
                  </w:r>
                  <w:r>
                    <w:t> years</w:t>
                  </w:r>
                </w:p>
              </w:tc>
              <w:tc>
                <w:tcPr>
                  <w:tcW w:w="677" w:type="pct"/>
                  <w:tcBorders>
                    <w:top w:val="single" w:sz="6" w:space="0" w:color="BFBFBF"/>
                  </w:tcBorders>
                  <w:vAlign w:val="bottom"/>
                </w:tcPr>
                <w:p w14:paraId="02D12593" w14:textId="77777777" w:rsidR="009C6940" w:rsidRPr="00DF5CF3" w:rsidRDefault="009C6940" w:rsidP="009C6940">
                  <w:pPr>
                    <w:pStyle w:val="TableBodyText"/>
                  </w:pPr>
                  <w:r w:rsidRPr="00DF5CF3">
                    <w:t>0.034</w:t>
                  </w:r>
                </w:p>
              </w:tc>
              <w:tc>
                <w:tcPr>
                  <w:tcW w:w="677" w:type="pct"/>
                  <w:tcBorders>
                    <w:top w:val="single" w:sz="6" w:space="0" w:color="BFBFBF"/>
                  </w:tcBorders>
                  <w:vAlign w:val="bottom"/>
                </w:tcPr>
                <w:p w14:paraId="2C9B19BF" w14:textId="77777777" w:rsidR="009C6940" w:rsidRPr="00DF5CF3" w:rsidRDefault="009C6940" w:rsidP="009C6940">
                  <w:pPr>
                    <w:pStyle w:val="TableBodyText"/>
                  </w:pPr>
                  <w:r w:rsidRPr="00DF5CF3">
                    <w:t>0.013</w:t>
                  </w:r>
                </w:p>
              </w:tc>
              <w:tc>
                <w:tcPr>
                  <w:tcW w:w="762" w:type="pct"/>
                  <w:tcBorders>
                    <w:top w:val="single" w:sz="6" w:space="0" w:color="BFBFBF"/>
                  </w:tcBorders>
                  <w:vAlign w:val="bottom"/>
                </w:tcPr>
                <w:p w14:paraId="553787B5" w14:textId="77777777" w:rsidR="009C6940" w:rsidRPr="00DF5CF3" w:rsidRDefault="009C6940" w:rsidP="009C6940">
                  <w:pPr>
                    <w:pStyle w:val="TableBodyText"/>
                  </w:pPr>
                  <w:r w:rsidRPr="00DF5CF3">
                    <w:t>0.013</w:t>
                  </w:r>
                </w:p>
              </w:tc>
              <w:tc>
                <w:tcPr>
                  <w:tcW w:w="708" w:type="pct"/>
                  <w:tcBorders>
                    <w:top w:val="single" w:sz="6" w:space="0" w:color="BFBFBF"/>
                  </w:tcBorders>
                  <w:vAlign w:val="bottom"/>
                </w:tcPr>
                <w:p w14:paraId="4E5E1AFF" w14:textId="77777777" w:rsidR="009C6940" w:rsidRPr="00DF5CF3" w:rsidRDefault="009C6940" w:rsidP="009C6940">
                  <w:pPr>
                    <w:pStyle w:val="TableBodyText"/>
                  </w:pPr>
                  <w:r w:rsidRPr="00DF5CF3">
                    <w:t>0.033</w:t>
                  </w:r>
                </w:p>
              </w:tc>
              <w:tc>
                <w:tcPr>
                  <w:tcW w:w="822" w:type="pct"/>
                  <w:tcBorders>
                    <w:top w:val="single" w:sz="6" w:space="0" w:color="BFBFBF"/>
                  </w:tcBorders>
                  <w:vAlign w:val="bottom"/>
                </w:tcPr>
                <w:p w14:paraId="0B3E863A" w14:textId="77777777" w:rsidR="009C6940" w:rsidRPr="00DF5CF3" w:rsidRDefault="009C6940" w:rsidP="009C6940">
                  <w:pPr>
                    <w:pStyle w:val="TableBodyText"/>
                    <w:ind w:right="11"/>
                  </w:pPr>
                  <w:r w:rsidRPr="00DF5CF3">
                    <w:t>0.056</w:t>
                  </w:r>
                </w:p>
              </w:tc>
            </w:tr>
            <w:tr w:rsidR="009C6940" w14:paraId="6B66E7F2" w14:textId="77777777" w:rsidTr="009C6940">
              <w:tc>
                <w:tcPr>
                  <w:tcW w:w="1354" w:type="pct"/>
                  <w:vAlign w:val="bottom"/>
                </w:tcPr>
                <w:p w14:paraId="1503BF33" w14:textId="77777777" w:rsidR="009C6940" w:rsidRDefault="009C6940" w:rsidP="009C6940">
                  <w:pPr>
                    <w:pStyle w:val="TableBodyText"/>
                    <w:jc w:val="left"/>
                  </w:pPr>
                  <w:r w:rsidRPr="005368AA">
                    <w:t>Age 25</w:t>
                  </w:r>
                  <w:r>
                    <w:t>–</w:t>
                  </w:r>
                  <w:r w:rsidRPr="005368AA">
                    <w:t>44</w:t>
                  </w:r>
                  <w:r>
                    <w:t> years</w:t>
                  </w:r>
                </w:p>
              </w:tc>
              <w:tc>
                <w:tcPr>
                  <w:tcW w:w="677" w:type="pct"/>
                  <w:vAlign w:val="bottom"/>
                </w:tcPr>
                <w:p w14:paraId="4BCAC232" w14:textId="77777777" w:rsidR="009C6940" w:rsidRPr="00DF5CF3" w:rsidRDefault="009C6940" w:rsidP="009C6940">
                  <w:pPr>
                    <w:pStyle w:val="TableBodyText"/>
                  </w:pPr>
                  <w:r w:rsidRPr="00DF5CF3">
                    <w:t>0.014</w:t>
                  </w:r>
                </w:p>
              </w:tc>
              <w:tc>
                <w:tcPr>
                  <w:tcW w:w="677" w:type="pct"/>
                  <w:vAlign w:val="bottom"/>
                </w:tcPr>
                <w:p w14:paraId="3C88DA9F" w14:textId="77777777" w:rsidR="009C6940" w:rsidRPr="00DF5CF3" w:rsidRDefault="009C6940" w:rsidP="009C6940">
                  <w:pPr>
                    <w:pStyle w:val="TableBodyText"/>
                  </w:pPr>
                  <w:r w:rsidRPr="00DF5CF3">
                    <w:t>0.010</w:t>
                  </w:r>
                </w:p>
              </w:tc>
              <w:tc>
                <w:tcPr>
                  <w:tcW w:w="762" w:type="pct"/>
                  <w:vAlign w:val="bottom"/>
                </w:tcPr>
                <w:p w14:paraId="6937D329" w14:textId="77777777" w:rsidR="009C6940" w:rsidRPr="00DF5CF3" w:rsidRDefault="009C6940" w:rsidP="009C6940">
                  <w:pPr>
                    <w:pStyle w:val="TableBodyText"/>
                  </w:pPr>
                  <w:r w:rsidRPr="00DF5CF3">
                    <w:t>-0.002</w:t>
                  </w:r>
                </w:p>
              </w:tc>
              <w:tc>
                <w:tcPr>
                  <w:tcW w:w="708" w:type="pct"/>
                  <w:vAlign w:val="bottom"/>
                </w:tcPr>
                <w:p w14:paraId="1DACBE16" w14:textId="77777777" w:rsidR="009C6940" w:rsidRPr="00DF5CF3" w:rsidRDefault="009C6940" w:rsidP="009C6940">
                  <w:pPr>
                    <w:pStyle w:val="TableBodyText"/>
                  </w:pPr>
                  <w:r w:rsidRPr="00DF5CF3">
                    <w:t>0.014</w:t>
                  </w:r>
                </w:p>
              </w:tc>
              <w:tc>
                <w:tcPr>
                  <w:tcW w:w="822" w:type="pct"/>
                  <w:vAlign w:val="bottom"/>
                </w:tcPr>
                <w:p w14:paraId="070524F1" w14:textId="77777777" w:rsidR="009C6940" w:rsidRPr="00DF5CF3" w:rsidRDefault="009C6940" w:rsidP="009C6940">
                  <w:pPr>
                    <w:pStyle w:val="TableBodyText"/>
                    <w:ind w:right="11"/>
                  </w:pPr>
                  <w:r w:rsidRPr="00DF5CF3">
                    <w:t>0.032</w:t>
                  </w:r>
                </w:p>
              </w:tc>
            </w:tr>
            <w:tr w:rsidR="009C6940" w14:paraId="32A104A6" w14:textId="77777777" w:rsidTr="009C6940">
              <w:tc>
                <w:tcPr>
                  <w:tcW w:w="1354" w:type="pct"/>
                  <w:vAlign w:val="bottom"/>
                </w:tcPr>
                <w:p w14:paraId="65DD2A2B" w14:textId="77777777" w:rsidR="009C6940" w:rsidRDefault="009C6940" w:rsidP="009C6940">
                  <w:pPr>
                    <w:pStyle w:val="TableBodyText"/>
                    <w:jc w:val="left"/>
                  </w:pPr>
                  <w:r w:rsidRPr="005368AA">
                    <w:t>University degree</w:t>
                  </w:r>
                </w:p>
              </w:tc>
              <w:tc>
                <w:tcPr>
                  <w:tcW w:w="677" w:type="pct"/>
                  <w:vAlign w:val="bottom"/>
                </w:tcPr>
                <w:p w14:paraId="70A7AC2E" w14:textId="77777777" w:rsidR="009C6940" w:rsidRPr="00DF5CF3" w:rsidRDefault="009C6940" w:rsidP="009C6940">
                  <w:pPr>
                    <w:pStyle w:val="TableBodyText"/>
                  </w:pPr>
                  <w:r w:rsidRPr="00DF5CF3">
                    <w:t>0.018</w:t>
                  </w:r>
                </w:p>
              </w:tc>
              <w:tc>
                <w:tcPr>
                  <w:tcW w:w="677" w:type="pct"/>
                  <w:vAlign w:val="bottom"/>
                </w:tcPr>
                <w:p w14:paraId="6B854483" w14:textId="77777777" w:rsidR="009C6940" w:rsidRPr="00DF5CF3" w:rsidRDefault="009C6940" w:rsidP="009C6940">
                  <w:pPr>
                    <w:pStyle w:val="TableBodyText"/>
                  </w:pPr>
                  <w:r w:rsidRPr="00DF5CF3">
                    <w:t>0.006</w:t>
                  </w:r>
                </w:p>
              </w:tc>
              <w:tc>
                <w:tcPr>
                  <w:tcW w:w="762" w:type="pct"/>
                  <w:vAlign w:val="bottom"/>
                </w:tcPr>
                <w:p w14:paraId="72A253B1" w14:textId="77777777" w:rsidR="009C6940" w:rsidRPr="00DF5CF3" w:rsidRDefault="009C6940" w:rsidP="009C6940">
                  <w:pPr>
                    <w:pStyle w:val="TableBodyText"/>
                  </w:pPr>
                  <w:r w:rsidRPr="00DF5CF3">
                    <w:t>0.008</w:t>
                  </w:r>
                </w:p>
              </w:tc>
              <w:tc>
                <w:tcPr>
                  <w:tcW w:w="708" w:type="pct"/>
                  <w:vAlign w:val="bottom"/>
                </w:tcPr>
                <w:p w14:paraId="5871A21D" w14:textId="77777777" w:rsidR="009C6940" w:rsidRPr="00DF5CF3" w:rsidRDefault="009C6940" w:rsidP="009C6940">
                  <w:pPr>
                    <w:pStyle w:val="TableBodyText"/>
                  </w:pPr>
                  <w:r w:rsidRPr="00DF5CF3">
                    <w:t>0.018</w:t>
                  </w:r>
                </w:p>
              </w:tc>
              <w:tc>
                <w:tcPr>
                  <w:tcW w:w="822" w:type="pct"/>
                  <w:vAlign w:val="bottom"/>
                </w:tcPr>
                <w:p w14:paraId="1A651345" w14:textId="77777777" w:rsidR="009C6940" w:rsidRPr="00DF5CF3" w:rsidRDefault="009C6940" w:rsidP="009C6940">
                  <w:pPr>
                    <w:pStyle w:val="TableBodyText"/>
                    <w:ind w:right="11"/>
                  </w:pPr>
                  <w:r w:rsidRPr="00DF5CF3">
                    <w:t>0.028</w:t>
                  </w:r>
                </w:p>
              </w:tc>
            </w:tr>
            <w:tr w:rsidR="009C6940" w14:paraId="5557F5FB" w14:textId="77777777" w:rsidTr="009C6940">
              <w:tc>
                <w:tcPr>
                  <w:tcW w:w="1354" w:type="pct"/>
                  <w:vAlign w:val="bottom"/>
                </w:tcPr>
                <w:p w14:paraId="663C3230" w14:textId="77777777" w:rsidR="009C6940" w:rsidRDefault="009C6940" w:rsidP="009C6940">
                  <w:pPr>
                    <w:pStyle w:val="TableBodyText"/>
                    <w:jc w:val="left"/>
                  </w:pPr>
                  <w:r w:rsidRPr="005368AA">
                    <w:t>Diploma/certificate</w:t>
                  </w:r>
                </w:p>
              </w:tc>
              <w:tc>
                <w:tcPr>
                  <w:tcW w:w="677" w:type="pct"/>
                  <w:vAlign w:val="bottom"/>
                </w:tcPr>
                <w:p w14:paraId="2E5E4C22" w14:textId="77777777" w:rsidR="009C6940" w:rsidRPr="00DF5CF3" w:rsidRDefault="009C6940" w:rsidP="009C6940">
                  <w:pPr>
                    <w:pStyle w:val="TableBodyText"/>
                  </w:pPr>
                  <w:r w:rsidRPr="00DF5CF3">
                    <w:t>0.008</w:t>
                  </w:r>
                </w:p>
              </w:tc>
              <w:tc>
                <w:tcPr>
                  <w:tcW w:w="677" w:type="pct"/>
                  <w:vAlign w:val="bottom"/>
                </w:tcPr>
                <w:p w14:paraId="729B6F05" w14:textId="77777777" w:rsidR="009C6940" w:rsidRPr="00DF5CF3" w:rsidRDefault="009C6940" w:rsidP="009C6940">
                  <w:pPr>
                    <w:pStyle w:val="TableBodyText"/>
                  </w:pPr>
                  <w:r w:rsidRPr="00DF5CF3">
                    <w:t>0.005</w:t>
                  </w:r>
                </w:p>
              </w:tc>
              <w:tc>
                <w:tcPr>
                  <w:tcW w:w="762" w:type="pct"/>
                  <w:vAlign w:val="bottom"/>
                </w:tcPr>
                <w:p w14:paraId="4FFEF546" w14:textId="77777777" w:rsidR="009C6940" w:rsidRPr="00DF5CF3" w:rsidRDefault="009C6940" w:rsidP="009C6940">
                  <w:pPr>
                    <w:pStyle w:val="TableBodyText"/>
                  </w:pPr>
                  <w:r w:rsidRPr="00DF5CF3">
                    <w:t>0.000</w:t>
                  </w:r>
                </w:p>
              </w:tc>
              <w:tc>
                <w:tcPr>
                  <w:tcW w:w="708" w:type="pct"/>
                  <w:vAlign w:val="bottom"/>
                </w:tcPr>
                <w:p w14:paraId="03144BFC" w14:textId="77777777" w:rsidR="009C6940" w:rsidRPr="00DF5CF3" w:rsidRDefault="009C6940" w:rsidP="009C6940">
                  <w:pPr>
                    <w:pStyle w:val="TableBodyText"/>
                  </w:pPr>
                  <w:r w:rsidRPr="00DF5CF3">
                    <w:t>0.008</w:t>
                  </w:r>
                </w:p>
              </w:tc>
              <w:tc>
                <w:tcPr>
                  <w:tcW w:w="822" w:type="pct"/>
                  <w:vAlign w:val="bottom"/>
                </w:tcPr>
                <w:p w14:paraId="3CB3B5F3" w14:textId="77777777" w:rsidR="009C6940" w:rsidRPr="00DF5CF3" w:rsidRDefault="009C6940" w:rsidP="009C6940">
                  <w:pPr>
                    <w:pStyle w:val="TableBodyText"/>
                    <w:ind w:right="11"/>
                  </w:pPr>
                  <w:r w:rsidRPr="00DF5CF3">
                    <w:t>0.016</w:t>
                  </w:r>
                </w:p>
              </w:tc>
            </w:tr>
            <w:tr w:rsidR="009C6940" w14:paraId="4043B7C4" w14:textId="77777777" w:rsidTr="009C6940">
              <w:tc>
                <w:tcPr>
                  <w:tcW w:w="1354" w:type="pct"/>
                  <w:vAlign w:val="bottom"/>
                </w:tcPr>
                <w:p w14:paraId="2A8492B3" w14:textId="77777777" w:rsidR="009C6940" w:rsidRDefault="009C6940" w:rsidP="009C6940">
                  <w:pPr>
                    <w:pStyle w:val="TableBodyText"/>
                    <w:jc w:val="left"/>
                  </w:pPr>
                  <w:r w:rsidRPr="005368AA">
                    <w:t>High school graduate</w:t>
                  </w:r>
                </w:p>
              </w:tc>
              <w:tc>
                <w:tcPr>
                  <w:tcW w:w="677" w:type="pct"/>
                  <w:vAlign w:val="bottom"/>
                </w:tcPr>
                <w:p w14:paraId="3AFCA1D0" w14:textId="77777777" w:rsidR="009C6940" w:rsidRPr="00DF5CF3" w:rsidRDefault="009C6940" w:rsidP="009C6940">
                  <w:pPr>
                    <w:pStyle w:val="TableBodyText"/>
                  </w:pPr>
                  <w:r w:rsidRPr="00DF5CF3">
                    <w:t>0.014</w:t>
                  </w:r>
                </w:p>
              </w:tc>
              <w:tc>
                <w:tcPr>
                  <w:tcW w:w="677" w:type="pct"/>
                  <w:vAlign w:val="bottom"/>
                </w:tcPr>
                <w:p w14:paraId="08D878AA" w14:textId="77777777" w:rsidR="009C6940" w:rsidRPr="00DF5CF3" w:rsidRDefault="009C6940" w:rsidP="009C6940">
                  <w:pPr>
                    <w:pStyle w:val="TableBodyText"/>
                  </w:pPr>
                  <w:r w:rsidRPr="00DF5CF3">
                    <w:t>0.006</w:t>
                  </w:r>
                </w:p>
              </w:tc>
              <w:tc>
                <w:tcPr>
                  <w:tcW w:w="762" w:type="pct"/>
                  <w:vAlign w:val="bottom"/>
                </w:tcPr>
                <w:p w14:paraId="7399CBE6" w14:textId="77777777" w:rsidR="009C6940" w:rsidRPr="00DF5CF3" w:rsidRDefault="009C6940" w:rsidP="009C6940">
                  <w:pPr>
                    <w:pStyle w:val="TableBodyText"/>
                  </w:pPr>
                  <w:r w:rsidRPr="00DF5CF3">
                    <w:t>0.004</w:t>
                  </w:r>
                </w:p>
              </w:tc>
              <w:tc>
                <w:tcPr>
                  <w:tcW w:w="708" w:type="pct"/>
                  <w:vAlign w:val="bottom"/>
                </w:tcPr>
                <w:p w14:paraId="6E3034F5" w14:textId="77777777" w:rsidR="009C6940" w:rsidRPr="00DF5CF3" w:rsidRDefault="009C6940" w:rsidP="009C6940">
                  <w:pPr>
                    <w:pStyle w:val="TableBodyText"/>
                  </w:pPr>
                  <w:r w:rsidRPr="00DF5CF3">
                    <w:t>0.014</w:t>
                  </w:r>
                </w:p>
              </w:tc>
              <w:tc>
                <w:tcPr>
                  <w:tcW w:w="822" w:type="pct"/>
                  <w:vAlign w:val="bottom"/>
                </w:tcPr>
                <w:p w14:paraId="4A6C8554" w14:textId="77777777" w:rsidR="009C6940" w:rsidRPr="00DF5CF3" w:rsidRDefault="009C6940" w:rsidP="009C6940">
                  <w:pPr>
                    <w:pStyle w:val="TableBodyText"/>
                    <w:ind w:right="11"/>
                  </w:pPr>
                  <w:r w:rsidRPr="00DF5CF3">
                    <w:t>0.024</w:t>
                  </w:r>
                </w:p>
              </w:tc>
            </w:tr>
            <w:tr w:rsidR="009C6940" w14:paraId="3CE2101C" w14:textId="77777777" w:rsidTr="009C6940">
              <w:tc>
                <w:tcPr>
                  <w:tcW w:w="1354" w:type="pct"/>
                  <w:vAlign w:val="bottom"/>
                </w:tcPr>
                <w:p w14:paraId="00EDA24A" w14:textId="77777777" w:rsidR="009C6940" w:rsidRDefault="009C6940" w:rsidP="009C6940">
                  <w:pPr>
                    <w:pStyle w:val="TableBodyText"/>
                    <w:jc w:val="left"/>
                  </w:pPr>
                  <w:r w:rsidRPr="005368AA">
                    <w:t>Married</w:t>
                  </w:r>
                </w:p>
              </w:tc>
              <w:tc>
                <w:tcPr>
                  <w:tcW w:w="677" w:type="pct"/>
                  <w:vAlign w:val="bottom"/>
                </w:tcPr>
                <w:p w14:paraId="37779A52" w14:textId="77777777" w:rsidR="009C6940" w:rsidRPr="00DF5CF3" w:rsidRDefault="009C6940" w:rsidP="009C6940">
                  <w:pPr>
                    <w:pStyle w:val="TableBodyText"/>
                  </w:pPr>
                  <w:r w:rsidRPr="00DF5CF3">
                    <w:t>-0.029</w:t>
                  </w:r>
                </w:p>
              </w:tc>
              <w:tc>
                <w:tcPr>
                  <w:tcW w:w="677" w:type="pct"/>
                  <w:vAlign w:val="bottom"/>
                </w:tcPr>
                <w:p w14:paraId="0268006E" w14:textId="77777777" w:rsidR="009C6940" w:rsidRPr="00DF5CF3" w:rsidRDefault="009C6940" w:rsidP="009C6940">
                  <w:pPr>
                    <w:pStyle w:val="TableBodyText"/>
                  </w:pPr>
                  <w:r w:rsidRPr="00DF5CF3">
                    <w:t>0.016</w:t>
                  </w:r>
                </w:p>
              </w:tc>
              <w:tc>
                <w:tcPr>
                  <w:tcW w:w="762" w:type="pct"/>
                  <w:vAlign w:val="bottom"/>
                </w:tcPr>
                <w:p w14:paraId="6AE52339" w14:textId="77777777" w:rsidR="009C6940" w:rsidRPr="00DF5CF3" w:rsidRDefault="009C6940" w:rsidP="009C6940">
                  <w:pPr>
                    <w:pStyle w:val="TableBodyText"/>
                  </w:pPr>
                  <w:r w:rsidRPr="00DF5CF3">
                    <w:t>-0.056</w:t>
                  </w:r>
                </w:p>
              </w:tc>
              <w:tc>
                <w:tcPr>
                  <w:tcW w:w="708" w:type="pct"/>
                  <w:vAlign w:val="bottom"/>
                </w:tcPr>
                <w:p w14:paraId="73852270" w14:textId="77777777" w:rsidR="009C6940" w:rsidRPr="00DF5CF3" w:rsidRDefault="009C6940" w:rsidP="009C6940">
                  <w:pPr>
                    <w:pStyle w:val="TableBodyText"/>
                  </w:pPr>
                  <w:r w:rsidRPr="00DF5CF3">
                    <w:t>-0.028</w:t>
                  </w:r>
                </w:p>
              </w:tc>
              <w:tc>
                <w:tcPr>
                  <w:tcW w:w="822" w:type="pct"/>
                  <w:vAlign w:val="bottom"/>
                </w:tcPr>
                <w:p w14:paraId="558726A3" w14:textId="77777777" w:rsidR="009C6940" w:rsidRPr="00DF5CF3" w:rsidRDefault="009C6940" w:rsidP="009C6940">
                  <w:pPr>
                    <w:pStyle w:val="TableBodyText"/>
                    <w:ind w:right="11"/>
                  </w:pPr>
                  <w:r w:rsidRPr="00DF5CF3">
                    <w:t>-0.005</w:t>
                  </w:r>
                </w:p>
              </w:tc>
            </w:tr>
            <w:tr w:rsidR="009C6940" w14:paraId="07F0A4B5" w14:textId="77777777" w:rsidTr="009C6940">
              <w:tc>
                <w:tcPr>
                  <w:tcW w:w="1354" w:type="pct"/>
                  <w:vAlign w:val="bottom"/>
                </w:tcPr>
                <w:p w14:paraId="4790D44B" w14:textId="77777777" w:rsidR="009C6940" w:rsidRDefault="009C6940" w:rsidP="009C6940">
                  <w:pPr>
                    <w:pStyle w:val="TableBodyText"/>
                    <w:jc w:val="left"/>
                  </w:pPr>
                  <w:r w:rsidRPr="005368AA">
                    <w:t>Divorced</w:t>
                  </w:r>
                </w:p>
              </w:tc>
              <w:tc>
                <w:tcPr>
                  <w:tcW w:w="677" w:type="pct"/>
                  <w:vAlign w:val="bottom"/>
                </w:tcPr>
                <w:p w14:paraId="1A2D1E16" w14:textId="77777777" w:rsidR="009C6940" w:rsidRPr="00DF5CF3" w:rsidRDefault="009C6940" w:rsidP="009C6940">
                  <w:pPr>
                    <w:pStyle w:val="TableBodyText"/>
                  </w:pPr>
                  <w:r w:rsidRPr="00DF5CF3">
                    <w:t>-0.020</w:t>
                  </w:r>
                </w:p>
              </w:tc>
              <w:tc>
                <w:tcPr>
                  <w:tcW w:w="677" w:type="pct"/>
                  <w:vAlign w:val="bottom"/>
                </w:tcPr>
                <w:p w14:paraId="4FE7E77E" w14:textId="77777777" w:rsidR="009C6940" w:rsidRPr="00DF5CF3" w:rsidRDefault="009C6940" w:rsidP="009C6940">
                  <w:pPr>
                    <w:pStyle w:val="TableBodyText"/>
                  </w:pPr>
                  <w:r w:rsidRPr="00DF5CF3">
                    <w:t>0.007</w:t>
                  </w:r>
                </w:p>
              </w:tc>
              <w:tc>
                <w:tcPr>
                  <w:tcW w:w="762" w:type="pct"/>
                  <w:vAlign w:val="bottom"/>
                </w:tcPr>
                <w:p w14:paraId="0EA89AC7" w14:textId="77777777" w:rsidR="009C6940" w:rsidRPr="00DF5CF3" w:rsidRDefault="009C6940" w:rsidP="009C6940">
                  <w:pPr>
                    <w:pStyle w:val="TableBodyText"/>
                  </w:pPr>
                  <w:r w:rsidRPr="00DF5CF3">
                    <w:t>-0.032</w:t>
                  </w:r>
                </w:p>
              </w:tc>
              <w:tc>
                <w:tcPr>
                  <w:tcW w:w="708" w:type="pct"/>
                  <w:vAlign w:val="bottom"/>
                </w:tcPr>
                <w:p w14:paraId="75467B23" w14:textId="77777777" w:rsidR="009C6940" w:rsidRPr="00DF5CF3" w:rsidRDefault="009C6940" w:rsidP="009C6940">
                  <w:pPr>
                    <w:pStyle w:val="TableBodyText"/>
                  </w:pPr>
                  <w:r w:rsidRPr="00DF5CF3">
                    <w:t>-0.020</w:t>
                  </w:r>
                </w:p>
              </w:tc>
              <w:tc>
                <w:tcPr>
                  <w:tcW w:w="822" w:type="pct"/>
                  <w:vAlign w:val="bottom"/>
                </w:tcPr>
                <w:p w14:paraId="2BEEEC6C" w14:textId="77777777" w:rsidR="009C6940" w:rsidRPr="00DF5CF3" w:rsidRDefault="009C6940" w:rsidP="009C6940">
                  <w:pPr>
                    <w:pStyle w:val="TableBodyText"/>
                    <w:ind w:right="11"/>
                  </w:pPr>
                  <w:r w:rsidRPr="00DF5CF3">
                    <w:t>-0.009</w:t>
                  </w:r>
                </w:p>
              </w:tc>
            </w:tr>
            <w:tr w:rsidR="009C6940" w14:paraId="378D662F" w14:textId="77777777" w:rsidTr="009C6940">
              <w:tc>
                <w:tcPr>
                  <w:tcW w:w="1354" w:type="pct"/>
                  <w:vAlign w:val="bottom"/>
                </w:tcPr>
                <w:p w14:paraId="35EB7372" w14:textId="77777777" w:rsidR="009C6940" w:rsidRDefault="009C6940" w:rsidP="009C6940">
                  <w:pPr>
                    <w:pStyle w:val="TableBodyText"/>
                    <w:jc w:val="left"/>
                  </w:pPr>
                  <w:r w:rsidRPr="005368AA">
                    <w:t>Vic</w:t>
                  </w:r>
                </w:p>
              </w:tc>
              <w:tc>
                <w:tcPr>
                  <w:tcW w:w="677" w:type="pct"/>
                  <w:vAlign w:val="bottom"/>
                </w:tcPr>
                <w:p w14:paraId="24B89F07" w14:textId="77777777" w:rsidR="009C6940" w:rsidRPr="00DF5CF3" w:rsidRDefault="009C6940" w:rsidP="009C6940">
                  <w:pPr>
                    <w:pStyle w:val="TableBodyText"/>
                  </w:pPr>
                  <w:r w:rsidRPr="00DF5CF3">
                    <w:t>-0.004</w:t>
                  </w:r>
                </w:p>
              </w:tc>
              <w:tc>
                <w:tcPr>
                  <w:tcW w:w="677" w:type="pct"/>
                  <w:vAlign w:val="bottom"/>
                </w:tcPr>
                <w:p w14:paraId="59B99560" w14:textId="77777777" w:rsidR="009C6940" w:rsidRPr="00DF5CF3" w:rsidRDefault="009C6940" w:rsidP="009C6940">
                  <w:pPr>
                    <w:pStyle w:val="TableBodyText"/>
                  </w:pPr>
                  <w:r w:rsidRPr="00DF5CF3">
                    <w:t>0.006</w:t>
                  </w:r>
                </w:p>
              </w:tc>
              <w:tc>
                <w:tcPr>
                  <w:tcW w:w="762" w:type="pct"/>
                  <w:vAlign w:val="bottom"/>
                </w:tcPr>
                <w:p w14:paraId="3FA468CE" w14:textId="77777777" w:rsidR="009C6940" w:rsidRPr="00DF5CF3" w:rsidRDefault="009C6940" w:rsidP="009C6940">
                  <w:pPr>
                    <w:pStyle w:val="TableBodyText"/>
                  </w:pPr>
                  <w:r w:rsidRPr="00DF5CF3">
                    <w:t>-0.013</w:t>
                  </w:r>
                </w:p>
              </w:tc>
              <w:tc>
                <w:tcPr>
                  <w:tcW w:w="708" w:type="pct"/>
                  <w:vAlign w:val="bottom"/>
                </w:tcPr>
                <w:p w14:paraId="21557404" w14:textId="77777777" w:rsidR="009C6940" w:rsidRPr="00DF5CF3" w:rsidRDefault="009C6940" w:rsidP="009C6940">
                  <w:pPr>
                    <w:pStyle w:val="TableBodyText"/>
                  </w:pPr>
                  <w:r w:rsidRPr="00DF5CF3">
                    <w:t>-0.004</w:t>
                  </w:r>
                </w:p>
              </w:tc>
              <w:tc>
                <w:tcPr>
                  <w:tcW w:w="822" w:type="pct"/>
                  <w:vAlign w:val="bottom"/>
                </w:tcPr>
                <w:p w14:paraId="66507460" w14:textId="77777777" w:rsidR="009C6940" w:rsidRPr="00DF5CF3" w:rsidRDefault="009C6940" w:rsidP="009C6940">
                  <w:pPr>
                    <w:pStyle w:val="TableBodyText"/>
                    <w:ind w:right="11"/>
                  </w:pPr>
                  <w:r w:rsidRPr="00DF5CF3">
                    <w:t>0.006</w:t>
                  </w:r>
                </w:p>
              </w:tc>
            </w:tr>
            <w:tr w:rsidR="009C6940" w14:paraId="59CAE150" w14:textId="77777777" w:rsidTr="009C6940">
              <w:tc>
                <w:tcPr>
                  <w:tcW w:w="1354" w:type="pct"/>
                  <w:vAlign w:val="bottom"/>
                </w:tcPr>
                <w:p w14:paraId="4695F4B6" w14:textId="77777777" w:rsidR="009C6940" w:rsidRDefault="009C6940" w:rsidP="009C6940">
                  <w:pPr>
                    <w:pStyle w:val="TableBodyText"/>
                    <w:jc w:val="left"/>
                  </w:pPr>
                  <w:r w:rsidRPr="005368AA">
                    <w:t>Qld</w:t>
                  </w:r>
                </w:p>
              </w:tc>
              <w:tc>
                <w:tcPr>
                  <w:tcW w:w="677" w:type="pct"/>
                  <w:vAlign w:val="bottom"/>
                </w:tcPr>
                <w:p w14:paraId="01D9C994" w14:textId="77777777" w:rsidR="009C6940" w:rsidRPr="00DF5CF3" w:rsidRDefault="009C6940" w:rsidP="009C6940">
                  <w:pPr>
                    <w:pStyle w:val="TableBodyText"/>
                  </w:pPr>
                  <w:r w:rsidRPr="00DF5CF3">
                    <w:t>-0.012</w:t>
                  </w:r>
                </w:p>
              </w:tc>
              <w:tc>
                <w:tcPr>
                  <w:tcW w:w="677" w:type="pct"/>
                  <w:vAlign w:val="bottom"/>
                </w:tcPr>
                <w:p w14:paraId="1B16F5FB" w14:textId="77777777" w:rsidR="009C6940" w:rsidRPr="00DF5CF3" w:rsidRDefault="009C6940" w:rsidP="009C6940">
                  <w:pPr>
                    <w:pStyle w:val="TableBodyText"/>
                  </w:pPr>
                  <w:r w:rsidRPr="00DF5CF3">
                    <w:t>0.005</w:t>
                  </w:r>
                </w:p>
              </w:tc>
              <w:tc>
                <w:tcPr>
                  <w:tcW w:w="762" w:type="pct"/>
                  <w:vAlign w:val="bottom"/>
                </w:tcPr>
                <w:p w14:paraId="5AE74F0A" w14:textId="77777777" w:rsidR="009C6940" w:rsidRPr="00DF5CF3" w:rsidRDefault="009C6940" w:rsidP="009C6940">
                  <w:pPr>
                    <w:pStyle w:val="TableBodyText"/>
                  </w:pPr>
                  <w:r w:rsidRPr="00DF5CF3">
                    <w:t>-0.020</w:t>
                  </w:r>
                </w:p>
              </w:tc>
              <w:tc>
                <w:tcPr>
                  <w:tcW w:w="708" w:type="pct"/>
                  <w:vAlign w:val="bottom"/>
                </w:tcPr>
                <w:p w14:paraId="76D00D98" w14:textId="77777777" w:rsidR="009C6940" w:rsidRPr="00DF5CF3" w:rsidRDefault="009C6940" w:rsidP="009C6940">
                  <w:pPr>
                    <w:pStyle w:val="TableBodyText"/>
                  </w:pPr>
                  <w:r w:rsidRPr="00DF5CF3">
                    <w:t>-0.012</w:t>
                  </w:r>
                </w:p>
              </w:tc>
              <w:tc>
                <w:tcPr>
                  <w:tcW w:w="822" w:type="pct"/>
                  <w:vAlign w:val="bottom"/>
                </w:tcPr>
                <w:p w14:paraId="26A66DB1" w14:textId="77777777" w:rsidR="009C6940" w:rsidRPr="00DF5CF3" w:rsidRDefault="009C6940" w:rsidP="009C6940">
                  <w:pPr>
                    <w:pStyle w:val="TableBodyText"/>
                    <w:ind w:right="11"/>
                  </w:pPr>
                  <w:r w:rsidRPr="00DF5CF3">
                    <w:t>-0.003</w:t>
                  </w:r>
                </w:p>
              </w:tc>
            </w:tr>
            <w:tr w:rsidR="009C6940" w14:paraId="72FFEBCF" w14:textId="77777777" w:rsidTr="009C6940">
              <w:tc>
                <w:tcPr>
                  <w:tcW w:w="1354" w:type="pct"/>
                  <w:vAlign w:val="bottom"/>
                </w:tcPr>
                <w:p w14:paraId="573294E0" w14:textId="77777777" w:rsidR="009C6940" w:rsidRDefault="009C6940" w:rsidP="009C6940">
                  <w:pPr>
                    <w:pStyle w:val="TableBodyText"/>
                    <w:jc w:val="left"/>
                  </w:pPr>
                  <w:r w:rsidRPr="005368AA">
                    <w:t>SA</w:t>
                  </w:r>
                </w:p>
              </w:tc>
              <w:tc>
                <w:tcPr>
                  <w:tcW w:w="677" w:type="pct"/>
                  <w:vAlign w:val="bottom"/>
                </w:tcPr>
                <w:p w14:paraId="4A8634E9" w14:textId="77777777" w:rsidR="009C6940" w:rsidRPr="00DF5CF3" w:rsidRDefault="009C6940" w:rsidP="009C6940">
                  <w:pPr>
                    <w:pStyle w:val="TableBodyText"/>
                  </w:pPr>
                  <w:r w:rsidRPr="00DF5CF3">
                    <w:t>-0.008</w:t>
                  </w:r>
                </w:p>
              </w:tc>
              <w:tc>
                <w:tcPr>
                  <w:tcW w:w="677" w:type="pct"/>
                  <w:vAlign w:val="bottom"/>
                </w:tcPr>
                <w:p w14:paraId="19A898D4" w14:textId="77777777" w:rsidR="009C6940" w:rsidRPr="00DF5CF3" w:rsidRDefault="009C6940" w:rsidP="009C6940">
                  <w:pPr>
                    <w:pStyle w:val="TableBodyText"/>
                  </w:pPr>
                  <w:r w:rsidRPr="00DF5CF3">
                    <w:t>0.007</w:t>
                  </w:r>
                </w:p>
              </w:tc>
              <w:tc>
                <w:tcPr>
                  <w:tcW w:w="762" w:type="pct"/>
                  <w:vAlign w:val="bottom"/>
                </w:tcPr>
                <w:p w14:paraId="73FBA9BF" w14:textId="77777777" w:rsidR="009C6940" w:rsidRPr="00DF5CF3" w:rsidRDefault="009C6940" w:rsidP="009C6940">
                  <w:pPr>
                    <w:pStyle w:val="TableBodyText"/>
                  </w:pPr>
                  <w:r w:rsidRPr="00DF5CF3">
                    <w:t>-0.019</w:t>
                  </w:r>
                </w:p>
              </w:tc>
              <w:tc>
                <w:tcPr>
                  <w:tcW w:w="708" w:type="pct"/>
                  <w:vAlign w:val="bottom"/>
                </w:tcPr>
                <w:p w14:paraId="18ABEF16" w14:textId="77777777" w:rsidR="009C6940" w:rsidRPr="00DF5CF3" w:rsidRDefault="009C6940" w:rsidP="009C6940">
                  <w:pPr>
                    <w:pStyle w:val="TableBodyText"/>
                  </w:pPr>
                  <w:r w:rsidRPr="00DF5CF3">
                    <w:t>-0.008</w:t>
                  </w:r>
                </w:p>
              </w:tc>
              <w:tc>
                <w:tcPr>
                  <w:tcW w:w="822" w:type="pct"/>
                  <w:vAlign w:val="bottom"/>
                </w:tcPr>
                <w:p w14:paraId="16FFEBA6" w14:textId="77777777" w:rsidR="009C6940" w:rsidRPr="00DF5CF3" w:rsidRDefault="009C6940" w:rsidP="009C6940">
                  <w:pPr>
                    <w:pStyle w:val="TableBodyText"/>
                    <w:ind w:right="11"/>
                  </w:pPr>
                  <w:r w:rsidRPr="00DF5CF3">
                    <w:t>0.003</w:t>
                  </w:r>
                </w:p>
              </w:tc>
            </w:tr>
            <w:tr w:rsidR="009C6940" w14:paraId="348F4C56" w14:textId="77777777" w:rsidTr="009C6940">
              <w:tc>
                <w:tcPr>
                  <w:tcW w:w="1354" w:type="pct"/>
                  <w:vAlign w:val="bottom"/>
                </w:tcPr>
                <w:p w14:paraId="5F06605B" w14:textId="77777777" w:rsidR="009C6940" w:rsidRDefault="009C6940" w:rsidP="009C6940">
                  <w:pPr>
                    <w:pStyle w:val="TableBodyText"/>
                    <w:jc w:val="left"/>
                  </w:pPr>
                  <w:r w:rsidRPr="005368AA">
                    <w:t>WA</w:t>
                  </w:r>
                </w:p>
              </w:tc>
              <w:tc>
                <w:tcPr>
                  <w:tcW w:w="677" w:type="pct"/>
                  <w:vAlign w:val="bottom"/>
                </w:tcPr>
                <w:p w14:paraId="12AB5C27" w14:textId="77777777" w:rsidR="009C6940" w:rsidRPr="00DF5CF3" w:rsidRDefault="009C6940" w:rsidP="009C6940">
                  <w:pPr>
                    <w:pStyle w:val="TableBodyText"/>
                  </w:pPr>
                  <w:r w:rsidRPr="00DF5CF3">
                    <w:t>-0.018</w:t>
                  </w:r>
                </w:p>
              </w:tc>
              <w:tc>
                <w:tcPr>
                  <w:tcW w:w="677" w:type="pct"/>
                  <w:vAlign w:val="bottom"/>
                </w:tcPr>
                <w:p w14:paraId="52FAF685" w14:textId="77777777" w:rsidR="009C6940" w:rsidRPr="00DF5CF3" w:rsidRDefault="009C6940" w:rsidP="009C6940">
                  <w:pPr>
                    <w:pStyle w:val="TableBodyText"/>
                  </w:pPr>
                  <w:r w:rsidRPr="00DF5CF3">
                    <w:t>0.006</w:t>
                  </w:r>
                </w:p>
              </w:tc>
              <w:tc>
                <w:tcPr>
                  <w:tcW w:w="762" w:type="pct"/>
                  <w:vAlign w:val="bottom"/>
                </w:tcPr>
                <w:p w14:paraId="00D0288F" w14:textId="77777777" w:rsidR="009C6940" w:rsidRPr="00DF5CF3" w:rsidRDefault="009C6940" w:rsidP="009C6940">
                  <w:pPr>
                    <w:pStyle w:val="TableBodyText"/>
                  </w:pPr>
                  <w:r w:rsidRPr="00DF5CF3">
                    <w:t>-0.027</w:t>
                  </w:r>
                </w:p>
              </w:tc>
              <w:tc>
                <w:tcPr>
                  <w:tcW w:w="708" w:type="pct"/>
                  <w:vAlign w:val="bottom"/>
                </w:tcPr>
                <w:p w14:paraId="4CB09A10" w14:textId="77777777" w:rsidR="009C6940" w:rsidRPr="00DF5CF3" w:rsidRDefault="009C6940" w:rsidP="009C6940">
                  <w:pPr>
                    <w:pStyle w:val="TableBodyText"/>
                  </w:pPr>
                  <w:r w:rsidRPr="00DF5CF3">
                    <w:t>-0.018</w:t>
                  </w:r>
                </w:p>
              </w:tc>
              <w:tc>
                <w:tcPr>
                  <w:tcW w:w="822" w:type="pct"/>
                  <w:vAlign w:val="bottom"/>
                </w:tcPr>
                <w:p w14:paraId="2E1346C9" w14:textId="77777777" w:rsidR="009C6940" w:rsidRPr="00DF5CF3" w:rsidRDefault="009C6940" w:rsidP="009C6940">
                  <w:pPr>
                    <w:pStyle w:val="TableBodyText"/>
                    <w:ind w:right="11"/>
                  </w:pPr>
                  <w:r w:rsidRPr="00DF5CF3">
                    <w:t>-0.008</w:t>
                  </w:r>
                </w:p>
              </w:tc>
            </w:tr>
            <w:tr w:rsidR="009C6940" w14:paraId="2BF4EDC6" w14:textId="77777777" w:rsidTr="009C6940">
              <w:tc>
                <w:tcPr>
                  <w:tcW w:w="1354" w:type="pct"/>
                  <w:vAlign w:val="bottom"/>
                </w:tcPr>
                <w:p w14:paraId="7870455F" w14:textId="77777777" w:rsidR="009C6940" w:rsidRDefault="009C6940" w:rsidP="009C6940">
                  <w:pPr>
                    <w:pStyle w:val="TableBodyText"/>
                    <w:jc w:val="left"/>
                  </w:pPr>
                  <w:r w:rsidRPr="005368AA">
                    <w:t>Tas</w:t>
                  </w:r>
                </w:p>
              </w:tc>
              <w:tc>
                <w:tcPr>
                  <w:tcW w:w="677" w:type="pct"/>
                  <w:vAlign w:val="bottom"/>
                </w:tcPr>
                <w:p w14:paraId="06224E51" w14:textId="77777777" w:rsidR="009C6940" w:rsidRPr="00DF5CF3" w:rsidRDefault="009C6940" w:rsidP="009C6940">
                  <w:pPr>
                    <w:pStyle w:val="TableBodyText"/>
                  </w:pPr>
                  <w:r w:rsidRPr="00DF5CF3">
                    <w:t>-0.021</w:t>
                  </w:r>
                </w:p>
              </w:tc>
              <w:tc>
                <w:tcPr>
                  <w:tcW w:w="677" w:type="pct"/>
                  <w:vAlign w:val="bottom"/>
                </w:tcPr>
                <w:p w14:paraId="6D233631" w14:textId="77777777" w:rsidR="009C6940" w:rsidRPr="00DF5CF3" w:rsidRDefault="009C6940" w:rsidP="009C6940">
                  <w:pPr>
                    <w:pStyle w:val="TableBodyText"/>
                  </w:pPr>
                  <w:r w:rsidRPr="00DF5CF3">
                    <w:t>0.012</w:t>
                  </w:r>
                </w:p>
              </w:tc>
              <w:tc>
                <w:tcPr>
                  <w:tcW w:w="762" w:type="pct"/>
                  <w:vAlign w:val="bottom"/>
                </w:tcPr>
                <w:p w14:paraId="7AE2DB8D" w14:textId="77777777" w:rsidR="009C6940" w:rsidRPr="00DF5CF3" w:rsidRDefault="009C6940" w:rsidP="009C6940">
                  <w:pPr>
                    <w:pStyle w:val="TableBodyText"/>
                  </w:pPr>
                  <w:r w:rsidRPr="00DF5CF3">
                    <w:t>-0.040</w:t>
                  </w:r>
                </w:p>
              </w:tc>
              <w:tc>
                <w:tcPr>
                  <w:tcW w:w="708" w:type="pct"/>
                  <w:vAlign w:val="bottom"/>
                </w:tcPr>
                <w:p w14:paraId="6C0DA3D6" w14:textId="77777777" w:rsidR="009C6940" w:rsidRPr="00DF5CF3" w:rsidRDefault="009C6940" w:rsidP="009C6940">
                  <w:pPr>
                    <w:pStyle w:val="TableBodyText"/>
                  </w:pPr>
                  <w:r w:rsidRPr="00DF5CF3">
                    <w:t>-0.021</w:t>
                  </w:r>
                </w:p>
              </w:tc>
              <w:tc>
                <w:tcPr>
                  <w:tcW w:w="822" w:type="pct"/>
                  <w:vAlign w:val="bottom"/>
                </w:tcPr>
                <w:p w14:paraId="62532D12" w14:textId="77777777" w:rsidR="009C6940" w:rsidRPr="00DF5CF3" w:rsidRDefault="009C6940" w:rsidP="009C6940">
                  <w:pPr>
                    <w:pStyle w:val="TableBodyText"/>
                    <w:ind w:right="11"/>
                  </w:pPr>
                  <w:r w:rsidRPr="00DF5CF3">
                    <w:t>0.001</w:t>
                  </w:r>
                </w:p>
              </w:tc>
            </w:tr>
            <w:tr w:rsidR="009C6940" w14:paraId="2218BC53" w14:textId="77777777" w:rsidTr="009C6940">
              <w:tc>
                <w:tcPr>
                  <w:tcW w:w="1354" w:type="pct"/>
                  <w:vAlign w:val="bottom"/>
                </w:tcPr>
                <w:p w14:paraId="6E527D6C" w14:textId="77777777" w:rsidR="009C6940" w:rsidRDefault="009C6940" w:rsidP="009C6940">
                  <w:pPr>
                    <w:pStyle w:val="TableBodyText"/>
                    <w:jc w:val="left"/>
                  </w:pPr>
                  <w:r w:rsidRPr="005368AA">
                    <w:t>NT</w:t>
                  </w:r>
                </w:p>
              </w:tc>
              <w:tc>
                <w:tcPr>
                  <w:tcW w:w="677" w:type="pct"/>
                  <w:vAlign w:val="bottom"/>
                </w:tcPr>
                <w:p w14:paraId="6DA296C9" w14:textId="77777777" w:rsidR="009C6940" w:rsidRPr="00DF5CF3" w:rsidRDefault="009C6940" w:rsidP="009C6940">
                  <w:pPr>
                    <w:pStyle w:val="TableBodyText"/>
                  </w:pPr>
                  <w:r w:rsidRPr="00DF5CF3">
                    <w:t>0.051</w:t>
                  </w:r>
                </w:p>
              </w:tc>
              <w:tc>
                <w:tcPr>
                  <w:tcW w:w="677" w:type="pct"/>
                  <w:vAlign w:val="bottom"/>
                </w:tcPr>
                <w:p w14:paraId="117F9548" w14:textId="77777777" w:rsidR="009C6940" w:rsidRPr="00DF5CF3" w:rsidRDefault="009C6940" w:rsidP="009C6940">
                  <w:pPr>
                    <w:pStyle w:val="TableBodyText"/>
                  </w:pPr>
                  <w:r w:rsidRPr="00DF5CF3">
                    <w:t>0.017</w:t>
                  </w:r>
                </w:p>
              </w:tc>
              <w:tc>
                <w:tcPr>
                  <w:tcW w:w="762" w:type="pct"/>
                  <w:vAlign w:val="bottom"/>
                </w:tcPr>
                <w:p w14:paraId="668EB329" w14:textId="77777777" w:rsidR="009C6940" w:rsidRPr="00DF5CF3" w:rsidRDefault="009C6940" w:rsidP="009C6940">
                  <w:pPr>
                    <w:pStyle w:val="TableBodyText"/>
                  </w:pPr>
                  <w:r w:rsidRPr="00DF5CF3">
                    <w:t>0.021</w:t>
                  </w:r>
                </w:p>
              </w:tc>
              <w:tc>
                <w:tcPr>
                  <w:tcW w:w="708" w:type="pct"/>
                  <w:vAlign w:val="bottom"/>
                </w:tcPr>
                <w:p w14:paraId="0B7C1B17" w14:textId="77777777" w:rsidR="009C6940" w:rsidRPr="00DF5CF3" w:rsidRDefault="009C6940" w:rsidP="009C6940">
                  <w:pPr>
                    <w:pStyle w:val="TableBodyText"/>
                  </w:pPr>
                  <w:r w:rsidRPr="00DF5CF3">
                    <w:t>0.050</w:t>
                  </w:r>
                </w:p>
              </w:tc>
              <w:tc>
                <w:tcPr>
                  <w:tcW w:w="822" w:type="pct"/>
                  <w:vAlign w:val="bottom"/>
                </w:tcPr>
                <w:p w14:paraId="33280A1D" w14:textId="77777777" w:rsidR="009C6940" w:rsidRPr="00DF5CF3" w:rsidRDefault="009C6940" w:rsidP="009C6940">
                  <w:pPr>
                    <w:pStyle w:val="TableBodyText"/>
                    <w:ind w:right="11"/>
                  </w:pPr>
                  <w:r w:rsidRPr="00DF5CF3">
                    <w:t>0.079</w:t>
                  </w:r>
                </w:p>
              </w:tc>
            </w:tr>
            <w:tr w:rsidR="009C6940" w14:paraId="4427B52B" w14:textId="77777777" w:rsidTr="009C6940">
              <w:tc>
                <w:tcPr>
                  <w:tcW w:w="1354" w:type="pct"/>
                  <w:vAlign w:val="bottom"/>
                </w:tcPr>
                <w:p w14:paraId="29FD8210" w14:textId="77777777" w:rsidR="009C6940" w:rsidRDefault="009C6940" w:rsidP="009C6940">
                  <w:pPr>
                    <w:pStyle w:val="TableBodyText"/>
                    <w:jc w:val="left"/>
                  </w:pPr>
                  <w:r w:rsidRPr="005368AA">
                    <w:t>ACT</w:t>
                  </w:r>
                </w:p>
              </w:tc>
              <w:tc>
                <w:tcPr>
                  <w:tcW w:w="677" w:type="pct"/>
                  <w:vAlign w:val="bottom"/>
                </w:tcPr>
                <w:p w14:paraId="7D736558" w14:textId="77777777" w:rsidR="009C6940" w:rsidRPr="00DF5CF3" w:rsidRDefault="009C6940" w:rsidP="009C6940">
                  <w:pPr>
                    <w:pStyle w:val="TableBodyText"/>
                  </w:pPr>
                  <w:r w:rsidRPr="00DF5CF3">
                    <w:t>0.003</w:t>
                  </w:r>
                </w:p>
              </w:tc>
              <w:tc>
                <w:tcPr>
                  <w:tcW w:w="677" w:type="pct"/>
                  <w:vAlign w:val="bottom"/>
                </w:tcPr>
                <w:p w14:paraId="4F03D063" w14:textId="77777777" w:rsidR="009C6940" w:rsidRPr="00DF5CF3" w:rsidRDefault="009C6940" w:rsidP="009C6940">
                  <w:pPr>
                    <w:pStyle w:val="TableBodyText"/>
                  </w:pPr>
                  <w:r w:rsidRPr="00DF5CF3">
                    <w:t>0.012</w:t>
                  </w:r>
                </w:p>
              </w:tc>
              <w:tc>
                <w:tcPr>
                  <w:tcW w:w="762" w:type="pct"/>
                  <w:vAlign w:val="bottom"/>
                </w:tcPr>
                <w:p w14:paraId="605E43B3" w14:textId="77777777" w:rsidR="009C6940" w:rsidRPr="00DF5CF3" w:rsidRDefault="009C6940" w:rsidP="009C6940">
                  <w:pPr>
                    <w:pStyle w:val="TableBodyText"/>
                  </w:pPr>
                  <w:r w:rsidRPr="00DF5CF3">
                    <w:t>-0.017</w:t>
                  </w:r>
                </w:p>
              </w:tc>
              <w:tc>
                <w:tcPr>
                  <w:tcW w:w="708" w:type="pct"/>
                  <w:vAlign w:val="bottom"/>
                </w:tcPr>
                <w:p w14:paraId="1B580CC9" w14:textId="77777777" w:rsidR="009C6940" w:rsidRPr="00DF5CF3" w:rsidRDefault="009C6940" w:rsidP="009C6940">
                  <w:pPr>
                    <w:pStyle w:val="TableBodyText"/>
                  </w:pPr>
                  <w:r w:rsidRPr="00DF5CF3">
                    <w:t>0.003</w:t>
                  </w:r>
                </w:p>
              </w:tc>
              <w:tc>
                <w:tcPr>
                  <w:tcW w:w="822" w:type="pct"/>
                  <w:vAlign w:val="bottom"/>
                </w:tcPr>
                <w:p w14:paraId="1BEF3DEF" w14:textId="77777777" w:rsidR="009C6940" w:rsidRPr="00DF5CF3" w:rsidRDefault="009C6940" w:rsidP="009C6940">
                  <w:pPr>
                    <w:pStyle w:val="TableBodyText"/>
                    <w:ind w:right="11"/>
                  </w:pPr>
                  <w:r w:rsidRPr="00DF5CF3">
                    <w:t>0.023</w:t>
                  </w:r>
                </w:p>
              </w:tc>
            </w:tr>
            <w:tr w:rsidR="009C6940" w14:paraId="749CF484" w14:textId="77777777" w:rsidTr="009C6940">
              <w:tc>
                <w:tcPr>
                  <w:tcW w:w="1354" w:type="pct"/>
                  <w:vAlign w:val="bottom"/>
                </w:tcPr>
                <w:p w14:paraId="425E0711" w14:textId="77777777" w:rsidR="009C6940" w:rsidRDefault="009C6940" w:rsidP="009C6940">
                  <w:pPr>
                    <w:pStyle w:val="TableBodyText"/>
                    <w:jc w:val="left"/>
                  </w:pPr>
                  <w:r w:rsidRPr="005368AA">
                    <w:t>NESB</w:t>
                  </w:r>
                </w:p>
              </w:tc>
              <w:tc>
                <w:tcPr>
                  <w:tcW w:w="677" w:type="pct"/>
                  <w:vAlign w:val="bottom"/>
                </w:tcPr>
                <w:p w14:paraId="2C41E5DA" w14:textId="77777777" w:rsidR="009C6940" w:rsidRPr="00DF5CF3" w:rsidRDefault="009C6940" w:rsidP="009C6940">
                  <w:pPr>
                    <w:pStyle w:val="TableBodyText"/>
                  </w:pPr>
                  <w:r w:rsidRPr="00DF5CF3">
                    <w:t>-0.085</w:t>
                  </w:r>
                </w:p>
              </w:tc>
              <w:tc>
                <w:tcPr>
                  <w:tcW w:w="677" w:type="pct"/>
                  <w:vAlign w:val="bottom"/>
                </w:tcPr>
                <w:p w14:paraId="771BAB64" w14:textId="77777777" w:rsidR="009C6940" w:rsidRPr="00DF5CF3" w:rsidRDefault="009C6940" w:rsidP="009C6940">
                  <w:pPr>
                    <w:pStyle w:val="TableBodyText"/>
                  </w:pPr>
                  <w:r w:rsidRPr="00DF5CF3">
                    <w:t>0.008</w:t>
                  </w:r>
                </w:p>
              </w:tc>
              <w:tc>
                <w:tcPr>
                  <w:tcW w:w="762" w:type="pct"/>
                  <w:vAlign w:val="bottom"/>
                </w:tcPr>
                <w:p w14:paraId="7B8B1B4D" w14:textId="77777777" w:rsidR="009C6940" w:rsidRPr="00DF5CF3" w:rsidRDefault="009C6940" w:rsidP="009C6940">
                  <w:pPr>
                    <w:pStyle w:val="TableBodyText"/>
                  </w:pPr>
                  <w:r w:rsidRPr="00DF5CF3">
                    <w:t>-0.098</w:t>
                  </w:r>
                </w:p>
              </w:tc>
              <w:tc>
                <w:tcPr>
                  <w:tcW w:w="708" w:type="pct"/>
                  <w:vAlign w:val="bottom"/>
                </w:tcPr>
                <w:p w14:paraId="22A36278" w14:textId="77777777" w:rsidR="009C6940" w:rsidRPr="00DF5CF3" w:rsidRDefault="009C6940" w:rsidP="009C6940">
                  <w:pPr>
                    <w:pStyle w:val="TableBodyText"/>
                  </w:pPr>
                  <w:r w:rsidRPr="00DF5CF3">
                    <w:t>-0.084</w:t>
                  </w:r>
                </w:p>
              </w:tc>
              <w:tc>
                <w:tcPr>
                  <w:tcW w:w="822" w:type="pct"/>
                  <w:vAlign w:val="bottom"/>
                </w:tcPr>
                <w:p w14:paraId="7105550E" w14:textId="77777777" w:rsidR="009C6940" w:rsidRPr="00DF5CF3" w:rsidRDefault="009C6940" w:rsidP="009C6940">
                  <w:pPr>
                    <w:pStyle w:val="TableBodyText"/>
                    <w:ind w:right="11"/>
                  </w:pPr>
                  <w:r w:rsidRPr="00DF5CF3">
                    <w:t>-0.072</w:t>
                  </w:r>
                </w:p>
              </w:tc>
            </w:tr>
            <w:tr w:rsidR="009C6940" w14:paraId="05E64B9E" w14:textId="77777777" w:rsidTr="009C6940">
              <w:tc>
                <w:tcPr>
                  <w:tcW w:w="1354" w:type="pct"/>
                  <w:vAlign w:val="bottom"/>
                </w:tcPr>
                <w:p w14:paraId="445D64AA" w14:textId="77777777" w:rsidR="009C6940" w:rsidRDefault="009C6940" w:rsidP="009C6940">
                  <w:pPr>
                    <w:pStyle w:val="TableBodyText"/>
                    <w:jc w:val="left"/>
                  </w:pPr>
                  <w:r w:rsidRPr="005368AA">
                    <w:t>Currently studying</w:t>
                  </w:r>
                </w:p>
              </w:tc>
              <w:tc>
                <w:tcPr>
                  <w:tcW w:w="677" w:type="pct"/>
                  <w:vAlign w:val="bottom"/>
                </w:tcPr>
                <w:p w14:paraId="4DEB9936" w14:textId="77777777" w:rsidR="009C6940" w:rsidRPr="00DF5CF3" w:rsidRDefault="009C6940" w:rsidP="009C6940">
                  <w:pPr>
                    <w:pStyle w:val="TableBodyText"/>
                  </w:pPr>
                  <w:r w:rsidRPr="00DF5CF3">
                    <w:t>0.005</w:t>
                  </w:r>
                </w:p>
              </w:tc>
              <w:tc>
                <w:tcPr>
                  <w:tcW w:w="677" w:type="pct"/>
                  <w:vAlign w:val="bottom"/>
                </w:tcPr>
                <w:p w14:paraId="62618315" w14:textId="77777777" w:rsidR="009C6940" w:rsidRPr="00DF5CF3" w:rsidRDefault="009C6940" w:rsidP="009C6940">
                  <w:pPr>
                    <w:pStyle w:val="TableBodyText"/>
                  </w:pPr>
                  <w:r w:rsidRPr="00DF5CF3">
                    <w:t>0.010</w:t>
                  </w:r>
                </w:p>
              </w:tc>
              <w:tc>
                <w:tcPr>
                  <w:tcW w:w="762" w:type="pct"/>
                  <w:vAlign w:val="bottom"/>
                </w:tcPr>
                <w:p w14:paraId="51EEADFF" w14:textId="77777777" w:rsidR="009C6940" w:rsidRPr="00DF5CF3" w:rsidRDefault="009C6940" w:rsidP="009C6940">
                  <w:pPr>
                    <w:pStyle w:val="TableBodyText"/>
                  </w:pPr>
                  <w:r w:rsidRPr="00DF5CF3">
                    <w:t>-0.011</w:t>
                  </w:r>
                </w:p>
              </w:tc>
              <w:tc>
                <w:tcPr>
                  <w:tcW w:w="708" w:type="pct"/>
                  <w:vAlign w:val="bottom"/>
                </w:tcPr>
                <w:p w14:paraId="4C95E2A8" w14:textId="77777777" w:rsidR="009C6940" w:rsidRPr="00DF5CF3" w:rsidRDefault="009C6940" w:rsidP="009C6940">
                  <w:pPr>
                    <w:pStyle w:val="TableBodyText"/>
                  </w:pPr>
                  <w:r w:rsidRPr="00DF5CF3">
                    <w:t>0.005</w:t>
                  </w:r>
                </w:p>
              </w:tc>
              <w:tc>
                <w:tcPr>
                  <w:tcW w:w="822" w:type="pct"/>
                  <w:vAlign w:val="bottom"/>
                </w:tcPr>
                <w:p w14:paraId="2D252AC3" w14:textId="77777777" w:rsidR="009C6940" w:rsidRPr="00DF5CF3" w:rsidRDefault="009C6940" w:rsidP="009C6940">
                  <w:pPr>
                    <w:pStyle w:val="TableBodyText"/>
                    <w:ind w:right="11"/>
                  </w:pPr>
                  <w:r w:rsidRPr="00DF5CF3">
                    <w:t>0.022</w:t>
                  </w:r>
                </w:p>
              </w:tc>
            </w:tr>
            <w:tr w:rsidR="009C6940" w14:paraId="27DA6643" w14:textId="77777777" w:rsidTr="009C6940">
              <w:tc>
                <w:tcPr>
                  <w:tcW w:w="1354" w:type="pct"/>
                  <w:vAlign w:val="bottom"/>
                </w:tcPr>
                <w:p w14:paraId="6EEF9887" w14:textId="77777777" w:rsidR="009C6940" w:rsidRDefault="009C6940" w:rsidP="009C6940">
                  <w:pPr>
                    <w:pStyle w:val="TableBodyText"/>
                    <w:jc w:val="left"/>
                  </w:pPr>
                  <w:r w:rsidRPr="005368AA">
                    <w:t xml:space="preserve">Lives in </w:t>
                  </w:r>
                  <w:r>
                    <w:t xml:space="preserve">a </w:t>
                  </w:r>
                  <w:r w:rsidRPr="005368AA">
                    <w:t>regional area</w:t>
                  </w:r>
                </w:p>
              </w:tc>
              <w:tc>
                <w:tcPr>
                  <w:tcW w:w="677" w:type="pct"/>
                  <w:vAlign w:val="bottom"/>
                </w:tcPr>
                <w:p w14:paraId="78BB72B8" w14:textId="77777777" w:rsidR="009C6940" w:rsidRPr="00DF5CF3" w:rsidRDefault="009C6940" w:rsidP="009C6940">
                  <w:pPr>
                    <w:pStyle w:val="TableBodyText"/>
                  </w:pPr>
                  <w:r w:rsidRPr="00DF5CF3">
                    <w:t>-0.002</w:t>
                  </w:r>
                </w:p>
              </w:tc>
              <w:tc>
                <w:tcPr>
                  <w:tcW w:w="677" w:type="pct"/>
                  <w:vAlign w:val="bottom"/>
                </w:tcPr>
                <w:p w14:paraId="4A2CEA77" w14:textId="77777777" w:rsidR="009C6940" w:rsidRPr="00DF5CF3" w:rsidRDefault="009C6940" w:rsidP="009C6940">
                  <w:pPr>
                    <w:pStyle w:val="TableBodyText"/>
                  </w:pPr>
                  <w:r w:rsidRPr="00DF5CF3">
                    <w:t>0.005</w:t>
                  </w:r>
                </w:p>
              </w:tc>
              <w:tc>
                <w:tcPr>
                  <w:tcW w:w="762" w:type="pct"/>
                  <w:vAlign w:val="bottom"/>
                </w:tcPr>
                <w:p w14:paraId="382BA72E" w14:textId="77777777" w:rsidR="009C6940" w:rsidRPr="00DF5CF3" w:rsidRDefault="009C6940" w:rsidP="009C6940">
                  <w:pPr>
                    <w:pStyle w:val="TableBodyText"/>
                  </w:pPr>
                  <w:r w:rsidRPr="00DF5CF3">
                    <w:t>-0.010</w:t>
                  </w:r>
                </w:p>
              </w:tc>
              <w:tc>
                <w:tcPr>
                  <w:tcW w:w="708" w:type="pct"/>
                  <w:vAlign w:val="bottom"/>
                </w:tcPr>
                <w:p w14:paraId="7DB96247" w14:textId="77777777" w:rsidR="009C6940" w:rsidRPr="00DF5CF3" w:rsidRDefault="009C6940" w:rsidP="009C6940">
                  <w:pPr>
                    <w:pStyle w:val="TableBodyText"/>
                  </w:pPr>
                  <w:r w:rsidRPr="00DF5CF3">
                    <w:t>-0.002</w:t>
                  </w:r>
                </w:p>
              </w:tc>
              <w:tc>
                <w:tcPr>
                  <w:tcW w:w="822" w:type="pct"/>
                  <w:vAlign w:val="bottom"/>
                </w:tcPr>
                <w:p w14:paraId="4BFC4470" w14:textId="77777777" w:rsidR="009C6940" w:rsidRPr="00DF5CF3" w:rsidRDefault="009C6940" w:rsidP="009C6940">
                  <w:pPr>
                    <w:pStyle w:val="TableBodyText"/>
                    <w:ind w:right="11"/>
                  </w:pPr>
                  <w:r w:rsidRPr="00DF5CF3">
                    <w:t>0.006</w:t>
                  </w:r>
                </w:p>
              </w:tc>
            </w:tr>
            <w:tr w:rsidR="009C6940" w14:paraId="70D1088E" w14:textId="77777777" w:rsidTr="009C6940">
              <w:tc>
                <w:tcPr>
                  <w:tcW w:w="1354" w:type="pct"/>
                  <w:vAlign w:val="bottom"/>
                </w:tcPr>
                <w:p w14:paraId="0091EF90" w14:textId="77777777" w:rsidR="009C6940" w:rsidRDefault="009C6940" w:rsidP="009C6940">
                  <w:pPr>
                    <w:pStyle w:val="TableBodyText"/>
                    <w:jc w:val="left"/>
                  </w:pPr>
                  <w:r w:rsidRPr="005368AA">
                    <w:t>Indigenous</w:t>
                  </w:r>
                </w:p>
              </w:tc>
              <w:tc>
                <w:tcPr>
                  <w:tcW w:w="677" w:type="pct"/>
                  <w:vAlign w:val="bottom"/>
                </w:tcPr>
                <w:p w14:paraId="79A004E8" w14:textId="77777777" w:rsidR="009C6940" w:rsidRPr="00DF5CF3" w:rsidRDefault="009C6940" w:rsidP="009C6940">
                  <w:pPr>
                    <w:pStyle w:val="TableBodyText"/>
                  </w:pPr>
                  <w:r w:rsidRPr="00DF5CF3">
                    <w:t>-0.003</w:t>
                  </w:r>
                </w:p>
              </w:tc>
              <w:tc>
                <w:tcPr>
                  <w:tcW w:w="677" w:type="pct"/>
                  <w:vAlign w:val="bottom"/>
                </w:tcPr>
                <w:p w14:paraId="0AE92ED3" w14:textId="77777777" w:rsidR="009C6940" w:rsidRPr="00DF5CF3" w:rsidRDefault="009C6940" w:rsidP="009C6940">
                  <w:pPr>
                    <w:pStyle w:val="TableBodyText"/>
                  </w:pPr>
                  <w:r w:rsidRPr="00DF5CF3">
                    <w:t>0.013</w:t>
                  </w:r>
                </w:p>
              </w:tc>
              <w:tc>
                <w:tcPr>
                  <w:tcW w:w="762" w:type="pct"/>
                  <w:vAlign w:val="bottom"/>
                </w:tcPr>
                <w:p w14:paraId="2EB5FAF1" w14:textId="77777777" w:rsidR="009C6940" w:rsidRPr="00DF5CF3" w:rsidRDefault="009C6940" w:rsidP="009C6940">
                  <w:pPr>
                    <w:pStyle w:val="TableBodyText"/>
                  </w:pPr>
                  <w:r w:rsidRPr="00DF5CF3">
                    <w:t>-0.024</w:t>
                  </w:r>
                </w:p>
              </w:tc>
              <w:tc>
                <w:tcPr>
                  <w:tcW w:w="708" w:type="pct"/>
                  <w:vAlign w:val="bottom"/>
                </w:tcPr>
                <w:p w14:paraId="1668C26D" w14:textId="77777777" w:rsidR="009C6940" w:rsidRPr="00DF5CF3" w:rsidRDefault="009C6940" w:rsidP="009C6940">
                  <w:pPr>
                    <w:pStyle w:val="TableBodyText"/>
                  </w:pPr>
                  <w:r w:rsidRPr="00DF5CF3">
                    <w:t>-0.003</w:t>
                  </w:r>
                </w:p>
              </w:tc>
              <w:tc>
                <w:tcPr>
                  <w:tcW w:w="822" w:type="pct"/>
                  <w:vAlign w:val="bottom"/>
                </w:tcPr>
                <w:p w14:paraId="4BF77F07" w14:textId="77777777" w:rsidR="009C6940" w:rsidRPr="00DF5CF3" w:rsidRDefault="009C6940" w:rsidP="009C6940">
                  <w:pPr>
                    <w:pStyle w:val="TableBodyText"/>
                    <w:ind w:right="11"/>
                  </w:pPr>
                  <w:r w:rsidRPr="00DF5CF3">
                    <w:t>0.018</w:t>
                  </w:r>
                </w:p>
              </w:tc>
            </w:tr>
            <w:tr w:rsidR="009C6940" w14:paraId="154DA5AE" w14:textId="77777777" w:rsidTr="009C6940">
              <w:tc>
                <w:tcPr>
                  <w:tcW w:w="1354" w:type="pct"/>
                  <w:vAlign w:val="bottom"/>
                </w:tcPr>
                <w:p w14:paraId="1E4227B3" w14:textId="77777777" w:rsidR="009C6940" w:rsidRDefault="009C6940" w:rsidP="009C6940">
                  <w:pPr>
                    <w:pStyle w:val="TableBodyText"/>
                    <w:jc w:val="left"/>
                  </w:pPr>
                  <w:r w:rsidRPr="005368AA">
                    <w:t>Unemploy</w:t>
                  </w:r>
                  <w:r>
                    <w:t>ment</w:t>
                  </w:r>
                  <w:r w:rsidRPr="005368AA">
                    <w:t xml:space="preserve"> history</w:t>
                  </w:r>
                </w:p>
              </w:tc>
              <w:tc>
                <w:tcPr>
                  <w:tcW w:w="677" w:type="pct"/>
                  <w:vAlign w:val="bottom"/>
                </w:tcPr>
                <w:p w14:paraId="6AF9B818" w14:textId="77777777" w:rsidR="009C6940" w:rsidRPr="00DF5CF3" w:rsidRDefault="009C6940" w:rsidP="009C6940">
                  <w:pPr>
                    <w:pStyle w:val="TableBodyText"/>
                  </w:pPr>
                  <w:r w:rsidRPr="00DF5CF3">
                    <w:t>-0.007</w:t>
                  </w:r>
                </w:p>
              </w:tc>
              <w:tc>
                <w:tcPr>
                  <w:tcW w:w="677" w:type="pct"/>
                  <w:vAlign w:val="bottom"/>
                </w:tcPr>
                <w:p w14:paraId="09186828" w14:textId="77777777" w:rsidR="009C6940" w:rsidRPr="00DF5CF3" w:rsidRDefault="009C6940" w:rsidP="009C6940">
                  <w:pPr>
                    <w:pStyle w:val="TableBodyText"/>
                  </w:pPr>
                  <w:r w:rsidRPr="00DF5CF3">
                    <w:t>0.003</w:t>
                  </w:r>
                </w:p>
              </w:tc>
              <w:tc>
                <w:tcPr>
                  <w:tcW w:w="762" w:type="pct"/>
                  <w:vAlign w:val="bottom"/>
                </w:tcPr>
                <w:p w14:paraId="08608EB1" w14:textId="77777777" w:rsidR="009C6940" w:rsidRPr="00DF5CF3" w:rsidRDefault="009C6940" w:rsidP="009C6940">
                  <w:pPr>
                    <w:pStyle w:val="TableBodyText"/>
                  </w:pPr>
                  <w:r w:rsidRPr="00DF5CF3">
                    <w:t>-0.011</w:t>
                  </w:r>
                </w:p>
              </w:tc>
              <w:tc>
                <w:tcPr>
                  <w:tcW w:w="708" w:type="pct"/>
                  <w:vAlign w:val="bottom"/>
                </w:tcPr>
                <w:p w14:paraId="7B4ECCB3" w14:textId="77777777" w:rsidR="009C6940" w:rsidRPr="00DF5CF3" w:rsidRDefault="009C6940" w:rsidP="009C6940">
                  <w:pPr>
                    <w:pStyle w:val="TableBodyText"/>
                  </w:pPr>
                  <w:r w:rsidRPr="00DF5CF3">
                    <w:t>-0.007</w:t>
                  </w:r>
                </w:p>
              </w:tc>
              <w:tc>
                <w:tcPr>
                  <w:tcW w:w="822" w:type="pct"/>
                  <w:vAlign w:val="bottom"/>
                </w:tcPr>
                <w:p w14:paraId="190FFC45" w14:textId="77777777" w:rsidR="009C6940" w:rsidRPr="00DF5CF3" w:rsidRDefault="009C6940" w:rsidP="009C6940">
                  <w:pPr>
                    <w:pStyle w:val="TableBodyText"/>
                    <w:ind w:right="11"/>
                  </w:pPr>
                  <w:r w:rsidRPr="00DF5CF3">
                    <w:t>-0.003</w:t>
                  </w:r>
                </w:p>
              </w:tc>
            </w:tr>
            <w:tr w:rsidR="009C6940" w14:paraId="4DA0DE46" w14:textId="77777777" w:rsidTr="009C6940">
              <w:tc>
                <w:tcPr>
                  <w:tcW w:w="1354" w:type="pct"/>
                  <w:vAlign w:val="bottom"/>
                </w:tcPr>
                <w:p w14:paraId="5ED9CA0B" w14:textId="77777777" w:rsidR="009C6940" w:rsidRDefault="009C6940" w:rsidP="009C6940">
                  <w:pPr>
                    <w:pStyle w:val="TableBodyText"/>
                    <w:jc w:val="left"/>
                  </w:pPr>
                  <w:r w:rsidRPr="005368AA">
                    <w:t>Experience</w:t>
                  </w:r>
                </w:p>
              </w:tc>
              <w:tc>
                <w:tcPr>
                  <w:tcW w:w="677" w:type="pct"/>
                  <w:vAlign w:val="bottom"/>
                </w:tcPr>
                <w:p w14:paraId="6428ECEC" w14:textId="77777777" w:rsidR="009C6940" w:rsidRPr="00DF5CF3" w:rsidRDefault="009C6940" w:rsidP="009C6940">
                  <w:pPr>
                    <w:pStyle w:val="TableBodyText"/>
                  </w:pPr>
                  <w:r w:rsidRPr="00DF5CF3">
                    <w:t>0.039</w:t>
                  </w:r>
                </w:p>
              </w:tc>
              <w:tc>
                <w:tcPr>
                  <w:tcW w:w="677" w:type="pct"/>
                  <w:vAlign w:val="bottom"/>
                </w:tcPr>
                <w:p w14:paraId="11160D47" w14:textId="77777777" w:rsidR="009C6940" w:rsidRPr="00DF5CF3" w:rsidRDefault="009C6940" w:rsidP="009C6940">
                  <w:pPr>
                    <w:pStyle w:val="TableBodyText"/>
                  </w:pPr>
                  <w:r w:rsidRPr="00DF5CF3">
                    <w:t>0.019</w:t>
                  </w:r>
                </w:p>
              </w:tc>
              <w:tc>
                <w:tcPr>
                  <w:tcW w:w="762" w:type="pct"/>
                  <w:vAlign w:val="bottom"/>
                </w:tcPr>
                <w:p w14:paraId="160813B8" w14:textId="77777777" w:rsidR="009C6940" w:rsidRPr="00DF5CF3" w:rsidRDefault="009C6940" w:rsidP="009C6940">
                  <w:pPr>
                    <w:pStyle w:val="TableBodyText"/>
                  </w:pPr>
                  <w:r w:rsidRPr="00DF5CF3">
                    <w:t>0.007</w:t>
                  </w:r>
                </w:p>
              </w:tc>
              <w:tc>
                <w:tcPr>
                  <w:tcW w:w="708" w:type="pct"/>
                  <w:vAlign w:val="bottom"/>
                </w:tcPr>
                <w:p w14:paraId="4EE932CA" w14:textId="77777777" w:rsidR="009C6940" w:rsidRPr="00DF5CF3" w:rsidRDefault="009C6940" w:rsidP="009C6940">
                  <w:pPr>
                    <w:pStyle w:val="TableBodyText"/>
                  </w:pPr>
                  <w:r w:rsidRPr="00DF5CF3">
                    <w:t>0.038</w:t>
                  </w:r>
                </w:p>
              </w:tc>
              <w:tc>
                <w:tcPr>
                  <w:tcW w:w="822" w:type="pct"/>
                  <w:vAlign w:val="bottom"/>
                </w:tcPr>
                <w:p w14:paraId="634E4B05" w14:textId="77777777" w:rsidR="009C6940" w:rsidRPr="00DF5CF3" w:rsidRDefault="009C6940" w:rsidP="009C6940">
                  <w:pPr>
                    <w:pStyle w:val="TableBodyText"/>
                    <w:ind w:right="11"/>
                  </w:pPr>
                  <w:r w:rsidRPr="00DF5CF3">
                    <w:t>0.071</w:t>
                  </w:r>
                </w:p>
              </w:tc>
            </w:tr>
            <w:tr w:rsidR="009C6940" w14:paraId="71224859" w14:textId="77777777" w:rsidTr="009C6940">
              <w:tc>
                <w:tcPr>
                  <w:tcW w:w="1354" w:type="pct"/>
                  <w:vAlign w:val="bottom"/>
                </w:tcPr>
                <w:p w14:paraId="2F7C0D01" w14:textId="77777777" w:rsidR="009C6940" w:rsidRDefault="009C6940" w:rsidP="009C6940">
                  <w:pPr>
                    <w:pStyle w:val="TableBodyText"/>
                    <w:jc w:val="left"/>
                  </w:pPr>
                  <w:r w:rsidRPr="005368AA">
                    <w:t>Experience squared</w:t>
                  </w:r>
                </w:p>
              </w:tc>
              <w:tc>
                <w:tcPr>
                  <w:tcW w:w="677" w:type="pct"/>
                  <w:vAlign w:val="bottom"/>
                </w:tcPr>
                <w:p w14:paraId="450BB694" w14:textId="77777777" w:rsidR="009C6940" w:rsidRPr="00DF5CF3" w:rsidRDefault="009C6940" w:rsidP="009C6940">
                  <w:pPr>
                    <w:pStyle w:val="TableBodyText"/>
                  </w:pPr>
                  <w:r w:rsidRPr="00DF5CF3">
                    <w:t>0.003</w:t>
                  </w:r>
                </w:p>
              </w:tc>
              <w:tc>
                <w:tcPr>
                  <w:tcW w:w="677" w:type="pct"/>
                  <w:vAlign w:val="bottom"/>
                </w:tcPr>
                <w:p w14:paraId="6D683616" w14:textId="77777777" w:rsidR="009C6940" w:rsidRPr="00DF5CF3" w:rsidRDefault="009C6940" w:rsidP="009C6940">
                  <w:pPr>
                    <w:pStyle w:val="TableBodyText"/>
                  </w:pPr>
                  <w:r w:rsidRPr="00DF5CF3">
                    <w:t>0.017</w:t>
                  </w:r>
                </w:p>
              </w:tc>
              <w:tc>
                <w:tcPr>
                  <w:tcW w:w="762" w:type="pct"/>
                  <w:vAlign w:val="bottom"/>
                </w:tcPr>
                <w:p w14:paraId="51EFE087" w14:textId="77777777" w:rsidR="009C6940" w:rsidRPr="00DF5CF3" w:rsidRDefault="009C6940" w:rsidP="009C6940">
                  <w:pPr>
                    <w:pStyle w:val="TableBodyText"/>
                  </w:pPr>
                  <w:r w:rsidRPr="00DF5CF3">
                    <w:t>-0.026</w:t>
                  </w:r>
                </w:p>
              </w:tc>
              <w:tc>
                <w:tcPr>
                  <w:tcW w:w="708" w:type="pct"/>
                  <w:vAlign w:val="bottom"/>
                </w:tcPr>
                <w:p w14:paraId="7A8582AA" w14:textId="77777777" w:rsidR="009C6940" w:rsidRPr="00DF5CF3" w:rsidRDefault="009C6940" w:rsidP="009C6940">
                  <w:pPr>
                    <w:pStyle w:val="TableBodyText"/>
                  </w:pPr>
                  <w:r w:rsidRPr="00DF5CF3">
                    <w:t>0.003</w:t>
                  </w:r>
                </w:p>
              </w:tc>
              <w:tc>
                <w:tcPr>
                  <w:tcW w:w="822" w:type="pct"/>
                  <w:vAlign w:val="bottom"/>
                </w:tcPr>
                <w:p w14:paraId="6EF2BBFA" w14:textId="77777777" w:rsidR="009C6940" w:rsidRPr="00DF5CF3" w:rsidRDefault="009C6940" w:rsidP="009C6940">
                  <w:pPr>
                    <w:pStyle w:val="TableBodyText"/>
                    <w:ind w:right="11"/>
                  </w:pPr>
                  <w:r w:rsidRPr="00DF5CF3">
                    <w:t>0.031</w:t>
                  </w:r>
                </w:p>
              </w:tc>
            </w:tr>
            <w:tr w:rsidR="009C6940" w14:paraId="5F79EB69" w14:textId="77777777" w:rsidTr="009C6940">
              <w:tc>
                <w:tcPr>
                  <w:tcW w:w="1354" w:type="pct"/>
                  <w:vAlign w:val="bottom"/>
                </w:tcPr>
                <w:p w14:paraId="4B3E7924" w14:textId="77777777" w:rsidR="009C6940" w:rsidRDefault="009C6940" w:rsidP="009C6940">
                  <w:pPr>
                    <w:pStyle w:val="TableBodyText"/>
                    <w:jc w:val="left"/>
                  </w:pPr>
                  <w:r w:rsidRPr="005368AA">
                    <w:t>PCS</w:t>
                  </w:r>
                </w:p>
              </w:tc>
              <w:tc>
                <w:tcPr>
                  <w:tcW w:w="677" w:type="pct"/>
                  <w:vAlign w:val="bottom"/>
                </w:tcPr>
                <w:p w14:paraId="36BA28D4" w14:textId="77777777" w:rsidR="009C6940" w:rsidRPr="00DF5CF3" w:rsidRDefault="009C6940" w:rsidP="009C6940">
                  <w:pPr>
                    <w:pStyle w:val="TableBodyText"/>
                  </w:pPr>
                  <w:r w:rsidRPr="00DF5CF3">
                    <w:t>0.581</w:t>
                  </w:r>
                </w:p>
              </w:tc>
              <w:tc>
                <w:tcPr>
                  <w:tcW w:w="677" w:type="pct"/>
                  <w:vAlign w:val="bottom"/>
                </w:tcPr>
                <w:p w14:paraId="1EBD232F" w14:textId="77777777" w:rsidR="009C6940" w:rsidRPr="00DF5CF3" w:rsidRDefault="009C6940" w:rsidP="009C6940">
                  <w:pPr>
                    <w:pStyle w:val="TableBodyText"/>
                  </w:pPr>
                  <w:r w:rsidRPr="00DF5CF3">
                    <w:t>0.048</w:t>
                  </w:r>
                </w:p>
              </w:tc>
              <w:tc>
                <w:tcPr>
                  <w:tcW w:w="762" w:type="pct"/>
                  <w:vAlign w:val="bottom"/>
                </w:tcPr>
                <w:p w14:paraId="58FB9791" w14:textId="77777777" w:rsidR="009C6940" w:rsidRPr="00DF5CF3" w:rsidRDefault="009C6940" w:rsidP="009C6940">
                  <w:pPr>
                    <w:pStyle w:val="TableBodyText"/>
                  </w:pPr>
                  <w:r w:rsidRPr="00DF5CF3">
                    <w:t>0.498</w:t>
                  </w:r>
                </w:p>
              </w:tc>
              <w:tc>
                <w:tcPr>
                  <w:tcW w:w="708" w:type="pct"/>
                  <w:vAlign w:val="bottom"/>
                </w:tcPr>
                <w:p w14:paraId="46F2792E" w14:textId="77777777" w:rsidR="009C6940" w:rsidRPr="00DF5CF3" w:rsidRDefault="009C6940" w:rsidP="009C6940">
                  <w:pPr>
                    <w:pStyle w:val="TableBodyText"/>
                  </w:pPr>
                  <w:r w:rsidRPr="00DF5CF3">
                    <w:t>0.584</w:t>
                  </w:r>
                </w:p>
              </w:tc>
              <w:tc>
                <w:tcPr>
                  <w:tcW w:w="822" w:type="pct"/>
                  <w:vAlign w:val="bottom"/>
                </w:tcPr>
                <w:p w14:paraId="5F1FBBF1" w14:textId="77777777" w:rsidR="009C6940" w:rsidRPr="00DF5CF3" w:rsidRDefault="009C6940" w:rsidP="009C6940">
                  <w:pPr>
                    <w:pStyle w:val="TableBodyText"/>
                    <w:ind w:right="11"/>
                  </w:pPr>
                  <w:r w:rsidRPr="00DF5CF3">
                    <w:t>0.655</w:t>
                  </w:r>
                </w:p>
              </w:tc>
            </w:tr>
            <w:tr w:rsidR="009C6940" w14:paraId="10387ABB" w14:textId="77777777" w:rsidTr="009C6940">
              <w:tc>
                <w:tcPr>
                  <w:tcW w:w="1354" w:type="pct"/>
                  <w:vAlign w:val="bottom"/>
                </w:tcPr>
                <w:p w14:paraId="6348F355" w14:textId="77777777" w:rsidR="009C6940" w:rsidRDefault="009C6940" w:rsidP="009C6940">
                  <w:pPr>
                    <w:pStyle w:val="TableBodyText"/>
                    <w:jc w:val="left"/>
                  </w:pPr>
                  <w:r>
                    <w:t>Children 0–</w:t>
                  </w:r>
                  <w:r w:rsidRPr="005368AA">
                    <w:t>4</w:t>
                  </w:r>
                  <w:r>
                    <w:t> years</w:t>
                  </w:r>
                </w:p>
              </w:tc>
              <w:tc>
                <w:tcPr>
                  <w:tcW w:w="677" w:type="pct"/>
                  <w:vAlign w:val="bottom"/>
                </w:tcPr>
                <w:p w14:paraId="00ABFC11" w14:textId="77777777" w:rsidR="009C6940" w:rsidRPr="00DF5CF3" w:rsidRDefault="009C6940" w:rsidP="009C6940">
                  <w:pPr>
                    <w:pStyle w:val="TableBodyText"/>
                  </w:pPr>
                  <w:r w:rsidRPr="00DF5CF3">
                    <w:t>0.007</w:t>
                  </w:r>
                </w:p>
              </w:tc>
              <w:tc>
                <w:tcPr>
                  <w:tcW w:w="677" w:type="pct"/>
                  <w:vAlign w:val="bottom"/>
                </w:tcPr>
                <w:p w14:paraId="60F1D923" w14:textId="77777777" w:rsidR="009C6940" w:rsidRPr="00DF5CF3" w:rsidRDefault="009C6940" w:rsidP="009C6940">
                  <w:pPr>
                    <w:pStyle w:val="TableBodyText"/>
                  </w:pPr>
                  <w:r w:rsidRPr="00DF5CF3">
                    <w:t>0.003</w:t>
                  </w:r>
                </w:p>
              </w:tc>
              <w:tc>
                <w:tcPr>
                  <w:tcW w:w="762" w:type="pct"/>
                  <w:vAlign w:val="bottom"/>
                </w:tcPr>
                <w:p w14:paraId="39240010" w14:textId="77777777" w:rsidR="009C6940" w:rsidRPr="00DF5CF3" w:rsidRDefault="009C6940" w:rsidP="009C6940">
                  <w:pPr>
                    <w:pStyle w:val="TableBodyText"/>
                  </w:pPr>
                  <w:r w:rsidRPr="00DF5CF3">
                    <w:t>0.002</w:t>
                  </w:r>
                </w:p>
              </w:tc>
              <w:tc>
                <w:tcPr>
                  <w:tcW w:w="708" w:type="pct"/>
                  <w:vAlign w:val="bottom"/>
                </w:tcPr>
                <w:p w14:paraId="35233DC8" w14:textId="77777777" w:rsidR="009C6940" w:rsidRPr="00DF5CF3" w:rsidRDefault="009C6940" w:rsidP="009C6940">
                  <w:pPr>
                    <w:pStyle w:val="TableBodyText"/>
                  </w:pPr>
                  <w:r w:rsidRPr="00DF5CF3">
                    <w:t>0.007</w:t>
                  </w:r>
                </w:p>
              </w:tc>
              <w:tc>
                <w:tcPr>
                  <w:tcW w:w="822" w:type="pct"/>
                  <w:vAlign w:val="bottom"/>
                </w:tcPr>
                <w:p w14:paraId="2405DE93" w14:textId="77777777" w:rsidR="009C6940" w:rsidRPr="00DF5CF3" w:rsidRDefault="009C6940" w:rsidP="009C6940">
                  <w:pPr>
                    <w:pStyle w:val="TableBodyText"/>
                    <w:ind w:right="11"/>
                  </w:pPr>
                  <w:r w:rsidRPr="00DF5CF3">
                    <w:t>0.012</w:t>
                  </w:r>
                </w:p>
              </w:tc>
            </w:tr>
            <w:tr w:rsidR="009C6940" w14:paraId="3961E989" w14:textId="77777777" w:rsidTr="009C6940">
              <w:tc>
                <w:tcPr>
                  <w:tcW w:w="1354" w:type="pct"/>
                  <w:vAlign w:val="bottom"/>
                </w:tcPr>
                <w:p w14:paraId="61C91CCA" w14:textId="77777777" w:rsidR="009C6940" w:rsidRDefault="009C6940" w:rsidP="009C6940">
                  <w:pPr>
                    <w:pStyle w:val="TableBodyText"/>
                    <w:jc w:val="left"/>
                  </w:pPr>
                  <w:r>
                    <w:t>Children 5–</w:t>
                  </w:r>
                  <w:r w:rsidRPr="005368AA">
                    <w:t>14</w:t>
                  </w:r>
                  <w:r>
                    <w:t> years</w:t>
                  </w:r>
                </w:p>
              </w:tc>
              <w:tc>
                <w:tcPr>
                  <w:tcW w:w="677" w:type="pct"/>
                  <w:vAlign w:val="bottom"/>
                </w:tcPr>
                <w:p w14:paraId="7B626ECF" w14:textId="77777777" w:rsidR="009C6940" w:rsidRPr="00DF5CF3" w:rsidRDefault="009C6940" w:rsidP="009C6940">
                  <w:pPr>
                    <w:pStyle w:val="TableBodyText"/>
                  </w:pPr>
                  <w:r w:rsidRPr="00DF5CF3">
                    <w:t>0.004</w:t>
                  </w:r>
                </w:p>
              </w:tc>
              <w:tc>
                <w:tcPr>
                  <w:tcW w:w="677" w:type="pct"/>
                  <w:vAlign w:val="bottom"/>
                </w:tcPr>
                <w:p w14:paraId="0A41FDF4" w14:textId="77777777" w:rsidR="009C6940" w:rsidRPr="00DF5CF3" w:rsidRDefault="009C6940" w:rsidP="009C6940">
                  <w:pPr>
                    <w:pStyle w:val="TableBodyText"/>
                  </w:pPr>
                  <w:r w:rsidRPr="00DF5CF3">
                    <w:t>0.004</w:t>
                  </w:r>
                </w:p>
              </w:tc>
              <w:tc>
                <w:tcPr>
                  <w:tcW w:w="762" w:type="pct"/>
                  <w:vAlign w:val="bottom"/>
                </w:tcPr>
                <w:p w14:paraId="20B82BC5" w14:textId="77777777" w:rsidR="009C6940" w:rsidRPr="00DF5CF3" w:rsidRDefault="009C6940" w:rsidP="009C6940">
                  <w:pPr>
                    <w:pStyle w:val="TableBodyText"/>
                  </w:pPr>
                  <w:r w:rsidRPr="00DF5CF3">
                    <w:t>-0.002</w:t>
                  </w:r>
                </w:p>
              </w:tc>
              <w:tc>
                <w:tcPr>
                  <w:tcW w:w="708" w:type="pct"/>
                  <w:vAlign w:val="bottom"/>
                </w:tcPr>
                <w:p w14:paraId="5473EBE6" w14:textId="77777777" w:rsidR="009C6940" w:rsidRPr="00DF5CF3" w:rsidRDefault="009C6940" w:rsidP="009C6940">
                  <w:pPr>
                    <w:pStyle w:val="TableBodyText"/>
                  </w:pPr>
                  <w:r w:rsidRPr="00DF5CF3">
                    <w:t>0.004</w:t>
                  </w:r>
                </w:p>
              </w:tc>
              <w:tc>
                <w:tcPr>
                  <w:tcW w:w="822" w:type="pct"/>
                  <w:vAlign w:val="bottom"/>
                </w:tcPr>
                <w:p w14:paraId="7E2DAD65" w14:textId="77777777" w:rsidR="009C6940" w:rsidRPr="00DF5CF3" w:rsidRDefault="009C6940" w:rsidP="009C6940">
                  <w:pPr>
                    <w:pStyle w:val="TableBodyText"/>
                    <w:ind w:right="11"/>
                  </w:pPr>
                  <w:r w:rsidRPr="00DF5CF3">
                    <w:t>0.011</w:t>
                  </w:r>
                </w:p>
              </w:tc>
            </w:tr>
            <w:tr w:rsidR="009C6940" w14:paraId="18A31307" w14:textId="77777777" w:rsidTr="009C6940">
              <w:tc>
                <w:tcPr>
                  <w:tcW w:w="1354" w:type="pct"/>
                  <w:vAlign w:val="bottom"/>
                </w:tcPr>
                <w:p w14:paraId="7C4911B2" w14:textId="77777777" w:rsidR="009C6940" w:rsidRDefault="009C6940" w:rsidP="009C6940">
                  <w:pPr>
                    <w:pStyle w:val="TableBodyText"/>
                    <w:jc w:val="left"/>
                  </w:pPr>
                  <w:r>
                    <w:t>Children 15–</w:t>
                  </w:r>
                  <w:r w:rsidRPr="005368AA">
                    <w:t>24</w:t>
                  </w:r>
                  <w:r>
                    <w:t> years</w:t>
                  </w:r>
                </w:p>
              </w:tc>
              <w:tc>
                <w:tcPr>
                  <w:tcW w:w="677" w:type="pct"/>
                  <w:vAlign w:val="bottom"/>
                </w:tcPr>
                <w:p w14:paraId="1A38CD35" w14:textId="77777777" w:rsidR="009C6940" w:rsidRPr="00DF5CF3" w:rsidRDefault="009C6940" w:rsidP="009C6940">
                  <w:pPr>
                    <w:pStyle w:val="TableBodyText"/>
                  </w:pPr>
                  <w:r w:rsidRPr="00DF5CF3">
                    <w:t>-0.001</w:t>
                  </w:r>
                </w:p>
              </w:tc>
              <w:tc>
                <w:tcPr>
                  <w:tcW w:w="677" w:type="pct"/>
                  <w:vAlign w:val="bottom"/>
                </w:tcPr>
                <w:p w14:paraId="10252154" w14:textId="77777777" w:rsidR="009C6940" w:rsidRPr="00DF5CF3" w:rsidRDefault="009C6940" w:rsidP="009C6940">
                  <w:pPr>
                    <w:pStyle w:val="TableBodyText"/>
                  </w:pPr>
                  <w:r w:rsidRPr="00DF5CF3">
                    <w:t>0.003</w:t>
                  </w:r>
                </w:p>
              </w:tc>
              <w:tc>
                <w:tcPr>
                  <w:tcW w:w="762" w:type="pct"/>
                  <w:vAlign w:val="bottom"/>
                </w:tcPr>
                <w:p w14:paraId="7B7C5A65" w14:textId="77777777" w:rsidR="009C6940" w:rsidRPr="00DF5CF3" w:rsidRDefault="009C6940" w:rsidP="009C6940">
                  <w:pPr>
                    <w:pStyle w:val="TableBodyText"/>
                  </w:pPr>
                  <w:r w:rsidRPr="00DF5CF3">
                    <w:t>-0.007</w:t>
                  </w:r>
                </w:p>
              </w:tc>
              <w:tc>
                <w:tcPr>
                  <w:tcW w:w="708" w:type="pct"/>
                  <w:vAlign w:val="bottom"/>
                </w:tcPr>
                <w:p w14:paraId="6CA4CE73" w14:textId="77777777" w:rsidR="009C6940" w:rsidRPr="00DF5CF3" w:rsidRDefault="009C6940" w:rsidP="009C6940">
                  <w:pPr>
                    <w:pStyle w:val="TableBodyText"/>
                  </w:pPr>
                  <w:r w:rsidRPr="00DF5CF3">
                    <w:t>-0.001</w:t>
                  </w:r>
                </w:p>
              </w:tc>
              <w:tc>
                <w:tcPr>
                  <w:tcW w:w="822" w:type="pct"/>
                  <w:vAlign w:val="bottom"/>
                </w:tcPr>
                <w:p w14:paraId="0990F210" w14:textId="77777777" w:rsidR="009C6940" w:rsidRPr="00DF5CF3" w:rsidRDefault="009C6940" w:rsidP="009C6940">
                  <w:pPr>
                    <w:pStyle w:val="TableBodyText"/>
                    <w:ind w:right="11"/>
                  </w:pPr>
                  <w:r w:rsidRPr="00DF5CF3">
                    <w:t>0.004</w:t>
                  </w:r>
                </w:p>
              </w:tc>
            </w:tr>
            <w:tr w:rsidR="009C6940" w14:paraId="3F2F2254" w14:textId="77777777" w:rsidTr="009C6940">
              <w:tc>
                <w:tcPr>
                  <w:tcW w:w="1354" w:type="pct"/>
                  <w:vAlign w:val="bottom"/>
                </w:tcPr>
                <w:p w14:paraId="431DA465" w14:textId="77777777" w:rsidR="009C6940" w:rsidRDefault="009C6940" w:rsidP="009C6940">
                  <w:pPr>
                    <w:pStyle w:val="TableBodyText"/>
                    <w:jc w:val="left"/>
                  </w:pPr>
                  <w:r w:rsidRPr="005368AA">
                    <w:t>Many friends</w:t>
                  </w:r>
                </w:p>
              </w:tc>
              <w:tc>
                <w:tcPr>
                  <w:tcW w:w="677" w:type="pct"/>
                  <w:vAlign w:val="bottom"/>
                </w:tcPr>
                <w:p w14:paraId="6338A103" w14:textId="77777777" w:rsidR="009C6940" w:rsidRPr="00DF5CF3" w:rsidRDefault="009C6940" w:rsidP="009C6940">
                  <w:pPr>
                    <w:pStyle w:val="TableBodyText"/>
                  </w:pPr>
                  <w:r w:rsidRPr="00DF5CF3">
                    <w:t>0.001</w:t>
                  </w:r>
                </w:p>
              </w:tc>
              <w:tc>
                <w:tcPr>
                  <w:tcW w:w="677" w:type="pct"/>
                  <w:vAlign w:val="bottom"/>
                </w:tcPr>
                <w:p w14:paraId="0E85E6A1" w14:textId="77777777" w:rsidR="009C6940" w:rsidRPr="00DF5CF3" w:rsidRDefault="009C6940" w:rsidP="009C6940">
                  <w:pPr>
                    <w:pStyle w:val="TableBodyText"/>
                  </w:pPr>
                  <w:r w:rsidRPr="00DF5CF3">
                    <w:t>0.009</w:t>
                  </w:r>
                </w:p>
              </w:tc>
              <w:tc>
                <w:tcPr>
                  <w:tcW w:w="762" w:type="pct"/>
                  <w:vAlign w:val="bottom"/>
                </w:tcPr>
                <w:p w14:paraId="41ED6F9A" w14:textId="77777777" w:rsidR="009C6940" w:rsidRPr="00DF5CF3" w:rsidRDefault="009C6940" w:rsidP="009C6940">
                  <w:pPr>
                    <w:pStyle w:val="TableBodyText"/>
                  </w:pPr>
                  <w:r w:rsidRPr="00DF5CF3">
                    <w:t>-0.014</w:t>
                  </w:r>
                </w:p>
              </w:tc>
              <w:tc>
                <w:tcPr>
                  <w:tcW w:w="708" w:type="pct"/>
                  <w:vAlign w:val="bottom"/>
                </w:tcPr>
                <w:p w14:paraId="4CDF3ADD" w14:textId="77777777" w:rsidR="009C6940" w:rsidRPr="00DF5CF3" w:rsidRDefault="009C6940" w:rsidP="009C6940">
                  <w:pPr>
                    <w:pStyle w:val="TableBodyText"/>
                  </w:pPr>
                  <w:r w:rsidRPr="00DF5CF3">
                    <w:t>0.002</w:t>
                  </w:r>
                </w:p>
              </w:tc>
              <w:tc>
                <w:tcPr>
                  <w:tcW w:w="822" w:type="pct"/>
                  <w:vAlign w:val="bottom"/>
                </w:tcPr>
                <w:p w14:paraId="2AE21AE9" w14:textId="77777777" w:rsidR="009C6940" w:rsidRPr="00DF5CF3" w:rsidRDefault="009C6940" w:rsidP="009C6940">
                  <w:pPr>
                    <w:pStyle w:val="TableBodyText"/>
                    <w:ind w:right="11"/>
                  </w:pPr>
                  <w:r w:rsidRPr="00DF5CF3">
                    <w:t>0.015</w:t>
                  </w:r>
                </w:p>
              </w:tc>
            </w:tr>
            <w:tr w:rsidR="009C6940" w14:paraId="58794548" w14:textId="77777777" w:rsidTr="009C6940">
              <w:tc>
                <w:tcPr>
                  <w:tcW w:w="1354" w:type="pct"/>
                  <w:vAlign w:val="bottom"/>
                </w:tcPr>
                <w:p w14:paraId="0E44C783" w14:textId="77777777" w:rsidR="009C6940" w:rsidRDefault="009C6940" w:rsidP="009C6940">
                  <w:pPr>
                    <w:pStyle w:val="TableBodyText"/>
                    <w:jc w:val="left"/>
                  </w:pPr>
                  <w:r w:rsidRPr="005368AA">
                    <w:t>Female</w:t>
                  </w:r>
                </w:p>
              </w:tc>
              <w:tc>
                <w:tcPr>
                  <w:tcW w:w="677" w:type="pct"/>
                  <w:vAlign w:val="bottom"/>
                </w:tcPr>
                <w:p w14:paraId="7FA69BA4" w14:textId="77777777" w:rsidR="009C6940" w:rsidRPr="00DF5CF3" w:rsidRDefault="009C6940" w:rsidP="009C6940">
                  <w:pPr>
                    <w:pStyle w:val="TableBodyText"/>
                  </w:pPr>
                  <w:r w:rsidRPr="00DF5CF3">
                    <w:t>-0.016</w:t>
                  </w:r>
                </w:p>
              </w:tc>
              <w:tc>
                <w:tcPr>
                  <w:tcW w:w="677" w:type="pct"/>
                  <w:vAlign w:val="bottom"/>
                </w:tcPr>
                <w:p w14:paraId="35ADE57B" w14:textId="77777777" w:rsidR="009C6940" w:rsidRPr="00DF5CF3" w:rsidRDefault="009C6940" w:rsidP="009C6940">
                  <w:pPr>
                    <w:pStyle w:val="TableBodyText"/>
                  </w:pPr>
                  <w:r w:rsidRPr="00DF5CF3">
                    <w:t>0.008</w:t>
                  </w:r>
                </w:p>
              </w:tc>
              <w:tc>
                <w:tcPr>
                  <w:tcW w:w="762" w:type="pct"/>
                  <w:vAlign w:val="bottom"/>
                </w:tcPr>
                <w:p w14:paraId="6B495FBF" w14:textId="77777777" w:rsidR="009C6940" w:rsidRPr="00DF5CF3" w:rsidRDefault="009C6940" w:rsidP="009C6940">
                  <w:pPr>
                    <w:pStyle w:val="TableBodyText"/>
                  </w:pPr>
                  <w:r w:rsidRPr="00DF5CF3">
                    <w:t>-0.028</w:t>
                  </w:r>
                </w:p>
              </w:tc>
              <w:tc>
                <w:tcPr>
                  <w:tcW w:w="708" w:type="pct"/>
                  <w:vAlign w:val="bottom"/>
                </w:tcPr>
                <w:p w14:paraId="78EB07D6" w14:textId="77777777" w:rsidR="009C6940" w:rsidRPr="00DF5CF3" w:rsidRDefault="009C6940" w:rsidP="009C6940">
                  <w:pPr>
                    <w:pStyle w:val="TableBodyText"/>
                  </w:pPr>
                  <w:r w:rsidRPr="00DF5CF3">
                    <w:t>-0.017</w:t>
                  </w:r>
                </w:p>
              </w:tc>
              <w:tc>
                <w:tcPr>
                  <w:tcW w:w="822" w:type="pct"/>
                  <w:vAlign w:val="bottom"/>
                </w:tcPr>
                <w:p w14:paraId="6B989AD8" w14:textId="77777777" w:rsidR="009C6940" w:rsidRPr="00DF5CF3" w:rsidRDefault="009C6940" w:rsidP="009C6940">
                  <w:pPr>
                    <w:pStyle w:val="TableBodyText"/>
                    <w:ind w:right="11"/>
                  </w:pPr>
                  <w:r w:rsidRPr="00DF5CF3">
                    <w:t>-0.002</w:t>
                  </w:r>
                </w:p>
              </w:tc>
            </w:tr>
            <w:tr w:rsidR="009C6940" w14:paraId="5ADB438F" w14:textId="77777777" w:rsidTr="009C6940">
              <w:tc>
                <w:tcPr>
                  <w:tcW w:w="1354" w:type="pct"/>
                  <w:tcBorders>
                    <w:bottom w:val="single" w:sz="6" w:space="0" w:color="BFBFBF"/>
                  </w:tcBorders>
                  <w:shd w:val="clear" w:color="auto" w:fill="auto"/>
                  <w:vAlign w:val="bottom"/>
                </w:tcPr>
                <w:p w14:paraId="3F63BBE4" w14:textId="77777777" w:rsidR="009C6940" w:rsidRDefault="009C6940" w:rsidP="009C6940">
                  <w:pPr>
                    <w:pStyle w:val="TableBodyText"/>
                    <w:jc w:val="left"/>
                  </w:pPr>
                  <w:r w:rsidRPr="005368AA">
                    <w:t>MCS</w:t>
                  </w:r>
                </w:p>
              </w:tc>
              <w:tc>
                <w:tcPr>
                  <w:tcW w:w="677" w:type="pct"/>
                  <w:tcBorders>
                    <w:bottom w:val="single" w:sz="6" w:space="0" w:color="BFBFBF"/>
                  </w:tcBorders>
                  <w:vAlign w:val="bottom"/>
                </w:tcPr>
                <w:p w14:paraId="702BE068" w14:textId="77777777" w:rsidR="009C6940" w:rsidRPr="008A6912" w:rsidRDefault="009C6940">
                  <w:pPr>
                    <w:pStyle w:val="TableBodyText"/>
                  </w:pPr>
                  <w:r w:rsidRPr="008A2895">
                    <w:t>0.448</w:t>
                  </w:r>
                </w:p>
              </w:tc>
              <w:tc>
                <w:tcPr>
                  <w:tcW w:w="677" w:type="pct"/>
                  <w:tcBorders>
                    <w:bottom w:val="single" w:sz="6" w:space="0" w:color="BFBFBF"/>
                  </w:tcBorders>
                  <w:vAlign w:val="bottom"/>
                </w:tcPr>
                <w:p w14:paraId="5E4CFA07" w14:textId="77777777" w:rsidR="009C6940" w:rsidRPr="008A6912" w:rsidRDefault="009C6940">
                  <w:pPr>
                    <w:pStyle w:val="TableBodyText"/>
                  </w:pPr>
                  <w:r w:rsidRPr="008A2895">
                    <w:t>0.081</w:t>
                  </w:r>
                </w:p>
              </w:tc>
              <w:tc>
                <w:tcPr>
                  <w:tcW w:w="762" w:type="pct"/>
                  <w:tcBorders>
                    <w:bottom w:val="single" w:sz="6" w:space="0" w:color="BFBFBF"/>
                  </w:tcBorders>
                  <w:vAlign w:val="bottom"/>
                </w:tcPr>
                <w:p w14:paraId="4A20CF4F" w14:textId="77777777" w:rsidR="009C6940" w:rsidRPr="008A6912" w:rsidRDefault="009C6940">
                  <w:pPr>
                    <w:pStyle w:val="TableBodyText"/>
                  </w:pPr>
                  <w:r w:rsidRPr="008A2895">
                    <w:t>0.324</w:t>
                  </w:r>
                </w:p>
              </w:tc>
              <w:tc>
                <w:tcPr>
                  <w:tcW w:w="708" w:type="pct"/>
                  <w:tcBorders>
                    <w:bottom w:val="single" w:sz="6" w:space="0" w:color="BFBFBF"/>
                  </w:tcBorders>
                  <w:shd w:val="clear" w:color="auto" w:fill="auto"/>
                  <w:vAlign w:val="bottom"/>
                </w:tcPr>
                <w:p w14:paraId="67BDF1B3" w14:textId="77777777" w:rsidR="009C6940" w:rsidRPr="008A6912" w:rsidRDefault="009C6940">
                  <w:pPr>
                    <w:pStyle w:val="TableBodyText"/>
                  </w:pPr>
                  <w:r w:rsidRPr="008A2895">
                    <w:t>0.443</w:t>
                  </w:r>
                </w:p>
              </w:tc>
              <w:tc>
                <w:tcPr>
                  <w:tcW w:w="822" w:type="pct"/>
                  <w:tcBorders>
                    <w:bottom w:val="single" w:sz="6" w:space="0" w:color="BFBFBF"/>
                  </w:tcBorders>
                  <w:shd w:val="clear" w:color="auto" w:fill="auto"/>
                  <w:vAlign w:val="bottom"/>
                </w:tcPr>
                <w:p w14:paraId="7CEE3E5C" w14:textId="77777777" w:rsidR="009C6940" w:rsidRPr="008A6912" w:rsidRDefault="009C6940" w:rsidP="009C6940">
                  <w:pPr>
                    <w:pStyle w:val="TableBodyText"/>
                    <w:ind w:right="11"/>
                  </w:pPr>
                  <w:r w:rsidRPr="008A2895">
                    <w:t>0.587</w:t>
                  </w:r>
                </w:p>
              </w:tc>
            </w:tr>
          </w:tbl>
          <w:p w14:paraId="28BBB3C5" w14:textId="77777777" w:rsidR="009C6940" w:rsidRDefault="009C6940" w:rsidP="009C6940">
            <w:pPr>
              <w:pStyle w:val="Box"/>
            </w:pPr>
          </w:p>
        </w:tc>
      </w:tr>
      <w:tr w:rsidR="009C6940" w14:paraId="29DADE52" w14:textId="77777777" w:rsidTr="009C6940">
        <w:tc>
          <w:tcPr>
            <w:tcW w:w="5000" w:type="pct"/>
            <w:tcBorders>
              <w:top w:val="nil"/>
              <w:left w:val="nil"/>
              <w:bottom w:val="nil"/>
              <w:right w:val="nil"/>
            </w:tcBorders>
            <w:shd w:val="clear" w:color="auto" w:fill="auto"/>
          </w:tcPr>
          <w:p w14:paraId="5D192CDC" w14:textId="77777777" w:rsidR="009C6940" w:rsidRDefault="009C6940" w:rsidP="009C6940">
            <w:pPr>
              <w:pStyle w:val="Note"/>
              <w:rPr>
                <w:i/>
              </w:rPr>
            </w:pPr>
            <w:r w:rsidRPr="008E77FE">
              <w:rPr>
                <w:rStyle w:val="NoteLabel"/>
              </w:rPr>
              <w:t>a</w:t>
            </w:r>
            <w:r>
              <w:t xml:space="preserve"> Year fixed effects are included in the model, but not shown here. </w:t>
            </w:r>
            <w:r>
              <w:rPr>
                <w:rStyle w:val="NoteLabel"/>
              </w:rPr>
              <w:t>b</w:t>
            </w:r>
            <w:r>
              <w:t xml:space="preserve"> The covariates and outcome variable were standardised prior to estimation.</w:t>
            </w:r>
          </w:p>
        </w:tc>
      </w:tr>
      <w:tr w:rsidR="009C6940" w14:paraId="42CF7BD1" w14:textId="77777777" w:rsidTr="009C6940">
        <w:tc>
          <w:tcPr>
            <w:tcW w:w="5000" w:type="pct"/>
            <w:tcBorders>
              <w:top w:val="nil"/>
              <w:left w:val="nil"/>
              <w:bottom w:val="nil"/>
              <w:right w:val="nil"/>
            </w:tcBorders>
            <w:shd w:val="clear" w:color="auto" w:fill="auto"/>
          </w:tcPr>
          <w:p w14:paraId="4C8FC6EE" w14:textId="77777777" w:rsidR="009C6940" w:rsidRDefault="009C6940" w:rsidP="009C6940">
            <w:pPr>
              <w:pStyle w:val="Source"/>
            </w:pPr>
            <w:r>
              <w:rPr>
                <w:i/>
              </w:rPr>
              <w:t>Source</w:t>
            </w:r>
            <w:r w:rsidRPr="00167F06">
              <w:t xml:space="preserve">: </w:t>
            </w:r>
            <w:r>
              <w:t xml:space="preserve">Productivity Commission estimates using </w:t>
            </w:r>
            <w:r w:rsidRPr="008A6045">
              <w:t>Housing, Income and Labour Dynamics in Australia</w:t>
            </w:r>
            <w:r>
              <w:t>.</w:t>
            </w:r>
          </w:p>
        </w:tc>
      </w:tr>
      <w:tr w:rsidR="009C6940" w14:paraId="6F79AC71" w14:textId="77777777" w:rsidTr="009C6940">
        <w:tc>
          <w:tcPr>
            <w:tcW w:w="5000" w:type="pct"/>
            <w:tcBorders>
              <w:top w:val="nil"/>
              <w:left w:val="nil"/>
              <w:bottom w:val="single" w:sz="6" w:space="0" w:color="78A22F"/>
              <w:right w:val="nil"/>
            </w:tcBorders>
            <w:shd w:val="clear" w:color="auto" w:fill="auto"/>
          </w:tcPr>
          <w:p w14:paraId="2CCDD539" w14:textId="77777777" w:rsidR="009C6940" w:rsidRDefault="009C6940" w:rsidP="009C6940">
            <w:pPr>
              <w:pStyle w:val="Box"/>
              <w:spacing w:before="0" w:line="120" w:lineRule="exact"/>
            </w:pPr>
          </w:p>
        </w:tc>
      </w:tr>
      <w:tr w:rsidR="009C6940" w:rsidRPr="000863A5" w14:paraId="14987280" w14:textId="77777777" w:rsidTr="009C6940">
        <w:tc>
          <w:tcPr>
            <w:tcW w:w="5000" w:type="pct"/>
            <w:tcBorders>
              <w:top w:val="single" w:sz="6" w:space="0" w:color="78A22F"/>
              <w:left w:val="nil"/>
              <w:bottom w:val="nil"/>
              <w:right w:val="nil"/>
            </w:tcBorders>
          </w:tcPr>
          <w:p w14:paraId="29D968DB" w14:textId="77777777" w:rsidR="009C6940" w:rsidRPr="00626D32" w:rsidRDefault="009C6940" w:rsidP="009C6940">
            <w:pPr>
              <w:pStyle w:val="BoxSpaceBelow"/>
            </w:pPr>
          </w:p>
        </w:tc>
      </w:tr>
    </w:tbl>
    <w:p w14:paraId="376D6347" w14:textId="77777777" w:rsidR="009C6940" w:rsidRDefault="00AB0E42" w:rsidP="009C6940">
      <w:pPr>
        <w:pStyle w:val="Heading2"/>
        <w:pageBreakBefore/>
      </w:pPr>
      <w:fldSimple w:instr=" COMMENTS  \* MERGEFORMAT " w:fldLock="1">
        <w:r w:rsidR="009C6940">
          <w:t>J.</w:t>
        </w:r>
      </w:fldSimple>
      <w:r w:rsidR="009C6940">
        <w:rPr>
          <w:noProof/>
        </w:rPr>
        <w:fldChar w:fldCharType="begin" w:fldLock="1"/>
      </w:r>
      <w:r w:rsidR="009C6940">
        <w:rPr>
          <w:noProof/>
        </w:rPr>
        <w:instrText xml:space="preserve"> SEQ Heading2 </w:instrText>
      </w:r>
      <w:r w:rsidR="009C6940">
        <w:rPr>
          <w:noProof/>
        </w:rPr>
        <w:fldChar w:fldCharType="separate"/>
      </w:r>
      <w:r w:rsidR="009C6940">
        <w:rPr>
          <w:noProof/>
        </w:rPr>
        <w:t>4</w:t>
      </w:r>
      <w:r w:rsidR="009C6940">
        <w:rPr>
          <w:noProof/>
        </w:rPr>
        <w:fldChar w:fldCharType="end"/>
      </w:r>
      <w:r w:rsidR="009C6940">
        <w:tab/>
        <w:t>Calculating expected benefits of recommended actions</w:t>
      </w:r>
    </w:p>
    <w:p w14:paraId="7A867F45" w14:textId="77777777" w:rsidR="009C6940" w:rsidRDefault="009C6940" w:rsidP="009C6940">
      <w:pPr>
        <w:pStyle w:val="BodyText"/>
        <w:spacing w:before="200"/>
      </w:pPr>
      <w:r>
        <w:t xml:space="preserve">The econometric results were combined with information from the existing mental health literature that describes the possible effect of policy changes on the mental health of people targeted by a recommended action. This allowed the calculation of estimates of expected changes in employment, wages, and health-related quality of life. Information about the possible effects of the actions, and their associated costs is presented in appendix I. </w:t>
      </w:r>
    </w:p>
    <w:p w14:paraId="14CD6A29" w14:textId="77777777" w:rsidR="009C6940" w:rsidRPr="00EE5933" w:rsidRDefault="009C6940" w:rsidP="009C6940">
      <w:pPr>
        <w:pStyle w:val="BodyText"/>
        <w:spacing w:before="200"/>
      </w:pPr>
      <w:r>
        <w:t>Given the difficulties in implementing longitudinal models over numerous subpopulations and recommended actions, this analysis considers only the short-term benefits of improved mental health. For example, various actions recommended regarding early childhood and school may ultimately result in long-term improvements in labour market outcomes of the children affected. However, this model only considers the health improvements (in terms of QALYs) that these children experience, and the potential for their parents to have better labour market outcomes in the short term. As a result, the benefits presented here are likely to understate the overall potential benefits of the recommended actions.</w:t>
      </w:r>
    </w:p>
    <w:p w14:paraId="276E768C" w14:textId="77777777" w:rsidR="009C6940" w:rsidRDefault="009C6940" w:rsidP="009C6940">
      <w:pPr>
        <w:pStyle w:val="BodyText"/>
        <w:spacing w:before="200"/>
      </w:pPr>
      <w:r>
        <w:t xml:space="preserve">The direct economic benefits of improvements in mental health may be thought of as consisting of two elements — increases in income and increases in employment. </w:t>
      </w:r>
    </w:p>
    <w:p w14:paraId="53C68F8E" w14:textId="77777777" w:rsidR="009C6940" w:rsidRDefault="009C6940" w:rsidP="009C6940">
      <w:pPr>
        <w:pStyle w:val="BodyText"/>
        <w:spacing w:before="200"/>
      </w:pPr>
      <w:r>
        <w:t>The recommended actions are modelled as functions that transform the relevant pre-reform variables into post-reform variables:</w:t>
      </w:r>
    </w:p>
    <w:p w14:paraId="037E2B5B" w14:textId="77777777" w:rsidR="009C6940" w:rsidRDefault="00AB0E42" w:rsidP="009C6940">
      <w:pPr>
        <w:pStyle w:val="BodyText"/>
        <w:tabs>
          <w:tab w:val="right" w:pos="8505"/>
        </w:tabs>
      </w:pPr>
      <m:oMath>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f</m:t>
                </m:r>
              </m:e>
              <m:sub>
                <m:r>
                  <w:rPr>
                    <w:rFonts w:ascii="Cambria Math" w:hAnsi="Cambria Math"/>
                  </w:rPr>
                  <m:t>j</m:t>
                </m:r>
              </m:sub>
            </m:sSub>
            <m:r>
              <w:rPr>
                <w:rFonts w:ascii="Cambria Math" w:hAnsi="Cambria Math"/>
              </w:rPr>
              <m:t>(</m:t>
            </m:r>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r>
          <w:rPr>
            <w:rFonts w:ascii="Cambria Math" w:hAnsi="Cambria Math"/>
          </w:rPr>
          <m:t>)</m:t>
        </m:r>
      </m:oMath>
      <w:r w:rsidR="009C6940" w:rsidRPr="00DC0BB4">
        <w:t xml:space="preserve"> </w:t>
      </w:r>
      <w:r w:rsidR="009C6940">
        <w:tab/>
        <w:t>[5]</w:t>
      </w:r>
    </w:p>
    <w:p w14:paraId="1A5203B3" w14:textId="77777777" w:rsidR="009C6940" w:rsidRDefault="009C6940" w:rsidP="009C6940">
      <w:pPr>
        <w:pStyle w:val="BodyText"/>
        <w:spacing w:before="200"/>
      </w:pPr>
      <w:r>
        <w:t xml:space="preserve">where </w:t>
      </w:r>
      <m:oMath>
        <m:sSub>
          <m:sSubPr>
            <m:ctrlPr>
              <w:rPr>
                <w:rFonts w:ascii="Cambria Math" w:hAnsi="Cambria Math"/>
                <w:i/>
              </w:rPr>
            </m:ctrlPr>
          </m:sSubPr>
          <m:e>
            <m:r>
              <w:rPr>
                <w:rFonts w:ascii="Cambria Math" w:hAnsi="Cambria Math"/>
              </w:rPr>
              <m:t>f</m:t>
            </m:r>
          </m:e>
          <m:sub>
            <m:r>
              <w:rPr>
                <w:rFonts w:ascii="Cambria Math" w:hAnsi="Cambria Math"/>
              </w:rPr>
              <m:t>j</m:t>
            </m:r>
          </m:sub>
        </m:sSub>
      </m:oMath>
      <w:r>
        <w:t xml:space="preserve"> is a function that indicates how the mental health of individual </w:t>
      </w:r>
      <w:r>
        <w:rPr>
          <w:i/>
        </w:rPr>
        <w:t xml:space="preserve">i </w:t>
      </w:r>
      <w:r>
        <w:t xml:space="preserve">changes as a result of reform </w:t>
      </w:r>
      <m:oMath>
        <m:r>
          <w:rPr>
            <w:rFonts w:ascii="Cambria Math" w:hAnsi="Cambria Math"/>
          </w:rPr>
          <m:t>j</m:t>
        </m:r>
      </m:oMath>
      <w:r>
        <w:t>. An individual’s MCS is typically increased by the relevant effect in order to indicate the expected post-reform mental health state of affected individuals.</w:t>
      </w:r>
    </w:p>
    <w:p w14:paraId="5764A1FF" w14:textId="77777777" w:rsidR="009C6940" w:rsidRDefault="009C6940" w:rsidP="009C6940">
      <w:pPr>
        <w:pStyle w:val="BodyText"/>
        <w:spacing w:before="200"/>
      </w:pPr>
      <w:r>
        <w:t>The increase in employment (which includes both full</w:t>
      </w:r>
      <w:r>
        <w:noBreakHyphen/>
        <w:t>time and part</w:t>
      </w:r>
      <w:r>
        <w:noBreakHyphen/>
        <w:t>time employment) between pre- and post-reform is given by the expression:</w:t>
      </w:r>
    </w:p>
    <w:p w14:paraId="4AA7A7C6" w14:textId="77777777" w:rsidR="009C6940" w:rsidRDefault="009C6940" w:rsidP="009C6940">
      <w:pPr>
        <w:pStyle w:val="BodyText"/>
        <w:tabs>
          <w:tab w:val="right" w:pos="8505"/>
        </w:tabs>
      </w:pPr>
      <m:oMath>
        <m:r>
          <m:rPr>
            <m:sty m:val="p"/>
          </m:rPr>
          <w:rPr>
            <w:rFonts w:ascii="Cambria Math" w:hAnsi="Cambria Math"/>
          </w:rPr>
          <m:t>ΔEmployed</m:t>
        </m:r>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i</m:t>
                </m:r>
              </m:sub>
            </m:sSub>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e>
            </m:d>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r>
              <w:rPr>
                <w:rFonts w:ascii="Cambria Math" w:hAnsi="Cambria Math"/>
              </w:rPr>
              <m:t>)</m:t>
            </m:r>
          </m:e>
        </m:nary>
      </m:oMath>
      <w:r>
        <w:tab/>
        <w:t>[6]</w:t>
      </w:r>
    </w:p>
    <w:p w14:paraId="1CDC459A" w14:textId="77777777" w:rsidR="009C6940" w:rsidRDefault="009C6940" w:rsidP="009C6940">
      <w:pPr>
        <w:pStyle w:val="BodyText"/>
        <w:spacing w:before="200"/>
      </w:pPr>
      <w:r>
        <w:t>The overall labour market benefits are calculated as the change in expected aggregate income. Changes in aggregate income can come from either a change in wages attributed to changes in mental health or a change in the probability of working full-time or part-time (and the associated average number of hours worked).</w:t>
      </w:r>
    </w:p>
    <w:p w14:paraId="4966E349" w14:textId="77777777" w:rsidR="009C6940" w:rsidRDefault="009C6940" w:rsidP="009C6940">
      <w:pPr>
        <w:pStyle w:val="BodyText"/>
        <w:tabs>
          <w:tab w:val="right" w:pos="8505"/>
        </w:tabs>
      </w:pPr>
      <m:oMath>
        <m:r>
          <m:rPr>
            <m:sty m:val="p"/>
          </m:rPr>
          <w:rPr>
            <w:rFonts w:ascii="Cambria Math" w:hAnsi="Cambria Math"/>
          </w:rPr>
          <m:t>ΔIncome</m:t>
        </m:r>
        <m:r>
          <w:rPr>
            <w:rFonts w:ascii="Cambria Math" w:hAnsi="Cambria Math"/>
          </w:rPr>
          <m:t>=</m:t>
        </m:r>
        <m:r>
          <m:rPr>
            <m:sty m:val="p"/>
          </m:rPr>
          <w:rPr>
            <w:rFonts w:ascii="Cambria Math" w:hAnsi="Cambria Math"/>
          </w:rPr>
          <m:t>Weeks</m:t>
        </m:r>
        <m:r>
          <w:rPr>
            <w:rFonts w:ascii="Cambria Math" w:hAnsi="Cambria Math"/>
          </w:rPr>
          <m:t>×</m:t>
        </m:r>
        <m:r>
          <m:rPr>
            <m:sty m:val="p"/>
          </m:rPr>
          <w:rPr>
            <w:rFonts w:ascii="Cambria Math" w:hAnsi="Cambria Math"/>
          </w:rPr>
          <m:t>Hour</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FT</m:t>
            </m:r>
          </m:sup>
        </m:sSup>
        <m:r>
          <w:rPr>
            <w:rFonts w:ascii="Cambria Math" w:hAnsi="Cambria Math"/>
          </w:rPr>
          <m:t>×</m:t>
        </m:r>
      </m:oMath>
      <w:r>
        <w:t xml:space="preserve"> </w:t>
      </w:r>
      <w:r>
        <w:tab/>
        <w:t>[7]</w:t>
      </w:r>
    </w:p>
    <w:p w14:paraId="0B2A4628" w14:textId="77777777" w:rsidR="009C6940" w:rsidRDefault="009C6940" w:rsidP="009C6940">
      <w:pPr>
        <w:pStyle w:val="BodyText"/>
      </w:pPr>
      <w:r>
        <w:tab/>
      </w:r>
      <w:r>
        <w:tab/>
      </w:r>
      <m:oMath>
        <m:r>
          <w:rPr>
            <w:rFonts w:ascii="Cambria Math" w:hAnsi="Cambria Math"/>
          </w:rPr>
          <m:t xml:space="preserve"> </m:t>
        </m:r>
        <m:d>
          <m:dPr>
            <m:begChr m:val="["/>
            <m:endChr m:val="]"/>
            <m:ctrlPr>
              <w:rPr>
                <w:rFonts w:ascii="Cambria Math" w:hAnsi="Cambria Math"/>
                <w:i/>
              </w:rPr>
            </m:ctrlPr>
          </m:dPr>
          <m:e>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FT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e>
                </m:d>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FT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e>
                </m:d>
              </m:e>
            </m:nary>
            <m:r>
              <w:rPr>
                <w:rFonts w:ascii="Cambria Math" w:hAnsi="Cambria Math"/>
              </w:rPr>
              <m:t xml:space="preserve"> </m:t>
            </m:r>
          </m:e>
        </m:d>
      </m:oMath>
    </w:p>
    <w:p w14:paraId="6FD22FD0" w14:textId="77777777" w:rsidR="009C6940" w:rsidRDefault="009C6940" w:rsidP="009C6940">
      <w:pPr>
        <w:pStyle w:val="BodyText"/>
      </w:pPr>
      <w:r>
        <w:tab/>
      </w:r>
      <m:oMath>
        <m:r>
          <w:rPr>
            <w:rFonts w:ascii="Cambria Math" w:hAnsi="Cambria Math"/>
          </w:rPr>
          <m:t xml:space="preserve">+ </m:t>
        </m:r>
        <m:r>
          <m:rPr>
            <m:sty m:val="p"/>
          </m:rPr>
          <w:rPr>
            <w:rFonts w:ascii="Cambria Math" w:hAnsi="Cambria Math"/>
          </w:rPr>
          <m:t>Weeks</m:t>
        </m:r>
        <m:r>
          <w:rPr>
            <w:rFonts w:ascii="Cambria Math" w:hAnsi="Cambria Math"/>
          </w:rPr>
          <m:t>×</m:t>
        </m:r>
        <m:r>
          <m:rPr>
            <m:sty m:val="p"/>
          </m:rPr>
          <w:rPr>
            <w:rFonts w:ascii="Cambria Math" w:hAnsi="Cambria Math"/>
          </w:rPr>
          <m:t>Hour</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PT</m:t>
            </m:r>
          </m:sup>
        </m:sSup>
        <m:r>
          <w:rPr>
            <w:rFonts w:ascii="Cambria Math" w:hAnsi="Cambria Math"/>
          </w:rPr>
          <m:t>×</m:t>
        </m:r>
      </m:oMath>
    </w:p>
    <w:p w14:paraId="6D81431C" w14:textId="77777777" w:rsidR="009C6940" w:rsidRDefault="009C6940" w:rsidP="009C6940">
      <w:pPr>
        <w:pStyle w:val="BodyText"/>
      </w:pPr>
      <w:r>
        <w:tab/>
      </w:r>
      <w:r>
        <w:tab/>
      </w:r>
      <m:oMath>
        <m:r>
          <w:rPr>
            <w:rFonts w:ascii="Cambria Math" w:hAnsi="Cambria Math"/>
          </w:rPr>
          <m:t xml:space="preserve"> </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PT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PT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e>
                </m:d>
              </m:e>
            </m:nary>
            <m:r>
              <w:rPr>
                <w:rFonts w:ascii="Cambria Math" w:hAnsi="Cambria Math"/>
              </w:rPr>
              <m:t xml:space="preserve"> </m:t>
            </m:r>
          </m:e>
        </m:d>
      </m:oMath>
    </w:p>
    <w:p w14:paraId="12F86F74" w14:textId="77777777" w:rsidR="009C6940" w:rsidRDefault="009C6940" w:rsidP="009C6940">
      <w:pPr>
        <w:pStyle w:val="BodyText"/>
      </w:pPr>
      <w:r>
        <w:lastRenderedPageBreak/>
        <w:t>Similarly, interventions with an effect size which affect mental health are assumed to change a person’s MCS score, and change the utility weight used to derive their QALYs, using the parameter estimates from equation [4]. This provides an indication of the change in QALY, given a change in mental health, which can then be summed up over the population for which the intervention is applied to.</w:t>
      </w:r>
    </w:p>
    <w:p w14:paraId="5FD8665E" w14:textId="77777777" w:rsidR="009C6940" w:rsidRPr="00FA700E" w:rsidRDefault="009C6940" w:rsidP="009C6940">
      <w:pPr>
        <w:pStyle w:val="BodyText"/>
        <w:tabs>
          <w:tab w:val="right" w:pos="8505"/>
        </w:tabs>
      </w:pPr>
      <m:oMath>
        <m:r>
          <m:rPr>
            <m:sty m:val="p"/>
          </m:rPr>
          <w:rPr>
            <w:rFonts w:ascii="Cambria Math" w:hAnsi="Cambria Math"/>
          </w:rPr>
          <m:t>ΔQALY</m:t>
        </m:r>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QALY</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r>
              <m:rPr>
                <m:sty m:val="p"/>
              </m:rPr>
              <w:rPr>
                <w:rFonts w:ascii="Cambria Math" w:hAnsi="Cambria Math"/>
              </w:rPr>
              <m:t>)</m:t>
            </m:r>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QALY</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r>
              <m:rPr>
                <m:sty m:val="p"/>
              </m:rPr>
              <w:rPr>
                <w:rFonts w:ascii="Cambria Math" w:hAnsi="Cambria Math"/>
              </w:rPr>
              <m:t>)</m:t>
            </m:r>
          </m:e>
        </m:nary>
      </m:oMath>
      <w:r>
        <w:tab/>
        <w:t>[8]</w:t>
      </w:r>
    </w:p>
    <w:p w14:paraId="0BDC0AF4" w14:textId="77777777" w:rsidR="009C6940" w:rsidRDefault="009C6940" w:rsidP="009C6940">
      <w:pPr>
        <w:pStyle w:val="BodyText"/>
      </w:pPr>
      <w:r>
        <w:t>Waves 2–18 of HILDA are used to estimate the parameters of the model following the procedure outlined in section J.1. In constructing the dataset used for the analysis, observations are dropped when an individual has not provided a complete set of responses to the questions used to construct the variables required for estimation. To estimate the benefits of recommendations, the latest wave of HILDA is used as it is expected, with population weights, to more closely reflect the current state of the Australian population.</w:t>
      </w:r>
    </w:p>
    <w:p w14:paraId="139CEE36" w14:textId="77777777" w:rsidR="009C6940" w:rsidRPr="001E58C5" w:rsidRDefault="009C6940" w:rsidP="009C6940">
      <w:pPr>
        <w:pStyle w:val="BodyText"/>
        <w:rPr>
          <w:spacing w:val="-2"/>
        </w:rPr>
      </w:pPr>
      <w:r w:rsidRPr="001E58C5">
        <w:rPr>
          <w:spacing w:val="-2"/>
        </w:rPr>
        <w:t xml:space="preserve">The Bayesian approach to estimating the relationships between mental health and wages, labour force participation and health-related quality of life (QALYs) produces a distribution over the parameters rather than a single ‘point’ estimate. Using the output from the models described in section J.1 combined with a set of reforms yields a range and distribution of possible expected effects (box J.3). Benefits estimated using this approach are presented in appendix I. </w:t>
      </w:r>
    </w:p>
    <w:p w14:paraId="066B509B"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2F10016" w14:textId="77777777" w:rsidTr="009C6940">
        <w:trPr>
          <w:tblHeader/>
        </w:trPr>
        <w:tc>
          <w:tcPr>
            <w:tcW w:w="5000" w:type="pct"/>
            <w:tcBorders>
              <w:top w:val="single" w:sz="6" w:space="0" w:color="78A22F"/>
              <w:left w:val="nil"/>
              <w:bottom w:val="nil"/>
              <w:right w:val="nil"/>
            </w:tcBorders>
            <w:shd w:val="clear" w:color="auto" w:fill="F2F2F2"/>
          </w:tcPr>
          <w:p w14:paraId="5E000C9E" w14:textId="77777777" w:rsidR="009C6940" w:rsidRDefault="009C6940" w:rsidP="009C6940">
            <w:pPr>
              <w:pStyle w:val="BoxTitle"/>
            </w:pPr>
            <w:r w:rsidRPr="00C00127">
              <w:rPr>
                <w:b w:val="0"/>
              </w:rPr>
              <w:t xml:space="preserve">Box </w:t>
            </w:r>
            <w:r>
              <w:rPr>
                <w:b w:val="0"/>
              </w:rPr>
              <w:t>J.</w:t>
            </w:r>
            <w:r w:rsidRPr="00C00127">
              <w:rPr>
                <w:b w:val="0"/>
              </w:rPr>
              <w:t>3</w:t>
            </w:r>
            <w:r>
              <w:tab/>
              <w:t>Interpreting outputs from Bayesian statistical models</w:t>
            </w:r>
          </w:p>
        </w:tc>
      </w:tr>
      <w:tr w:rsidR="009C6940" w14:paraId="7374F1DB" w14:textId="77777777" w:rsidTr="009C6940">
        <w:tc>
          <w:tcPr>
            <w:tcW w:w="5000" w:type="pct"/>
            <w:tcBorders>
              <w:top w:val="nil"/>
              <w:left w:val="nil"/>
              <w:bottom w:val="nil"/>
              <w:right w:val="nil"/>
            </w:tcBorders>
            <w:shd w:val="clear" w:color="auto" w:fill="F2F2F2"/>
          </w:tcPr>
          <w:p w14:paraId="329D1B0B" w14:textId="77777777" w:rsidR="009C6940" w:rsidRDefault="009C6940" w:rsidP="009C6940">
            <w:pPr>
              <w:pStyle w:val="Box"/>
            </w:pPr>
            <w:r w:rsidRPr="00482588">
              <w:t xml:space="preserve">Bayesian methods deliver parameter estimates spanning a range of possible values. The choice of which statistic to present </w:t>
            </w:r>
            <w:r>
              <w:t>in summarising the outputs requires judgment.</w:t>
            </w:r>
          </w:p>
          <w:p w14:paraId="502340AC" w14:textId="77777777" w:rsidR="009C6940" w:rsidRPr="00482588" w:rsidRDefault="009C6940" w:rsidP="009C6940">
            <w:pPr>
              <w:pStyle w:val="Box"/>
            </w:pPr>
            <w:r w:rsidRPr="00482588">
              <w:t>In this work, the median (50th percentile) is preferred as it represents outcomes with a reasonable chance of occurring and is not skewed, as the mean can be</w:t>
            </w:r>
            <w:r>
              <w:t xml:space="preserve"> as a result of </w:t>
            </w:r>
            <w:r w:rsidRPr="00482588">
              <w:t>outlier</w:t>
            </w:r>
            <w:r>
              <w:t>s</w:t>
            </w:r>
            <w:r w:rsidRPr="00482588">
              <w:t>. Uncertainty associated with an estimate is often indicated by presenting values from percentiles at the top and bottom of the span. The value at the 90th percentile, for example, can be interpreted as m</w:t>
            </w:r>
            <w:r>
              <w:t xml:space="preserve">eaning that ‘there is only a 10% </w:t>
            </w:r>
            <w:r w:rsidRPr="00482588">
              <w:t xml:space="preserve">probability that the true parameter value is greater than this figure’. Values between the </w:t>
            </w:r>
            <w:r>
              <w:t>5</w:t>
            </w:r>
            <w:r w:rsidRPr="00482588">
              <w:t>th and 9</w:t>
            </w:r>
            <w:r>
              <w:t>5</w:t>
            </w:r>
            <w:r w:rsidRPr="00482588">
              <w:t>th percentiles can be interpreted as</w:t>
            </w:r>
            <w:r>
              <w:t xml:space="preserve"> indicating that ‘there is a 90% </w:t>
            </w:r>
            <w:r w:rsidRPr="00482588">
              <w:t xml:space="preserve">chance that the true parameter value lies in this range’. This is sometimes referred to as a </w:t>
            </w:r>
            <w:r w:rsidRPr="00127B26">
              <w:rPr>
                <w:i/>
              </w:rPr>
              <w:t>credibility interval</w:t>
            </w:r>
            <w:r w:rsidRPr="00482588">
              <w:t>.</w:t>
            </w:r>
          </w:p>
        </w:tc>
      </w:tr>
      <w:tr w:rsidR="009C6940" w14:paraId="0F7FBF76" w14:textId="77777777" w:rsidTr="009C6940">
        <w:tc>
          <w:tcPr>
            <w:tcW w:w="5000" w:type="pct"/>
            <w:tcBorders>
              <w:top w:val="nil"/>
              <w:left w:val="nil"/>
              <w:bottom w:val="single" w:sz="6" w:space="0" w:color="78A22F"/>
              <w:right w:val="nil"/>
            </w:tcBorders>
            <w:shd w:val="clear" w:color="auto" w:fill="F2F2F2"/>
          </w:tcPr>
          <w:p w14:paraId="686F438F" w14:textId="77777777" w:rsidR="009C6940" w:rsidRDefault="009C6940" w:rsidP="009C6940">
            <w:pPr>
              <w:pStyle w:val="Box"/>
              <w:spacing w:before="0" w:line="120" w:lineRule="exact"/>
            </w:pPr>
          </w:p>
        </w:tc>
      </w:tr>
      <w:tr w:rsidR="009C6940" w:rsidRPr="000863A5" w14:paraId="73E5B3CD" w14:textId="77777777" w:rsidTr="009C6940">
        <w:tc>
          <w:tcPr>
            <w:tcW w:w="5000" w:type="pct"/>
            <w:tcBorders>
              <w:top w:val="single" w:sz="6" w:space="0" w:color="78A22F"/>
              <w:left w:val="nil"/>
              <w:bottom w:val="nil"/>
              <w:right w:val="nil"/>
            </w:tcBorders>
          </w:tcPr>
          <w:p w14:paraId="32E0C4AB" w14:textId="77777777" w:rsidR="009C6940" w:rsidRPr="00626D32" w:rsidRDefault="009C6940" w:rsidP="009C6940">
            <w:pPr>
              <w:pStyle w:val="BoxSpaceBelow"/>
            </w:pPr>
          </w:p>
        </w:tc>
      </w:tr>
    </w:tbl>
    <w:p w14:paraId="4E2FBDF3" w14:textId="77777777" w:rsidR="009C6940" w:rsidRDefault="009C6940" w:rsidP="009C6940">
      <w:pPr>
        <w:pStyle w:val="BodyText"/>
      </w:pPr>
      <w:r>
        <w:br w:type="page"/>
      </w:r>
    </w:p>
    <w:p w14:paraId="1897047F" w14:textId="77777777" w:rsidR="009C6940" w:rsidRPr="00712043" w:rsidRDefault="009C6940" w:rsidP="009C6940">
      <w:pPr>
        <w:pStyle w:val="Heading1"/>
      </w:pPr>
      <w:r>
        <w:lastRenderedPageBreak/>
        <w:t>References</w:t>
      </w:r>
    </w:p>
    <w:p w14:paraId="74944138" w14:textId="77777777" w:rsidR="009C6940" w:rsidRPr="00714233" w:rsidRDefault="009C6940" w:rsidP="009C6940">
      <w:pPr>
        <w:pStyle w:val="Reference"/>
        <w:spacing w:before="100" w:line="260" w:lineRule="atLeast"/>
        <w:rPr>
          <w:sz w:val="20"/>
        </w:rPr>
      </w:pPr>
      <w:r w:rsidRPr="00714233">
        <w:rPr>
          <w:sz w:val="20"/>
        </w:rPr>
        <w:t xml:space="preserve">Alexandre, P.K. and French, M.T. 2001, ‘Labor supply of poor residents in metropolitan Miami, Florida: the role of depression and the co-morbid effects of substance use’, </w:t>
      </w:r>
      <w:r w:rsidRPr="00714233">
        <w:rPr>
          <w:i/>
          <w:iCs/>
          <w:sz w:val="20"/>
        </w:rPr>
        <w:t>Journal of Mental Health Policy and Economics</w:t>
      </w:r>
      <w:r w:rsidRPr="00714233">
        <w:rPr>
          <w:sz w:val="20"/>
        </w:rPr>
        <w:t>, vol. 4, no. 4, pp. 161–173.</w:t>
      </w:r>
    </w:p>
    <w:p w14:paraId="7696ED50" w14:textId="77777777" w:rsidR="009C6940" w:rsidRPr="00714233" w:rsidRDefault="009C6940" w:rsidP="009C6940">
      <w:pPr>
        <w:pStyle w:val="Reference"/>
        <w:spacing w:before="100" w:line="260" w:lineRule="atLeast"/>
        <w:rPr>
          <w:sz w:val="20"/>
        </w:rPr>
      </w:pPr>
      <w:r w:rsidRPr="00714233">
        <w:rPr>
          <w:sz w:val="20"/>
        </w:rPr>
        <w:t xml:space="preserve">Cai, L. 2010, ‘The relationship between health and labour force participation: Evidence from a panel data simultaneous equation model’, </w:t>
      </w:r>
      <w:r w:rsidRPr="00714233">
        <w:rPr>
          <w:i/>
          <w:iCs/>
          <w:sz w:val="20"/>
        </w:rPr>
        <w:t>Labour Economics</w:t>
      </w:r>
      <w:r w:rsidRPr="00714233">
        <w:rPr>
          <w:sz w:val="20"/>
        </w:rPr>
        <w:t>, vol. 17, no. 1, pp. 77–90.</w:t>
      </w:r>
    </w:p>
    <w:p w14:paraId="171B0C87" w14:textId="77777777" w:rsidR="009C6940" w:rsidRPr="00714233" w:rsidRDefault="009C6940" w:rsidP="009C6940">
      <w:pPr>
        <w:pStyle w:val="Reference"/>
        <w:spacing w:before="100" w:line="260" w:lineRule="atLeast"/>
        <w:rPr>
          <w:sz w:val="20"/>
        </w:rPr>
      </w:pPr>
      <w:r w:rsidRPr="00714233">
        <w:rPr>
          <w:sz w:val="20"/>
        </w:rPr>
        <w:t xml:space="preserve">Carpenter, B., Gelman, A., Hoffman, M.D., Lee, D., Goodrich, B., Betancourt, M., Brubaker, M., Guo, J., Li, P. and Riddell, A. 2017, ‘Stan: a probabilistic programming language’, </w:t>
      </w:r>
      <w:r w:rsidRPr="00714233">
        <w:rPr>
          <w:i/>
          <w:iCs/>
          <w:sz w:val="20"/>
        </w:rPr>
        <w:t>Journal of Statistical Software</w:t>
      </w:r>
      <w:r w:rsidRPr="00714233">
        <w:rPr>
          <w:sz w:val="20"/>
        </w:rPr>
        <w:t>, vol. 76, no. 1, pp. 1–32.</w:t>
      </w:r>
    </w:p>
    <w:p w14:paraId="03BC5144" w14:textId="77777777" w:rsidR="009C6940" w:rsidRPr="00714233" w:rsidRDefault="009C6940" w:rsidP="009C6940">
      <w:pPr>
        <w:pStyle w:val="Reference"/>
        <w:spacing w:before="100" w:line="260" w:lineRule="atLeast"/>
        <w:rPr>
          <w:sz w:val="20"/>
        </w:rPr>
      </w:pPr>
      <w:r w:rsidRPr="00714233">
        <w:rPr>
          <w:sz w:val="20"/>
        </w:rPr>
        <w:t xml:space="preserve">Chatterji, P., Alegría, M., Lu, M. and Takeuchi, D. 2007, ‘Psychiatric disorders and labor market outcomes: evidence from the National Latino and Asian American Study’, </w:t>
      </w:r>
      <w:r w:rsidRPr="00714233">
        <w:rPr>
          <w:i/>
          <w:iCs/>
          <w:sz w:val="20"/>
        </w:rPr>
        <w:t>Health Economics</w:t>
      </w:r>
      <w:r w:rsidRPr="00714233">
        <w:rPr>
          <w:sz w:val="20"/>
        </w:rPr>
        <w:t>, vol. 16, no. 10, pp. 1069–1090.</w:t>
      </w:r>
    </w:p>
    <w:p w14:paraId="6A865659" w14:textId="77777777" w:rsidR="009C6940" w:rsidRPr="00714233" w:rsidRDefault="009C6940" w:rsidP="009C6940">
      <w:pPr>
        <w:pStyle w:val="Reference"/>
        <w:spacing w:before="100" w:line="260" w:lineRule="atLeast"/>
        <w:rPr>
          <w:sz w:val="20"/>
        </w:rPr>
      </w:pPr>
      <w:r w:rsidRPr="00714233">
        <w:rPr>
          <w:sz w:val="20"/>
        </w:rPr>
        <w:t xml:space="preserve">Ettner, S.L., Frank, R.G. and Kessler, R.C. 1997, ‘The impact of psychiatric disorders on labor market outcomes’, </w:t>
      </w:r>
      <w:r w:rsidRPr="00714233">
        <w:rPr>
          <w:i/>
          <w:iCs/>
          <w:sz w:val="20"/>
        </w:rPr>
        <w:t>Industrial and Labor Relations Review</w:t>
      </w:r>
      <w:r w:rsidRPr="00714233">
        <w:rPr>
          <w:sz w:val="20"/>
        </w:rPr>
        <w:t>, vol. 51, no. 1, pp. 64–81.</w:t>
      </w:r>
    </w:p>
    <w:p w14:paraId="3EAB7A76" w14:textId="77777777" w:rsidR="009C6940" w:rsidRPr="00714233" w:rsidRDefault="009C6940" w:rsidP="009C6940">
      <w:pPr>
        <w:pStyle w:val="Reference"/>
        <w:spacing w:before="100" w:line="260" w:lineRule="atLeast"/>
        <w:rPr>
          <w:sz w:val="20"/>
        </w:rPr>
      </w:pPr>
      <w:r w:rsidRPr="00714233">
        <w:rPr>
          <w:sz w:val="20"/>
        </w:rPr>
        <w:t xml:space="preserve">Forbes, M., Barker, A. and Turner, S. 2010, </w:t>
      </w:r>
      <w:r w:rsidRPr="00714233">
        <w:rPr>
          <w:i/>
          <w:iCs/>
          <w:sz w:val="20"/>
        </w:rPr>
        <w:t>The Effects of Education and Health on Wages and Productivity</w:t>
      </w:r>
      <w:r w:rsidRPr="00714233">
        <w:rPr>
          <w:sz w:val="20"/>
        </w:rPr>
        <w:t>, Productivity Commission Staff Working Paper, Canberra.</w:t>
      </w:r>
    </w:p>
    <w:p w14:paraId="5385CA72" w14:textId="77777777" w:rsidR="009C6940" w:rsidRPr="00714233" w:rsidRDefault="009C6940" w:rsidP="009C6940">
      <w:pPr>
        <w:pStyle w:val="Reference"/>
        <w:spacing w:before="100" w:line="260" w:lineRule="atLeast"/>
        <w:rPr>
          <w:sz w:val="20"/>
        </w:rPr>
      </w:pPr>
      <w:r w:rsidRPr="00714233">
        <w:rPr>
          <w:sz w:val="20"/>
        </w:rPr>
        <w:t xml:space="preserve">Frijters, P., Johnston, D.W. and Shields, M.A. 2014, ‘The effect of mental health on employment: evidence from Australian panel data’, </w:t>
      </w:r>
      <w:r w:rsidRPr="00714233">
        <w:rPr>
          <w:i/>
          <w:iCs/>
          <w:sz w:val="20"/>
        </w:rPr>
        <w:t>Health Economics</w:t>
      </w:r>
      <w:r w:rsidRPr="00714233">
        <w:rPr>
          <w:sz w:val="20"/>
        </w:rPr>
        <w:t>, vol. 23, no. 9, pp. 1058–1071.</w:t>
      </w:r>
    </w:p>
    <w:p w14:paraId="4EB45F7D" w14:textId="77777777" w:rsidR="009C6940" w:rsidRPr="00714233" w:rsidRDefault="009C6940" w:rsidP="009C6940">
      <w:pPr>
        <w:pStyle w:val="Reference"/>
        <w:spacing w:before="100" w:line="260" w:lineRule="atLeast"/>
        <w:rPr>
          <w:sz w:val="20"/>
        </w:rPr>
      </w:pPr>
      <w:r w:rsidRPr="00714233">
        <w:rPr>
          <w:sz w:val="20"/>
        </w:rPr>
        <w:t xml:space="preserve">Hoekstra, R., Morey, R.D., Rouder, J.N. and Wagenmakers, E.-J. 2014, ‘Robust misinterpretation of confidence intervals’, </w:t>
      </w:r>
      <w:r w:rsidRPr="00714233">
        <w:rPr>
          <w:i/>
          <w:iCs/>
          <w:sz w:val="20"/>
        </w:rPr>
        <w:t>Psychonomic Bulletin &amp; Review</w:t>
      </w:r>
      <w:r w:rsidRPr="00714233">
        <w:rPr>
          <w:sz w:val="20"/>
        </w:rPr>
        <w:t>, vol. 21, no. 5, pp. 1157–1164.</w:t>
      </w:r>
    </w:p>
    <w:p w14:paraId="78C023B6" w14:textId="77777777" w:rsidR="009C6940" w:rsidRPr="00714233" w:rsidRDefault="009C6940" w:rsidP="009C6940">
      <w:pPr>
        <w:pStyle w:val="Reference"/>
        <w:spacing w:before="100" w:line="260" w:lineRule="atLeast"/>
        <w:rPr>
          <w:sz w:val="20"/>
        </w:rPr>
      </w:pPr>
      <w:r w:rsidRPr="00714233">
        <w:rPr>
          <w:sz w:val="20"/>
        </w:rPr>
        <w:t xml:space="preserve">Kiely, K.M. and Butterworth, P. 2015, ‘Validation of four measures of mental health against depression and generalized anxiety in a community based sample’, </w:t>
      </w:r>
      <w:r w:rsidRPr="00714233">
        <w:rPr>
          <w:i/>
          <w:iCs/>
          <w:sz w:val="20"/>
        </w:rPr>
        <w:t>Psychiatry Research</w:t>
      </w:r>
      <w:r w:rsidRPr="00714233">
        <w:rPr>
          <w:sz w:val="20"/>
        </w:rPr>
        <w:t>, vol. 225, no. 3, pp. 291–298.</w:t>
      </w:r>
    </w:p>
    <w:p w14:paraId="7E26ED22" w14:textId="77777777" w:rsidR="009C6940" w:rsidRPr="00714233" w:rsidRDefault="009C6940" w:rsidP="009C6940">
      <w:pPr>
        <w:pStyle w:val="Reference"/>
        <w:spacing w:before="100" w:line="260" w:lineRule="atLeast"/>
        <w:rPr>
          <w:sz w:val="20"/>
        </w:rPr>
      </w:pPr>
      <w:r w:rsidRPr="00714233">
        <w:rPr>
          <w:sz w:val="20"/>
        </w:rPr>
        <w:t xml:space="preserve">McElreath, R. 2019, </w:t>
      </w:r>
      <w:r w:rsidRPr="00714233">
        <w:rPr>
          <w:i/>
          <w:iCs/>
          <w:sz w:val="20"/>
        </w:rPr>
        <w:t>Statistical Rethinking</w:t>
      </w:r>
      <w:r w:rsidRPr="00714233">
        <w:rPr>
          <w:sz w:val="20"/>
        </w:rPr>
        <w:t>, 2nd edn, CRC Press.</w:t>
      </w:r>
    </w:p>
    <w:p w14:paraId="36642079" w14:textId="77777777" w:rsidR="009C6940" w:rsidRPr="00714233" w:rsidRDefault="009C6940" w:rsidP="009C6940">
      <w:pPr>
        <w:pStyle w:val="Reference"/>
        <w:spacing w:before="100" w:line="260" w:lineRule="atLeast"/>
        <w:rPr>
          <w:sz w:val="20"/>
        </w:rPr>
      </w:pPr>
      <w:r w:rsidRPr="00714233">
        <w:rPr>
          <w:sz w:val="20"/>
        </w:rPr>
        <w:t xml:space="preserve">Norman, R., Viney, R., Brazier, J., Burgess, L., Cronin, P., King, M., Ratcliffe, J. and Street, D. 2014, ‘Valuing SF-6D Health States using a discrete choice experiment’, </w:t>
      </w:r>
      <w:r w:rsidRPr="00714233">
        <w:rPr>
          <w:i/>
          <w:iCs/>
          <w:sz w:val="20"/>
        </w:rPr>
        <w:t>Medical Decision Making</w:t>
      </w:r>
      <w:r w:rsidRPr="00714233">
        <w:rPr>
          <w:sz w:val="20"/>
        </w:rPr>
        <w:t>, vol. 34, no. 6, pp. 773–786.</w:t>
      </w:r>
    </w:p>
    <w:p w14:paraId="3A3E83D2" w14:textId="77777777" w:rsidR="009C6940" w:rsidRPr="00714233" w:rsidRDefault="009C6940" w:rsidP="009C6940">
      <w:pPr>
        <w:pStyle w:val="Reference"/>
        <w:spacing w:before="100" w:line="260" w:lineRule="atLeast"/>
        <w:rPr>
          <w:sz w:val="20"/>
        </w:rPr>
      </w:pPr>
      <w:r w:rsidRPr="00714233">
        <w:rPr>
          <w:sz w:val="20"/>
        </w:rPr>
        <w:t xml:space="preserve">Wagenmakers, E.-J., Lee, M., Lodewyckx, T. and Iverson, G.J. 2008, ‘Bayesian Versus Frequentist Inference’, in Hoijtink, H., Klugkist, I. and Boelen, P.A. (eds), </w:t>
      </w:r>
      <w:r w:rsidRPr="00714233">
        <w:rPr>
          <w:i/>
          <w:iCs/>
          <w:sz w:val="20"/>
        </w:rPr>
        <w:t>Bayesian Evaluation of Informative Hypotheses</w:t>
      </w:r>
      <w:r w:rsidRPr="00714233">
        <w:rPr>
          <w:sz w:val="20"/>
        </w:rPr>
        <w:t>, Statistics for Social and Behavioral Sciences, Springer, New York, NY, pp. 181–207.</w:t>
      </w:r>
    </w:p>
    <w:p w14:paraId="0B53DC2B" w14:textId="77777777" w:rsidR="009C6940" w:rsidRPr="00714233" w:rsidRDefault="009C6940" w:rsidP="009C6940">
      <w:pPr>
        <w:pStyle w:val="Reference"/>
        <w:spacing w:before="100" w:line="260" w:lineRule="atLeast"/>
        <w:rPr>
          <w:sz w:val="20"/>
        </w:rPr>
      </w:pPr>
      <w:r w:rsidRPr="00714233">
        <w:rPr>
          <w:sz w:val="20"/>
        </w:rPr>
        <w:t xml:space="preserve">Waghorn, G. and Lloyd, C. 2005, ‘The employment of people with mental illness’, </w:t>
      </w:r>
      <w:r w:rsidRPr="00714233">
        <w:rPr>
          <w:i/>
          <w:iCs/>
          <w:sz w:val="20"/>
        </w:rPr>
        <w:t>Australian e-Journal for the Advancement of Mental Health</w:t>
      </w:r>
      <w:r w:rsidRPr="00714233">
        <w:rPr>
          <w:sz w:val="20"/>
        </w:rPr>
        <w:t>, vol. 4, no. 2, pp. 1–43.</w:t>
      </w:r>
    </w:p>
    <w:p w14:paraId="2B321F09" w14:textId="77777777" w:rsidR="009C6940" w:rsidRPr="00714233" w:rsidRDefault="009C6940" w:rsidP="009C6940">
      <w:pPr>
        <w:pStyle w:val="Reference"/>
        <w:spacing w:before="100" w:line="260" w:lineRule="atLeast"/>
        <w:rPr>
          <w:sz w:val="20"/>
        </w:rPr>
      </w:pPr>
      <w:r w:rsidRPr="00714233">
        <w:rPr>
          <w:sz w:val="20"/>
        </w:rPr>
        <w:t xml:space="preserve">Ware, J.E. and Kosinski, M. 2001, </w:t>
      </w:r>
      <w:r w:rsidRPr="00714233">
        <w:rPr>
          <w:i/>
          <w:iCs/>
          <w:sz w:val="20"/>
        </w:rPr>
        <w:t>SF-36 Physical and Mental Health Summary Scales : A Manual for Users of Version 1</w:t>
      </w:r>
      <w:r w:rsidRPr="00714233">
        <w:rPr>
          <w:sz w:val="20"/>
        </w:rPr>
        <w:t>, 2nd edn, Lincoln, RI : QualityMetric.</w:t>
      </w:r>
    </w:p>
    <w:p w14:paraId="3CDD65B3" w14:textId="77777777" w:rsidR="009C6940" w:rsidRPr="00714233" w:rsidRDefault="009C6940" w:rsidP="009C6940">
      <w:pPr>
        <w:pStyle w:val="Reference"/>
        <w:spacing w:before="100" w:line="260" w:lineRule="atLeast"/>
        <w:rPr>
          <w:sz w:val="20"/>
        </w:rPr>
      </w:pPr>
      <w:r w:rsidRPr="00714233">
        <w:rPr>
          <w:sz w:val="20"/>
        </w:rPr>
        <w:t xml:space="preserve">Whitehead, S.J. and Ali, S. 2010, ‘Health outcomes in economic evaluation: the QALY and utilities’, </w:t>
      </w:r>
      <w:r w:rsidRPr="00714233">
        <w:rPr>
          <w:i/>
          <w:iCs/>
          <w:sz w:val="20"/>
        </w:rPr>
        <w:t>British Medical Bulletin</w:t>
      </w:r>
      <w:r w:rsidRPr="00714233">
        <w:rPr>
          <w:sz w:val="20"/>
        </w:rPr>
        <w:t>, vol. 96, no. 1, pp. 5–21.</w:t>
      </w:r>
    </w:p>
    <w:p w14:paraId="14935E2B" w14:textId="77777777" w:rsidR="009C6940" w:rsidRPr="00714233" w:rsidRDefault="009C6940" w:rsidP="009C6940">
      <w:pPr>
        <w:pStyle w:val="Reference"/>
        <w:spacing w:before="100" w:line="260" w:lineRule="atLeast"/>
        <w:rPr>
          <w:sz w:val="20"/>
        </w:rPr>
      </w:pPr>
      <w:r w:rsidRPr="00714233">
        <w:rPr>
          <w:sz w:val="20"/>
        </w:rPr>
        <w:t xml:space="preserve">Wooldridge, J.M. 2019, ‘Correlated random effects models with unbalanced panels’, </w:t>
      </w:r>
      <w:r w:rsidRPr="00714233">
        <w:rPr>
          <w:i/>
          <w:iCs/>
          <w:sz w:val="20"/>
        </w:rPr>
        <w:t>Journal of Econometrics</w:t>
      </w:r>
      <w:r w:rsidRPr="00714233">
        <w:rPr>
          <w:sz w:val="20"/>
        </w:rPr>
        <w:t>, vol. 211, no. 1, pp. 137–150.</w:t>
      </w:r>
    </w:p>
    <w:p w14:paraId="74905ECD" w14:textId="77777777" w:rsidR="009C6940" w:rsidRDefault="009C6940" w:rsidP="009C6940">
      <w:pPr>
        <w:sectPr w:rsidR="009C6940" w:rsidSect="009C6940">
          <w:headerReference w:type="even" r:id="rId98"/>
          <w:headerReference w:type="default" r:id="rId99"/>
          <w:footerReference w:type="even" r:id="rId100"/>
          <w:footerReference w:type="default" r:id="rId101"/>
          <w:type w:val="oddPage"/>
          <w:pgSz w:w="11907" w:h="16840" w:code="9"/>
          <w:pgMar w:top="1985" w:right="1304" w:bottom="1247" w:left="1814" w:header="1701" w:footer="397" w:gutter="0"/>
          <w:pgNumType w:chapSep="period"/>
          <w:cols w:space="720"/>
          <w:docGrid w:linePitch="326"/>
        </w:sectPr>
      </w:pPr>
    </w:p>
    <w:p w14:paraId="6191CDBD" w14:textId="77777777" w:rsidR="009C6940" w:rsidRDefault="009C6940" w:rsidP="0085206F">
      <w:pPr>
        <w:pStyle w:val="Heading1"/>
      </w:pPr>
      <w:r>
        <w:lastRenderedPageBreak/>
        <w:t>K</w:t>
      </w:r>
      <w:r>
        <w:tab/>
        <w:t>Detailed assumptions about benefits and costs</w:t>
      </w:r>
    </w:p>
    <w:p w14:paraId="318EC1D3" w14:textId="77777777" w:rsidR="009C6940" w:rsidRDefault="009C6940" w:rsidP="009C6940">
      <w:pPr>
        <w:pStyle w:val="BodyText"/>
      </w:pPr>
      <w:r>
        <w:t>This appendix outlines detailed assumptions used in calculating benefits and costs made in each of the various ‘groups’ of actions for which results are presented in appendix I. This includes a brief description of the recommended actions for which benefits and costs are presented, as well as the key assumptions made in order to quantify these benefits and costs.</w:t>
      </w:r>
    </w:p>
    <w:p w14:paraId="4CAE8049" w14:textId="77777777" w:rsidR="009C6940" w:rsidRDefault="009C6940" w:rsidP="009C6940">
      <w:pPr>
        <w:pStyle w:val="BodyText"/>
      </w:pPr>
      <w:r>
        <w:t>In some cases, the beneficial effects of the actions are modelled as the cumulative effect of a number of actions. Where this is the case, there are some actions for which only costs are specified, with the assumptions underlying the effects detailed separately.</w:t>
      </w:r>
    </w:p>
    <w:p w14:paraId="5D7C590B" w14:textId="77777777" w:rsidR="009C6940" w:rsidRDefault="009C6940">
      <w:pPr>
        <w:pStyle w:val="Heading2"/>
        <w:tabs>
          <w:tab w:val="left" w:pos="720"/>
          <w:tab w:val="left" w:pos="1440"/>
          <w:tab w:val="left" w:pos="2160"/>
          <w:tab w:val="left" w:pos="2880"/>
          <w:tab w:val="left" w:pos="3600"/>
          <w:tab w:val="left" w:pos="6534"/>
        </w:tabs>
      </w:pPr>
      <w:r>
        <w:lastRenderedPageBreak/>
        <w:t>K.</w:t>
      </w:r>
      <w:r>
        <w:rPr>
          <w:noProof/>
        </w:rPr>
        <w:t>1</w:t>
      </w:r>
      <w:r>
        <w:tab/>
        <w:t>Access to healthcare</w:t>
      </w:r>
    </w:p>
    <w:p w14:paraId="0670E3C0"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15CEC22" w14:textId="77777777" w:rsidTr="009C6940">
        <w:trPr>
          <w:tblHeader/>
        </w:trPr>
        <w:tc>
          <w:tcPr>
            <w:tcW w:w="5000" w:type="pct"/>
            <w:tcBorders>
              <w:top w:val="single" w:sz="6" w:space="0" w:color="78A22F"/>
              <w:left w:val="nil"/>
              <w:bottom w:val="nil"/>
              <w:right w:val="nil"/>
            </w:tcBorders>
            <w:shd w:val="clear" w:color="auto" w:fill="F2F2F2"/>
          </w:tcPr>
          <w:p w14:paraId="33DDEDAE" w14:textId="77777777" w:rsidR="009C6940" w:rsidRPr="00742470" w:rsidRDefault="009C6940" w:rsidP="009C6940">
            <w:pPr>
              <w:pStyle w:val="BoxHeading1"/>
              <w:ind w:left="992" w:hanging="992"/>
              <w:rPr>
                <w:sz w:val="24"/>
                <w:szCs w:val="24"/>
              </w:rPr>
            </w:pPr>
            <w:r>
              <w:rPr>
                <w:sz w:val="24"/>
                <w:szCs w:val="24"/>
              </w:rPr>
              <w:t>Action</w:t>
            </w:r>
            <w:r>
              <w:rPr>
                <w:sz w:val="24"/>
                <w:szCs w:val="24"/>
              </w:rPr>
              <w:tab/>
            </w:r>
            <w:r w:rsidRPr="00742470">
              <w:rPr>
                <w:sz w:val="24"/>
                <w:szCs w:val="24"/>
              </w:rPr>
              <w:t>Increased psychiatric advice to GPs</w:t>
            </w:r>
          </w:p>
          <w:p w14:paraId="63F3F723" w14:textId="77777777" w:rsidR="009C6940" w:rsidRPr="000C6859" w:rsidRDefault="009C6940" w:rsidP="009C6940">
            <w:pPr>
              <w:pStyle w:val="Box"/>
            </w:pPr>
            <w:r>
              <w:t>The final report recommends that the Australian Government should introduce an Medicare Benefit Schedule (MBS) item for psychiatrists to provide advice to a general practitioner (GP) or a paediatrician over the phone on diagnosis and management issues for a patient who is being managed by the GP or paediatrician.</w:t>
            </w:r>
          </w:p>
        </w:tc>
      </w:tr>
      <w:tr w:rsidR="009C6940" w14:paraId="31500E6B" w14:textId="77777777" w:rsidTr="009C6940">
        <w:tc>
          <w:tcPr>
            <w:tcW w:w="5000" w:type="pct"/>
            <w:tcBorders>
              <w:top w:val="nil"/>
              <w:left w:val="nil"/>
              <w:bottom w:val="nil"/>
              <w:right w:val="nil"/>
            </w:tcBorders>
            <w:shd w:val="clear" w:color="auto" w:fill="F2F2F2"/>
          </w:tcPr>
          <w:p w14:paraId="04DB95D8" w14:textId="77777777" w:rsidR="009C6940" w:rsidRDefault="009C6940" w:rsidP="009C6940">
            <w:pPr>
              <w:pStyle w:val="BoxHeading1"/>
              <w:spacing w:before="120"/>
            </w:pPr>
            <w:r>
              <w:t>Costs</w:t>
            </w:r>
          </w:p>
          <w:p w14:paraId="77102980" w14:textId="77777777" w:rsidR="009C6940" w:rsidRDefault="009C6940" w:rsidP="009C6940">
            <w:pPr>
              <w:pStyle w:val="Box"/>
            </w:pPr>
            <w:r>
              <w:t>T</w:t>
            </w:r>
            <w:r w:rsidRPr="00A16102">
              <w:t>he additional time required by psych</w:t>
            </w:r>
            <w:r>
              <w:t>iatrists, GPs</w:t>
            </w:r>
            <w:r w:rsidRPr="00A16102">
              <w:t xml:space="preserve"> and paediatricians</w:t>
            </w:r>
            <w:r>
              <w:t xml:space="preserve"> is expected to result in increased costs:</w:t>
            </w:r>
          </w:p>
          <w:p w14:paraId="42150FE2" w14:textId="77777777" w:rsidR="009C6940" w:rsidRPr="003D7B86" w:rsidRDefault="009C6940" w:rsidP="009C6940">
            <w:pPr>
              <w:pStyle w:val="BoxListBullet"/>
            </w:pPr>
            <w:r w:rsidRPr="003D7B86">
              <w:t>It is assumed that 10</w:t>
            </w:r>
            <w:r>
              <w:t> </w:t>
            </w:r>
            <w:r w:rsidRPr="003D7B86">
              <w:t>minutes is spent on each call.</w:t>
            </w:r>
          </w:p>
          <w:p w14:paraId="3D0F18A9" w14:textId="77777777" w:rsidR="009C6940" w:rsidRPr="003D7B86" w:rsidRDefault="009C6940" w:rsidP="009C6940">
            <w:pPr>
              <w:pStyle w:val="BoxListBullet"/>
            </w:pPr>
            <w:r w:rsidRPr="003D7B86">
              <w:t>It is assumed that these changes will lead to an additional 3300</w:t>
            </w:r>
            <w:r w:rsidRPr="003D7B86">
              <w:noBreakHyphen/>
              <w:t>8000</w:t>
            </w:r>
            <w:r>
              <w:t> </w:t>
            </w:r>
            <w:r w:rsidRPr="003D7B86">
              <w:t>GP and 500</w:t>
            </w:r>
            <w:r w:rsidRPr="003D7B86">
              <w:noBreakHyphen/>
              <w:t>2000</w:t>
            </w:r>
            <w:r>
              <w:t> </w:t>
            </w:r>
            <w:r w:rsidRPr="003D7B86">
              <w:t xml:space="preserve">paediatrician calls to psychiatrists. (This is based on the </w:t>
            </w:r>
            <w:r>
              <w:t>estimated 1050</w:t>
            </w:r>
            <w:r w:rsidRPr="003D7B86">
              <w:t xml:space="preserve"> calls under the NSW </w:t>
            </w:r>
            <w:r>
              <w:t>Primary Health Network (</w:t>
            </w:r>
            <w:r w:rsidRPr="003D7B86">
              <w:t>PHN</w:t>
            </w:r>
            <w:r>
              <w:t>)</w:t>
            </w:r>
            <w:r w:rsidRPr="003D7B86">
              <w:t xml:space="preserve"> GP Psychiatrist Support Line</w:t>
            </w:r>
            <w:r>
              <w:t xml:space="preserve"> in 2019</w:t>
            </w:r>
            <w:r>
              <w:noBreakHyphen/>
              <w:t>20</w:t>
            </w:r>
            <w:r w:rsidRPr="003D7B86">
              <w:t xml:space="preserve"> (chapter</w:t>
            </w:r>
            <w:r>
              <w:t> 12</w:t>
            </w:r>
            <w:r w:rsidRPr="003D7B86">
              <w:t xml:space="preserve">), scaled up to a national level. In </w:t>
            </w:r>
            <w:r>
              <w:t>2019</w:t>
            </w:r>
            <w:r>
              <w:noBreakHyphen/>
              <w:t>20</w:t>
            </w:r>
            <w:r w:rsidRPr="003D7B86">
              <w:t xml:space="preserve">, The NSW Support Line covered </w:t>
            </w:r>
            <w:r>
              <w:t>eight</w:t>
            </w:r>
            <w:r w:rsidRPr="003D7B86">
              <w:t xml:space="preserve"> PHNs across New South Wales, constituting a</w:t>
            </w:r>
            <w:r>
              <w:t>bout</w:t>
            </w:r>
            <w:r w:rsidRPr="003D7B86">
              <w:t xml:space="preserve"> 2</w:t>
            </w:r>
            <w:r>
              <w:t>5</w:t>
            </w:r>
            <w:r w:rsidRPr="003D7B86">
              <w:t>% of Australia’s population).</w:t>
            </w:r>
          </w:p>
          <w:p w14:paraId="0731D0C8" w14:textId="77777777" w:rsidR="009C6940" w:rsidRPr="008540AB" w:rsidRDefault="009C6940" w:rsidP="009C6940">
            <w:pPr>
              <w:pStyle w:val="BoxListBullet"/>
              <w:rPr>
                <w:spacing w:val="-2"/>
              </w:rPr>
            </w:pPr>
            <w:r w:rsidRPr="008540AB">
              <w:rPr>
                <w:spacing w:val="-2"/>
              </w:rPr>
              <w:t>It is assumed that all calls are bulk billed, and that the MBS rebate paid to psychiatrist per call will be set at $66, using the average fee charged by psychiatrists for a consultation lasting for less than 15 minutes as a benchmark (Productivity Commission estimates based on MBS data).</w:t>
            </w:r>
          </w:p>
          <w:p w14:paraId="1D2343C7" w14:textId="77777777" w:rsidR="009C6940" w:rsidRDefault="009C6940" w:rsidP="009C6940">
            <w:pPr>
              <w:pStyle w:val="BoxListBullet"/>
            </w:pPr>
            <w:r>
              <w:t xml:space="preserve">The (unreimbursed) cost of </w:t>
            </w:r>
            <w:r w:rsidRPr="00A16102">
              <w:t xml:space="preserve">GP </w:t>
            </w:r>
            <w:r>
              <w:t>and paediatrician time is assumed to be $4 per minute (based on MBS fees and average consultation lengths).</w:t>
            </w:r>
          </w:p>
          <w:p w14:paraId="6CEBE8D4" w14:textId="77777777" w:rsidR="009C6940" w:rsidRPr="00A16102" w:rsidRDefault="009C6940" w:rsidP="009C6940">
            <w:pPr>
              <w:pStyle w:val="BoxListBullet"/>
              <w:numPr>
                <w:ilvl w:val="0"/>
                <w:numId w:val="3"/>
              </w:numPr>
            </w:pPr>
            <w:r>
              <w:t xml:space="preserve">The </w:t>
            </w:r>
            <w:r w:rsidRPr="00A16102">
              <w:t xml:space="preserve">total cost is </w:t>
            </w:r>
            <w:r>
              <w:t xml:space="preserve">estimated to </w:t>
            </w:r>
            <w:r w:rsidRPr="00A16102">
              <w:t>between $</w:t>
            </w:r>
            <w:r>
              <w:t>400 </w:t>
            </w:r>
            <w:r w:rsidRPr="00A16102">
              <w:t>000 a</w:t>
            </w:r>
            <w:r>
              <w:t>nd $1.1 million (2019 dollars).</w:t>
            </w:r>
          </w:p>
        </w:tc>
      </w:tr>
      <w:tr w:rsidR="009C6940" w14:paraId="085A6787" w14:textId="77777777" w:rsidTr="009C6940">
        <w:tc>
          <w:tcPr>
            <w:tcW w:w="5000" w:type="pct"/>
            <w:tcBorders>
              <w:top w:val="nil"/>
              <w:left w:val="nil"/>
              <w:bottom w:val="nil"/>
              <w:right w:val="nil"/>
            </w:tcBorders>
            <w:shd w:val="clear" w:color="auto" w:fill="F2F2F2"/>
          </w:tcPr>
          <w:p w14:paraId="6745ED05" w14:textId="77777777" w:rsidR="009C6940" w:rsidRDefault="009C6940" w:rsidP="009C6940">
            <w:pPr>
              <w:pStyle w:val="BoxHeading1"/>
              <w:spacing w:before="120"/>
            </w:pPr>
            <w:r>
              <w:t>Additional considerations</w:t>
            </w:r>
          </w:p>
          <w:p w14:paraId="00A2C3F8" w14:textId="77777777" w:rsidR="009C6940" w:rsidRDefault="009C6940" w:rsidP="009C6940">
            <w:pPr>
              <w:pStyle w:val="BoxListBullet"/>
            </w:pPr>
            <w:r>
              <w:t>The NSW GP Psychiatrist Support Line is currently costing the commissioning PHNs $500 000 per year in 2019</w:t>
            </w:r>
            <w:r>
              <w:noBreakHyphen/>
              <w:t>20, 2020</w:t>
            </w:r>
            <w:r>
              <w:noBreakHyphen/>
              <w:t>21 and 2021</w:t>
            </w:r>
            <w:r>
              <w:noBreakHyphen/>
              <w:t>22 (Productivity Commission estimate based on Coordinare, pers. comm., 27 May 2020). If these PHNs were to rely on the proposed MBS</w:t>
            </w:r>
            <w:r>
              <w:noBreakHyphen/>
              <w:t>funded services beyond this, it is likely that there would be additional cost savings.</w:t>
            </w:r>
          </w:p>
          <w:p w14:paraId="7F44AAD3" w14:textId="77777777" w:rsidR="009C6940" w:rsidRPr="000C6859" w:rsidRDefault="009C6940" w:rsidP="009C6940">
            <w:pPr>
              <w:pStyle w:val="BoxListBullet"/>
            </w:pPr>
            <w:r>
              <w:t xml:space="preserve">Cost estimates are highly sensitive to assumptions about expected use of this item. </w:t>
            </w:r>
          </w:p>
        </w:tc>
      </w:tr>
      <w:tr w:rsidR="009C6940" w14:paraId="00E6C42E" w14:textId="77777777" w:rsidTr="009C6940">
        <w:tc>
          <w:tcPr>
            <w:tcW w:w="5000" w:type="pct"/>
            <w:tcBorders>
              <w:top w:val="nil"/>
              <w:left w:val="nil"/>
              <w:bottom w:val="single" w:sz="6" w:space="0" w:color="78A22F"/>
              <w:right w:val="nil"/>
            </w:tcBorders>
            <w:shd w:val="clear" w:color="auto" w:fill="F2F2F2"/>
          </w:tcPr>
          <w:p w14:paraId="0F426343" w14:textId="77777777" w:rsidR="009C6940" w:rsidRDefault="009C6940" w:rsidP="009C6940">
            <w:pPr>
              <w:pStyle w:val="Box"/>
              <w:spacing w:before="0" w:line="120" w:lineRule="exact"/>
            </w:pPr>
          </w:p>
        </w:tc>
      </w:tr>
      <w:tr w:rsidR="009C6940" w:rsidRPr="000863A5" w14:paraId="29C89D8F" w14:textId="77777777" w:rsidTr="009C6940">
        <w:tc>
          <w:tcPr>
            <w:tcW w:w="5000" w:type="pct"/>
            <w:tcBorders>
              <w:top w:val="single" w:sz="6" w:space="0" w:color="78A22F"/>
              <w:left w:val="nil"/>
              <w:bottom w:val="nil"/>
              <w:right w:val="nil"/>
            </w:tcBorders>
          </w:tcPr>
          <w:p w14:paraId="3000CD16" w14:textId="77777777" w:rsidR="009C6940" w:rsidRPr="00626D32" w:rsidRDefault="009C6940" w:rsidP="009C6940">
            <w:pPr>
              <w:pStyle w:val="BoxSpaceBelow"/>
            </w:pPr>
          </w:p>
        </w:tc>
      </w:tr>
    </w:tbl>
    <w:p w14:paraId="105150C1" w14:textId="77777777" w:rsidR="009C6940" w:rsidRDefault="009C6940" w:rsidP="009C6940">
      <w:pPr>
        <w:pStyle w:val="BoxSpaceAbove"/>
      </w:pPr>
    </w:p>
    <w:tbl>
      <w:tblPr>
        <w:tblW w:w="4922"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652"/>
      </w:tblGrid>
      <w:tr w:rsidR="009C6940" w14:paraId="7BB97771" w14:textId="77777777" w:rsidTr="009C6940">
        <w:trPr>
          <w:tblHeader/>
        </w:trPr>
        <w:tc>
          <w:tcPr>
            <w:tcW w:w="5000" w:type="pct"/>
            <w:tcBorders>
              <w:top w:val="single" w:sz="6" w:space="0" w:color="78A22F"/>
              <w:left w:val="nil"/>
              <w:bottom w:val="nil"/>
              <w:right w:val="nil"/>
            </w:tcBorders>
            <w:shd w:val="clear" w:color="auto" w:fill="F2F2F2"/>
          </w:tcPr>
          <w:p w14:paraId="1A93B71F" w14:textId="77777777" w:rsidR="009C6940" w:rsidRPr="00453344" w:rsidRDefault="009C6940" w:rsidP="009C6940">
            <w:pPr>
              <w:pStyle w:val="BoxHeading1"/>
              <w:ind w:left="992" w:hanging="992"/>
              <w:rPr>
                <w:sz w:val="24"/>
                <w:szCs w:val="24"/>
              </w:rPr>
            </w:pPr>
            <w:r>
              <w:rPr>
                <w:sz w:val="24"/>
                <w:szCs w:val="24"/>
              </w:rPr>
              <w:t>Action</w:t>
            </w:r>
            <w:r>
              <w:rPr>
                <w:sz w:val="24"/>
                <w:szCs w:val="24"/>
              </w:rPr>
              <w:tab/>
            </w:r>
            <w:r w:rsidRPr="00453344">
              <w:rPr>
                <w:sz w:val="24"/>
                <w:szCs w:val="24"/>
              </w:rPr>
              <w:t>Encouraging more group psychological therapy</w:t>
            </w:r>
          </w:p>
          <w:p w14:paraId="2FE4E888" w14:textId="77777777" w:rsidR="009C6940" w:rsidRPr="000C6859" w:rsidRDefault="009C6940" w:rsidP="009C6940">
            <w:pPr>
              <w:pStyle w:val="Box"/>
            </w:pPr>
            <w:r w:rsidRPr="00A86582">
              <w:t>Changes should be made to MBS rules to encourage more group therapy.</w:t>
            </w:r>
            <w:r>
              <w:t xml:space="preserve"> This includes allowing group therapy with a smaller number of people and creating new group therapy Medicare items.</w:t>
            </w:r>
          </w:p>
        </w:tc>
      </w:tr>
      <w:tr w:rsidR="009C6940" w14:paraId="749CE38B" w14:textId="77777777" w:rsidTr="009C6940">
        <w:tc>
          <w:tcPr>
            <w:tcW w:w="5000" w:type="pct"/>
            <w:tcBorders>
              <w:top w:val="nil"/>
              <w:left w:val="nil"/>
              <w:bottom w:val="nil"/>
              <w:right w:val="nil"/>
            </w:tcBorders>
            <w:shd w:val="clear" w:color="auto" w:fill="F2F2F2"/>
          </w:tcPr>
          <w:p w14:paraId="15281DEE" w14:textId="77777777" w:rsidR="009C6940" w:rsidRDefault="009C6940" w:rsidP="009C6940">
            <w:pPr>
              <w:pStyle w:val="BoxHeading1"/>
              <w:spacing w:before="120"/>
            </w:pPr>
            <w:r>
              <w:t>Implementation</w:t>
            </w:r>
          </w:p>
          <w:p w14:paraId="3F10F6AC" w14:textId="77777777" w:rsidR="009C6940" w:rsidRDefault="009C6940" w:rsidP="00E9018C">
            <w:pPr>
              <w:pStyle w:val="BoxListBullet"/>
              <w:numPr>
                <w:ilvl w:val="0"/>
                <w:numId w:val="3"/>
              </w:numPr>
              <w:spacing w:before="80"/>
            </w:pPr>
            <w:r>
              <w:t>In 2019, about 7000 people received MBS</w:t>
            </w:r>
            <w:r>
              <w:noBreakHyphen/>
              <w:t>rebated group psychological therapy; the average number of sessions was 4.6; the average fee (rebate plus co</w:t>
            </w:r>
            <w:r>
              <w:noBreakHyphen/>
              <w:t>payment) was $53 (unpublished MBS data).</w:t>
            </w:r>
          </w:p>
          <w:p w14:paraId="08D3FBB4" w14:textId="77777777" w:rsidR="009C6940" w:rsidRDefault="009C6940" w:rsidP="00E9018C">
            <w:pPr>
              <w:pStyle w:val="BoxListBullet"/>
              <w:numPr>
                <w:ilvl w:val="0"/>
                <w:numId w:val="3"/>
              </w:numPr>
              <w:spacing w:before="80"/>
            </w:pPr>
            <w:r>
              <w:t>It is assumed that the average fee for a 60 minute session is $53; for a 90 minute session it is $70 and for a 120 minute session it is $90. Existing sessions are assumed to remain at 60 minutes in length, 60% of additional sessions run for 60 minutes, 20% run for 90 minutes, and 20% run for 120 minutes. This implies an average fee per additional session of $64.</w:t>
            </w:r>
          </w:p>
          <w:p w14:paraId="476BEC5A" w14:textId="77777777" w:rsidR="009C6940" w:rsidRDefault="009C6940" w:rsidP="00E9018C">
            <w:pPr>
              <w:pStyle w:val="BoxListBullet"/>
              <w:spacing w:before="80"/>
            </w:pPr>
            <w:r>
              <w:t>It is very difficult to predict either:</w:t>
            </w:r>
          </w:p>
          <w:p w14:paraId="125708DF" w14:textId="77777777" w:rsidR="009C6940" w:rsidRDefault="009C6940" w:rsidP="009C6940">
            <w:pPr>
              <w:pStyle w:val="BoxListBullet2"/>
              <w:ind w:left="567" w:hanging="283"/>
            </w:pPr>
            <w:r>
              <w:t>the number of people who will receive group therapy as a result of these changes, who would not have received any therapy otherwise. It is assumed between 3000 and 5000 additional people receive therapy.</w:t>
            </w:r>
          </w:p>
          <w:p w14:paraId="2FFC1420" w14:textId="77777777" w:rsidR="009C6940" w:rsidRPr="000C6859" w:rsidRDefault="009C6940" w:rsidP="009C6940">
            <w:pPr>
              <w:pStyle w:val="BoxListBullet2"/>
              <w:ind w:left="567" w:hanging="283"/>
            </w:pPr>
            <w:r>
              <w:t>the number of people who will receive group instead of individual therapy as a result of these changes. It is assumed between 5000 and 7000 people receive group therapy.</w:t>
            </w:r>
          </w:p>
        </w:tc>
      </w:tr>
      <w:tr w:rsidR="009C6940" w14:paraId="6B61BD96" w14:textId="77777777" w:rsidTr="009C6940">
        <w:tc>
          <w:tcPr>
            <w:tcW w:w="5000" w:type="pct"/>
            <w:tcBorders>
              <w:top w:val="nil"/>
              <w:left w:val="nil"/>
              <w:bottom w:val="nil"/>
              <w:right w:val="nil"/>
            </w:tcBorders>
            <w:shd w:val="clear" w:color="auto" w:fill="F2F2F2"/>
          </w:tcPr>
          <w:p w14:paraId="41D2361F" w14:textId="77777777" w:rsidR="009C6940" w:rsidRDefault="009C6940" w:rsidP="009C6940">
            <w:pPr>
              <w:pStyle w:val="BoxHeading1"/>
              <w:spacing w:before="120"/>
            </w:pPr>
            <w:r>
              <w:t>Effect</w:t>
            </w:r>
          </w:p>
          <w:p w14:paraId="38730905" w14:textId="77777777" w:rsidR="009C6940" w:rsidRPr="00321C50" w:rsidRDefault="009C6940" w:rsidP="00E9018C">
            <w:pPr>
              <w:pStyle w:val="BoxListBullet"/>
              <w:numPr>
                <w:ilvl w:val="0"/>
                <w:numId w:val="3"/>
              </w:numPr>
              <w:spacing w:before="80"/>
            </w:pPr>
            <w:r w:rsidRPr="00321C50">
              <w:t>It is assumed that the group therapy is as effective as the individual therapy for those already receiving individual services (chapter</w:t>
            </w:r>
            <w:r>
              <w:t> 12</w:t>
            </w:r>
            <w:r w:rsidRPr="00321C50">
              <w:t xml:space="preserve">), and improves the mental health of people who were not </w:t>
            </w:r>
            <w:r>
              <w:t>previously receiving services.</w:t>
            </w:r>
          </w:p>
          <w:p w14:paraId="302DE2C7" w14:textId="77777777" w:rsidR="009C6940" w:rsidRPr="000C6859" w:rsidRDefault="009C6940" w:rsidP="00E9018C">
            <w:pPr>
              <w:pStyle w:val="BoxListBullet"/>
              <w:numPr>
                <w:ilvl w:val="0"/>
                <w:numId w:val="3"/>
              </w:numPr>
              <w:spacing w:before="80"/>
            </w:pPr>
            <w:r w:rsidRPr="00321C50">
              <w:t>Format equivalence between group and individual</w:t>
            </w:r>
            <w:r>
              <w:t xml:space="preserve"> therapy</w:t>
            </w:r>
            <w:r w:rsidRPr="00321C50">
              <w:t>, and an effect size averaging about 0.9</w:t>
            </w:r>
            <w:r>
              <w:t> </w:t>
            </w:r>
            <w:r w:rsidRPr="00321C50">
              <w:t>are shown in Burlingame et al. </w:t>
            </w:r>
            <w:r w:rsidRPr="00D80781">
              <w:rPr>
                <w:rFonts w:cs="Arial"/>
              </w:rPr>
              <w:t>(2016)</w:t>
            </w:r>
            <w:r w:rsidRPr="004771DA">
              <w:rPr>
                <w:lang w:val="en-US"/>
              </w:rPr>
              <w:t xml:space="preserve"> and Cuijpers et al. </w:t>
            </w:r>
            <w:r w:rsidRPr="00D80781">
              <w:rPr>
                <w:rFonts w:cs="Arial"/>
              </w:rPr>
              <w:t>(2019)</w:t>
            </w:r>
            <w:r w:rsidRPr="008F38D0">
              <w:rPr>
                <w:lang w:val="en-US"/>
              </w:rPr>
              <w:t>. People in these studies tend to receive many more than 4.6</w:t>
            </w:r>
            <w:r>
              <w:rPr>
                <w:lang w:val="en-US"/>
              </w:rPr>
              <w:t> </w:t>
            </w:r>
            <w:r w:rsidRPr="008F38D0">
              <w:rPr>
                <w:lang w:val="en-US"/>
              </w:rPr>
              <w:t xml:space="preserve">sessions on average. </w:t>
            </w:r>
            <w:r>
              <w:t xml:space="preserve">We assume that each additional person accessing therapy get 4.6 sessions on average, and therefore has a 25% chance of getting this effect size, roughly in line with estimates from Lambert et al. </w:t>
            </w:r>
            <w:r w:rsidRPr="00D80781">
              <w:rPr>
                <w:rFonts w:cs="Arial"/>
              </w:rPr>
              <w:t>(2001)</w:t>
            </w:r>
            <w:r>
              <w:t xml:space="preserve"> and Howard et al. </w:t>
            </w:r>
            <w:r w:rsidRPr="00D80781">
              <w:rPr>
                <w:rFonts w:cs="Arial"/>
              </w:rPr>
              <w:t>(1986)</w:t>
            </w:r>
            <w:r>
              <w:t xml:space="preserve">. The other 75% are assumed to have no improvement. </w:t>
            </w:r>
            <w:r w:rsidRPr="00321C50">
              <w:t xml:space="preserve">This is estimated to result in an additional </w:t>
            </w:r>
            <w:r>
              <w:t>33</w:t>
            </w:r>
            <w:r w:rsidRPr="00321C50">
              <w:noBreakHyphen/>
            </w:r>
            <w:r>
              <w:t>61</w:t>
            </w:r>
            <w:r w:rsidRPr="00321C50">
              <w:t xml:space="preserve"> </w:t>
            </w:r>
            <w:r>
              <w:t>quality</w:t>
            </w:r>
            <w:r>
              <w:noBreakHyphen/>
              <w:t>adjusted life years</w:t>
            </w:r>
            <w:r w:rsidRPr="00321C50">
              <w:t xml:space="preserve"> </w:t>
            </w:r>
            <w:r>
              <w:t>(</w:t>
            </w:r>
            <w:r w:rsidRPr="00321C50">
              <w:t>QALYs</w:t>
            </w:r>
            <w:r>
              <w:t>)</w:t>
            </w:r>
            <w:r w:rsidRPr="00321C50">
              <w:t xml:space="preserve"> and $</w:t>
            </w:r>
            <w:r>
              <w:t>2.8</w:t>
            </w:r>
            <w:r>
              <w:noBreakHyphen/>
              <w:t>5.3 </w:t>
            </w:r>
            <w:r w:rsidRPr="00321C50">
              <w:t xml:space="preserve">million in </w:t>
            </w:r>
            <w:r>
              <w:t>wages</w:t>
            </w:r>
            <w:r w:rsidRPr="00321C50">
              <w:t>.</w:t>
            </w:r>
          </w:p>
        </w:tc>
      </w:tr>
      <w:tr w:rsidR="009C6940" w14:paraId="337ED664" w14:textId="77777777" w:rsidTr="009C6940">
        <w:tc>
          <w:tcPr>
            <w:tcW w:w="5000" w:type="pct"/>
            <w:tcBorders>
              <w:top w:val="nil"/>
              <w:left w:val="nil"/>
              <w:bottom w:val="nil"/>
              <w:right w:val="nil"/>
            </w:tcBorders>
            <w:shd w:val="clear" w:color="auto" w:fill="F2F2F2"/>
          </w:tcPr>
          <w:p w14:paraId="1FB326C5" w14:textId="77777777" w:rsidR="009C6940" w:rsidRDefault="009C6940" w:rsidP="009C6940">
            <w:pPr>
              <w:pStyle w:val="BoxHeading1"/>
              <w:spacing w:before="120"/>
            </w:pPr>
            <w:r>
              <w:t>Costs</w:t>
            </w:r>
          </w:p>
          <w:p w14:paraId="36E31009" w14:textId="77777777" w:rsidR="009C6940" w:rsidRPr="003D5720" w:rsidRDefault="009C6940" w:rsidP="00E9018C">
            <w:pPr>
              <w:pStyle w:val="BoxListBullet"/>
              <w:numPr>
                <w:ilvl w:val="0"/>
                <w:numId w:val="3"/>
              </w:numPr>
              <w:spacing w:before="80"/>
              <w:rPr>
                <w:rFonts w:cs="Arial"/>
              </w:rPr>
            </w:pPr>
            <w:r>
              <w:t>For people who have not used previously accessed services, there is an average cost per person of $293 (4.6 sessions times $64 per session). For 3000 to 5000 people, total cost is estimated to be $900 000 to $1.5 million.</w:t>
            </w:r>
          </w:p>
          <w:p w14:paraId="3FEAF326" w14:textId="77777777" w:rsidR="009C6940" w:rsidRPr="00900C67" w:rsidRDefault="009C6940" w:rsidP="00E9018C">
            <w:pPr>
              <w:pStyle w:val="BoxListBullet"/>
              <w:numPr>
                <w:ilvl w:val="0"/>
                <w:numId w:val="3"/>
              </w:numPr>
              <w:spacing w:before="80"/>
              <w:rPr>
                <w:rFonts w:cs="Arial"/>
              </w:rPr>
            </w:pPr>
            <w:r>
              <w:t>F</w:t>
            </w:r>
            <w:r w:rsidRPr="00A16102">
              <w:t xml:space="preserve">or </w:t>
            </w:r>
            <w:r>
              <w:t xml:space="preserve">people </w:t>
            </w:r>
            <w:r w:rsidRPr="00A16102">
              <w:t>already using services</w:t>
            </w:r>
            <w:r>
              <w:t>, substituting from individual to group therapy is likely to result in cost savings. In 2019, the average fee charged for individual therapy was $145, so the difference in cost (between individual and group) is assumed to be $81 per session. The cost saving per person switching from individual to group is estimated to be $373 (4.6 sessions times $81 per session). For 5000 to 7000 people, total cost saving is estimated to be $1.9 million to $2.6 million.</w:t>
            </w:r>
          </w:p>
        </w:tc>
      </w:tr>
      <w:tr w:rsidR="009C6940" w14:paraId="6B1EEAF5" w14:textId="77777777" w:rsidTr="009C6940">
        <w:tc>
          <w:tcPr>
            <w:tcW w:w="5000" w:type="pct"/>
            <w:tcBorders>
              <w:top w:val="nil"/>
              <w:left w:val="nil"/>
              <w:bottom w:val="nil"/>
              <w:right w:val="nil"/>
            </w:tcBorders>
            <w:shd w:val="clear" w:color="auto" w:fill="F2F2F2"/>
          </w:tcPr>
          <w:p w14:paraId="23F38F26" w14:textId="77777777" w:rsidR="009C6940" w:rsidRDefault="009C6940" w:rsidP="009C6940">
            <w:pPr>
              <w:pStyle w:val="BoxHeading1"/>
              <w:spacing w:before="120"/>
            </w:pPr>
            <w:r>
              <w:t>Additional considerations</w:t>
            </w:r>
          </w:p>
          <w:p w14:paraId="51C76FF5" w14:textId="77777777" w:rsidR="009C6940" w:rsidRPr="000C6859" w:rsidRDefault="009C6940" w:rsidP="009C6940">
            <w:pPr>
              <w:pStyle w:val="Box"/>
            </w:pPr>
            <w:r w:rsidRPr="00C65329">
              <w:t xml:space="preserve">The extent to which consumers will choose to access more group therapy after </w:t>
            </w:r>
            <w:r w:rsidRPr="001A160E">
              <w:t>thi</w:t>
            </w:r>
            <w:r>
              <w:t>s change in policy is not clear, and cost estimates are highly sensitive to changes in demand. The changes are also likely to lead to an increase in the average number of sessions received.</w:t>
            </w:r>
          </w:p>
        </w:tc>
      </w:tr>
      <w:tr w:rsidR="009C6940" w14:paraId="61953527" w14:textId="77777777" w:rsidTr="009C6940">
        <w:tc>
          <w:tcPr>
            <w:tcW w:w="5000" w:type="pct"/>
            <w:tcBorders>
              <w:top w:val="nil"/>
              <w:left w:val="nil"/>
              <w:bottom w:val="single" w:sz="6" w:space="0" w:color="78A22F"/>
              <w:right w:val="nil"/>
            </w:tcBorders>
            <w:shd w:val="clear" w:color="auto" w:fill="F2F2F2"/>
          </w:tcPr>
          <w:p w14:paraId="1C28BADB" w14:textId="77777777" w:rsidR="009C6940" w:rsidRDefault="009C6940" w:rsidP="009C6940">
            <w:pPr>
              <w:pStyle w:val="Box"/>
              <w:spacing w:before="0" w:line="120" w:lineRule="exact"/>
            </w:pPr>
          </w:p>
        </w:tc>
      </w:tr>
      <w:tr w:rsidR="009C6940" w:rsidRPr="000863A5" w14:paraId="0D2E8FFE" w14:textId="77777777" w:rsidTr="009C6940">
        <w:tc>
          <w:tcPr>
            <w:tcW w:w="5000" w:type="pct"/>
            <w:tcBorders>
              <w:top w:val="single" w:sz="6" w:space="0" w:color="78A22F"/>
              <w:left w:val="nil"/>
              <w:bottom w:val="nil"/>
              <w:right w:val="nil"/>
            </w:tcBorders>
          </w:tcPr>
          <w:p w14:paraId="342511F4" w14:textId="77777777" w:rsidR="009C6940" w:rsidRPr="00626D32" w:rsidRDefault="009C6940" w:rsidP="009C6940">
            <w:pPr>
              <w:pStyle w:val="BoxSpaceBelow"/>
            </w:pPr>
          </w:p>
        </w:tc>
      </w:tr>
    </w:tbl>
    <w:p w14:paraId="4E56A84A" w14:textId="77777777" w:rsidR="009C6940" w:rsidRPr="00B84E9F"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05C5637" w14:textId="77777777" w:rsidTr="009C6940">
        <w:trPr>
          <w:tblHeader/>
        </w:trPr>
        <w:tc>
          <w:tcPr>
            <w:tcW w:w="5000" w:type="pct"/>
            <w:tcBorders>
              <w:top w:val="single" w:sz="6" w:space="0" w:color="78A22F"/>
              <w:left w:val="nil"/>
              <w:bottom w:val="nil"/>
              <w:right w:val="nil"/>
            </w:tcBorders>
            <w:shd w:val="clear" w:color="auto" w:fill="F2F2F2"/>
          </w:tcPr>
          <w:p w14:paraId="6D82EE61" w14:textId="77777777" w:rsidR="009C6940" w:rsidRPr="00A83E08" w:rsidRDefault="009C6940" w:rsidP="009C6940">
            <w:pPr>
              <w:pStyle w:val="BoxHeading1"/>
              <w:ind w:left="992" w:hanging="992"/>
              <w:rPr>
                <w:sz w:val="24"/>
                <w:szCs w:val="24"/>
              </w:rPr>
            </w:pPr>
            <w:r>
              <w:rPr>
                <w:sz w:val="24"/>
                <w:szCs w:val="24"/>
              </w:rPr>
              <w:t>Action</w:t>
            </w:r>
            <w:r>
              <w:rPr>
                <w:sz w:val="24"/>
                <w:szCs w:val="24"/>
              </w:rPr>
              <w:tab/>
            </w:r>
            <w:r w:rsidRPr="00A83E08">
              <w:rPr>
                <w:sz w:val="24"/>
                <w:szCs w:val="24"/>
              </w:rPr>
              <w:t>Increased access to psychiatry and psychological therapy by telehealth</w:t>
            </w:r>
          </w:p>
          <w:p w14:paraId="52FFF4BA" w14:textId="77777777" w:rsidR="009C6940" w:rsidRDefault="009C6940" w:rsidP="009C6940">
            <w:pPr>
              <w:pStyle w:val="Box"/>
            </w:pPr>
            <w:r w:rsidRPr="00A86582">
              <w:t>The Australian Government should make permanent the MBS items introduced during the COVID</w:t>
            </w:r>
            <w:r>
              <w:noBreakHyphen/>
            </w:r>
            <w:r w:rsidRPr="00A86582">
              <w:t xml:space="preserve">19 pandemic that </w:t>
            </w:r>
            <w:r>
              <w:t>allow</w:t>
            </w:r>
            <w:r w:rsidRPr="00A86582">
              <w:t xml:space="preserve"> people </w:t>
            </w:r>
            <w:r>
              <w:t>across</w:t>
            </w:r>
            <w:r w:rsidRPr="00A86582">
              <w:t xml:space="preserve"> Australia to access </w:t>
            </w:r>
            <w:r>
              <w:t>certain psychiatric and psychological services</w:t>
            </w:r>
            <w:r w:rsidRPr="00A86582">
              <w:t xml:space="preserve"> by videoconference (and telep</w:t>
            </w:r>
            <w:r>
              <w:t xml:space="preserve">hone where videoconference is not </w:t>
            </w:r>
            <w:r w:rsidRPr="00A86582">
              <w:t>available</w:t>
            </w:r>
            <w:r>
              <w:t>). These should replace other telehealth items for psychiatry</w:t>
            </w:r>
            <w:r w:rsidRPr="00A86582">
              <w:t xml:space="preserve"> and </w:t>
            </w:r>
            <w:r>
              <w:t>psychological services.</w:t>
            </w:r>
          </w:p>
        </w:tc>
      </w:tr>
      <w:tr w:rsidR="009C6940" w14:paraId="703CCF4A" w14:textId="77777777" w:rsidTr="009C6940">
        <w:tc>
          <w:tcPr>
            <w:tcW w:w="5000" w:type="pct"/>
            <w:tcBorders>
              <w:top w:val="nil"/>
              <w:left w:val="nil"/>
              <w:bottom w:val="nil"/>
              <w:right w:val="nil"/>
            </w:tcBorders>
            <w:shd w:val="clear" w:color="auto" w:fill="F2F2F2"/>
          </w:tcPr>
          <w:p w14:paraId="3164633C" w14:textId="77777777" w:rsidR="009C6940" w:rsidRDefault="009C6940" w:rsidP="009C6940">
            <w:pPr>
              <w:pStyle w:val="BoxHeading1"/>
              <w:spacing w:before="120"/>
            </w:pPr>
            <w:r>
              <w:t>Population</w:t>
            </w:r>
          </w:p>
          <w:p w14:paraId="733FB3CF" w14:textId="77777777" w:rsidR="009C6940" w:rsidRDefault="009C6940" w:rsidP="009C6940">
            <w:pPr>
              <w:pStyle w:val="BoxListBullet"/>
              <w:numPr>
                <w:ilvl w:val="0"/>
                <w:numId w:val="3"/>
              </w:numPr>
            </w:pPr>
            <w:r>
              <w:t>T</w:t>
            </w:r>
            <w:r w:rsidRPr="0048022F">
              <w:t>here were about 82 000 psychiatry and about 14 000 psychological telehealth</w:t>
            </w:r>
            <w:r>
              <w:t xml:space="preserve"> consolations in 2019</w:t>
            </w:r>
            <w:r w:rsidRPr="0048022F">
              <w:t xml:space="preserve"> (chapter</w:t>
            </w:r>
            <w:r>
              <w:t> 12</w:t>
            </w:r>
            <w:r w:rsidRPr="0048022F">
              <w:t xml:space="preserve">). </w:t>
            </w:r>
            <w:r>
              <w:t>In 2019, roughly a quarter of the population had access to psychiatry by telehealth. and roughly 10% to psychology by telehealth.</w:t>
            </w:r>
          </w:p>
          <w:p w14:paraId="6DE2032F" w14:textId="77777777" w:rsidR="009C6940" w:rsidRDefault="009C6940" w:rsidP="009C6940">
            <w:pPr>
              <w:pStyle w:val="BoxListBullet"/>
              <w:numPr>
                <w:ilvl w:val="0"/>
                <w:numId w:val="3"/>
              </w:numPr>
            </w:pPr>
            <w:r w:rsidRPr="0048022F">
              <w:t xml:space="preserve">But in March 2020 alone, following the </w:t>
            </w:r>
            <w:r>
              <w:t xml:space="preserve">measures </w:t>
            </w:r>
            <w:r w:rsidRPr="0048022F">
              <w:t>introduce</w:t>
            </w:r>
            <w:r>
              <w:t>d</w:t>
            </w:r>
            <w:r w:rsidRPr="0048022F">
              <w:t xml:space="preserve"> </w:t>
            </w:r>
            <w:r>
              <w:t>in response to the</w:t>
            </w:r>
            <w:r w:rsidRPr="0048022F">
              <w:t xml:space="preserve"> COVID</w:t>
            </w:r>
            <w:r w:rsidRPr="0048022F">
              <w:noBreakHyphen/>
              <w:t xml:space="preserve">19 </w:t>
            </w:r>
            <w:r>
              <w:t>outbreak</w:t>
            </w:r>
            <w:r w:rsidRPr="0048022F">
              <w:t>, there were about 2</w:t>
            </w:r>
            <w:r>
              <w:t>4</w:t>
            </w:r>
            <w:r w:rsidRPr="0048022F">
              <w:t> 000 psychiatry consultations by telehealth, and about 30 00</w:t>
            </w:r>
            <w:r>
              <w:t>0 </w:t>
            </w:r>
            <w:r w:rsidRPr="0048022F">
              <w:t>psychological therapy sessions by telehealth (chapter</w:t>
            </w:r>
            <w:r>
              <w:t> 12</w:t>
            </w:r>
            <w:r w:rsidRPr="0048022F">
              <w:t>)</w:t>
            </w:r>
            <w:r>
              <w:t>.</w:t>
            </w:r>
          </w:p>
          <w:p w14:paraId="12A10D00" w14:textId="77777777" w:rsidR="009C6940" w:rsidRPr="00157808" w:rsidRDefault="009C6940" w:rsidP="009C6940">
            <w:pPr>
              <w:pStyle w:val="BoxListBullet"/>
              <w:numPr>
                <w:ilvl w:val="0"/>
                <w:numId w:val="3"/>
              </w:numPr>
            </w:pPr>
            <w:r w:rsidRPr="00157808">
              <w:t>It is very difficult to predict either:</w:t>
            </w:r>
          </w:p>
          <w:p w14:paraId="477C7445" w14:textId="77777777" w:rsidR="009C6940" w:rsidRDefault="009C6940" w:rsidP="009C6940">
            <w:pPr>
              <w:pStyle w:val="BoxListBullet2"/>
              <w:ind w:left="567" w:hanging="283"/>
            </w:pPr>
            <w:r>
              <w:t>the number of psychological therapy</w:t>
            </w:r>
            <w:r w:rsidRPr="00157808">
              <w:t xml:space="preserve"> and psychiatry consultations that will occur via telehealth instead of face</w:t>
            </w:r>
            <w:r>
              <w:noBreakHyphen/>
            </w:r>
            <w:r w:rsidRPr="00157808">
              <w:t>to</w:t>
            </w:r>
            <w:r>
              <w:noBreakHyphen/>
            </w:r>
            <w:r w:rsidRPr="00157808">
              <w:t>face, becaus</w:t>
            </w:r>
            <w:r>
              <w:t>e of our changes (we assume 200 000 to 400 000 </w:t>
            </w:r>
            <w:r w:rsidRPr="00157808">
              <w:t xml:space="preserve">consultations switch) </w:t>
            </w:r>
          </w:p>
          <w:p w14:paraId="0C85488C" w14:textId="77777777" w:rsidR="009C6940" w:rsidRDefault="009C6940" w:rsidP="009C6940">
            <w:pPr>
              <w:pStyle w:val="BoxListBullet2"/>
              <w:ind w:left="567" w:hanging="283"/>
            </w:pPr>
            <w:r w:rsidRPr="009A6FDD">
              <w:t>the number of people that will access psycholog</w:t>
            </w:r>
            <w:r w:rsidRPr="0002776C">
              <w:t>ical therapy who would</w:t>
            </w:r>
            <w:r>
              <w:t xml:space="preserve"> not</w:t>
            </w:r>
            <w:r w:rsidRPr="0002776C">
              <w:t xml:space="preserve"> have accessed it otherwise, beca</w:t>
            </w:r>
            <w:r>
              <w:t>use of our changes (we assume 5000 to 10 </w:t>
            </w:r>
            <w:r w:rsidRPr="0002776C">
              <w:t>000</w:t>
            </w:r>
            <w:r>
              <w:t xml:space="preserve"> people</w:t>
            </w:r>
            <w:r w:rsidRPr="0002776C">
              <w:t>)</w:t>
            </w:r>
            <w:r>
              <w:t xml:space="preserve"> — </w:t>
            </w:r>
            <w:r w:rsidRPr="009A6FDD">
              <w:t>we assume that there is no change in the number of people accessing psychiatry, because psychiatrists are supply constrained</w:t>
            </w:r>
            <w:r>
              <w:t xml:space="preserve"> (chapter 16)</w:t>
            </w:r>
            <w:r w:rsidRPr="009A6FDD">
              <w:t>.</w:t>
            </w:r>
          </w:p>
        </w:tc>
      </w:tr>
      <w:tr w:rsidR="009C6940" w14:paraId="6202B928" w14:textId="77777777" w:rsidTr="009C6940">
        <w:tc>
          <w:tcPr>
            <w:tcW w:w="5000" w:type="pct"/>
            <w:tcBorders>
              <w:top w:val="nil"/>
              <w:left w:val="nil"/>
              <w:bottom w:val="nil"/>
              <w:right w:val="nil"/>
            </w:tcBorders>
            <w:shd w:val="clear" w:color="auto" w:fill="F2F2F2"/>
          </w:tcPr>
          <w:p w14:paraId="67E93F12" w14:textId="77777777" w:rsidR="009C6940" w:rsidRDefault="009C6940" w:rsidP="009C6940">
            <w:pPr>
              <w:pStyle w:val="BoxHeading1"/>
              <w:spacing w:before="120"/>
            </w:pPr>
            <w:r>
              <w:t>Effect</w:t>
            </w:r>
          </w:p>
          <w:p w14:paraId="7A2572AC" w14:textId="77777777" w:rsidR="009C6940" w:rsidRPr="00C67FEA" w:rsidRDefault="009C6940" w:rsidP="009C6940">
            <w:pPr>
              <w:pStyle w:val="BoxListBullet"/>
            </w:pPr>
            <w:r w:rsidRPr="00C67FEA">
              <w:t>For people who are already receiving treatment, it is assumed that telehealth treatment has an equivalent benefit (chapter</w:t>
            </w:r>
            <w:r>
              <w:t> 12</w:t>
            </w:r>
            <w:r w:rsidRPr="00C67FEA">
              <w:t>).</w:t>
            </w:r>
          </w:p>
          <w:p w14:paraId="09AD2839" w14:textId="77777777" w:rsidR="009C6940" w:rsidRDefault="009C6940" w:rsidP="009C6940">
            <w:pPr>
              <w:pStyle w:val="BoxListBullet"/>
            </w:pPr>
            <w:r>
              <w:t>For those who did not access psychological therapy previously, we assume an effect size of 0.8, in line with meta</w:t>
            </w:r>
            <w:r>
              <w:noBreakHyphen/>
              <w:t>analyses by Berryhill et al. </w:t>
            </w:r>
            <w:r w:rsidRPr="00D80781">
              <w:rPr>
                <w:rFonts w:cs="Arial"/>
              </w:rPr>
              <w:t>(2019)</w:t>
            </w:r>
            <w:r>
              <w:t xml:space="preserve">. People in these studies tend to receive many more than 4.5 sessions on average. We assume that each additional person accessing therapy get 4.5 sessions on average, and therefore has a 25% chance of getting this effect size, roughly in line with estimates from Lambert et al. </w:t>
            </w:r>
            <w:r w:rsidRPr="00D80781">
              <w:rPr>
                <w:rFonts w:cs="Arial"/>
              </w:rPr>
              <w:t>(2001)</w:t>
            </w:r>
            <w:r>
              <w:t xml:space="preserve"> and Howard et al. </w:t>
            </w:r>
            <w:r w:rsidRPr="00D80781">
              <w:rPr>
                <w:rFonts w:cs="Arial"/>
              </w:rPr>
              <w:t>(1986)</w:t>
            </w:r>
            <w:r>
              <w:t>. The other 75% are assumed to have no improvement.</w:t>
            </w:r>
          </w:p>
          <w:p w14:paraId="52ECD05F" w14:textId="77777777" w:rsidR="009C6940" w:rsidRPr="005C679D" w:rsidRDefault="009C6940" w:rsidP="009C6940">
            <w:pPr>
              <w:pStyle w:val="BoxListBullet"/>
            </w:pPr>
            <w:r w:rsidRPr="005C679D">
              <w:t>This is estimated to lead to an increase of between 49</w:t>
            </w:r>
            <w:r w:rsidRPr="005C679D">
              <w:noBreakHyphen/>
              <w:t>90 QALYs and $4.1</w:t>
            </w:r>
            <w:r>
              <w:noBreakHyphen/>
              <w:t>7.9 </w:t>
            </w:r>
            <w:r w:rsidRPr="005C679D">
              <w:t>million in aggregate labour income.</w:t>
            </w:r>
          </w:p>
        </w:tc>
      </w:tr>
      <w:tr w:rsidR="009C6940" w14:paraId="62316E40" w14:textId="77777777" w:rsidTr="009C6940">
        <w:tc>
          <w:tcPr>
            <w:tcW w:w="5000" w:type="pct"/>
            <w:tcBorders>
              <w:top w:val="nil"/>
              <w:left w:val="nil"/>
              <w:bottom w:val="nil"/>
              <w:right w:val="nil"/>
            </w:tcBorders>
            <w:shd w:val="clear" w:color="auto" w:fill="F2F2F2"/>
          </w:tcPr>
          <w:p w14:paraId="1D861BE9" w14:textId="77777777" w:rsidR="009C6940" w:rsidRDefault="009C6940" w:rsidP="009C6940">
            <w:pPr>
              <w:pStyle w:val="BoxHeading1"/>
              <w:spacing w:before="120"/>
            </w:pPr>
            <w:r>
              <w:t>Costs</w:t>
            </w:r>
          </w:p>
          <w:p w14:paraId="3CE96E18" w14:textId="77777777" w:rsidR="009C6940" w:rsidRDefault="009C6940" w:rsidP="009C6940">
            <w:pPr>
              <w:pStyle w:val="BoxListBullet"/>
              <w:numPr>
                <w:ilvl w:val="0"/>
                <w:numId w:val="3"/>
              </w:numPr>
            </w:pPr>
            <w:r>
              <w:t xml:space="preserve">People are assumed to save time getting to and from appointments and incidental costs (such as transport costs and lost income). We estimate these cost savings to be between $20–$60 per consultation </w:t>
            </w:r>
            <w:r w:rsidRPr="00947C9F">
              <w:rPr>
                <w:rFonts w:cs="Arial"/>
                <w:szCs w:val="24"/>
              </w:rPr>
              <w:t>(</w:t>
            </w:r>
            <w:r>
              <w:rPr>
                <w:rFonts w:cs="Arial"/>
                <w:szCs w:val="24"/>
              </w:rPr>
              <w:t xml:space="preserve">based on </w:t>
            </w:r>
            <w:r w:rsidRPr="00947C9F">
              <w:rPr>
                <w:rFonts w:cs="Arial"/>
                <w:szCs w:val="24"/>
              </w:rPr>
              <w:t>Anderson et al. 2016</w:t>
            </w:r>
            <w:r w:rsidRPr="00B21FDC">
              <w:rPr>
                <w:rFonts w:cs="Arial"/>
                <w:szCs w:val="24"/>
              </w:rPr>
              <w:t>)</w:t>
            </w:r>
            <w:r>
              <w:t>. Assuming 200 000 to 400 000 consultations are done via telehealth instead of face</w:t>
            </w:r>
            <w:r>
              <w:noBreakHyphen/>
              <w:t>to</w:t>
            </w:r>
            <w:r>
              <w:noBreakHyphen/>
              <w:t>face, we estimate the total cost saving</w:t>
            </w:r>
            <w:r w:rsidDel="000125E3">
              <w:t xml:space="preserve"> to be between $</w:t>
            </w:r>
            <w:r>
              <w:t>4 million and $24 million.</w:t>
            </w:r>
          </w:p>
        </w:tc>
      </w:tr>
      <w:tr w:rsidR="009C6940" w14:paraId="7369A7D7" w14:textId="77777777" w:rsidTr="009C6940">
        <w:tc>
          <w:tcPr>
            <w:tcW w:w="5000" w:type="pct"/>
            <w:tcBorders>
              <w:top w:val="nil"/>
              <w:left w:val="nil"/>
              <w:bottom w:val="nil"/>
              <w:right w:val="nil"/>
            </w:tcBorders>
            <w:shd w:val="clear" w:color="auto" w:fill="F2F2F2"/>
          </w:tcPr>
          <w:p w14:paraId="1D5F7DCB" w14:textId="77777777" w:rsidR="009C6940" w:rsidRDefault="009C6940" w:rsidP="00114C25">
            <w:pPr>
              <w:pStyle w:val="Continued"/>
            </w:pPr>
            <w:r>
              <w:t>(continued next page)</w:t>
            </w:r>
          </w:p>
        </w:tc>
      </w:tr>
      <w:tr w:rsidR="009C6940" w14:paraId="64DC247C" w14:textId="77777777" w:rsidTr="009C6940">
        <w:tc>
          <w:tcPr>
            <w:tcW w:w="5000" w:type="pct"/>
            <w:tcBorders>
              <w:top w:val="nil"/>
              <w:left w:val="nil"/>
              <w:bottom w:val="single" w:sz="6" w:space="0" w:color="78A22F"/>
              <w:right w:val="nil"/>
            </w:tcBorders>
            <w:shd w:val="clear" w:color="auto" w:fill="F2F2F2"/>
          </w:tcPr>
          <w:p w14:paraId="3758CDCE" w14:textId="77777777" w:rsidR="009C6940" w:rsidRDefault="009C6940" w:rsidP="009C6940">
            <w:pPr>
              <w:pStyle w:val="Box"/>
              <w:spacing w:before="0" w:line="120" w:lineRule="exact"/>
            </w:pPr>
          </w:p>
        </w:tc>
      </w:tr>
      <w:tr w:rsidR="009C6940" w:rsidRPr="000863A5" w14:paraId="380E79F3" w14:textId="77777777" w:rsidTr="009C6940">
        <w:tc>
          <w:tcPr>
            <w:tcW w:w="5000" w:type="pct"/>
            <w:tcBorders>
              <w:top w:val="single" w:sz="6" w:space="0" w:color="78A22F"/>
              <w:left w:val="nil"/>
              <w:bottom w:val="nil"/>
              <w:right w:val="nil"/>
            </w:tcBorders>
          </w:tcPr>
          <w:p w14:paraId="6C70A247" w14:textId="77777777" w:rsidR="009C6940" w:rsidRPr="00626D32" w:rsidRDefault="009C6940" w:rsidP="009C6940">
            <w:pPr>
              <w:pStyle w:val="BoxSpaceBelow"/>
            </w:pPr>
          </w:p>
        </w:tc>
      </w:tr>
    </w:tbl>
    <w:p w14:paraId="1E69385F"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A3F6886" w14:textId="77777777" w:rsidTr="009C6940">
        <w:trPr>
          <w:tblHeader/>
        </w:trPr>
        <w:tc>
          <w:tcPr>
            <w:tcW w:w="5000" w:type="pct"/>
            <w:tcBorders>
              <w:top w:val="single" w:sz="6" w:space="0" w:color="78A22F"/>
              <w:left w:val="nil"/>
              <w:bottom w:val="nil"/>
              <w:right w:val="nil"/>
            </w:tcBorders>
            <w:shd w:val="clear" w:color="auto" w:fill="F2F2F2"/>
          </w:tcPr>
          <w:p w14:paraId="45A446DD" w14:textId="77777777" w:rsidR="009C6940" w:rsidRDefault="009C6940" w:rsidP="009C6940">
            <w:pPr>
              <w:pStyle w:val="BoxHeading1"/>
              <w:ind w:left="1110" w:hanging="1110"/>
            </w:pPr>
            <w:r>
              <w:rPr>
                <w:sz w:val="24"/>
                <w:szCs w:val="24"/>
              </w:rPr>
              <w:t>Action</w:t>
            </w:r>
            <w:r>
              <w:rPr>
                <w:sz w:val="24"/>
                <w:szCs w:val="24"/>
              </w:rPr>
              <w:tab/>
            </w:r>
            <w:r w:rsidRPr="00A83E08">
              <w:rPr>
                <w:sz w:val="24"/>
                <w:szCs w:val="24"/>
              </w:rPr>
              <w:t>Increased access to psychiatry and psychological therapy by telehealth</w:t>
            </w:r>
            <w:r>
              <w:rPr>
                <w:sz w:val="24"/>
                <w:szCs w:val="24"/>
              </w:rPr>
              <w:t xml:space="preserve"> </w:t>
            </w:r>
            <w:r w:rsidRPr="00B84E9F">
              <w:rPr>
                <w:rStyle w:val="Continuedintitle"/>
              </w:rPr>
              <w:t>(continued)</w:t>
            </w:r>
          </w:p>
        </w:tc>
      </w:tr>
      <w:tr w:rsidR="009C6940" w14:paraId="671D40C9" w14:textId="77777777" w:rsidTr="009C6940">
        <w:tc>
          <w:tcPr>
            <w:tcW w:w="5000" w:type="pct"/>
            <w:tcBorders>
              <w:top w:val="nil"/>
              <w:left w:val="nil"/>
              <w:bottom w:val="nil"/>
              <w:right w:val="nil"/>
            </w:tcBorders>
            <w:shd w:val="clear" w:color="auto" w:fill="F2F2F2"/>
          </w:tcPr>
          <w:p w14:paraId="7D99A728" w14:textId="77777777" w:rsidR="009C6940" w:rsidRDefault="009C6940" w:rsidP="009C6940">
            <w:pPr>
              <w:pStyle w:val="BoxListBullet"/>
              <w:numPr>
                <w:ilvl w:val="0"/>
                <w:numId w:val="3"/>
              </w:numPr>
            </w:pPr>
            <w:r>
              <w:t>We estimate a</w:t>
            </w:r>
            <w:r w:rsidRPr="0048022F">
              <w:t xml:space="preserve"> cost saving of $7.1 million associated with removing additional rebates paid to psychiatrists for telehealth consultations</w:t>
            </w:r>
            <w:r>
              <w:t>, assuming no increase in co</w:t>
            </w:r>
            <w:r>
              <w:noBreakHyphen/>
              <w:t xml:space="preserve">payments </w:t>
            </w:r>
            <w:r w:rsidRPr="0048022F">
              <w:t>(chapter </w:t>
            </w:r>
            <w:r>
              <w:t>12</w:t>
            </w:r>
            <w:r w:rsidRPr="0048022F">
              <w:t>).</w:t>
            </w:r>
          </w:p>
          <w:p w14:paraId="0AAE9881" w14:textId="77777777" w:rsidR="009C6940" w:rsidRDefault="009C6940" w:rsidP="009C6940">
            <w:pPr>
              <w:pStyle w:val="BoxListBullet"/>
              <w:numPr>
                <w:ilvl w:val="0"/>
                <w:numId w:val="3"/>
              </w:numPr>
            </w:pPr>
            <w:r>
              <w:t>For people that were not previously receiving any therapy, we assume 4.</w:t>
            </w:r>
            <w:r w:rsidRPr="0048022F">
              <w:t>5</w:t>
            </w:r>
            <w:r>
              <w:t xml:space="preserve"> sessions on average and an average fee (rebate plus co</w:t>
            </w:r>
            <w:r>
              <w:noBreakHyphen/>
              <w:t>payment) of $145, in line with 2019 averages (unpublished MBS data). This implies a cost per person of $652 (4.5 sessions time $145). Assuming 5000 to 10 000 people in this category, we estimate a total cost of $3.3 million to $6.5 million.</w:t>
            </w:r>
          </w:p>
        </w:tc>
      </w:tr>
      <w:tr w:rsidR="009C6940" w14:paraId="63825684" w14:textId="77777777" w:rsidTr="009C6940">
        <w:tc>
          <w:tcPr>
            <w:tcW w:w="5000" w:type="pct"/>
            <w:tcBorders>
              <w:top w:val="nil"/>
              <w:left w:val="nil"/>
              <w:bottom w:val="nil"/>
              <w:right w:val="nil"/>
            </w:tcBorders>
            <w:shd w:val="clear" w:color="auto" w:fill="F2F2F2"/>
          </w:tcPr>
          <w:p w14:paraId="684B5A80" w14:textId="77777777" w:rsidR="009C6940" w:rsidRDefault="009C6940" w:rsidP="009C6940">
            <w:pPr>
              <w:pStyle w:val="BoxHeading1"/>
              <w:spacing w:before="120"/>
            </w:pPr>
            <w:r>
              <w:t>Additional considerations</w:t>
            </w:r>
          </w:p>
          <w:p w14:paraId="2DDBC787" w14:textId="77777777" w:rsidR="009C6940" w:rsidRDefault="009C6940" w:rsidP="009C6940">
            <w:pPr>
              <w:pStyle w:val="BoxListBullet"/>
              <w:numPr>
                <w:ilvl w:val="0"/>
                <w:numId w:val="3"/>
              </w:numPr>
            </w:pPr>
            <w:r>
              <w:t>It is difficult to estimate the increasing number of people who will choose to access psychological therapy via telehealth. The changes are also likely to lead to an increase in the average number of sessions received, as people find it easier to keep attending sessions if they are able to attend some via telehealth (though we have not accounted for this in our modelling). Given higher use of telehealth in the wake of COVID</w:t>
            </w:r>
            <w:r>
              <w:noBreakHyphen/>
              <w:t>19, cost savings from removing additional payments for psychiatrists could also be higher than $7.1 million.</w:t>
            </w:r>
          </w:p>
        </w:tc>
      </w:tr>
      <w:tr w:rsidR="009C6940" w14:paraId="5337FAFC" w14:textId="77777777" w:rsidTr="009C6940">
        <w:tc>
          <w:tcPr>
            <w:tcW w:w="5000" w:type="pct"/>
            <w:tcBorders>
              <w:top w:val="nil"/>
              <w:left w:val="nil"/>
              <w:bottom w:val="single" w:sz="6" w:space="0" w:color="78A22F"/>
              <w:right w:val="nil"/>
            </w:tcBorders>
            <w:shd w:val="clear" w:color="auto" w:fill="F2F2F2"/>
          </w:tcPr>
          <w:p w14:paraId="1A3DE2F1" w14:textId="77777777" w:rsidR="009C6940" w:rsidRDefault="009C6940" w:rsidP="009C6940">
            <w:pPr>
              <w:pStyle w:val="Box"/>
              <w:spacing w:before="0" w:line="120" w:lineRule="exact"/>
            </w:pPr>
          </w:p>
        </w:tc>
      </w:tr>
      <w:tr w:rsidR="009C6940" w:rsidRPr="000863A5" w14:paraId="330F5B15" w14:textId="77777777" w:rsidTr="009C6940">
        <w:tc>
          <w:tcPr>
            <w:tcW w:w="5000" w:type="pct"/>
            <w:tcBorders>
              <w:top w:val="single" w:sz="6" w:space="0" w:color="78A22F"/>
              <w:left w:val="nil"/>
              <w:bottom w:val="nil"/>
              <w:right w:val="nil"/>
            </w:tcBorders>
          </w:tcPr>
          <w:p w14:paraId="25A481AC" w14:textId="77777777" w:rsidR="009C6940" w:rsidRPr="00626D32" w:rsidRDefault="009C6940" w:rsidP="009C6940">
            <w:pPr>
              <w:pStyle w:val="BoxSpaceBelow"/>
            </w:pPr>
          </w:p>
        </w:tc>
      </w:tr>
    </w:tbl>
    <w:p w14:paraId="6F2605EC"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63DAEC4" w14:textId="77777777" w:rsidTr="009C6940">
        <w:trPr>
          <w:tblHeader/>
        </w:trPr>
        <w:tc>
          <w:tcPr>
            <w:tcW w:w="5000" w:type="pct"/>
            <w:tcBorders>
              <w:top w:val="single" w:sz="6" w:space="0" w:color="78A22F"/>
              <w:left w:val="nil"/>
              <w:bottom w:val="nil"/>
              <w:right w:val="nil"/>
            </w:tcBorders>
            <w:shd w:val="clear" w:color="auto" w:fill="F2F2F2"/>
          </w:tcPr>
          <w:p w14:paraId="20BE3203" w14:textId="77777777" w:rsidR="009C6940" w:rsidRPr="00C67FEA" w:rsidRDefault="009C6940" w:rsidP="009C6940">
            <w:pPr>
              <w:pStyle w:val="BoxHeading1"/>
              <w:ind w:left="1134" w:hanging="1134"/>
              <w:rPr>
                <w:sz w:val="24"/>
                <w:szCs w:val="24"/>
              </w:rPr>
            </w:pPr>
            <w:r>
              <w:rPr>
                <w:sz w:val="24"/>
                <w:szCs w:val="24"/>
              </w:rPr>
              <w:t>Action</w:t>
            </w:r>
            <w:r>
              <w:rPr>
                <w:sz w:val="24"/>
                <w:szCs w:val="24"/>
              </w:rPr>
              <w:tab/>
            </w:r>
            <w:r w:rsidRPr="00C67FEA">
              <w:rPr>
                <w:sz w:val="24"/>
                <w:szCs w:val="24"/>
              </w:rPr>
              <w:t>Expanding supported online treatment options</w:t>
            </w:r>
          </w:p>
          <w:p w14:paraId="3B91598F" w14:textId="77777777" w:rsidR="009C6940" w:rsidRPr="00CE6436" w:rsidRDefault="009C6940" w:rsidP="009C6940">
            <w:pPr>
              <w:pStyle w:val="Box"/>
            </w:pPr>
            <w:r w:rsidRPr="00CE6436">
              <w:t>Funding should be expanded for services to accommodate up to 150</w:t>
            </w:r>
            <w:r>
              <w:t> </w:t>
            </w:r>
            <w:r w:rsidRPr="00CE6436">
              <w:t>000 clients per year for supported online treatment as a lower intensity service for people with high prevalence mental health conditions.</w:t>
            </w:r>
            <w:r>
              <w:t xml:space="preserve"> As part of this:</w:t>
            </w:r>
          </w:p>
          <w:p w14:paraId="52258CD4" w14:textId="77777777" w:rsidR="009C6940" w:rsidRDefault="009C6940" w:rsidP="009C6940">
            <w:pPr>
              <w:pStyle w:val="BoxListBullet"/>
              <w:numPr>
                <w:ilvl w:val="0"/>
                <w:numId w:val="3"/>
              </w:numPr>
            </w:pPr>
            <w:r w:rsidRPr="00CE6436">
              <w:t>Supported online treatment should have a strong evidence base and be offered</w:t>
            </w:r>
            <w:r>
              <w:t xml:space="preserve"> to children, youth and adults. </w:t>
            </w:r>
            <w:r w:rsidRPr="00CE6436">
              <w:t xml:space="preserve">Services should cater for </w:t>
            </w:r>
            <w:r>
              <w:t xml:space="preserve">demand for services from </w:t>
            </w:r>
            <w:r w:rsidRPr="00CE6436">
              <w:t>people of culturally and linguistically diverse backgrounds.</w:t>
            </w:r>
          </w:p>
          <w:p w14:paraId="05987E9B" w14:textId="77777777" w:rsidR="009C6940" w:rsidRDefault="009C6940" w:rsidP="009C6940">
            <w:pPr>
              <w:pStyle w:val="BoxListBullet"/>
              <w:numPr>
                <w:ilvl w:val="0"/>
                <w:numId w:val="3"/>
              </w:numPr>
            </w:pPr>
            <w:r w:rsidRPr="008D58A0">
              <w:t>Funding should provide for information campaign</w:t>
            </w:r>
            <w:r>
              <w:t>s</w:t>
            </w:r>
            <w:r w:rsidRPr="008D58A0">
              <w:t xml:space="preserve"> to increase awareness of the effectiveness, quality and safety of government</w:t>
            </w:r>
            <w:r>
              <w:noBreakHyphen/>
            </w:r>
            <w:r w:rsidRPr="008D58A0">
              <w:t>funded</w:t>
            </w:r>
            <w:r>
              <w:t>,</w:t>
            </w:r>
            <w:r w:rsidRPr="008D58A0">
              <w:t xml:space="preserve"> supported online therapy.</w:t>
            </w:r>
          </w:p>
        </w:tc>
      </w:tr>
      <w:tr w:rsidR="009C6940" w14:paraId="2788C8F1" w14:textId="77777777" w:rsidTr="009C6940">
        <w:tc>
          <w:tcPr>
            <w:tcW w:w="5000" w:type="pct"/>
            <w:tcBorders>
              <w:top w:val="nil"/>
              <w:left w:val="nil"/>
              <w:bottom w:val="nil"/>
              <w:right w:val="nil"/>
            </w:tcBorders>
            <w:shd w:val="clear" w:color="auto" w:fill="F2F2F2"/>
          </w:tcPr>
          <w:p w14:paraId="4766605B" w14:textId="77777777" w:rsidR="009C6940" w:rsidRDefault="009C6940" w:rsidP="009C6940">
            <w:pPr>
              <w:pStyle w:val="BoxHeading1"/>
              <w:spacing w:before="120"/>
            </w:pPr>
            <w:r>
              <w:t>Population</w:t>
            </w:r>
          </w:p>
          <w:p w14:paraId="3D8B6404" w14:textId="77777777" w:rsidR="009C6940" w:rsidRDefault="009C6940" w:rsidP="009C6940">
            <w:pPr>
              <w:pStyle w:val="Box"/>
            </w:pPr>
            <w:r>
              <w:t>It is assumed that an additional 50 000 people with a mild mental illness who are not currently accessing treatment will use supported online treatment and 100 000 people will substitute towards supported online treatment from other treatment options.</w:t>
            </w:r>
          </w:p>
        </w:tc>
      </w:tr>
      <w:tr w:rsidR="009C6940" w14:paraId="17E0B233" w14:textId="77777777" w:rsidTr="009C6940">
        <w:tc>
          <w:tcPr>
            <w:tcW w:w="5000" w:type="pct"/>
            <w:tcBorders>
              <w:top w:val="nil"/>
              <w:left w:val="nil"/>
              <w:bottom w:val="nil"/>
              <w:right w:val="nil"/>
            </w:tcBorders>
            <w:shd w:val="clear" w:color="auto" w:fill="F2F2F2"/>
          </w:tcPr>
          <w:p w14:paraId="45919713" w14:textId="77777777" w:rsidR="009C6940" w:rsidRDefault="009C6940" w:rsidP="009C6940">
            <w:pPr>
              <w:pStyle w:val="BoxHeading1"/>
              <w:spacing w:before="120"/>
            </w:pPr>
            <w:r>
              <w:t>Effect</w:t>
            </w:r>
          </w:p>
          <w:p w14:paraId="7D5D7F5A" w14:textId="77777777" w:rsidR="009C6940" w:rsidRDefault="009C6940" w:rsidP="009C6940">
            <w:pPr>
              <w:pStyle w:val="BoxListBullet"/>
              <w:numPr>
                <w:ilvl w:val="0"/>
                <w:numId w:val="3"/>
              </w:numPr>
            </w:pPr>
            <w:r w:rsidRPr="00043F7F">
              <w:t>We assume an effect size of 0.8 for online supported treatment based on a meta</w:t>
            </w:r>
            <w:r>
              <w:noBreakHyphen/>
            </w:r>
            <w:r w:rsidRPr="00043F7F">
              <w:t xml:space="preserve">analysis by Andrews et al. </w:t>
            </w:r>
            <w:r w:rsidRPr="00D80781">
              <w:rPr>
                <w:rFonts w:cs="Arial"/>
              </w:rPr>
              <w:t>(2018)</w:t>
            </w:r>
            <w:r w:rsidRPr="00043F7F">
              <w:t>.</w:t>
            </w:r>
            <w:r>
              <w:t xml:space="preserve"> People who substitute towards online supported treatment are assumed to have the same outcome as expected previously.</w:t>
            </w:r>
          </w:p>
          <w:p w14:paraId="06EB9C88" w14:textId="77777777" w:rsidR="009C6940" w:rsidRDefault="009C6940" w:rsidP="009C6940">
            <w:pPr>
              <w:pStyle w:val="BoxListBullet"/>
              <w:numPr>
                <w:ilvl w:val="0"/>
                <w:numId w:val="3"/>
              </w:numPr>
            </w:pPr>
            <w:r>
              <w:t>Increased use of supported online treatments is estimated to result in an additional 1313</w:t>
            </w:r>
            <w:r>
              <w:noBreakHyphen/>
              <w:t>2390 QALYs and $108</w:t>
            </w:r>
            <w:r>
              <w:noBreakHyphen/>
              <w:t>210 million in aggregate labour income.</w:t>
            </w:r>
          </w:p>
        </w:tc>
      </w:tr>
      <w:tr w:rsidR="009C6940" w14:paraId="442BC2E8" w14:textId="77777777" w:rsidTr="009C6940">
        <w:tc>
          <w:tcPr>
            <w:tcW w:w="5000" w:type="pct"/>
            <w:tcBorders>
              <w:top w:val="nil"/>
              <w:left w:val="nil"/>
              <w:bottom w:val="nil"/>
              <w:right w:val="nil"/>
            </w:tcBorders>
            <w:shd w:val="clear" w:color="auto" w:fill="F2F2F2"/>
          </w:tcPr>
          <w:p w14:paraId="22210920" w14:textId="77777777" w:rsidR="009C6940" w:rsidRDefault="009C6940" w:rsidP="009C6940">
            <w:pPr>
              <w:pStyle w:val="BoxHeading1"/>
              <w:spacing w:before="120"/>
            </w:pPr>
            <w:r>
              <w:t>Costs</w:t>
            </w:r>
          </w:p>
          <w:p w14:paraId="6867C5BF" w14:textId="77777777" w:rsidR="009C6940" w:rsidRPr="00C66207" w:rsidRDefault="009C6940" w:rsidP="009C6940">
            <w:pPr>
              <w:pStyle w:val="BoxListBullet"/>
              <w:numPr>
                <w:ilvl w:val="0"/>
                <w:numId w:val="3"/>
              </w:numPr>
            </w:pPr>
            <w:r w:rsidRPr="00C66207">
              <w:t xml:space="preserve">The cost of reviewing an expansion </w:t>
            </w:r>
            <w:r>
              <w:t>of online supported treatment is</w:t>
            </w:r>
            <w:r w:rsidRPr="00C66207">
              <w:t xml:space="preserve"> assumed to require 5.4</w:t>
            </w:r>
            <w:r>
              <w:t> full-time equivalent (FTE) employees</w:t>
            </w:r>
            <w:r w:rsidRPr="00C66207">
              <w:t xml:space="preserve">, at a </w:t>
            </w:r>
            <w:r>
              <w:t xml:space="preserve">total </w:t>
            </w:r>
            <w:r w:rsidRPr="00C66207">
              <w:t xml:space="preserve">cost of </w:t>
            </w:r>
            <w:r>
              <w:t xml:space="preserve">up to </w:t>
            </w:r>
            <w:r w:rsidRPr="00C66207">
              <w:t>$</w:t>
            </w:r>
            <w:r>
              <w:t>400 000.</w:t>
            </w:r>
            <w:r w:rsidRPr="00C66207">
              <w:t xml:space="preserve"> This assumes a mix of public sector staff who will spend half a year conducting the review.</w:t>
            </w:r>
          </w:p>
          <w:p w14:paraId="701A2845" w14:textId="77777777" w:rsidR="009C6940" w:rsidRPr="00C66207" w:rsidRDefault="009C6940" w:rsidP="009C6940">
            <w:pPr>
              <w:pStyle w:val="BoxListBullet"/>
              <w:numPr>
                <w:ilvl w:val="0"/>
                <w:numId w:val="3"/>
              </w:numPr>
            </w:pPr>
            <w:r>
              <w:t>There will be expenditures to run three</w:t>
            </w:r>
            <w:r w:rsidRPr="00C66207">
              <w:t xml:space="preserve"> information </w:t>
            </w:r>
            <w:r>
              <w:t xml:space="preserve">campaigns: one </w:t>
            </w:r>
            <w:r w:rsidRPr="00C66207">
              <w:t>for culturally and linguistically diverse people</w:t>
            </w:r>
            <w:r>
              <w:t xml:space="preserve">, one </w:t>
            </w:r>
            <w:r w:rsidRPr="00CF47EA">
              <w:t xml:space="preserve">for consumers and </w:t>
            </w:r>
            <w:r>
              <w:t xml:space="preserve">one for health professionals. Each campaign </w:t>
            </w:r>
            <w:r w:rsidRPr="00C66207">
              <w:t>is assumed to cost $450 000.</w:t>
            </w:r>
            <w:r w:rsidRPr="00C228F3">
              <w:rPr>
                <w:rStyle w:val="FootnoteReference"/>
              </w:rPr>
              <w:footnoteReference w:id="21"/>
            </w:r>
          </w:p>
          <w:p w14:paraId="3687D0E2" w14:textId="77777777" w:rsidR="009C6940" w:rsidRDefault="009C6940" w:rsidP="009C6940">
            <w:pPr>
              <w:pStyle w:val="BoxListBullet"/>
              <w:numPr>
                <w:ilvl w:val="0"/>
                <w:numId w:val="3"/>
              </w:numPr>
            </w:pPr>
            <w:r>
              <w:t>The cost of providing online supported treatment via MindSpot are between $300</w:t>
            </w:r>
            <w:r>
              <w:noBreakHyphen/>
              <w:t xml:space="preserve">447 per client </w:t>
            </w:r>
            <w:r w:rsidRPr="00D80781">
              <w:rPr>
                <w:rFonts w:cs="Arial"/>
                <w:szCs w:val="24"/>
              </w:rPr>
              <w:t>(Lee et al. 2017; Titov 2020)</w:t>
            </w:r>
            <w:r>
              <w:t>.</w:t>
            </w:r>
          </w:p>
          <w:p w14:paraId="136544A6" w14:textId="77777777" w:rsidR="009C6940" w:rsidRDefault="009C6940" w:rsidP="009C6940">
            <w:pPr>
              <w:pStyle w:val="BoxListBullet"/>
              <w:numPr>
                <w:ilvl w:val="0"/>
                <w:numId w:val="3"/>
              </w:numPr>
            </w:pPr>
            <w:r>
              <w:t>The total program is expected to cost between $47 and $69 million.</w:t>
            </w:r>
          </w:p>
          <w:p w14:paraId="2F073FEA" w14:textId="77777777" w:rsidR="009C6940" w:rsidRDefault="009C6940" w:rsidP="009C6940">
            <w:pPr>
              <w:pStyle w:val="BoxListBullet"/>
              <w:numPr>
                <w:ilvl w:val="0"/>
                <w:numId w:val="3"/>
              </w:numPr>
            </w:pPr>
            <w:r>
              <w:t>Cost savings from substituting from care</w:t>
            </w:r>
            <w:r>
              <w:noBreakHyphen/>
              <w:t>as</w:t>
            </w:r>
            <w:r>
              <w:noBreakHyphen/>
              <w:t>usual are estimated to be between $7</w:t>
            </w:r>
            <w:r>
              <w:noBreakHyphen/>
              <w:t xml:space="preserve">22 million, using parameters from Lee et al. </w:t>
            </w:r>
            <w:r w:rsidRPr="00752EA7">
              <w:rPr>
                <w:rFonts w:cs="Arial"/>
              </w:rPr>
              <w:t>(2017)</w:t>
            </w:r>
            <w:r>
              <w:t>.</w:t>
            </w:r>
          </w:p>
        </w:tc>
      </w:tr>
      <w:tr w:rsidR="009C6940" w14:paraId="582F0B3C" w14:textId="77777777" w:rsidTr="009C6940">
        <w:tc>
          <w:tcPr>
            <w:tcW w:w="5000" w:type="pct"/>
            <w:tcBorders>
              <w:top w:val="nil"/>
              <w:left w:val="nil"/>
              <w:bottom w:val="nil"/>
              <w:right w:val="nil"/>
            </w:tcBorders>
            <w:shd w:val="clear" w:color="auto" w:fill="F2F2F2"/>
          </w:tcPr>
          <w:p w14:paraId="5DE12262" w14:textId="77777777" w:rsidR="009C6940" w:rsidRDefault="009C6940" w:rsidP="009C6940">
            <w:pPr>
              <w:pStyle w:val="BoxHeading1"/>
              <w:spacing w:before="120"/>
            </w:pPr>
            <w:r>
              <w:t>Additional considerations</w:t>
            </w:r>
          </w:p>
          <w:p w14:paraId="20F0FD38" w14:textId="77777777" w:rsidR="009C6940" w:rsidRPr="00752EA7" w:rsidRDefault="009C6940" w:rsidP="009C6940">
            <w:pPr>
              <w:pStyle w:val="BoxListBullet"/>
            </w:pPr>
            <w:r w:rsidRPr="00043F7F">
              <w:t>Effect sizes for supported online treatment can be influenced by a range of factors, in particular people’s willingness and capacity to complete all modules of the treatment (adherence). By using a meta study, our results are not conditional on the circumstances or findings of one particular study. Of note, is that the median adherence rate in the meta study is similar to the rates of an Australian supported online treatment course (MindSpot)</w:t>
            </w:r>
            <w:r>
              <w:t xml:space="preserve">. </w:t>
            </w:r>
          </w:p>
        </w:tc>
      </w:tr>
      <w:tr w:rsidR="009C6940" w14:paraId="5D40BA8F" w14:textId="77777777" w:rsidTr="009C6940">
        <w:tc>
          <w:tcPr>
            <w:tcW w:w="5000" w:type="pct"/>
            <w:tcBorders>
              <w:top w:val="nil"/>
              <w:left w:val="nil"/>
              <w:bottom w:val="nil"/>
              <w:right w:val="nil"/>
            </w:tcBorders>
            <w:shd w:val="clear" w:color="auto" w:fill="F2F2F2"/>
          </w:tcPr>
          <w:p w14:paraId="1FCED7FD"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549D686F" w14:textId="77777777" w:rsidTr="009C6940">
        <w:tc>
          <w:tcPr>
            <w:tcW w:w="5000" w:type="pct"/>
            <w:tcBorders>
              <w:top w:val="nil"/>
              <w:left w:val="nil"/>
              <w:bottom w:val="single" w:sz="6" w:space="0" w:color="78A22F"/>
              <w:right w:val="nil"/>
            </w:tcBorders>
            <w:shd w:val="clear" w:color="auto" w:fill="F2F2F2"/>
          </w:tcPr>
          <w:p w14:paraId="1741DBE4" w14:textId="77777777" w:rsidR="009C6940" w:rsidRDefault="009C6940" w:rsidP="009C6940">
            <w:pPr>
              <w:pStyle w:val="Box"/>
              <w:spacing w:before="0" w:line="120" w:lineRule="exact"/>
            </w:pPr>
          </w:p>
        </w:tc>
      </w:tr>
      <w:tr w:rsidR="009C6940" w:rsidRPr="000863A5" w14:paraId="1273123A" w14:textId="77777777" w:rsidTr="009C6940">
        <w:tc>
          <w:tcPr>
            <w:tcW w:w="5000" w:type="pct"/>
            <w:tcBorders>
              <w:top w:val="single" w:sz="6" w:space="0" w:color="78A22F"/>
              <w:left w:val="nil"/>
              <w:bottom w:val="nil"/>
              <w:right w:val="nil"/>
            </w:tcBorders>
          </w:tcPr>
          <w:p w14:paraId="35BC436A" w14:textId="77777777" w:rsidR="009C6940" w:rsidRPr="00626D32" w:rsidRDefault="009C6940" w:rsidP="009C6940">
            <w:pPr>
              <w:pStyle w:val="BoxSpaceBelow"/>
            </w:pPr>
          </w:p>
        </w:tc>
      </w:tr>
    </w:tbl>
    <w:p w14:paraId="638EF0F1"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66C714D" w14:textId="77777777" w:rsidTr="009C6940">
        <w:trPr>
          <w:tblHeader/>
        </w:trPr>
        <w:tc>
          <w:tcPr>
            <w:tcW w:w="5000" w:type="pct"/>
            <w:tcBorders>
              <w:top w:val="single" w:sz="6" w:space="0" w:color="78A22F"/>
              <w:left w:val="nil"/>
              <w:bottom w:val="nil"/>
              <w:right w:val="nil"/>
            </w:tcBorders>
            <w:shd w:val="clear" w:color="auto" w:fill="F2F2F2"/>
          </w:tcPr>
          <w:p w14:paraId="7DBE3E64" w14:textId="77777777" w:rsidR="009C6940" w:rsidRDefault="009C6940" w:rsidP="009C6940">
            <w:pPr>
              <w:pStyle w:val="BoxHeading1"/>
              <w:tabs>
                <w:tab w:val="left" w:pos="1127"/>
              </w:tabs>
            </w:pPr>
            <w:r>
              <w:rPr>
                <w:sz w:val="24"/>
                <w:szCs w:val="24"/>
              </w:rPr>
              <w:t>Action</w:t>
            </w:r>
            <w:r>
              <w:rPr>
                <w:sz w:val="24"/>
                <w:szCs w:val="24"/>
              </w:rPr>
              <w:tab/>
            </w:r>
            <w:r w:rsidRPr="00C67FEA">
              <w:rPr>
                <w:sz w:val="24"/>
                <w:szCs w:val="24"/>
              </w:rPr>
              <w:t>Expanding supported online treatment options</w:t>
            </w:r>
            <w:r>
              <w:rPr>
                <w:sz w:val="24"/>
                <w:szCs w:val="24"/>
              </w:rPr>
              <w:t xml:space="preserve"> </w:t>
            </w:r>
            <w:r w:rsidRPr="00B84E9F">
              <w:rPr>
                <w:rStyle w:val="Continuedintitle"/>
              </w:rPr>
              <w:t>(continued)</w:t>
            </w:r>
          </w:p>
        </w:tc>
      </w:tr>
      <w:tr w:rsidR="009C6940" w14:paraId="2A146383" w14:textId="77777777" w:rsidTr="009C6940">
        <w:tc>
          <w:tcPr>
            <w:tcW w:w="5000" w:type="pct"/>
            <w:tcBorders>
              <w:top w:val="nil"/>
              <w:left w:val="nil"/>
              <w:bottom w:val="nil"/>
              <w:right w:val="nil"/>
            </w:tcBorders>
            <w:shd w:val="clear" w:color="auto" w:fill="F2F2F2"/>
          </w:tcPr>
          <w:p w14:paraId="09434AE7" w14:textId="77777777" w:rsidR="009C6940" w:rsidRDefault="009C6940" w:rsidP="009C6940">
            <w:pPr>
              <w:pStyle w:val="BoxListBullet"/>
            </w:pPr>
            <w:r>
              <w:t>Labour supply constraints may limit the uptake of online supported treatment.</w:t>
            </w:r>
          </w:p>
          <w:p w14:paraId="759D2EAC" w14:textId="77777777" w:rsidR="009C6940" w:rsidRDefault="009C6940" w:rsidP="009C6940">
            <w:pPr>
              <w:pStyle w:val="BoxListBullet"/>
            </w:pPr>
            <w:r w:rsidRPr="00752EA7">
              <w:rPr>
                <w:rFonts w:asciiTheme="minorHAnsi" w:hAnsiTheme="minorHAnsi" w:cstheme="minorHAnsi"/>
              </w:rPr>
              <w:t>We estimate that supported online treatment services could be expanded by 150 000. This estimate are based on prevalence rates of mental illness and current treatment service usage, as well as recognising that it will take some time for both consumers and professionals to increase their knowledge of this form of treatment and decide if it is suitable. It also takes into consideration the ability of the sector to expand while maintaining quality treatment for consumers.</w:t>
            </w:r>
          </w:p>
        </w:tc>
      </w:tr>
      <w:tr w:rsidR="009C6940" w14:paraId="3AE047AB" w14:textId="77777777" w:rsidTr="009C6940">
        <w:tc>
          <w:tcPr>
            <w:tcW w:w="5000" w:type="pct"/>
            <w:tcBorders>
              <w:top w:val="nil"/>
              <w:left w:val="nil"/>
              <w:bottom w:val="single" w:sz="6" w:space="0" w:color="78A22F"/>
              <w:right w:val="nil"/>
            </w:tcBorders>
            <w:shd w:val="clear" w:color="auto" w:fill="F2F2F2"/>
          </w:tcPr>
          <w:p w14:paraId="6B3A6923" w14:textId="77777777" w:rsidR="009C6940" w:rsidRDefault="009C6940" w:rsidP="009C6940">
            <w:pPr>
              <w:pStyle w:val="Box"/>
              <w:spacing w:before="0" w:line="120" w:lineRule="exact"/>
            </w:pPr>
          </w:p>
        </w:tc>
      </w:tr>
      <w:tr w:rsidR="009C6940" w:rsidRPr="000863A5" w14:paraId="77704E58" w14:textId="77777777" w:rsidTr="009C6940">
        <w:tc>
          <w:tcPr>
            <w:tcW w:w="5000" w:type="pct"/>
            <w:tcBorders>
              <w:top w:val="single" w:sz="6" w:space="0" w:color="78A22F"/>
              <w:left w:val="nil"/>
              <w:bottom w:val="nil"/>
              <w:right w:val="nil"/>
            </w:tcBorders>
          </w:tcPr>
          <w:p w14:paraId="492A50F3" w14:textId="77777777" w:rsidR="009C6940" w:rsidRPr="00626D32" w:rsidRDefault="009C6940" w:rsidP="009C6940">
            <w:pPr>
              <w:pStyle w:val="BoxSpaceBelow"/>
            </w:pPr>
          </w:p>
        </w:tc>
      </w:tr>
    </w:tbl>
    <w:p w14:paraId="2A7A7E88"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786AFAB" w14:textId="77777777" w:rsidTr="009C6940">
        <w:trPr>
          <w:tblHeader/>
        </w:trPr>
        <w:tc>
          <w:tcPr>
            <w:tcW w:w="5000" w:type="pct"/>
            <w:tcBorders>
              <w:top w:val="single" w:sz="6" w:space="0" w:color="78A22F"/>
              <w:left w:val="nil"/>
              <w:bottom w:val="nil"/>
              <w:right w:val="nil"/>
            </w:tcBorders>
            <w:shd w:val="clear" w:color="auto" w:fill="F2F2F2"/>
          </w:tcPr>
          <w:p w14:paraId="3854E4EC" w14:textId="77777777" w:rsidR="009C6940" w:rsidRPr="006A2259" w:rsidRDefault="009C6940" w:rsidP="009C6940">
            <w:pPr>
              <w:pStyle w:val="BoxHeading1"/>
              <w:tabs>
                <w:tab w:val="left" w:pos="1109"/>
              </w:tabs>
              <w:rPr>
                <w:sz w:val="24"/>
                <w:szCs w:val="24"/>
              </w:rPr>
            </w:pPr>
            <w:r>
              <w:rPr>
                <w:sz w:val="24"/>
                <w:szCs w:val="24"/>
              </w:rPr>
              <w:t>Action</w:t>
            </w:r>
            <w:r>
              <w:rPr>
                <w:sz w:val="24"/>
                <w:szCs w:val="24"/>
              </w:rPr>
              <w:tab/>
              <w:t>State and Territory c</w:t>
            </w:r>
            <w:r w:rsidRPr="006A2259">
              <w:rPr>
                <w:sz w:val="24"/>
                <w:szCs w:val="24"/>
              </w:rPr>
              <w:t>ommunity ambulatory services</w:t>
            </w:r>
          </w:p>
          <w:p w14:paraId="2BDF1072" w14:textId="77777777" w:rsidR="009C6940" w:rsidRDefault="009C6940" w:rsidP="009C6940">
            <w:pPr>
              <w:pStyle w:val="Box"/>
            </w:pPr>
            <w:r w:rsidRPr="006348EB">
              <w:t xml:space="preserve">Across Australia, </w:t>
            </w:r>
            <w:r>
              <w:t xml:space="preserve">State and Territory </w:t>
            </w:r>
            <w:r w:rsidRPr="006348EB">
              <w:t xml:space="preserve">community ambulatory services fall short of </w:t>
            </w:r>
            <w:r>
              <w:t>population needs predicted by service planning tools</w:t>
            </w:r>
            <w:r w:rsidRPr="006348EB">
              <w:t>.</w:t>
            </w:r>
            <w:r>
              <w:t xml:space="preserve"> The final report recommends that Australian governments </w:t>
            </w:r>
            <w:r w:rsidRPr="006348EB">
              <w:t>should increase funding for these services, in line with agreed commitments to rectify service shortfalls over time</w:t>
            </w:r>
            <w:r>
              <w:t>.</w:t>
            </w:r>
          </w:p>
        </w:tc>
      </w:tr>
      <w:tr w:rsidR="009C6940" w14:paraId="03ECCD89" w14:textId="77777777" w:rsidTr="009C6940">
        <w:tc>
          <w:tcPr>
            <w:tcW w:w="5000" w:type="pct"/>
            <w:tcBorders>
              <w:top w:val="nil"/>
              <w:left w:val="nil"/>
              <w:bottom w:val="nil"/>
              <w:right w:val="nil"/>
            </w:tcBorders>
            <w:shd w:val="clear" w:color="auto" w:fill="F2F2F2"/>
          </w:tcPr>
          <w:p w14:paraId="750E0D2F" w14:textId="77777777" w:rsidR="009C6940" w:rsidRDefault="009C6940" w:rsidP="009C6940">
            <w:pPr>
              <w:pStyle w:val="BoxHeading1"/>
              <w:spacing w:before="120"/>
            </w:pPr>
            <w:r>
              <w:t>Population</w:t>
            </w:r>
          </w:p>
          <w:p w14:paraId="371CAAA7" w14:textId="77777777" w:rsidR="009C6940" w:rsidRDefault="009C6940" w:rsidP="009C6940">
            <w:pPr>
              <w:pStyle w:val="BoxListBullet"/>
              <w:numPr>
                <w:ilvl w:val="0"/>
                <w:numId w:val="3"/>
              </w:numPr>
            </w:pPr>
            <w:r>
              <w:t xml:space="preserve">The National Mental Health Service Planning Framework (NMHSPF) provides benchmark estimates of the number of FTEs and costs required to provide the specified service mix of community ambulatory services. Care profiles associated with these service elements are identified, along with their population size. </w:t>
            </w:r>
            <w:r w:rsidRPr="001B3B9A">
              <w:t>The benchmark number of FTEs required excludes FTEs from top</w:t>
            </w:r>
            <w:r>
              <w:noBreakHyphen/>
            </w:r>
            <w:r w:rsidRPr="001B3B9A">
              <w:t xml:space="preserve">up care profiles, as these are additional services </w:t>
            </w:r>
            <w:r>
              <w:t>that</w:t>
            </w:r>
            <w:r w:rsidRPr="001B3B9A">
              <w:t xml:space="preserve"> are not assigned to a specific population. However, they are still taken into account in the gap analysis in chapter </w:t>
            </w:r>
            <w:r>
              <w:t>12</w:t>
            </w:r>
            <w:r w:rsidRPr="001B3B9A">
              <w:t>.</w:t>
            </w:r>
          </w:p>
          <w:p w14:paraId="61CB95C4" w14:textId="77777777" w:rsidR="009C6940" w:rsidRDefault="009C6940" w:rsidP="009C6940">
            <w:pPr>
              <w:pStyle w:val="BoxListBullet"/>
              <w:numPr>
                <w:ilvl w:val="0"/>
                <w:numId w:val="3"/>
              </w:numPr>
            </w:pPr>
            <w:r>
              <w:t>It is assumed that the current ‘real</w:t>
            </w:r>
            <w:r>
              <w:noBreakHyphen/>
              <w:t>world’ mix of FTEs and services provided is proportional to the benchmarks for the services delivered to the care profiles in the NMHSPF.</w:t>
            </w:r>
          </w:p>
          <w:p w14:paraId="5A3D7CE2" w14:textId="77777777" w:rsidR="009C6940" w:rsidRDefault="009C6940" w:rsidP="009C6940">
            <w:pPr>
              <w:pStyle w:val="BoxListBullet"/>
              <w:numPr>
                <w:ilvl w:val="0"/>
                <w:numId w:val="3"/>
              </w:numPr>
            </w:pPr>
            <w:r>
              <w:t xml:space="preserve">Data on the number of FTEs currently supplying community ambulatory services are from AIHW </w:t>
            </w:r>
            <w:r w:rsidRPr="00223977">
              <w:rPr>
                <w:rFonts w:cs="Arial"/>
              </w:rPr>
              <w:t>(2020c)</w:t>
            </w:r>
            <w:r>
              <w:t>. This is compared against the benchmark estimates of FTEs from the NMHSPF to determine how many additional FTEs would be required to fill this gap for adults and older persons.</w:t>
            </w:r>
          </w:p>
        </w:tc>
      </w:tr>
      <w:tr w:rsidR="009C6940" w14:paraId="54AC7143" w14:textId="77777777" w:rsidTr="009C6940">
        <w:tc>
          <w:tcPr>
            <w:tcW w:w="5000" w:type="pct"/>
            <w:tcBorders>
              <w:top w:val="nil"/>
              <w:left w:val="nil"/>
              <w:bottom w:val="nil"/>
              <w:right w:val="nil"/>
            </w:tcBorders>
            <w:shd w:val="clear" w:color="auto" w:fill="F2F2F2"/>
          </w:tcPr>
          <w:p w14:paraId="2E95B5AC" w14:textId="77777777" w:rsidR="009C6940" w:rsidRDefault="009C6940" w:rsidP="009C6940">
            <w:pPr>
              <w:pStyle w:val="BoxHeading1"/>
              <w:spacing w:before="120"/>
            </w:pPr>
            <w:r>
              <w:t>Effect</w:t>
            </w:r>
          </w:p>
          <w:p w14:paraId="4067441A" w14:textId="77777777" w:rsidR="009C6940" w:rsidRDefault="009C6940" w:rsidP="009C6940">
            <w:pPr>
              <w:pStyle w:val="Box"/>
              <w:tabs>
                <w:tab w:val="left" w:pos="1680"/>
              </w:tabs>
            </w:pPr>
            <w:r>
              <w:t xml:space="preserve">Effect sizes for each age group are calculated using data from the </w:t>
            </w:r>
            <w:r w:rsidRPr="004A38CD">
              <w:t>Australian Mental Health Outcomes and Classification Network</w:t>
            </w:r>
            <w:r>
              <w:t xml:space="preserve"> (AMHOCN) for 2017</w:t>
            </w:r>
            <w:r>
              <w:noBreakHyphen/>
              <w:t xml:space="preserve">18 ambulatory services, using differences in the Kessler Psychological Distress Scale (K10+ LM) scores between admission and discharge </w:t>
            </w:r>
            <w:r w:rsidRPr="00D80781">
              <w:rPr>
                <w:rFonts w:cs="Arial"/>
                <w:szCs w:val="24"/>
              </w:rPr>
              <w:t>(AMHOCN 2019)</w:t>
            </w:r>
            <w:r>
              <w:t xml:space="preserve">. The K10 is highly correlated with the MCS (correlation coefficient of </w:t>
            </w:r>
            <w:r>
              <w:noBreakHyphen/>
              <w:t>0.8), meaning that changes in K10 are likely to be consistent with changes in the MCS. It is assumed that the benefits for older people will only consist of QALYs, while for adults, there will also be changes in the likelihood of employment and wages, if they are employed.</w:t>
            </w:r>
          </w:p>
        </w:tc>
      </w:tr>
      <w:tr w:rsidR="009C6940" w14:paraId="4FBB0EB3" w14:textId="77777777" w:rsidTr="009C6940">
        <w:tc>
          <w:tcPr>
            <w:tcW w:w="5000" w:type="pct"/>
            <w:tcBorders>
              <w:top w:val="nil"/>
              <w:left w:val="nil"/>
              <w:bottom w:val="nil"/>
              <w:right w:val="nil"/>
            </w:tcBorders>
            <w:shd w:val="clear" w:color="auto" w:fill="F2F2F2"/>
          </w:tcPr>
          <w:p w14:paraId="7681ECAE" w14:textId="77777777" w:rsidR="009C6940" w:rsidRDefault="009C6940" w:rsidP="009C6940">
            <w:pPr>
              <w:pStyle w:val="BoxHeading1"/>
              <w:spacing w:before="120"/>
            </w:pPr>
            <w:r>
              <w:t>Costs and benefits</w:t>
            </w:r>
          </w:p>
          <w:p w14:paraId="7161CB24" w14:textId="77777777" w:rsidR="009C6940" w:rsidRDefault="009C6940" w:rsidP="009C6940">
            <w:pPr>
              <w:pStyle w:val="Box"/>
            </w:pPr>
            <w:r>
              <w:t>The results are</w:t>
            </w:r>
            <w:r w:rsidRPr="006A2259">
              <w:t xml:space="preserve"> estimated based on the NMHSPF assumption that 67% of </w:t>
            </w:r>
            <w:r>
              <w:t xml:space="preserve">clinical staff </w:t>
            </w:r>
            <w:r w:rsidRPr="006A2259">
              <w:t>time is spent on consumer</w:t>
            </w:r>
            <w:r>
              <w:noBreakHyphen/>
            </w:r>
            <w:r w:rsidRPr="006A2259">
              <w:t xml:space="preserve">related activity. However, the </w:t>
            </w:r>
            <w:r>
              <w:t>Productivity</w:t>
            </w:r>
            <w:r w:rsidRPr="006A2259">
              <w:t xml:space="preserve"> Commission estimates that in practice, only 29% of time is spent on consumer</w:t>
            </w:r>
            <w:r>
              <w:noBreakHyphen/>
            </w:r>
            <w:r w:rsidRPr="006A2259">
              <w:t>related activity (chapter</w:t>
            </w:r>
            <w:r>
              <w:t> 12</w:t>
            </w:r>
            <w:r w:rsidRPr="006A2259">
              <w:t>).</w:t>
            </w:r>
            <w:r>
              <w:t xml:space="preserve"> An additional adjustment is added on top of the recurrent costs to cover capital costs </w:t>
            </w:r>
            <w:r w:rsidRPr="00D80781">
              <w:rPr>
                <w:rFonts w:cs="Arial"/>
                <w:szCs w:val="24"/>
              </w:rPr>
              <w:t>(Rosenheck, Frisman and Neale 1994)</w:t>
            </w:r>
            <w:r>
              <w:t>.</w:t>
            </w:r>
          </w:p>
        </w:tc>
      </w:tr>
      <w:tr w:rsidR="009C6940" w14:paraId="0410F0C5" w14:textId="77777777" w:rsidTr="009C6940">
        <w:tc>
          <w:tcPr>
            <w:tcW w:w="5000" w:type="pct"/>
            <w:tcBorders>
              <w:top w:val="nil"/>
              <w:left w:val="nil"/>
              <w:bottom w:val="nil"/>
              <w:right w:val="nil"/>
            </w:tcBorders>
            <w:shd w:val="clear" w:color="auto" w:fill="F2F2F2"/>
          </w:tcPr>
          <w:p w14:paraId="562FD526"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7F0FEB68" w14:textId="77777777" w:rsidTr="009C6940">
        <w:tc>
          <w:tcPr>
            <w:tcW w:w="5000" w:type="pct"/>
            <w:tcBorders>
              <w:top w:val="nil"/>
              <w:left w:val="nil"/>
              <w:bottom w:val="single" w:sz="6" w:space="0" w:color="78A22F"/>
              <w:right w:val="nil"/>
            </w:tcBorders>
            <w:shd w:val="clear" w:color="auto" w:fill="F2F2F2"/>
          </w:tcPr>
          <w:p w14:paraId="18F16081" w14:textId="77777777" w:rsidR="009C6940" w:rsidRDefault="009C6940" w:rsidP="009C6940">
            <w:pPr>
              <w:pStyle w:val="Box"/>
              <w:spacing w:before="0" w:line="120" w:lineRule="exact"/>
            </w:pPr>
          </w:p>
        </w:tc>
      </w:tr>
      <w:tr w:rsidR="009C6940" w:rsidRPr="000863A5" w14:paraId="0D0A29C7" w14:textId="77777777" w:rsidTr="009C6940">
        <w:tc>
          <w:tcPr>
            <w:tcW w:w="5000" w:type="pct"/>
            <w:tcBorders>
              <w:top w:val="single" w:sz="6" w:space="0" w:color="78A22F"/>
              <w:left w:val="nil"/>
              <w:bottom w:val="nil"/>
              <w:right w:val="nil"/>
            </w:tcBorders>
          </w:tcPr>
          <w:p w14:paraId="20C6FDFA" w14:textId="77777777" w:rsidR="009C6940" w:rsidRPr="00626D32" w:rsidRDefault="009C6940" w:rsidP="009C6940">
            <w:pPr>
              <w:pStyle w:val="BoxSpaceBelow"/>
            </w:pPr>
          </w:p>
        </w:tc>
      </w:tr>
    </w:tbl>
    <w:p w14:paraId="59F1757B"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B84F8EA" w14:textId="77777777" w:rsidTr="009C6940">
        <w:trPr>
          <w:tblHeader/>
        </w:trPr>
        <w:tc>
          <w:tcPr>
            <w:tcW w:w="5000" w:type="pct"/>
            <w:tcBorders>
              <w:top w:val="single" w:sz="6" w:space="0" w:color="78A22F"/>
              <w:left w:val="nil"/>
              <w:bottom w:val="nil"/>
              <w:right w:val="nil"/>
            </w:tcBorders>
            <w:shd w:val="clear" w:color="auto" w:fill="F2F2F2"/>
          </w:tcPr>
          <w:p w14:paraId="1F34E6BF" w14:textId="77777777" w:rsidR="009C6940" w:rsidRPr="00223977" w:rsidRDefault="009C6940" w:rsidP="009C6940">
            <w:pPr>
              <w:pStyle w:val="BoxHeading1"/>
              <w:tabs>
                <w:tab w:val="left" w:pos="1134"/>
              </w:tabs>
              <w:spacing w:after="120"/>
              <w:rPr>
                <w:b w:val="0"/>
              </w:rPr>
            </w:pPr>
            <w:r>
              <w:rPr>
                <w:sz w:val="24"/>
                <w:szCs w:val="24"/>
              </w:rPr>
              <w:t>Action</w:t>
            </w:r>
            <w:r>
              <w:rPr>
                <w:sz w:val="24"/>
                <w:szCs w:val="24"/>
              </w:rPr>
              <w:tab/>
              <w:t>State and Territory c</w:t>
            </w:r>
            <w:r w:rsidRPr="006A2259">
              <w:rPr>
                <w:sz w:val="24"/>
                <w:szCs w:val="24"/>
              </w:rPr>
              <w:t>ommunity ambulatory services</w:t>
            </w:r>
            <w:r>
              <w:rPr>
                <w:b w:val="0"/>
              </w:rPr>
              <w:t xml:space="preserve"> </w:t>
            </w:r>
            <w:r w:rsidRPr="00B84E9F">
              <w:rPr>
                <w:rStyle w:val="Continuedintitle"/>
              </w:rPr>
              <w:t>(continued)</w:t>
            </w:r>
          </w:p>
        </w:tc>
      </w:tr>
      <w:tr w:rsidR="009C6940" w14:paraId="61D6F6E9" w14:textId="77777777" w:rsidTr="009C6940">
        <w:tc>
          <w:tcPr>
            <w:tcW w:w="5000" w:type="pct"/>
            <w:tcBorders>
              <w:top w:val="nil"/>
              <w:left w:val="nil"/>
              <w:bottom w:val="nil"/>
              <w:right w:val="nil"/>
            </w:tcBorders>
            <w:shd w:val="clear" w:color="auto" w:fill="F2F2F2"/>
          </w:tcPr>
          <w:tbl>
            <w:tblPr>
              <w:tblW w:w="5000" w:type="pct"/>
              <w:tblCellMar>
                <w:top w:w="28" w:type="dxa"/>
                <w:left w:w="0" w:type="dxa"/>
                <w:right w:w="0" w:type="dxa"/>
              </w:tblCellMar>
              <w:tblLook w:val="0000" w:firstRow="0" w:lastRow="0" w:firstColumn="0" w:lastColumn="0" w:noHBand="0" w:noVBand="0"/>
            </w:tblPr>
            <w:tblGrid>
              <w:gridCol w:w="2113"/>
              <w:gridCol w:w="1260"/>
              <w:gridCol w:w="1905"/>
              <w:gridCol w:w="1761"/>
              <w:gridCol w:w="1466"/>
            </w:tblGrid>
            <w:tr w:rsidR="009C6940" w14:paraId="17F25293" w14:textId="77777777" w:rsidTr="009C6940">
              <w:trPr>
                <w:tblHeader/>
              </w:trPr>
              <w:tc>
                <w:tcPr>
                  <w:tcW w:w="1983" w:type="pct"/>
                  <w:gridSpan w:val="2"/>
                  <w:tcBorders>
                    <w:top w:val="single" w:sz="6" w:space="0" w:color="BFBFBF"/>
                    <w:bottom w:val="single" w:sz="6" w:space="0" w:color="BFBFBF"/>
                  </w:tcBorders>
                  <w:shd w:val="clear" w:color="auto" w:fill="auto"/>
                  <w:tcMar>
                    <w:top w:w="28" w:type="dxa"/>
                  </w:tcMar>
                </w:tcPr>
                <w:p w14:paraId="474E0671" w14:textId="77777777" w:rsidR="009C6940" w:rsidRDefault="009C6940" w:rsidP="009C6940">
                  <w:pPr>
                    <w:pStyle w:val="TableColumnHeading"/>
                    <w:jc w:val="left"/>
                  </w:pPr>
                </w:p>
              </w:tc>
              <w:tc>
                <w:tcPr>
                  <w:tcW w:w="1120" w:type="pct"/>
                  <w:tcBorders>
                    <w:top w:val="single" w:sz="6" w:space="0" w:color="BFBFBF"/>
                    <w:bottom w:val="single" w:sz="6" w:space="0" w:color="BFBFBF"/>
                  </w:tcBorders>
                </w:tcPr>
                <w:p w14:paraId="175A0A4D" w14:textId="77777777" w:rsidR="009C6940" w:rsidRDefault="009C6940" w:rsidP="009C6940">
                  <w:pPr>
                    <w:pStyle w:val="TableColumnHeading"/>
                  </w:pPr>
                  <w:r>
                    <w:t xml:space="preserve">Child &amp; adolescent (age less than 18) </w:t>
                  </w:r>
                </w:p>
              </w:tc>
              <w:tc>
                <w:tcPr>
                  <w:tcW w:w="1035" w:type="pct"/>
                  <w:tcBorders>
                    <w:top w:val="single" w:sz="6" w:space="0" w:color="BFBFBF"/>
                    <w:bottom w:val="single" w:sz="6" w:space="0" w:color="BFBFBF"/>
                  </w:tcBorders>
                  <w:shd w:val="clear" w:color="auto" w:fill="auto"/>
                  <w:tcMar>
                    <w:top w:w="28" w:type="dxa"/>
                  </w:tcMar>
                </w:tcPr>
                <w:p w14:paraId="7449D900" w14:textId="77777777" w:rsidR="009C6940" w:rsidRDefault="009C6940" w:rsidP="009C6940">
                  <w:pPr>
                    <w:pStyle w:val="TableColumnHeading"/>
                  </w:pPr>
                  <w:r>
                    <w:t>Adults (age 18</w:t>
                  </w:r>
                  <w:r>
                    <w:noBreakHyphen/>
                    <w:t>64)</w:t>
                  </w:r>
                </w:p>
              </w:tc>
              <w:tc>
                <w:tcPr>
                  <w:tcW w:w="862" w:type="pct"/>
                  <w:tcBorders>
                    <w:top w:val="single" w:sz="6" w:space="0" w:color="BFBFBF"/>
                    <w:bottom w:val="single" w:sz="6" w:space="0" w:color="BFBFBF"/>
                  </w:tcBorders>
                  <w:shd w:val="clear" w:color="auto" w:fill="auto"/>
                  <w:tcMar>
                    <w:top w:w="28" w:type="dxa"/>
                  </w:tcMar>
                </w:tcPr>
                <w:p w14:paraId="5016DB92" w14:textId="77777777" w:rsidR="009C6940" w:rsidRDefault="009C6940" w:rsidP="009C6940">
                  <w:pPr>
                    <w:pStyle w:val="TableColumnHeading"/>
                    <w:ind w:right="28"/>
                  </w:pPr>
                  <w:r>
                    <w:t>Older persons (age 65+)</w:t>
                  </w:r>
                </w:p>
              </w:tc>
            </w:tr>
            <w:tr w:rsidR="009C6940" w14:paraId="1D2FE774" w14:textId="77777777" w:rsidTr="009C6940">
              <w:tc>
                <w:tcPr>
                  <w:tcW w:w="1983" w:type="pct"/>
                  <w:gridSpan w:val="2"/>
                  <w:tcBorders>
                    <w:top w:val="single" w:sz="6" w:space="0" w:color="BFBFBF"/>
                  </w:tcBorders>
                </w:tcPr>
                <w:p w14:paraId="46567F69" w14:textId="77777777" w:rsidR="009C6940" w:rsidRDefault="009C6940" w:rsidP="009C6940">
                  <w:pPr>
                    <w:pStyle w:val="TableUnitsRow"/>
                    <w:jc w:val="left"/>
                  </w:pPr>
                  <w:r>
                    <w:t>Effect size for ambulatory services</w:t>
                  </w:r>
                </w:p>
              </w:tc>
              <w:tc>
                <w:tcPr>
                  <w:tcW w:w="1120" w:type="pct"/>
                  <w:tcBorders>
                    <w:top w:val="single" w:sz="6" w:space="0" w:color="BFBFBF"/>
                  </w:tcBorders>
                </w:tcPr>
                <w:p w14:paraId="7F62A6D9" w14:textId="77777777" w:rsidR="009C6940" w:rsidRPr="005530FB" w:rsidRDefault="009C6940" w:rsidP="009C6940">
                  <w:pPr>
                    <w:pStyle w:val="TableBodyText"/>
                  </w:pPr>
                  <w:r w:rsidRPr="005530FB">
                    <w:t>na</w:t>
                  </w:r>
                </w:p>
              </w:tc>
              <w:tc>
                <w:tcPr>
                  <w:tcW w:w="1035" w:type="pct"/>
                  <w:tcBorders>
                    <w:top w:val="single" w:sz="6" w:space="0" w:color="BFBFBF"/>
                  </w:tcBorders>
                </w:tcPr>
                <w:p w14:paraId="06A7CC85" w14:textId="77777777" w:rsidR="009C6940" w:rsidRDefault="009C6940" w:rsidP="009C6940">
                  <w:pPr>
                    <w:pStyle w:val="TableBodyText"/>
                  </w:pPr>
                  <w:r>
                    <w:t>0.91</w:t>
                  </w:r>
                </w:p>
              </w:tc>
              <w:tc>
                <w:tcPr>
                  <w:tcW w:w="862" w:type="pct"/>
                  <w:tcBorders>
                    <w:top w:val="single" w:sz="6" w:space="0" w:color="BFBFBF"/>
                  </w:tcBorders>
                </w:tcPr>
                <w:p w14:paraId="6E5DBD31" w14:textId="77777777" w:rsidR="009C6940" w:rsidRDefault="009C6940" w:rsidP="009C6940">
                  <w:pPr>
                    <w:pStyle w:val="TableBodyText"/>
                  </w:pPr>
                  <w:r>
                    <w:t>0.96</w:t>
                  </w:r>
                </w:p>
              </w:tc>
            </w:tr>
            <w:tr w:rsidR="009C6940" w14:paraId="30422E93" w14:textId="77777777" w:rsidTr="009C6940">
              <w:tc>
                <w:tcPr>
                  <w:tcW w:w="1983" w:type="pct"/>
                  <w:gridSpan w:val="2"/>
                </w:tcPr>
                <w:p w14:paraId="51CF2149" w14:textId="77777777" w:rsidR="009C6940" w:rsidRDefault="009C6940" w:rsidP="009C6940">
                  <w:pPr>
                    <w:pStyle w:val="TableBodyText"/>
                    <w:jc w:val="left"/>
                  </w:pPr>
                  <w:r>
                    <w:t>Marginal cost per FTE</w:t>
                  </w:r>
                </w:p>
              </w:tc>
              <w:tc>
                <w:tcPr>
                  <w:tcW w:w="1120" w:type="pct"/>
                </w:tcPr>
                <w:p w14:paraId="123CC6B0" w14:textId="77777777" w:rsidR="009C6940" w:rsidRPr="00275105" w:rsidRDefault="009C6940" w:rsidP="009C6940">
                  <w:pPr>
                    <w:pStyle w:val="TableBodyText"/>
                  </w:pPr>
                  <w:r w:rsidRPr="00E80A88">
                    <w:t>$156 118</w:t>
                  </w:r>
                </w:p>
              </w:tc>
              <w:tc>
                <w:tcPr>
                  <w:tcW w:w="1035" w:type="pct"/>
                </w:tcPr>
                <w:p w14:paraId="409F0742" w14:textId="77777777" w:rsidR="009C6940" w:rsidRDefault="009C6940" w:rsidP="009C6940">
                  <w:pPr>
                    <w:pStyle w:val="TableBodyText"/>
                  </w:pPr>
                  <w:r>
                    <w:t>$167 214</w:t>
                  </w:r>
                </w:p>
              </w:tc>
              <w:tc>
                <w:tcPr>
                  <w:tcW w:w="862" w:type="pct"/>
                </w:tcPr>
                <w:p w14:paraId="2FE64718" w14:textId="77777777" w:rsidR="009C6940" w:rsidRDefault="009C6940" w:rsidP="009C6940">
                  <w:pPr>
                    <w:pStyle w:val="TableBodyText"/>
                  </w:pPr>
                  <w:r>
                    <w:t>$170 139</w:t>
                  </w:r>
                </w:p>
              </w:tc>
            </w:tr>
            <w:tr w:rsidR="009C6940" w14:paraId="34781AFF" w14:textId="77777777" w:rsidTr="009C6940">
              <w:tc>
                <w:tcPr>
                  <w:tcW w:w="1983" w:type="pct"/>
                  <w:gridSpan w:val="2"/>
                </w:tcPr>
                <w:p w14:paraId="7601827C" w14:textId="77777777" w:rsidR="009C6940" w:rsidRDefault="009C6940" w:rsidP="009C6940">
                  <w:pPr>
                    <w:pStyle w:val="TableBodyText"/>
                    <w:jc w:val="left"/>
                  </w:pPr>
                </w:p>
              </w:tc>
              <w:tc>
                <w:tcPr>
                  <w:tcW w:w="1120" w:type="pct"/>
                </w:tcPr>
                <w:p w14:paraId="32F7BB05" w14:textId="77777777" w:rsidR="009C6940" w:rsidRDefault="009C6940" w:rsidP="009C6940">
                  <w:pPr>
                    <w:pStyle w:val="TableBodyText"/>
                  </w:pPr>
                </w:p>
              </w:tc>
              <w:tc>
                <w:tcPr>
                  <w:tcW w:w="1035" w:type="pct"/>
                </w:tcPr>
                <w:p w14:paraId="64CE7EEA" w14:textId="77777777" w:rsidR="009C6940" w:rsidRDefault="009C6940" w:rsidP="009C6940">
                  <w:pPr>
                    <w:pStyle w:val="TableBodyText"/>
                  </w:pPr>
                </w:p>
              </w:tc>
              <w:tc>
                <w:tcPr>
                  <w:tcW w:w="862" w:type="pct"/>
                </w:tcPr>
                <w:p w14:paraId="60E7B784" w14:textId="77777777" w:rsidR="009C6940" w:rsidRDefault="009C6940" w:rsidP="009C6940">
                  <w:pPr>
                    <w:pStyle w:val="TableBodyText"/>
                    <w:ind w:right="28"/>
                  </w:pPr>
                </w:p>
              </w:tc>
            </w:tr>
            <w:tr w:rsidR="009C6940" w14:paraId="232DDEC7" w14:textId="77777777" w:rsidTr="009C6940">
              <w:tc>
                <w:tcPr>
                  <w:tcW w:w="1242" w:type="pct"/>
                </w:tcPr>
                <w:p w14:paraId="7EB06C85" w14:textId="77777777" w:rsidR="009C6940" w:rsidRPr="007F4951" w:rsidRDefault="009C6940" w:rsidP="009C6940">
                  <w:pPr>
                    <w:pStyle w:val="TableBodyText"/>
                    <w:ind w:right="28"/>
                    <w:jc w:val="center"/>
                  </w:pPr>
                </w:p>
              </w:tc>
              <w:tc>
                <w:tcPr>
                  <w:tcW w:w="3758" w:type="pct"/>
                  <w:gridSpan w:val="4"/>
                </w:tcPr>
                <w:p w14:paraId="514019E2" w14:textId="77777777" w:rsidR="009C6940" w:rsidRDefault="009C6940" w:rsidP="009C6940">
                  <w:pPr>
                    <w:pStyle w:val="TableBodyText"/>
                    <w:ind w:right="28"/>
                    <w:jc w:val="center"/>
                  </w:pPr>
                  <w:r w:rsidRPr="007F4951">
                    <w:t>Assuming 67% of clinical staff time spent on consumer</w:t>
                  </w:r>
                  <w:r>
                    <w:noBreakHyphen/>
                  </w:r>
                  <w:r w:rsidRPr="007F4951">
                    <w:t>related activities</w:t>
                  </w:r>
                </w:p>
              </w:tc>
            </w:tr>
            <w:tr w:rsidR="009C6940" w14:paraId="5D23DFD9" w14:textId="77777777" w:rsidTr="009C6940">
              <w:tc>
                <w:tcPr>
                  <w:tcW w:w="1983" w:type="pct"/>
                  <w:gridSpan w:val="2"/>
                </w:tcPr>
                <w:p w14:paraId="31C82C72" w14:textId="77777777" w:rsidR="009C6940" w:rsidRDefault="009C6940" w:rsidP="009C6940">
                  <w:pPr>
                    <w:pStyle w:val="TableBodyText"/>
                    <w:jc w:val="left"/>
                  </w:pPr>
                  <w:r>
                    <w:t>Number of FTEs required to fill gap</w:t>
                  </w:r>
                </w:p>
              </w:tc>
              <w:tc>
                <w:tcPr>
                  <w:tcW w:w="1120" w:type="pct"/>
                </w:tcPr>
                <w:p w14:paraId="675DD512" w14:textId="77777777" w:rsidR="009C6940" w:rsidRPr="006D2CC9" w:rsidRDefault="009C6940" w:rsidP="009C6940">
                  <w:pPr>
                    <w:pStyle w:val="TableBodyText"/>
                  </w:pPr>
                  <w:r w:rsidRPr="006D2CC9">
                    <w:t>1 063</w:t>
                  </w:r>
                </w:p>
              </w:tc>
              <w:tc>
                <w:tcPr>
                  <w:tcW w:w="1035" w:type="pct"/>
                </w:tcPr>
                <w:p w14:paraId="15C41492" w14:textId="77777777" w:rsidR="009C6940" w:rsidRPr="006D2CC9" w:rsidRDefault="009C6940" w:rsidP="009C6940">
                  <w:pPr>
                    <w:pStyle w:val="TableBodyText"/>
                  </w:pPr>
                  <w:r w:rsidRPr="006D2CC9">
                    <w:t>1 271</w:t>
                  </w:r>
                </w:p>
              </w:tc>
              <w:tc>
                <w:tcPr>
                  <w:tcW w:w="862" w:type="pct"/>
                </w:tcPr>
                <w:p w14:paraId="1E55D046" w14:textId="77777777" w:rsidR="009C6940" w:rsidRPr="006D2CC9" w:rsidRDefault="009C6940" w:rsidP="009C6940">
                  <w:pPr>
                    <w:pStyle w:val="TableBodyText"/>
                  </w:pPr>
                  <w:r w:rsidRPr="006D2CC9">
                    <w:t>1 118</w:t>
                  </w:r>
                </w:p>
              </w:tc>
            </w:tr>
            <w:tr w:rsidR="009C6940" w14:paraId="2BC9DC26" w14:textId="77777777" w:rsidTr="009C6940">
              <w:tc>
                <w:tcPr>
                  <w:tcW w:w="1983" w:type="pct"/>
                  <w:gridSpan w:val="2"/>
                </w:tcPr>
                <w:p w14:paraId="444F808B" w14:textId="77777777" w:rsidR="009C6940" w:rsidRDefault="009C6940" w:rsidP="009C6940">
                  <w:pPr>
                    <w:pStyle w:val="TableBodyText"/>
                    <w:jc w:val="left"/>
                  </w:pPr>
                  <w:r>
                    <w:t>Cost to fill gap</w:t>
                  </w:r>
                </w:p>
              </w:tc>
              <w:tc>
                <w:tcPr>
                  <w:tcW w:w="1120" w:type="pct"/>
                </w:tcPr>
                <w:p w14:paraId="39031FE0" w14:textId="77777777" w:rsidR="009C6940" w:rsidRPr="006D2CC9" w:rsidRDefault="009C6940" w:rsidP="009C6940">
                  <w:pPr>
                    <w:pStyle w:val="TableBodyText"/>
                  </w:pPr>
                  <w:r w:rsidRPr="006D2CC9">
                    <w:t>$165 million</w:t>
                  </w:r>
                </w:p>
              </w:tc>
              <w:tc>
                <w:tcPr>
                  <w:tcW w:w="1035" w:type="pct"/>
                </w:tcPr>
                <w:p w14:paraId="47EAA3E0" w14:textId="77777777" w:rsidR="009C6940" w:rsidRPr="006D2CC9" w:rsidRDefault="009C6940" w:rsidP="009C6940">
                  <w:pPr>
                    <w:pStyle w:val="TableBodyText"/>
                  </w:pPr>
                  <w:r w:rsidRPr="006D2CC9">
                    <w:t>$212 million</w:t>
                  </w:r>
                </w:p>
              </w:tc>
              <w:tc>
                <w:tcPr>
                  <w:tcW w:w="862" w:type="pct"/>
                </w:tcPr>
                <w:p w14:paraId="0F9D9781" w14:textId="77777777" w:rsidR="009C6940" w:rsidRPr="006D2CC9" w:rsidRDefault="009C6940" w:rsidP="009C6940">
                  <w:pPr>
                    <w:pStyle w:val="TableBodyText"/>
                  </w:pPr>
                  <w:r w:rsidRPr="006D2CC9">
                    <w:t>$190 million</w:t>
                  </w:r>
                </w:p>
              </w:tc>
            </w:tr>
            <w:tr w:rsidR="009C6940" w14:paraId="0E46A36C" w14:textId="77777777" w:rsidTr="009C6940">
              <w:tc>
                <w:tcPr>
                  <w:tcW w:w="1983" w:type="pct"/>
                  <w:gridSpan w:val="2"/>
                </w:tcPr>
                <w:p w14:paraId="7A0F5EB0" w14:textId="77777777" w:rsidR="009C6940" w:rsidRDefault="009C6940" w:rsidP="009C6940">
                  <w:pPr>
                    <w:pStyle w:val="TableBodyText"/>
                    <w:jc w:val="left"/>
                  </w:pPr>
                  <w:r>
                    <w:t>Change in QALYs per additional FTE</w:t>
                  </w:r>
                </w:p>
              </w:tc>
              <w:tc>
                <w:tcPr>
                  <w:tcW w:w="1120" w:type="pct"/>
                </w:tcPr>
                <w:p w14:paraId="3AB091AE" w14:textId="77777777" w:rsidR="009C6940" w:rsidRPr="005530FB" w:rsidRDefault="009C6940" w:rsidP="009C6940">
                  <w:pPr>
                    <w:pStyle w:val="TableBodyText"/>
                  </w:pPr>
                  <w:r w:rsidRPr="005530FB">
                    <w:t>na</w:t>
                  </w:r>
                </w:p>
              </w:tc>
              <w:tc>
                <w:tcPr>
                  <w:tcW w:w="1035" w:type="pct"/>
                </w:tcPr>
                <w:p w14:paraId="22D190E9" w14:textId="77777777" w:rsidR="009C6940" w:rsidRPr="006D2CC9" w:rsidRDefault="009C6940" w:rsidP="009C6940">
                  <w:pPr>
                    <w:pStyle w:val="TableBodyText"/>
                  </w:pPr>
                  <w:r w:rsidRPr="006D2CC9">
                    <w:t>2.02</w:t>
                  </w:r>
                  <w:r w:rsidRPr="006D2CC9">
                    <w:noBreakHyphen/>
                    <w:t>3.68</w:t>
                  </w:r>
                </w:p>
              </w:tc>
              <w:tc>
                <w:tcPr>
                  <w:tcW w:w="862" w:type="pct"/>
                </w:tcPr>
                <w:p w14:paraId="5CB1062C" w14:textId="77777777" w:rsidR="009C6940" w:rsidRPr="006D2CC9" w:rsidRDefault="009C6940" w:rsidP="009C6940">
                  <w:pPr>
                    <w:pStyle w:val="TableBodyText"/>
                  </w:pPr>
                  <w:r w:rsidRPr="006D2CC9">
                    <w:t>2.71</w:t>
                  </w:r>
                  <w:r w:rsidRPr="006D2CC9">
                    <w:noBreakHyphen/>
                    <w:t>4.94</w:t>
                  </w:r>
                </w:p>
              </w:tc>
            </w:tr>
            <w:tr w:rsidR="009C6940" w14:paraId="39B36ADB" w14:textId="77777777" w:rsidTr="009C6940">
              <w:tc>
                <w:tcPr>
                  <w:tcW w:w="1983" w:type="pct"/>
                  <w:gridSpan w:val="2"/>
                </w:tcPr>
                <w:p w14:paraId="46F82D1E" w14:textId="77777777" w:rsidR="009C6940" w:rsidRDefault="009C6940" w:rsidP="009C6940">
                  <w:pPr>
                    <w:pStyle w:val="TableBodyText"/>
                    <w:jc w:val="left"/>
                  </w:pPr>
                  <w:r w:rsidRPr="0053106C">
                    <w:rPr>
                      <w:lang w:val="it-IT"/>
                    </w:rPr>
                    <w:t xml:space="preserve">Change in income per </w:t>
                  </w:r>
                  <w:r>
                    <w:rPr>
                      <w:lang w:val="it-IT"/>
                    </w:rPr>
                    <w:t xml:space="preserve">additional </w:t>
                  </w:r>
                  <w:r w:rsidRPr="0053106C">
                    <w:rPr>
                      <w:lang w:val="it-IT"/>
                    </w:rPr>
                    <w:t>FTE</w:t>
                  </w:r>
                </w:p>
              </w:tc>
              <w:tc>
                <w:tcPr>
                  <w:tcW w:w="1120" w:type="pct"/>
                </w:tcPr>
                <w:p w14:paraId="39E7AB4B" w14:textId="77777777" w:rsidR="009C6940" w:rsidRPr="006D2CC9" w:rsidRDefault="009C6940" w:rsidP="009C6940">
                  <w:pPr>
                    <w:pStyle w:val="TableBodyText"/>
                  </w:pPr>
                  <w:r w:rsidRPr="006D2CC9">
                    <w:t>—</w:t>
                  </w:r>
                </w:p>
              </w:tc>
              <w:tc>
                <w:tcPr>
                  <w:tcW w:w="1035" w:type="pct"/>
                </w:tcPr>
                <w:p w14:paraId="07A33C75" w14:textId="77777777" w:rsidR="009C6940" w:rsidRPr="006D2CC9" w:rsidRDefault="009C6940" w:rsidP="009C6940">
                  <w:pPr>
                    <w:pStyle w:val="TableBodyText"/>
                  </w:pPr>
                  <w:r w:rsidRPr="006D2CC9">
                    <w:t>$157 390</w:t>
                  </w:r>
                  <w:r w:rsidRPr="006D2CC9">
                    <w:noBreakHyphen/>
                    <w:t>304 486</w:t>
                  </w:r>
                </w:p>
              </w:tc>
              <w:tc>
                <w:tcPr>
                  <w:tcW w:w="862" w:type="pct"/>
                </w:tcPr>
                <w:p w14:paraId="1C5310AD" w14:textId="77777777" w:rsidR="009C6940" w:rsidRPr="006D2CC9" w:rsidRDefault="009C6940" w:rsidP="009C6940">
                  <w:pPr>
                    <w:pStyle w:val="TableBodyText"/>
                  </w:pPr>
                  <w:r w:rsidRPr="006D2CC9">
                    <w:t>—</w:t>
                  </w:r>
                </w:p>
              </w:tc>
            </w:tr>
            <w:tr w:rsidR="009C6940" w14:paraId="5538D1AC" w14:textId="77777777" w:rsidTr="009C6940">
              <w:tc>
                <w:tcPr>
                  <w:tcW w:w="1983" w:type="pct"/>
                  <w:gridSpan w:val="2"/>
                </w:tcPr>
                <w:p w14:paraId="33171B44" w14:textId="77777777" w:rsidR="009C6940" w:rsidRPr="0053106C" w:rsidRDefault="009C6940" w:rsidP="009C6940">
                  <w:pPr>
                    <w:pStyle w:val="TableBodyText"/>
                    <w:jc w:val="left"/>
                    <w:rPr>
                      <w:lang w:val="it-IT"/>
                    </w:rPr>
                  </w:pPr>
                </w:p>
              </w:tc>
              <w:tc>
                <w:tcPr>
                  <w:tcW w:w="1120" w:type="pct"/>
                </w:tcPr>
                <w:p w14:paraId="187DD307" w14:textId="77777777" w:rsidR="009C6940" w:rsidRDefault="009C6940" w:rsidP="009C6940">
                  <w:pPr>
                    <w:pStyle w:val="TableBodyText"/>
                  </w:pPr>
                </w:p>
              </w:tc>
              <w:tc>
                <w:tcPr>
                  <w:tcW w:w="1035" w:type="pct"/>
                </w:tcPr>
                <w:p w14:paraId="2E15666C" w14:textId="77777777" w:rsidR="009C6940" w:rsidRDefault="009C6940" w:rsidP="009C6940">
                  <w:pPr>
                    <w:pStyle w:val="TableBodyText"/>
                  </w:pPr>
                </w:p>
              </w:tc>
              <w:tc>
                <w:tcPr>
                  <w:tcW w:w="862" w:type="pct"/>
                </w:tcPr>
                <w:p w14:paraId="0606FD87" w14:textId="77777777" w:rsidR="009C6940" w:rsidRDefault="009C6940" w:rsidP="009C6940">
                  <w:pPr>
                    <w:pStyle w:val="TableBodyText"/>
                    <w:ind w:right="28"/>
                  </w:pPr>
                </w:p>
              </w:tc>
            </w:tr>
            <w:tr w:rsidR="009C6940" w14:paraId="4607E975" w14:textId="77777777" w:rsidTr="009C6940">
              <w:tc>
                <w:tcPr>
                  <w:tcW w:w="1242" w:type="pct"/>
                </w:tcPr>
                <w:p w14:paraId="7FD0A512" w14:textId="77777777" w:rsidR="009C6940" w:rsidRDefault="009C6940" w:rsidP="009C6940">
                  <w:pPr>
                    <w:pStyle w:val="TableBodyText"/>
                    <w:ind w:right="28"/>
                    <w:jc w:val="center"/>
                  </w:pPr>
                </w:p>
              </w:tc>
              <w:tc>
                <w:tcPr>
                  <w:tcW w:w="3758" w:type="pct"/>
                  <w:gridSpan w:val="4"/>
                </w:tcPr>
                <w:p w14:paraId="0259B1D5" w14:textId="77777777" w:rsidR="009C6940" w:rsidRDefault="009C6940" w:rsidP="009C6940">
                  <w:pPr>
                    <w:pStyle w:val="TableBodyText"/>
                    <w:ind w:right="28"/>
                    <w:jc w:val="center"/>
                  </w:pPr>
                  <w:r>
                    <w:t>Assuming 29</w:t>
                  </w:r>
                  <w:r w:rsidRPr="007F4951">
                    <w:t>% of clinical staff time spent on consumer</w:t>
                  </w:r>
                  <w:r>
                    <w:noBreakHyphen/>
                  </w:r>
                  <w:r w:rsidRPr="007F4951">
                    <w:t>related activities</w:t>
                  </w:r>
                </w:p>
              </w:tc>
            </w:tr>
            <w:tr w:rsidR="009C6940" w14:paraId="557BF3FE" w14:textId="77777777" w:rsidTr="009C6940">
              <w:tc>
                <w:tcPr>
                  <w:tcW w:w="1983" w:type="pct"/>
                  <w:gridSpan w:val="2"/>
                </w:tcPr>
                <w:p w14:paraId="3894065F" w14:textId="77777777" w:rsidR="009C6940" w:rsidRPr="001517D7" w:rsidRDefault="009C6940" w:rsidP="009C6940">
                  <w:pPr>
                    <w:pStyle w:val="TableBodyText"/>
                    <w:jc w:val="left"/>
                    <w:rPr>
                      <w:lang w:val="en-US"/>
                    </w:rPr>
                  </w:pPr>
                  <w:r>
                    <w:t>Number of FTEs required to fill gap</w:t>
                  </w:r>
                </w:p>
              </w:tc>
              <w:tc>
                <w:tcPr>
                  <w:tcW w:w="1120" w:type="pct"/>
                </w:tcPr>
                <w:p w14:paraId="21C54554" w14:textId="77777777" w:rsidR="009C6940" w:rsidRPr="006D2CC9" w:rsidRDefault="009C6940" w:rsidP="009C6940">
                  <w:pPr>
                    <w:pStyle w:val="TableBodyText"/>
                  </w:pPr>
                  <w:r w:rsidRPr="006D2CC9">
                    <w:t>5 233</w:t>
                  </w:r>
                </w:p>
              </w:tc>
              <w:tc>
                <w:tcPr>
                  <w:tcW w:w="1035" w:type="pct"/>
                </w:tcPr>
                <w:p w14:paraId="280160B0" w14:textId="77777777" w:rsidR="009C6940" w:rsidRPr="006D2CC9" w:rsidRDefault="009C6940" w:rsidP="009C6940">
                  <w:pPr>
                    <w:pStyle w:val="TableBodyText"/>
                  </w:pPr>
                  <w:r w:rsidRPr="006D2CC9">
                    <w:t>12 453</w:t>
                  </w:r>
                </w:p>
              </w:tc>
              <w:tc>
                <w:tcPr>
                  <w:tcW w:w="862" w:type="pct"/>
                </w:tcPr>
                <w:p w14:paraId="57E70A1E" w14:textId="77777777" w:rsidR="009C6940" w:rsidRPr="006D2CC9" w:rsidRDefault="009C6940" w:rsidP="009C6940">
                  <w:pPr>
                    <w:pStyle w:val="TableBodyText"/>
                  </w:pPr>
                  <w:r w:rsidRPr="006D2CC9">
                    <w:t>3 567</w:t>
                  </w:r>
                </w:p>
              </w:tc>
            </w:tr>
            <w:tr w:rsidR="009C6940" w14:paraId="02CE1C25" w14:textId="77777777" w:rsidTr="009C6940">
              <w:tc>
                <w:tcPr>
                  <w:tcW w:w="1983" w:type="pct"/>
                  <w:gridSpan w:val="2"/>
                </w:tcPr>
                <w:p w14:paraId="0F4C41FA" w14:textId="77777777" w:rsidR="009C6940" w:rsidRDefault="009C6940" w:rsidP="009C6940">
                  <w:pPr>
                    <w:pStyle w:val="TableBodyText"/>
                    <w:jc w:val="left"/>
                  </w:pPr>
                  <w:r>
                    <w:t>Cost to fill gap</w:t>
                  </w:r>
                </w:p>
              </w:tc>
              <w:tc>
                <w:tcPr>
                  <w:tcW w:w="1120" w:type="pct"/>
                </w:tcPr>
                <w:p w14:paraId="7B8BBA1B" w14:textId="77777777" w:rsidR="009C6940" w:rsidRPr="006D2CC9" w:rsidRDefault="009C6940" w:rsidP="009C6940">
                  <w:pPr>
                    <w:pStyle w:val="TableBodyText"/>
                  </w:pPr>
                  <w:r w:rsidRPr="006D2CC9">
                    <w:t>$817 million</w:t>
                  </w:r>
                </w:p>
              </w:tc>
              <w:tc>
                <w:tcPr>
                  <w:tcW w:w="1035" w:type="pct"/>
                </w:tcPr>
                <w:p w14:paraId="3A6F970B" w14:textId="77777777" w:rsidR="009C6940" w:rsidRPr="006D2CC9" w:rsidRDefault="009C6940" w:rsidP="009C6940">
                  <w:pPr>
                    <w:pStyle w:val="TableBodyText"/>
                  </w:pPr>
                  <w:r w:rsidRPr="006D2CC9">
                    <w:t>$2.082 billion</w:t>
                  </w:r>
                </w:p>
              </w:tc>
              <w:tc>
                <w:tcPr>
                  <w:tcW w:w="862" w:type="pct"/>
                </w:tcPr>
                <w:p w14:paraId="660256F0" w14:textId="77777777" w:rsidR="009C6940" w:rsidRPr="006D2CC9" w:rsidRDefault="009C6940" w:rsidP="009C6940">
                  <w:pPr>
                    <w:pStyle w:val="TableBodyText"/>
                  </w:pPr>
                  <w:r w:rsidRPr="006D2CC9">
                    <w:t>$607 million</w:t>
                  </w:r>
                </w:p>
              </w:tc>
            </w:tr>
            <w:tr w:rsidR="009C6940" w14:paraId="0343BB8D" w14:textId="77777777" w:rsidTr="009C6940">
              <w:tc>
                <w:tcPr>
                  <w:tcW w:w="1983" w:type="pct"/>
                  <w:gridSpan w:val="2"/>
                </w:tcPr>
                <w:p w14:paraId="381A5A95" w14:textId="77777777" w:rsidR="009C6940" w:rsidRPr="001517D7" w:rsidRDefault="009C6940" w:rsidP="009C6940">
                  <w:pPr>
                    <w:pStyle w:val="TableBodyText"/>
                    <w:jc w:val="left"/>
                    <w:rPr>
                      <w:lang w:val="en-US"/>
                    </w:rPr>
                  </w:pPr>
                  <w:r>
                    <w:t>Change in QALYs per additional FTE</w:t>
                  </w:r>
                </w:p>
              </w:tc>
              <w:tc>
                <w:tcPr>
                  <w:tcW w:w="1120" w:type="pct"/>
                </w:tcPr>
                <w:p w14:paraId="6611E73C" w14:textId="77777777" w:rsidR="009C6940" w:rsidRPr="005530FB" w:rsidRDefault="009C6940" w:rsidP="009C6940">
                  <w:pPr>
                    <w:pStyle w:val="TableBodyText"/>
                  </w:pPr>
                  <w:r w:rsidRPr="005530FB">
                    <w:t>na</w:t>
                  </w:r>
                </w:p>
              </w:tc>
              <w:tc>
                <w:tcPr>
                  <w:tcW w:w="1035" w:type="pct"/>
                </w:tcPr>
                <w:p w14:paraId="57E0E939" w14:textId="77777777" w:rsidR="009C6940" w:rsidRPr="006D2CC9" w:rsidRDefault="009C6940" w:rsidP="009C6940">
                  <w:pPr>
                    <w:pStyle w:val="TableBodyText"/>
                  </w:pPr>
                  <w:r w:rsidRPr="006D2CC9">
                    <w:t>0.87</w:t>
                  </w:r>
                  <w:r w:rsidRPr="006D2CC9">
                    <w:noBreakHyphen/>
                    <w:t>1.59</w:t>
                  </w:r>
                </w:p>
              </w:tc>
              <w:tc>
                <w:tcPr>
                  <w:tcW w:w="862" w:type="pct"/>
                </w:tcPr>
                <w:p w14:paraId="6A601648" w14:textId="77777777" w:rsidR="009C6940" w:rsidRPr="006D2CC9" w:rsidRDefault="009C6940" w:rsidP="009C6940">
                  <w:pPr>
                    <w:pStyle w:val="TableBodyText"/>
                  </w:pPr>
                  <w:r w:rsidRPr="006D2CC9">
                    <w:t>1.17</w:t>
                  </w:r>
                  <w:r w:rsidRPr="006D2CC9">
                    <w:noBreakHyphen/>
                    <w:t>2.14</w:t>
                  </w:r>
                </w:p>
              </w:tc>
            </w:tr>
            <w:tr w:rsidR="009C6940" w14:paraId="16EA4D9D" w14:textId="77777777" w:rsidTr="009C6940">
              <w:tc>
                <w:tcPr>
                  <w:tcW w:w="1983" w:type="pct"/>
                  <w:gridSpan w:val="2"/>
                  <w:tcBorders>
                    <w:bottom w:val="single" w:sz="6" w:space="0" w:color="BFBFBF"/>
                  </w:tcBorders>
                  <w:shd w:val="clear" w:color="auto" w:fill="auto"/>
                </w:tcPr>
                <w:p w14:paraId="587EB935" w14:textId="77777777" w:rsidR="009C6940" w:rsidRDefault="009C6940" w:rsidP="009C6940">
                  <w:pPr>
                    <w:pStyle w:val="TableBodyText"/>
                    <w:jc w:val="left"/>
                  </w:pPr>
                  <w:r w:rsidRPr="001517D7">
                    <w:rPr>
                      <w:lang w:val="en-US"/>
                    </w:rPr>
                    <w:t>Change in income per additional FTE</w:t>
                  </w:r>
                </w:p>
              </w:tc>
              <w:tc>
                <w:tcPr>
                  <w:tcW w:w="1120" w:type="pct"/>
                  <w:tcBorders>
                    <w:bottom w:val="single" w:sz="6" w:space="0" w:color="BFBFBF"/>
                  </w:tcBorders>
                </w:tcPr>
                <w:p w14:paraId="10940DCF" w14:textId="77777777" w:rsidR="009C6940" w:rsidRPr="006D2CC9" w:rsidRDefault="009C6940" w:rsidP="009C6940">
                  <w:pPr>
                    <w:pStyle w:val="TableBodyText"/>
                  </w:pPr>
                  <w:r w:rsidRPr="006D2CC9">
                    <w:t>—</w:t>
                  </w:r>
                </w:p>
              </w:tc>
              <w:tc>
                <w:tcPr>
                  <w:tcW w:w="1035" w:type="pct"/>
                  <w:tcBorders>
                    <w:bottom w:val="single" w:sz="6" w:space="0" w:color="BFBFBF"/>
                  </w:tcBorders>
                  <w:shd w:val="clear" w:color="auto" w:fill="auto"/>
                </w:tcPr>
                <w:p w14:paraId="1AE289BB" w14:textId="77777777" w:rsidR="009C6940" w:rsidRPr="006D2CC9" w:rsidRDefault="009C6940" w:rsidP="009C6940">
                  <w:pPr>
                    <w:pStyle w:val="TableBodyText"/>
                  </w:pPr>
                  <w:r w:rsidRPr="006D2CC9">
                    <w:t>$67 617</w:t>
                  </w:r>
                  <w:r w:rsidRPr="006D2CC9">
                    <w:noBreakHyphen/>
                    <w:t>131 725</w:t>
                  </w:r>
                </w:p>
              </w:tc>
              <w:tc>
                <w:tcPr>
                  <w:tcW w:w="862" w:type="pct"/>
                  <w:tcBorders>
                    <w:bottom w:val="single" w:sz="6" w:space="0" w:color="BFBFBF"/>
                  </w:tcBorders>
                  <w:shd w:val="clear" w:color="auto" w:fill="auto"/>
                </w:tcPr>
                <w:p w14:paraId="7FCA8201" w14:textId="77777777" w:rsidR="009C6940" w:rsidRPr="006D2CC9" w:rsidRDefault="009C6940" w:rsidP="009C6940">
                  <w:pPr>
                    <w:pStyle w:val="TableBodyText"/>
                  </w:pPr>
                  <w:r w:rsidRPr="006D2CC9">
                    <w:t>—</w:t>
                  </w:r>
                </w:p>
              </w:tc>
            </w:tr>
          </w:tbl>
          <w:p w14:paraId="35B02D38" w14:textId="77777777" w:rsidR="009C6940" w:rsidRDefault="009C6940" w:rsidP="009C6940">
            <w:pPr>
              <w:pStyle w:val="Box"/>
              <w:spacing w:before="240"/>
            </w:pPr>
            <w:r>
              <w:t>Assuming that 67% of clinical staff time is spent on consumer</w:t>
            </w:r>
            <w:r>
              <w:noBreakHyphen/>
              <w:t>related activity, i</w:t>
            </w:r>
            <w:r w:rsidRPr="00710CD5">
              <w:t>f the FTE gap were to be completely filled</w:t>
            </w:r>
            <w:r>
              <w:t xml:space="preserve"> for adults and older persons services</w:t>
            </w:r>
            <w:r w:rsidRPr="00710CD5">
              <w:t xml:space="preserve">, the costs are expected to be </w:t>
            </w:r>
            <w:r>
              <w:t>about</w:t>
            </w:r>
            <w:r w:rsidRPr="00710CD5">
              <w:t xml:space="preserve"> $</w:t>
            </w:r>
            <w:r>
              <w:t>403</w:t>
            </w:r>
            <w:r w:rsidRPr="00710CD5">
              <w:t> million. The benefits are estimated to be between $</w:t>
            </w:r>
            <w:r>
              <w:t>200</w:t>
            </w:r>
            <w:r w:rsidRPr="00710CD5">
              <w:noBreakHyphen/>
            </w:r>
            <w:r>
              <w:t>387</w:t>
            </w:r>
            <w:r w:rsidRPr="00710CD5">
              <w:t xml:space="preserve"> million in additional income and </w:t>
            </w:r>
            <w:r>
              <w:t>5598</w:t>
            </w:r>
            <w:r w:rsidRPr="00710CD5">
              <w:noBreakHyphen/>
            </w:r>
            <w:r>
              <w:t>10 193</w:t>
            </w:r>
            <w:r w:rsidRPr="00710CD5">
              <w:t> QALYs.</w:t>
            </w:r>
          </w:p>
          <w:p w14:paraId="42C38520" w14:textId="77777777" w:rsidR="009C6940" w:rsidRDefault="009C6940" w:rsidP="009C6940">
            <w:pPr>
              <w:pStyle w:val="Box"/>
            </w:pPr>
            <w:r>
              <w:t>Additionally, we estimate that increasing the percentage of time that currently</w:t>
            </w:r>
            <w:r>
              <w:noBreakHyphen/>
              <w:t>employed clinical staff spend on consumer</w:t>
            </w:r>
            <w:r>
              <w:noBreakHyphen/>
              <w:t xml:space="preserve">related activities from 29% to 67% would generate </w:t>
            </w:r>
            <w:r w:rsidRPr="00D370D8">
              <w:rPr>
                <w:i/>
              </w:rPr>
              <w:t>each year</w:t>
            </w:r>
            <w:r>
              <w:t xml:space="preserve"> an additional 9500 to 17 300 QALYs (not including benefits to children and adolescents), and an additional $650 million to $1.25 billion in income.</w:t>
            </w:r>
          </w:p>
        </w:tc>
      </w:tr>
      <w:tr w:rsidR="009C6940" w14:paraId="3CA516B0" w14:textId="77777777" w:rsidTr="009C6940">
        <w:tc>
          <w:tcPr>
            <w:tcW w:w="5000" w:type="pct"/>
            <w:tcBorders>
              <w:top w:val="nil"/>
              <w:left w:val="nil"/>
              <w:bottom w:val="nil"/>
              <w:right w:val="nil"/>
            </w:tcBorders>
            <w:shd w:val="clear" w:color="auto" w:fill="F2F2F2"/>
          </w:tcPr>
          <w:p w14:paraId="0ECB4421" w14:textId="77777777" w:rsidR="009C6940" w:rsidRDefault="009C6940" w:rsidP="009C6940">
            <w:pPr>
              <w:pStyle w:val="BoxHeading1"/>
              <w:spacing w:before="120"/>
            </w:pPr>
            <w:r>
              <w:t>Additional considerations</w:t>
            </w:r>
          </w:p>
          <w:p w14:paraId="270166A7" w14:textId="77777777" w:rsidR="009C6940" w:rsidRDefault="009C6940" w:rsidP="009C6940">
            <w:pPr>
              <w:pStyle w:val="BoxListBullet"/>
              <w:numPr>
                <w:ilvl w:val="0"/>
                <w:numId w:val="3"/>
              </w:numPr>
            </w:pPr>
            <w:r>
              <w:t>The benefits here are estimated assuming that the effects from treatment only persist for a single year. This can be seen as a conservative approach and may underestimate the true benefits from treatment, if the benefits were ongoing.</w:t>
            </w:r>
          </w:p>
          <w:p w14:paraId="7BCBE523" w14:textId="77777777" w:rsidR="009C6940" w:rsidRDefault="009C6940" w:rsidP="009C6940">
            <w:pPr>
              <w:pStyle w:val="BoxListBullet"/>
              <w:numPr>
                <w:ilvl w:val="0"/>
                <w:numId w:val="3"/>
              </w:numPr>
            </w:pPr>
            <w:r>
              <w:t xml:space="preserve">It was not possible to estimate possible benefits to children and adolescents from increased access to community ambulatory care. </w:t>
            </w:r>
          </w:p>
          <w:p w14:paraId="58227310" w14:textId="77777777" w:rsidR="009C6940" w:rsidRPr="00223977" w:rsidRDefault="009C6940" w:rsidP="009C6940">
            <w:pPr>
              <w:pStyle w:val="BoxListBullet"/>
              <w:numPr>
                <w:ilvl w:val="0"/>
                <w:numId w:val="3"/>
              </w:numPr>
            </w:pPr>
            <w:r>
              <w:t>The estimates of the workforce gap is based on the service mix set out in the NMHSPF. As the mental health system continues to evolve over time, the service mix will change to reflect the services that are being provided. In other words, what is perceived as optimal today is not likely to be optimal in the future.</w:t>
            </w:r>
          </w:p>
        </w:tc>
      </w:tr>
      <w:tr w:rsidR="009C6940" w14:paraId="31C59599" w14:textId="77777777" w:rsidTr="009C6940">
        <w:tc>
          <w:tcPr>
            <w:tcW w:w="5000" w:type="pct"/>
            <w:tcBorders>
              <w:top w:val="nil"/>
              <w:left w:val="nil"/>
              <w:bottom w:val="nil"/>
              <w:right w:val="nil"/>
            </w:tcBorders>
            <w:shd w:val="clear" w:color="auto" w:fill="F2F2F2"/>
          </w:tcPr>
          <w:p w14:paraId="24642AAB"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638FF700" w14:textId="77777777" w:rsidTr="009C6940">
        <w:tc>
          <w:tcPr>
            <w:tcW w:w="5000" w:type="pct"/>
            <w:tcBorders>
              <w:top w:val="nil"/>
              <w:left w:val="nil"/>
              <w:bottom w:val="single" w:sz="6" w:space="0" w:color="78A22F"/>
              <w:right w:val="nil"/>
            </w:tcBorders>
            <w:shd w:val="clear" w:color="auto" w:fill="F2F2F2"/>
          </w:tcPr>
          <w:p w14:paraId="0408E042" w14:textId="77777777" w:rsidR="009C6940" w:rsidRDefault="009C6940" w:rsidP="009C6940">
            <w:pPr>
              <w:pStyle w:val="Box"/>
              <w:spacing w:before="0" w:line="120" w:lineRule="exact"/>
            </w:pPr>
          </w:p>
        </w:tc>
      </w:tr>
      <w:tr w:rsidR="009C6940" w:rsidRPr="000863A5" w14:paraId="1973FF9C" w14:textId="77777777" w:rsidTr="009C6940">
        <w:tc>
          <w:tcPr>
            <w:tcW w:w="5000" w:type="pct"/>
            <w:tcBorders>
              <w:top w:val="single" w:sz="6" w:space="0" w:color="78A22F"/>
              <w:left w:val="nil"/>
              <w:bottom w:val="nil"/>
              <w:right w:val="nil"/>
            </w:tcBorders>
          </w:tcPr>
          <w:p w14:paraId="2503AF97" w14:textId="77777777" w:rsidR="009C6940" w:rsidRPr="00626D32" w:rsidRDefault="009C6940" w:rsidP="009C6940">
            <w:pPr>
              <w:pStyle w:val="BoxSpaceBelow"/>
            </w:pPr>
          </w:p>
        </w:tc>
      </w:tr>
    </w:tbl>
    <w:p w14:paraId="1221CFA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5CFA9F5" w14:textId="77777777" w:rsidTr="009C6940">
        <w:trPr>
          <w:tblHeader/>
        </w:trPr>
        <w:tc>
          <w:tcPr>
            <w:tcW w:w="5000" w:type="pct"/>
            <w:tcBorders>
              <w:top w:val="single" w:sz="6" w:space="0" w:color="78A22F"/>
              <w:left w:val="nil"/>
              <w:bottom w:val="nil"/>
              <w:right w:val="nil"/>
            </w:tcBorders>
            <w:shd w:val="clear" w:color="auto" w:fill="F2F2F2"/>
          </w:tcPr>
          <w:p w14:paraId="3627F430" w14:textId="77777777" w:rsidR="009C6940" w:rsidRDefault="009C6940" w:rsidP="009C6940">
            <w:pPr>
              <w:pStyle w:val="BoxHeading1"/>
              <w:tabs>
                <w:tab w:val="left" w:pos="1109"/>
              </w:tabs>
            </w:pPr>
            <w:r>
              <w:rPr>
                <w:sz w:val="24"/>
                <w:szCs w:val="24"/>
              </w:rPr>
              <w:t>Action</w:t>
            </w:r>
            <w:r>
              <w:rPr>
                <w:sz w:val="24"/>
                <w:szCs w:val="24"/>
              </w:rPr>
              <w:tab/>
              <w:t>State and Territory c</w:t>
            </w:r>
            <w:r w:rsidRPr="006A2259">
              <w:rPr>
                <w:sz w:val="24"/>
                <w:szCs w:val="24"/>
              </w:rPr>
              <w:t>ommunity ambulatory services</w:t>
            </w:r>
            <w:r>
              <w:rPr>
                <w:sz w:val="24"/>
                <w:szCs w:val="24"/>
              </w:rPr>
              <w:t xml:space="preserve"> </w:t>
            </w:r>
            <w:r w:rsidRPr="00B84E9F">
              <w:rPr>
                <w:rStyle w:val="Continuedintitle"/>
              </w:rPr>
              <w:t>(continued)</w:t>
            </w:r>
          </w:p>
        </w:tc>
      </w:tr>
      <w:tr w:rsidR="009C6940" w14:paraId="7C31FD47" w14:textId="77777777" w:rsidTr="009C6940">
        <w:tc>
          <w:tcPr>
            <w:tcW w:w="5000" w:type="pct"/>
            <w:tcBorders>
              <w:top w:val="nil"/>
              <w:left w:val="nil"/>
              <w:bottom w:val="nil"/>
              <w:right w:val="nil"/>
            </w:tcBorders>
            <w:shd w:val="clear" w:color="auto" w:fill="F2F2F2"/>
          </w:tcPr>
          <w:p w14:paraId="7AB7F1A5" w14:textId="77777777" w:rsidR="009C6940" w:rsidRDefault="009C6940" w:rsidP="009C6940">
            <w:pPr>
              <w:pStyle w:val="BoxListBullet"/>
              <w:numPr>
                <w:ilvl w:val="0"/>
                <w:numId w:val="3"/>
              </w:numPr>
            </w:pPr>
            <w:r>
              <w:t>There are many types of community ambulatory services, but data from the AMHOCN which was used to calculate the effect sizes only contain a broad grouping for service settings described as ambulatory, which include ‘</w:t>
            </w:r>
            <w:r w:rsidRPr="0062738F">
              <w:t>all other types of care provided to consumers of a public sector specialised community</w:t>
            </w:r>
            <w:r>
              <w:noBreakHyphen/>
            </w:r>
            <w:r w:rsidRPr="0062738F">
              <w:t>based ambulatory mental health service</w:t>
            </w:r>
            <w:r>
              <w:t>’</w:t>
            </w:r>
            <w:r w:rsidRPr="0062738F">
              <w:t>.</w:t>
            </w:r>
            <w:r>
              <w:t xml:space="preserve"> This can hide the heterogeneity between the effectiveness of different types of community ambulatory services, as the analysis only focuses on the average effect across all community ambulatory services. For example, it could be the case that a particular type of community ambulatory service is more cost effective.</w:t>
            </w:r>
          </w:p>
          <w:p w14:paraId="7DBE3861" w14:textId="77777777" w:rsidR="009C6940" w:rsidRDefault="009C6940" w:rsidP="009C6940">
            <w:pPr>
              <w:pStyle w:val="BoxListBullet"/>
              <w:numPr>
                <w:ilvl w:val="0"/>
                <w:numId w:val="3"/>
              </w:numPr>
            </w:pPr>
            <w:r>
              <w:t>The calculation of benefits captures only direct benefits to consumers, and does not capture the broader or longer</w:t>
            </w:r>
            <w:r>
              <w:noBreakHyphen/>
              <w:t>term benefits that may arise from community ambulatory staff spending time on non</w:t>
            </w:r>
            <w:r>
              <w:noBreakHyphen/>
              <w:t>consumer</w:t>
            </w:r>
            <w:r>
              <w:noBreakHyphen/>
              <w:t>related activities, such as research or training.</w:t>
            </w:r>
          </w:p>
          <w:p w14:paraId="0585E1BF" w14:textId="77777777" w:rsidR="009C6940" w:rsidRDefault="009C6940" w:rsidP="009C6940">
            <w:pPr>
              <w:pStyle w:val="BoxListBullet"/>
              <w:numPr>
                <w:ilvl w:val="0"/>
                <w:numId w:val="3"/>
              </w:numPr>
            </w:pPr>
            <w:r>
              <w:t>In the AMHOCN, a ‘discharge’ collection occasion does not necessarily mean the person has entered recovery, rather it is an indicator that the episode of care has ended. For example, an ambulatory episode of care may end when a person is admitted to a hospital. However, based on the change in psychological distress scores between admission and discharge, it appears likely that most people who have been discharged have recovered.</w:t>
            </w:r>
          </w:p>
        </w:tc>
      </w:tr>
      <w:tr w:rsidR="009C6940" w14:paraId="218595A9" w14:textId="77777777" w:rsidTr="009C6940">
        <w:tc>
          <w:tcPr>
            <w:tcW w:w="5000" w:type="pct"/>
            <w:tcBorders>
              <w:top w:val="nil"/>
              <w:left w:val="nil"/>
              <w:bottom w:val="single" w:sz="6" w:space="0" w:color="78A22F"/>
              <w:right w:val="nil"/>
            </w:tcBorders>
            <w:shd w:val="clear" w:color="auto" w:fill="F2F2F2"/>
          </w:tcPr>
          <w:p w14:paraId="24CE8308" w14:textId="77777777" w:rsidR="009C6940" w:rsidRDefault="009C6940" w:rsidP="009C6940">
            <w:pPr>
              <w:pStyle w:val="Box"/>
              <w:spacing w:before="0" w:line="120" w:lineRule="exact"/>
            </w:pPr>
          </w:p>
        </w:tc>
      </w:tr>
      <w:tr w:rsidR="009C6940" w:rsidRPr="000863A5" w14:paraId="3C715D65" w14:textId="77777777" w:rsidTr="009C6940">
        <w:tc>
          <w:tcPr>
            <w:tcW w:w="5000" w:type="pct"/>
            <w:tcBorders>
              <w:top w:val="single" w:sz="6" w:space="0" w:color="78A22F"/>
              <w:left w:val="nil"/>
              <w:bottom w:val="nil"/>
              <w:right w:val="nil"/>
            </w:tcBorders>
          </w:tcPr>
          <w:p w14:paraId="1CCB4060" w14:textId="77777777" w:rsidR="009C6940" w:rsidRPr="00626D32" w:rsidRDefault="009C6940" w:rsidP="009C6940">
            <w:pPr>
              <w:pStyle w:val="BoxSpaceBelow"/>
            </w:pPr>
          </w:p>
        </w:tc>
      </w:tr>
    </w:tbl>
    <w:p w14:paraId="6418C035"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9E918DC" w14:textId="77777777" w:rsidTr="009C6940">
        <w:trPr>
          <w:tblHeader/>
        </w:trPr>
        <w:tc>
          <w:tcPr>
            <w:tcW w:w="5000" w:type="pct"/>
            <w:tcBorders>
              <w:top w:val="single" w:sz="6" w:space="0" w:color="78A22F"/>
              <w:left w:val="nil"/>
              <w:bottom w:val="nil"/>
              <w:right w:val="nil"/>
            </w:tcBorders>
            <w:shd w:val="clear" w:color="auto" w:fill="F2F2F2"/>
          </w:tcPr>
          <w:p w14:paraId="2492AD43" w14:textId="77777777" w:rsidR="009C6940" w:rsidRPr="005D2989" w:rsidRDefault="009C6940" w:rsidP="009C6940">
            <w:pPr>
              <w:pStyle w:val="BoxHeading1"/>
              <w:tabs>
                <w:tab w:val="left" w:pos="1127"/>
              </w:tabs>
              <w:rPr>
                <w:sz w:val="24"/>
                <w:szCs w:val="24"/>
              </w:rPr>
            </w:pPr>
            <w:r>
              <w:rPr>
                <w:sz w:val="24"/>
                <w:szCs w:val="24"/>
              </w:rPr>
              <w:t>Action</w:t>
            </w:r>
            <w:r>
              <w:rPr>
                <w:sz w:val="24"/>
                <w:szCs w:val="24"/>
              </w:rPr>
              <w:tab/>
            </w:r>
            <w:r w:rsidRPr="005D2989">
              <w:rPr>
                <w:sz w:val="24"/>
                <w:szCs w:val="24"/>
              </w:rPr>
              <w:t>Bed</w:t>
            </w:r>
            <w:r>
              <w:rPr>
                <w:sz w:val="24"/>
                <w:szCs w:val="24"/>
              </w:rPr>
              <w:noBreakHyphen/>
            </w:r>
            <w:r w:rsidRPr="005D2989">
              <w:rPr>
                <w:sz w:val="24"/>
                <w:szCs w:val="24"/>
              </w:rPr>
              <w:t>based services</w:t>
            </w:r>
          </w:p>
          <w:p w14:paraId="2A0DAE6B" w14:textId="77777777" w:rsidR="009C6940" w:rsidRPr="000C6859" w:rsidRDefault="009C6940" w:rsidP="009C6940">
            <w:pPr>
              <w:pStyle w:val="Box"/>
            </w:pPr>
            <w:r w:rsidRPr="006348EB">
              <w:t xml:space="preserve">Across Australia, </w:t>
            </w:r>
            <w:r>
              <w:t>non</w:t>
            </w:r>
            <w:r>
              <w:noBreakHyphen/>
              <w:t>acute bed</w:t>
            </w:r>
            <w:r>
              <w:noBreakHyphen/>
              <w:t>based</w:t>
            </w:r>
            <w:r w:rsidRPr="006348EB">
              <w:t xml:space="preserve"> service</w:t>
            </w:r>
            <w:r>
              <w:t>s fall short of population needs predicted by service planning tools</w:t>
            </w:r>
            <w:r w:rsidRPr="006348EB">
              <w:t>.</w:t>
            </w:r>
            <w:r>
              <w:t xml:space="preserve"> The final report recommends that Australian governments </w:t>
            </w:r>
            <w:r w:rsidRPr="006348EB">
              <w:t>should increase funding for these services, in line with agreed commitments to rectify service shortfalls over time</w:t>
            </w:r>
            <w:r>
              <w:t xml:space="preserve">. </w:t>
            </w:r>
          </w:p>
        </w:tc>
      </w:tr>
      <w:tr w:rsidR="009C6940" w14:paraId="07511351" w14:textId="77777777" w:rsidTr="009C6940">
        <w:trPr>
          <w:trHeight w:val="1284"/>
        </w:trPr>
        <w:tc>
          <w:tcPr>
            <w:tcW w:w="5000" w:type="pct"/>
            <w:tcBorders>
              <w:top w:val="nil"/>
              <w:left w:val="nil"/>
              <w:bottom w:val="nil"/>
              <w:right w:val="nil"/>
            </w:tcBorders>
            <w:shd w:val="clear" w:color="auto" w:fill="F2F2F2"/>
          </w:tcPr>
          <w:p w14:paraId="2E6B8F88" w14:textId="77777777" w:rsidR="009C6940" w:rsidRDefault="009C6940" w:rsidP="009C6940">
            <w:pPr>
              <w:pStyle w:val="BoxHeading1"/>
              <w:spacing w:before="120"/>
            </w:pPr>
            <w:r>
              <w:t>Implementation</w:t>
            </w:r>
          </w:p>
          <w:p w14:paraId="6F6E258D" w14:textId="77777777" w:rsidR="009C6940" w:rsidRPr="008C3EBC" w:rsidRDefault="009C6940" w:rsidP="009C6940">
            <w:pPr>
              <w:pStyle w:val="BoxListBullet"/>
              <w:numPr>
                <w:ilvl w:val="0"/>
                <w:numId w:val="3"/>
              </w:numPr>
              <w:rPr>
                <w:color w:val="000000" w:themeColor="text1"/>
              </w:rPr>
            </w:pPr>
            <w:r w:rsidRPr="008C3EBC">
              <w:rPr>
                <w:color w:val="000000" w:themeColor="text1"/>
              </w:rPr>
              <w:t>There are two ways in which supplying an additional non</w:t>
            </w:r>
            <w:r>
              <w:rPr>
                <w:color w:val="000000" w:themeColor="text1"/>
              </w:rPr>
              <w:noBreakHyphen/>
            </w:r>
            <w:r w:rsidRPr="008C3EBC">
              <w:rPr>
                <w:color w:val="000000" w:themeColor="text1"/>
              </w:rPr>
              <w:t xml:space="preserve">acute bed can be assumed to improve outcomes. </w:t>
            </w:r>
            <w:r>
              <w:rPr>
                <w:color w:val="000000" w:themeColor="text1"/>
              </w:rPr>
              <w:t>An additional non</w:t>
            </w:r>
            <w:r>
              <w:rPr>
                <w:color w:val="000000" w:themeColor="text1"/>
              </w:rPr>
              <w:noBreakHyphen/>
              <w:t>acute bed</w:t>
            </w:r>
            <w:r w:rsidRPr="008C3EBC">
              <w:rPr>
                <w:color w:val="000000" w:themeColor="text1"/>
              </w:rPr>
              <w:t xml:space="preserve"> can</w:t>
            </w:r>
            <w:r>
              <w:rPr>
                <w:color w:val="000000" w:themeColor="text1"/>
              </w:rPr>
              <w:t xml:space="preserve"> either</w:t>
            </w:r>
            <w:r w:rsidRPr="008C3EBC">
              <w:rPr>
                <w:color w:val="000000" w:themeColor="text1"/>
              </w:rPr>
              <w:t>:</w:t>
            </w:r>
          </w:p>
          <w:p w14:paraId="6FA3878F" w14:textId="77777777" w:rsidR="009C6940" w:rsidRPr="008C3EBC" w:rsidRDefault="009C6940" w:rsidP="009C6940">
            <w:pPr>
              <w:pStyle w:val="BoxListBullet2"/>
              <w:ind w:left="567" w:hanging="283"/>
              <w:rPr>
                <w:color w:val="000000" w:themeColor="text1"/>
              </w:rPr>
            </w:pPr>
            <w:r w:rsidRPr="008C3EBC">
              <w:rPr>
                <w:color w:val="000000" w:themeColor="text1"/>
              </w:rPr>
              <w:t>free up an acute hospital bed in cases where people in hospital beds are experiencing delayed discharge</w:t>
            </w:r>
            <w:r>
              <w:rPr>
                <w:color w:val="000000" w:themeColor="text1"/>
              </w:rPr>
              <w:t>, allowing more acute patients to be treated</w:t>
            </w:r>
          </w:p>
          <w:p w14:paraId="6F94642B" w14:textId="77777777" w:rsidR="009C6940" w:rsidRPr="008C3EBC" w:rsidRDefault="009C6940" w:rsidP="009C6940">
            <w:pPr>
              <w:pStyle w:val="BoxListBullet2"/>
              <w:ind w:left="567" w:hanging="283"/>
              <w:rPr>
                <w:color w:val="000000" w:themeColor="text1"/>
              </w:rPr>
            </w:pPr>
            <w:r w:rsidRPr="008C3EBC">
              <w:rPr>
                <w:color w:val="000000" w:themeColor="text1"/>
              </w:rPr>
              <w:t>be used to treat additional non</w:t>
            </w:r>
            <w:r>
              <w:rPr>
                <w:color w:val="000000" w:themeColor="text1"/>
              </w:rPr>
              <w:noBreakHyphen/>
            </w:r>
            <w:r w:rsidRPr="008C3EBC">
              <w:rPr>
                <w:color w:val="000000" w:themeColor="text1"/>
              </w:rPr>
              <w:t>acute patients who were not being treated previously</w:t>
            </w:r>
            <w:r>
              <w:rPr>
                <w:color w:val="000000" w:themeColor="text1"/>
              </w:rPr>
              <w:t>.</w:t>
            </w:r>
          </w:p>
          <w:p w14:paraId="2AD3C321" w14:textId="77777777" w:rsidR="009C6940" w:rsidRPr="008C3EBC" w:rsidRDefault="009C6940" w:rsidP="009C6940">
            <w:pPr>
              <w:pStyle w:val="BoxListBullet"/>
            </w:pPr>
            <w:r>
              <w:t>It is assumed that people who are experiencing delayed discharge will have the same outcomes when treated in a non</w:t>
            </w:r>
            <w:r>
              <w:noBreakHyphen/>
              <w:t>acute bed.</w:t>
            </w:r>
          </w:p>
          <w:p w14:paraId="18F1860F" w14:textId="77777777" w:rsidR="009C6940" w:rsidRPr="00E06D9F" w:rsidRDefault="009C6940" w:rsidP="009C6940">
            <w:pPr>
              <w:pStyle w:val="BoxListBullet"/>
              <w:numPr>
                <w:ilvl w:val="0"/>
                <w:numId w:val="3"/>
              </w:numPr>
            </w:pPr>
            <w:r w:rsidRPr="008C3EBC">
              <w:rPr>
                <w:color w:val="000000" w:themeColor="text1"/>
              </w:rPr>
              <w:t xml:space="preserve">Occupancy rates and average length of stay are based on inputs from the </w:t>
            </w:r>
            <w:r>
              <w:rPr>
                <w:color w:val="000000" w:themeColor="text1"/>
              </w:rPr>
              <w:t>University of Queensland </w:t>
            </w:r>
            <w:r w:rsidRPr="00D80781">
              <w:rPr>
                <w:rFonts w:cs="Arial"/>
              </w:rPr>
              <w:t>(2016)</w:t>
            </w:r>
            <w:r w:rsidRPr="008C3EBC">
              <w:rPr>
                <w:color w:val="000000" w:themeColor="text1"/>
              </w:rPr>
              <w:t xml:space="preserve"> and AIHW</w:t>
            </w:r>
            <w:r>
              <w:rPr>
                <w:color w:val="000000" w:themeColor="text1"/>
              </w:rPr>
              <w:t> </w:t>
            </w:r>
            <w:r w:rsidRPr="00D80781">
              <w:rPr>
                <w:rFonts w:cs="Arial"/>
              </w:rPr>
              <w:t>(2020b)</w:t>
            </w:r>
            <w:r w:rsidRPr="008C3EBC">
              <w:rPr>
                <w:color w:val="000000" w:themeColor="text1"/>
              </w:rPr>
              <w:t>, which together provide an indication of the number of additional patients who could be treated per additional bed provided.</w:t>
            </w:r>
          </w:p>
          <w:p w14:paraId="04B0A25A" w14:textId="77777777" w:rsidR="009C6940" w:rsidRPr="00E06D9F" w:rsidRDefault="009C6940" w:rsidP="009C6940">
            <w:pPr>
              <w:pStyle w:val="BoxListBullet"/>
              <w:numPr>
                <w:ilvl w:val="0"/>
                <w:numId w:val="3"/>
              </w:numPr>
              <w:rPr>
                <w:color w:val="000000" w:themeColor="text1"/>
              </w:rPr>
            </w:pPr>
            <w:r w:rsidRPr="008C3EBC">
              <w:rPr>
                <w:color w:val="000000" w:themeColor="text1"/>
              </w:rPr>
              <w:t xml:space="preserve">Using the NMHSPF, a </w:t>
            </w:r>
            <w:r>
              <w:rPr>
                <w:color w:val="000000" w:themeColor="text1"/>
              </w:rPr>
              <w:t>‘</w:t>
            </w:r>
            <w:r w:rsidRPr="008C3EBC">
              <w:rPr>
                <w:color w:val="000000" w:themeColor="text1"/>
              </w:rPr>
              <w:t>gap</w:t>
            </w:r>
            <w:r>
              <w:rPr>
                <w:color w:val="000000" w:themeColor="text1"/>
              </w:rPr>
              <w:t>’</w:t>
            </w:r>
            <w:r w:rsidRPr="008C3EBC">
              <w:rPr>
                <w:color w:val="000000" w:themeColor="text1"/>
              </w:rPr>
              <w:t xml:space="preserve"> in the supply of non</w:t>
            </w:r>
            <w:r>
              <w:rPr>
                <w:color w:val="000000" w:themeColor="text1"/>
              </w:rPr>
              <w:noBreakHyphen/>
            </w:r>
            <w:r w:rsidRPr="008C3EBC">
              <w:rPr>
                <w:color w:val="000000" w:themeColor="text1"/>
              </w:rPr>
              <w:t xml:space="preserve">acute beds </w:t>
            </w:r>
            <w:r>
              <w:rPr>
                <w:color w:val="000000" w:themeColor="text1"/>
              </w:rPr>
              <w:t>is</w:t>
            </w:r>
            <w:r w:rsidRPr="008C3EBC">
              <w:rPr>
                <w:color w:val="000000" w:themeColor="text1"/>
              </w:rPr>
              <w:t xml:space="preserve"> estimated </w:t>
            </w:r>
            <w:r>
              <w:rPr>
                <w:color w:val="000000" w:themeColor="text1"/>
              </w:rPr>
              <w:t>(chapter 13</w:t>
            </w:r>
            <w:r w:rsidRPr="008C3EBC">
              <w:rPr>
                <w:color w:val="000000" w:themeColor="text1"/>
              </w:rPr>
              <w:t>).</w:t>
            </w:r>
          </w:p>
        </w:tc>
      </w:tr>
      <w:tr w:rsidR="009C6940" w14:paraId="2ABC78E4" w14:textId="77777777" w:rsidTr="009C6940">
        <w:tc>
          <w:tcPr>
            <w:tcW w:w="5000" w:type="pct"/>
            <w:tcBorders>
              <w:top w:val="nil"/>
              <w:left w:val="nil"/>
              <w:bottom w:val="nil"/>
              <w:right w:val="nil"/>
            </w:tcBorders>
            <w:shd w:val="clear" w:color="auto" w:fill="F2F2F2"/>
          </w:tcPr>
          <w:p w14:paraId="4C5EBBE1" w14:textId="77777777" w:rsidR="009C6940" w:rsidRDefault="009C6940" w:rsidP="009C6940">
            <w:pPr>
              <w:pStyle w:val="BoxHeading1"/>
              <w:spacing w:before="120"/>
            </w:pPr>
            <w:r>
              <w:t>Costs and benefits</w:t>
            </w:r>
          </w:p>
          <w:p w14:paraId="695A7C14" w14:textId="77777777" w:rsidR="009C6940" w:rsidRDefault="009C6940" w:rsidP="009C6940">
            <w:pPr>
              <w:pStyle w:val="Box"/>
            </w:pPr>
            <w:r>
              <w:t>Cost per bed were estimated using data on the recurrent cost per day from SCRGSP </w:t>
            </w:r>
            <w:r w:rsidRPr="00D80781">
              <w:rPr>
                <w:rFonts w:cs="Arial"/>
              </w:rPr>
              <w:t>(2020c)</w:t>
            </w:r>
            <w:r>
              <w:t xml:space="preserve">. An additional on top of the recurrent costs is made to cover capital costs </w:t>
            </w:r>
            <w:r w:rsidRPr="00D80781">
              <w:rPr>
                <w:rFonts w:cs="Arial"/>
                <w:szCs w:val="24"/>
              </w:rPr>
              <w:t>(Rosenheck, Frisman and Neale 1994)</w:t>
            </w:r>
            <w:r>
              <w:t>.</w:t>
            </w:r>
          </w:p>
          <w:p w14:paraId="4F570732" w14:textId="77777777" w:rsidR="009C6940" w:rsidRDefault="009C6940" w:rsidP="009C6940">
            <w:pPr>
              <w:pStyle w:val="BoxSpaceAbove"/>
              <w:spacing w:before="240"/>
            </w:pPr>
          </w:p>
          <w:tbl>
            <w:tblPr>
              <w:tblW w:w="5000" w:type="pct"/>
              <w:tblCellMar>
                <w:top w:w="28" w:type="dxa"/>
                <w:left w:w="0" w:type="dxa"/>
                <w:right w:w="0" w:type="dxa"/>
              </w:tblCellMar>
              <w:tblLook w:val="0000" w:firstRow="0" w:lastRow="0" w:firstColumn="0" w:lastColumn="0" w:noHBand="0" w:noVBand="0"/>
            </w:tblPr>
            <w:tblGrid>
              <w:gridCol w:w="2110"/>
              <w:gridCol w:w="1580"/>
              <w:gridCol w:w="1761"/>
              <w:gridCol w:w="1761"/>
              <w:gridCol w:w="1293"/>
            </w:tblGrid>
            <w:tr w:rsidR="009C6940" w14:paraId="525DDE29" w14:textId="77777777" w:rsidTr="009C6940">
              <w:trPr>
                <w:tblHeader/>
              </w:trPr>
              <w:tc>
                <w:tcPr>
                  <w:tcW w:w="1241" w:type="pct"/>
                  <w:tcBorders>
                    <w:top w:val="single" w:sz="6" w:space="0" w:color="BFBFBF"/>
                    <w:bottom w:val="single" w:sz="6" w:space="0" w:color="BFBFBF"/>
                  </w:tcBorders>
                  <w:shd w:val="clear" w:color="auto" w:fill="auto"/>
                  <w:tcMar>
                    <w:top w:w="28" w:type="dxa"/>
                  </w:tcMar>
                </w:tcPr>
                <w:p w14:paraId="58BBF3A3" w14:textId="77777777" w:rsidR="009C6940" w:rsidRDefault="009C6940" w:rsidP="009C6940">
                  <w:pPr>
                    <w:pStyle w:val="TableColumnHeading"/>
                    <w:jc w:val="left"/>
                  </w:pPr>
                  <w:r>
                    <w:t>Bed type</w:t>
                  </w:r>
                </w:p>
              </w:tc>
              <w:tc>
                <w:tcPr>
                  <w:tcW w:w="929" w:type="pct"/>
                  <w:tcBorders>
                    <w:top w:val="single" w:sz="6" w:space="0" w:color="BFBFBF"/>
                    <w:bottom w:val="single" w:sz="6" w:space="0" w:color="BFBFBF"/>
                  </w:tcBorders>
                </w:tcPr>
                <w:p w14:paraId="3D7E9253" w14:textId="77777777" w:rsidR="009C6940" w:rsidRDefault="009C6940" w:rsidP="009C6940">
                  <w:pPr>
                    <w:pStyle w:val="TableColumnHeading"/>
                  </w:pPr>
                  <w:r>
                    <w:t>Average length of stay (days)</w:t>
                  </w:r>
                </w:p>
              </w:tc>
              <w:tc>
                <w:tcPr>
                  <w:tcW w:w="1035" w:type="pct"/>
                  <w:tcBorders>
                    <w:top w:val="single" w:sz="6" w:space="0" w:color="BFBFBF"/>
                    <w:bottom w:val="single" w:sz="6" w:space="0" w:color="BFBFBF"/>
                  </w:tcBorders>
                </w:tcPr>
                <w:p w14:paraId="3BC05963" w14:textId="77777777" w:rsidR="009C6940" w:rsidRDefault="009C6940" w:rsidP="009C6940">
                  <w:pPr>
                    <w:pStyle w:val="TableColumnHeading"/>
                  </w:pPr>
                  <w:r>
                    <w:t>Occupancy rate</w:t>
                  </w:r>
                </w:p>
              </w:tc>
              <w:tc>
                <w:tcPr>
                  <w:tcW w:w="1035" w:type="pct"/>
                  <w:tcBorders>
                    <w:top w:val="single" w:sz="6" w:space="0" w:color="BFBFBF"/>
                    <w:bottom w:val="single" w:sz="6" w:space="0" w:color="BFBFBF"/>
                  </w:tcBorders>
                  <w:shd w:val="clear" w:color="auto" w:fill="auto"/>
                  <w:tcMar>
                    <w:top w:w="28" w:type="dxa"/>
                  </w:tcMar>
                </w:tcPr>
                <w:p w14:paraId="5D31FFA2" w14:textId="77777777" w:rsidR="009C6940" w:rsidRDefault="009C6940" w:rsidP="009C6940">
                  <w:pPr>
                    <w:pStyle w:val="TableColumnHeading"/>
                  </w:pPr>
                  <w:r>
                    <w:t>Cost per year ($)</w:t>
                  </w:r>
                </w:p>
              </w:tc>
              <w:tc>
                <w:tcPr>
                  <w:tcW w:w="760" w:type="pct"/>
                  <w:tcBorders>
                    <w:top w:val="single" w:sz="6" w:space="0" w:color="BFBFBF"/>
                    <w:bottom w:val="single" w:sz="6" w:space="0" w:color="BFBFBF"/>
                  </w:tcBorders>
                  <w:shd w:val="clear" w:color="auto" w:fill="auto"/>
                  <w:tcMar>
                    <w:top w:w="28" w:type="dxa"/>
                  </w:tcMar>
                </w:tcPr>
                <w:p w14:paraId="6228CD6E" w14:textId="77777777" w:rsidR="009C6940" w:rsidRDefault="009C6940" w:rsidP="009C6940">
                  <w:pPr>
                    <w:pStyle w:val="TableColumnHeading"/>
                    <w:ind w:right="28"/>
                  </w:pPr>
                  <w:r>
                    <w:t>Number of separations</w:t>
                  </w:r>
                </w:p>
              </w:tc>
            </w:tr>
            <w:tr w:rsidR="009C6940" w14:paraId="51C00A13" w14:textId="77777777" w:rsidTr="009C6940">
              <w:tc>
                <w:tcPr>
                  <w:tcW w:w="1241" w:type="pct"/>
                  <w:tcBorders>
                    <w:top w:val="single" w:sz="6" w:space="0" w:color="BFBFBF"/>
                  </w:tcBorders>
                </w:tcPr>
                <w:p w14:paraId="7620A5A1" w14:textId="77777777" w:rsidR="009C6940" w:rsidRDefault="009C6940" w:rsidP="009C6940">
                  <w:pPr>
                    <w:pStyle w:val="TableUnitsRow"/>
                    <w:jc w:val="left"/>
                  </w:pPr>
                  <w:r>
                    <w:t>Long stay, residential</w:t>
                  </w:r>
                </w:p>
              </w:tc>
              <w:tc>
                <w:tcPr>
                  <w:tcW w:w="929" w:type="pct"/>
                  <w:tcBorders>
                    <w:top w:val="single" w:sz="6" w:space="0" w:color="BFBFBF"/>
                  </w:tcBorders>
                </w:tcPr>
                <w:p w14:paraId="5D7F106A" w14:textId="77777777" w:rsidR="009C6940" w:rsidRPr="00CB7EB8" w:rsidRDefault="009C6940" w:rsidP="009C6940">
                  <w:pPr>
                    <w:pStyle w:val="TableBodyText"/>
                  </w:pPr>
                  <w:r w:rsidRPr="00CB7EB8">
                    <w:t>365</w:t>
                  </w:r>
                </w:p>
              </w:tc>
              <w:tc>
                <w:tcPr>
                  <w:tcW w:w="1035" w:type="pct"/>
                  <w:tcBorders>
                    <w:top w:val="single" w:sz="6" w:space="0" w:color="BFBFBF"/>
                  </w:tcBorders>
                </w:tcPr>
                <w:p w14:paraId="6EA5A752" w14:textId="77777777" w:rsidR="009C6940" w:rsidRPr="00CB7EB8" w:rsidRDefault="009C6940" w:rsidP="009C6940">
                  <w:pPr>
                    <w:pStyle w:val="TableBodyText"/>
                  </w:pPr>
                  <w:r w:rsidRPr="00CB7EB8">
                    <w:t>100%</w:t>
                  </w:r>
                </w:p>
              </w:tc>
              <w:tc>
                <w:tcPr>
                  <w:tcW w:w="1035" w:type="pct"/>
                  <w:tcBorders>
                    <w:top w:val="single" w:sz="6" w:space="0" w:color="BFBFBF"/>
                  </w:tcBorders>
                </w:tcPr>
                <w:p w14:paraId="6410D572" w14:textId="77777777" w:rsidR="009C6940" w:rsidRPr="00CB7EB8" w:rsidRDefault="009C6940" w:rsidP="009C6940">
                  <w:pPr>
                    <w:pStyle w:val="TableBodyText"/>
                  </w:pPr>
                  <w:r w:rsidRPr="00CB7EB8">
                    <w:t>236 541</w:t>
                  </w:r>
                </w:p>
              </w:tc>
              <w:tc>
                <w:tcPr>
                  <w:tcW w:w="760" w:type="pct"/>
                  <w:tcBorders>
                    <w:top w:val="single" w:sz="6" w:space="0" w:color="BFBFBF"/>
                  </w:tcBorders>
                </w:tcPr>
                <w:p w14:paraId="74D95C8A" w14:textId="77777777" w:rsidR="009C6940" w:rsidRPr="00CB7EB8" w:rsidRDefault="009C6940" w:rsidP="009C6940">
                  <w:pPr>
                    <w:pStyle w:val="TableBodyText"/>
                  </w:pPr>
                  <w:r w:rsidRPr="00CB7EB8">
                    <w:t>1</w:t>
                  </w:r>
                </w:p>
              </w:tc>
            </w:tr>
            <w:tr w:rsidR="009C6940" w14:paraId="2FDF1EF1" w14:textId="77777777" w:rsidTr="009C6940">
              <w:tc>
                <w:tcPr>
                  <w:tcW w:w="1241" w:type="pct"/>
                </w:tcPr>
                <w:p w14:paraId="4F4F6321" w14:textId="77777777" w:rsidR="009C6940" w:rsidRDefault="009C6940" w:rsidP="009C6940">
                  <w:pPr>
                    <w:pStyle w:val="TableBodyText"/>
                    <w:jc w:val="left"/>
                  </w:pPr>
                  <w:r>
                    <w:t>Long stay, hospital</w:t>
                  </w:r>
                </w:p>
              </w:tc>
              <w:tc>
                <w:tcPr>
                  <w:tcW w:w="929" w:type="pct"/>
                </w:tcPr>
                <w:p w14:paraId="339AB5DE" w14:textId="77777777" w:rsidR="009C6940" w:rsidRPr="00CB7EB8" w:rsidRDefault="009C6940" w:rsidP="009C6940">
                  <w:pPr>
                    <w:pStyle w:val="TableBodyText"/>
                  </w:pPr>
                  <w:r w:rsidRPr="00CB7EB8">
                    <w:t>365</w:t>
                  </w:r>
                </w:p>
              </w:tc>
              <w:tc>
                <w:tcPr>
                  <w:tcW w:w="1035" w:type="pct"/>
                </w:tcPr>
                <w:p w14:paraId="513FC70F" w14:textId="77777777" w:rsidR="009C6940" w:rsidRPr="00CB7EB8" w:rsidRDefault="009C6940" w:rsidP="009C6940">
                  <w:pPr>
                    <w:pStyle w:val="TableBodyText"/>
                  </w:pPr>
                  <w:r w:rsidRPr="00CB7EB8">
                    <w:t>100%</w:t>
                  </w:r>
                </w:p>
              </w:tc>
              <w:tc>
                <w:tcPr>
                  <w:tcW w:w="1035" w:type="pct"/>
                </w:tcPr>
                <w:p w14:paraId="16C47A3F" w14:textId="77777777" w:rsidR="009C6940" w:rsidRPr="00CB7EB8" w:rsidRDefault="009C6940" w:rsidP="009C6940">
                  <w:pPr>
                    <w:pStyle w:val="TableBodyText"/>
                  </w:pPr>
                  <w:r w:rsidRPr="00CB7EB8">
                    <w:t>398 001</w:t>
                  </w:r>
                </w:p>
              </w:tc>
              <w:tc>
                <w:tcPr>
                  <w:tcW w:w="760" w:type="pct"/>
                </w:tcPr>
                <w:p w14:paraId="0A9276AA" w14:textId="77777777" w:rsidR="009C6940" w:rsidRPr="00CB7EB8" w:rsidRDefault="009C6940" w:rsidP="009C6940">
                  <w:pPr>
                    <w:pStyle w:val="TableBodyText"/>
                  </w:pPr>
                  <w:r w:rsidRPr="00CB7EB8">
                    <w:t>1</w:t>
                  </w:r>
                </w:p>
              </w:tc>
            </w:tr>
            <w:tr w:rsidR="009C6940" w14:paraId="1882937E" w14:textId="77777777" w:rsidTr="009C6940">
              <w:tc>
                <w:tcPr>
                  <w:tcW w:w="1241" w:type="pct"/>
                </w:tcPr>
                <w:p w14:paraId="1DB2CC75" w14:textId="77777777" w:rsidR="009C6940" w:rsidRDefault="009C6940" w:rsidP="009C6940">
                  <w:pPr>
                    <w:pStyle w:val="TableBodyText"/>
                    <w:jc w:val="left"/>
                  </w:pPr>
                  <w:r>
                    <w:t>Rehabilitation, residential</w:t>
                  </w:r>
                </w:p>
              </w:tc>
              <w:tc>
                <w:tcPr>
                  <w:tcW w:w="929" w:type="pct"/>
                </w:tcPr>
                <w:p w14:paraId="6F5A743A" w14:textId="77777777" w:rsidR="009C6940" w:rsidRPr="00CB7EB8" w:rsidRDefault="009C6940" w:rsidP="009C6940">
                  <w:pPr>
                    <w:pStyle w:val="TableBodyText"/>
                  </w:pPr>
                  <w:r w:rsidRPr="00CB7EB8">
                    <w:t>120</w:t>
                  </w:r>
                </w:p>
              </w:tc>
              <w:tc>
                <w:tcPr>
                  <w:tcW w:w="1035" w:type="pct"/>
                </w:tcPr>
                <w:p w14:paraId="7C29B919" w14:textId="77777777" w:rsidR="009C6940" w:rsidRPr="00CB7EB8" w:rsidRDefault="009C6940" w:rsidP="009C6940">
                  <w:pPr>
                    <w:pStyle w:val="TableBodyText"/>
                  </w:pPr>
                  <w:r w:rsidRPr="00CB7EB8">
                    <w:t>85%</w:t>
                  </w:r>
                </w:p>
              </w:tc>
              <w:tc>
                <w:tcPr>
                  <w:tcW w:w="1035" w:type="pct"/>
                </w:tcPr>
                <w:p w14:paraId="67AEE0CD" w14:textId="77777777" w:rsidR="009C6940" w:rsidRPr="00CB7EB8" w:rsidRDefault="009C6940" w:rsidP="009C6940">
                  <w:pPr>
                    <w:pStyle w:val="TableBodyText"/>
                  </w:pPr>
                  <w:r w:rsidRPr="00CB7EB8">
                    <w:t>201 060</w:t>
                  </w:r>
                </w:p>
              </w:tc>
              <w:tc>
                <w:tcPr>
                  <w:tcW w:w="760" w:type="pct"/>
                </w:tcPr>
                <w:p w14:paraId="3AF307E4" w14:textId="77777777" w:rsidR="009C6940" w:rsidRPr="00CB7EB8" w:rsidRDefault="009C6940" w:rsidP="009C6940">
                  <w:pPr>
                    <w:pStyle w:val="TableBodyText"/>
                  </w:pPr>
                  <w:r w:rsidRPr="00CB7EB8">
                    <w:t>2.6</w:t>
                  </w:r>
                </w:p>
              </w:tc>
            </w:tr>
            <w:tr w:rsidR="009C6940" w14:paraId="008DB1B8" w14:textId="77777777" w:rsidTr="009C6940">
              <w:tc>
                <w:tcPr>
                  <w:tcW w:w="1241" w:type="pct"/>
                </w:tcPr>
                <w:p w14:paraId="6460FE32" w14:textId="77777777" w:rsidR="009C6940" w:rsidRDefault="009C6940" w:rsidP="009C6940">
                  <w:pPr>
                    <w:pStyle w:val="TableBodyText"/>
                    <w:jc w:val="left"/>
                  </w:pPr>
                  <w:r>
                    <w:t>Step up/step down, residential</w:t>
                  </w:r>
                </w:p>
              </w:tc>
              <w:tc>
                <w:tcPr>
                  <w:tcW w:w="929" w:type="pct"/>
                </w:tcPr>
                <w:p w14:paraId="7804B18E" w14:textId="77777777" w:rsidR="009C6940" w:rsidRPr="00CB7EB8" w:rsidRDefault="009C6940" w:rsidP="009C6940">
                  <w:pPr>
                    <w:pStyle w:val="TableBodyText"/>
                  </w:pPr>
                  <w:r w:rsidRPr="00CB7EB8">
                    <w:t>14</w:t>
                  </w:r>
                </w:p>
              </w:tc>
              <w:tc>
                <w:tcPr>
                  <w:tcW w:w="1035" w:type="pct"/>
                </w:tcPr>
                <w:p w14:paraId="671C9C47" w14:textId="77777777" w:rsidR="009C6940" w:rsidRPr="00CB7EB8" w:rsidRDefault="009C6940" w:rsidP="009C6940">
                  <w:pPr>
                    <w:pStyle w:val="TableBodyText"/>
                  </w:pPr>
                  <w:r w:rsidRPr="00CB7EB8">
                    <w:t>85%</w:t>
                  </w:r>
                </w:p>
              </w:tc>
              <w:tc>
                <w:tcPr>
                  <w:tcW w:w="1035" w:type="pct"/>
                </w:tcPr>
                <w:p w14:paraId="4FA44E32" w14:textId="77777777" w:rsidR="009C6940" w:rsidRPr="00CB7EB8" w:rsidRDefault="009C6940" w:rsidP="009C6940">
                  <w:pPr>
                    <w:pStyle w:val="TableBodyText"/>
                  </w:pPr>
                  <w:r w:rsidRPr="00CB7EB8">
                    <w:t>201 060</w:t>
                  </w:r>
                </w:p>
              </w:tc>
              <w:tc>
                <w:tcPr>
                  <w:tcW w:w="760" w:type="pct"/>
                </w:tcPr>
                <w:p w14:paraId="6D58BE69" w14:textId="77777777" w:rsidR="009C6940" w:rsidRPr="00CB7EB8" w:rsidRDefault="009C6940" w:rsidP="009C6940">
                  <w:pPr>
                    <w:pStyle w:val="TableBodyText"/>
                  </w:pPr>
                  <w:r w:rsidRPr="00CB7EB8">
                    <w:t>22.2</w:t>
                  </w:r>
                </w:p>
              </w:tc>
            </w:tr>
            <w:tr w:rsidR="009C6940" w14:paraId="50D3E294" w14:textId="77777777" w:rsidTr="009C6940">
              <w:tc>
                <w:tcPr>
                  <w:tcW w:w="1241" w:type="pct"/>
                  <w:tcBorders>
                    <w:bottom w:val="single" w:sz="6" w:space="0" w:color="BFBFBF"/>
                  </w:tcBorders>
                  <w:shd w:val="clear" w:color="auto" w:fill="auto"/>
                </w:tcPr>
                <w:p w14:paraId="56E77ECA" w14:textId="77777777" w:rsidR="009C6940" w:rsidRDefault="009C6940" w:rsidP="009C6940">
                  <w:pPr>
                    <w:pStyle w:val="TableBodyText"/>
                    <w:jc w:val="left"/>
                  </w:pPr>
                  <w:r>
                    <w:t>Acute, hospital</w:t>
                  </w:r>
                </w:p>
              </w:tc>
              <w:tc>
                <w:tcPr>
                  <w:tcW w:w="929" w:type="pct"/>
                  <w:tcBorders>
                    <w:bottom w:val="single" w:sz="6" w:space="0" w:color="BFBFBF"/>
                  </w:tcBorders>
                </w:tcPr>
                <w:p w14:paraId="09F7E5E7" w14:textId="77777777" w:rsidR="009C6940" w:rsidRPr="00CB7EB8" w:rsidRDefault="009C6940" w:rsidP="009C6940">
                  <w:pPr>
                    <w:pStyle w:val="TableBodyText"/>
                  </w:pPr>
                  <w:r w:rsidRPr="00CB7EB8">
                    <w:t>14</w:t>
                  </w:r>
                </w:p>
              </w:tc>
              <w:tc>
                <w:tcPr>
                  <w:tcW w:w="1035" w:type="pct"/>
                  <w:tcBorders>
                    <w:bottom w:val="single" w:sz="6" w:space="0" w:color="BFBFBF"/>
                  </w:tcBorders>
                </w:tcPr>
                <w:p w14:paraId="063B77AF" w14:textId="77777777" w:rsidR="009C6940" w:rsidRPr="00CB7EB8" w:rsidRDefault="009C6940" w:rsidP="009C6940">
                  <w:pPr>
                    <w:pStyle w:val="TableBodyText"/>
                  </w:pPr>
                  <w:r w:rsidRPr="00CB7EB8">
                    <w:t>85%</w:t>
                  </w:r>
                </w:p>
              </w:tc>
              <w:tc>
                <w:tcPr>
                  <w:tcW w:w="1035" w:type="pct"/>
                  <w:tcBorders>
                    <w:bottom w:val="single" w:sz="6" w:space="0" w:color="BFBFBF"/>
                  </w:tcBorders>
                  <w:shd w:val="clear" w:color="auto" w:fill="auto"/>
                </w:tcPr>
                <w:p w14:paraId="326B20DC" w14:textId="77777777" w:rsidR="009C6940" w:rsidRPr="00CB7EB8" w:rsidRDefault="009C6940" w:rsidP="009C6940">
                  <w:pPr>
                    <w:pStyle w:val="TableBodyText"/>
                  </w:pPr>
                  <w:r w:rsidRPr="00CB7EB8">
                    <w:t>—</w:t>
                  </w:r>
                </w:p>
              </w:tc>
              <w:tc>
                <w:tcPr>
                  <w:tcW w:w="760" w:type="pct"/>
                  <w:tcBorders>
                    <w:bottom w:val="single" w:sz="6" w:space="0" w:color="BFBFBF"/>
                  </w:tcBorders>
                  <w:shd w:val="clear" w:color="auto" w:fill="auto"/>
                </w:tcPr>
                <w:p w14:paraId="52D858CF" w14:textId="77777777" w:rsidR="009C6940" w:rsidRPr="00CB7EB8" w:rsidRDefault="009C6940" w:rsidP="009C6940">
                  <w:pPr>
                    <w:pStyle w:val="TableBodyText"/>
                  </w:pPr>
                  <w:r w:rsidRPr="00CB7EB8">
                    <w:t>22.2</w:t>
                  </w:r>
                </w:p>
              </w:tc>
            </w:tr>
          </w:tbl>
          <w:p w14:paraId="6BA81863" w14:textId="77777777" w:rsidR="009C6940" w:rsidRDefault="009C6940" w:rsidP="009C6940">
            <w:pPr>
              <w:pStyle w:val="BoxHeading1"/>
              <w:tabs>
                <w:tab w:val="left" w:pos="816"/>
              </w:tabs>
              <w:spacing w:before="120"/>
            </w:pPr>
          </w:p>
        </w:tc>
      </w:tr>
      <w:tr w:rsidR="009C6940" w14:paraId="71FC0ABE" w14:textId="77777777" w:rsidTr="009C6940">
        <w:tc>
          <w:tcPr>
            <w:tcW w:w="5000" w:type="pct"/>
            <w:tcBorders>
              <w:top w:val="nil"/>
              <w:left w:val="nil"/>
              <w:bottom w:val="nil"/>
              <w:right w:val="nil"/>
            </w:tcBorders>
            <w:shd w:val="clear" w:color="auto" w:fill="F2F2F2"/>
          </w:tcPr>
          <w:p w14:paraId="1B767E19" w14:textId="77777777" w:rsidR="009C6940" w:rsidRDefault="009C6940" w:rsidP="009C6940">
            <w:pPr>
              <w:pStyle w:val="BoxHeading1"/>
              <w:spacing w:before="120"/>
            </w:pPr>
            <w:r>
              <w:t>Effect</w:t>
            </w:r>
          </w:p>
          <w:p w14:paraId="2BD0528F" w14:textId="77777777" w:rsidR="009C6940" w:rsidRPr="000C6859" w:rsidRDefault="009C6940" w:rsidP="009C6940">
            <w:pPr>
              <w:pStyle w:val="Box"/>
            </w:pPr>
            <w:r>
              <w:t>Effect sizes for each age group are calculated using K10 scores from the AMHOCN for 2017</w:t>
            </w:r>
            <w:r>
              <w:noBreakHyphen/>
              <w:t xml:space="preserve">18 inpatient and residential services, using the difference between admission and discharge </w:t>
            </w:r>
            <w:r w:rsidRPr="00D80781">
              <w:rPr>
                <w:rFonts w:cs="Arial"/>
                <w:szCs w:val="24"/>
              </w:rPr>
              <w:t>(AMHOCN 2019)</w:t>
            </w:r>
            <w:r>
              <w:t>. It is assumed that the benefits for long stay beds (365 days) will only have QALY benefits. For those utilising rehabilitation and step up/step down beds, income is scaled down based on the time spent in a bed.</w:t>
            </w:r>
          </w:p>
        </w:tc>
      </w:tr>
      <w:tr w:rsidR="009C6940" w14:paraId="27BBC4C1" w14:textId="77777777" w:rsidTr="009C6940">
        <w:tc>
          <w:tcPr>
            <w:tcW w:w="5000" w:type="pct"/>
            <w:tcBorders>
              <w:top w:val="nil"/>
              <w:left w:val="nil"/>
              <w:bottom w:val="nil"/>
              <w:right w:val="nil"/>
            </w:tcBorders>
            <w:shd w:val="clear" w:color="auto" w:fill="F2F2F2"/>
          </w:tcPr>
          <w:p w14:paraId="6D351035"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397AE5CC" w14:textId="77777777" w:rsidTr="009C6940">
        <w:tc>
          <w:tcPr>
            <w:tcW w:w="5000" w:type="pct"/>
            <w:tcBorders>
              <w:top w:val="nil"/>
              <w:left w:val="nil"/>
              <w:bottom w:val="single" w:sz="6" w:space="0" w:color="78A22F"/>
              <w:right w:val="nil"/>
            </w:tcBorders>
            <w:shd w:val="clear" w:color="auto" w:fill="F2F2F2"/>
          </w:tcPr>
          <w:p w14:paraId="6977F18F" w14:textId="77777777" w:rsidR="009C6940" w:rsidRDefault="009C6940" w:rsidP="009C6940">
            <w:pPr>
              <w:pStyle w:val="Box"/>
              <w:spacing w:before="0" w:line="120" w:lineRule="exact"/>
            </w:pPr>
          </w:p>
        </w:tc>
      </w:tr>
      <w:tr w:rsidR="009C6940" w:rsidRPr="000863A5" w14:paraId="2384A6A8" w14:textId="77777777" w:rsidTr="009C6940">
        <w:tc>
          <w:tcPr>
            <w:tcW w:w="5000" w:type="pct"/>
            <w:tcBorders>
              <w:top w:val="single" w:sz="6" w:space="0" w:color="78A22F"/>
              <w:left w:val="nil"/>
              <w:bottom w:val="nil"/>
              <w:right w:val="nil"/>
            </w:tcBorders>
          </w:tcPr>
          <w:p w14:paraId="3ACE9DB3" w14:textId="77777777" w:rsidR="009C6940" w:rsidRPr="00626D32" w:rsidRDefault="009C6940" w:rsidP="009C6940">
            <w:pPr>
              <w:pStyle w:val="BoxSpaceBelow"/>
            </w:pPr>
          </w:p>
        </w:tc>
      </w:tr>
    </w:tbl>
    <w:p w14:paraId="32FA519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6509FC6" w14:textId="77777777" w:rsidTr="009C6940">
        <w:trPr>
          <w:tblHeader/>
        </w:trPr>
        <w:tc>
          <w:tcPr>
            <w:tcW w:w="5000" w:type="pct"/>
            <w:tcBorders>
              <w:top w:val="single" w:sz="6" w:space="0" w:color="78A22F"/>
              <w:left w:val="nil"/>
              <w:bottom w:val="nil"/>
              <w:right w:val="nil"/>
            </w:tcBorders>
            <w:shd w:val="clear" w:color="auto" w:fill="F2F2F2"/>
          </w:tcPr>
          <w:p w14:paraId="48184660" w14:textId="77777777" w:rsidR="009C6940" w:rsidRPr="000C6859" w:rsidRDefault="009C6940" w:rsidP="009C6940">
            <w:pPr>
              <w:pStyle w:val="BoxHeading1"/>
              <w:tabs>
                <w:tab w:val="left" w:pos="1134"/>
              </w:tabs>
              <w:spacing w:after="240"/>
            </w:pPr>
            <w:r>
              <w:rPr>
                <w:sz w:val="24"/>
                <w:szCs w:val="24"/>
              </w:rPr>
              <w:t>Action</w:t>
            </w:r>
            <w:r>
              <w:rPr>
                <w:sz w:val="24"/>
                <w:szCs w:val="24"/>
              </w:rPr>
              <w:tab/>
            </w:r>
            <w:r w:rsidRPr="005D2989">
              <w:rPr>
                <w:sz w:val="24"/>
                <w:szCs w:val="24"/>
              </w:rPr>
              <w:t>Bed</w:t>
            </w:r>
            <w:r>
              <w:rPr>
                <w:sz w:val="24"/>
                <w:szCs w:val="24"/>
              </w:rPr>
              <w:t>-</w:t>
            </w:r>
            <w:r w:rsidRPr="005D2989">
              <w:rPr>
                <w:sz w:val="24"/>
                <w:szCs w:val="24"/>
              </w:rPr>
              <w:t xml:space="preserve">based services </w:t>
            </w:r>
            <w:r w:rsidRPr="00B84E9F">
              <w:rPr>
                <w:rStyle w:val="Continuedintitle"/>
              </w:rPr>
              <w:t>(continued)</w:t>
            </w:r>
          </w:p>
        </w:tc>
      </w:tr>
      <w:tr w:rsidR="009C6940" w14:paraId="5ACD57F1" w14:textId="77777777" w:rsidTr="009C6940">
        <w:tc>
          <w:tcPr>
            <w:tcW w:w="5000" w:type="pct"/>
            <w:tcBorders>
              <w:top w:val="nil"/>
              <w:left w:val="nil"/>
              <w:bottom w:val="nil"/>
              <w:right w:val="nil"/>
            </w:tcBorders>
            <w:shd w:val="clear" w:color="auto" w:fill="F2F2F2"/>
          </w:tcPr>
          <w:tbl>
            <w:tblPr>
              <w:tblW w:w="5000" w:type="pct"/>
              <w:tblCellMar>
                <w:top w:w="28" w:type="dxa"/>
                <w:left w:w="0" w:type="dxa"/>
                <w:right w:w="0" w:type="dxa"/>
              </w:tblCellMar>
              <w:tblLook w:val="0000" w:firstRow="0" w:lastRow="0" w:firstColumn="0" w:lastColumn="0" w:noHBand="0" w:noVBand="0"/>
            </w:tblPr>
            <w:tblGrid>
              <w:gridCol w:w="5273"/>
              <w:gridCol w:w="3232"/>
            </w:tblGrid>
            <w:tr w:rsidR="009C6940" w14:paraId="426ECB92" w14:textId="77777777" w:rsidTr="009C6940">
              <w:trPr>
                <w:tblHeader/>
              </w:trPr>
              <w:tc>
                <w:tcPr>
                  <w:tcW w:w="3100" w:type="pct"/>
                  <w:tcBorders>
                    <w:top w:val="single" w:sz="6" w:space="0" w:color="BFBFBF"/>
                    <w:bottom w:val="single" w:sz="6" w:space="0" w:color="BFBFBF"/>
                  </w:tcBorders>
                  <w:shd w:val="clear" w:color="auto" w:fill="auto"/>
                  <w:tcMar>
                    <w:top w:w="28" w:type="dxa"/>
                  </w:tcMar>
                </w:tcPr>
                <w:p w14:paraId="3E0E5309" w14:textId="77777777" w:rsidR="009C6940" w:rsidRDefault="009C6940" w:rsidP="009C6940">
                  <w:pPr>
                    <w:pStyle w:val="TableColumnHeading"/>
                    <w:jc w:val="left"/>
                  </w:pPr>
                  <w:r>
                    <w:t>Bed population</w:t>
                  </w:r>
                </w:p>
              </w:tc>
              <w:tc>
                <w:tcPr>
                  <w:tcW w:w="1900" w:type="pct"/>
                  <w:tcBorders>
                    <w:top w:val="single" w:sz="6" w:space="0" w:color="BFBFBF"/>
                    <w:bottom w:val="single" w:sz="6" w:space="0" w:color="BFBFBF"/>
                  </w:tcBorders>
                  <w:shd w:val="clear" w:color="auto" w:fill="auto"/>
                  <w:tcMar>
                    <w:top w:w="28" w:type="dxa"/>
                  </w:tcMar>
                </w:tcPr>
                <w:p w14:paraId="46944D85" w14:textId="77777777" w:rsidR="009C6940" w:rsidRDefault="009C6940" w:rsidP="009C6940">
                  <w:pPr>
                    <w:pStyle w:val="TableColumnHeading"/>
                    <w:ind w:right="28"/>
                  </w:pPr>
                  <w:r>
                    <w:t>Effect size</w:t>
                  </w:r>
                </w:p>
              </w:tc>
            </w:tr>
            <w:tr w:rsidR="009C6940" w14:paraId="07A5CD92" w14:textId="77777777" w:rsidTr="009C6940">
              <w:tc>
                <w:tcPr>
                  <w:tcW w:w="3100" w:type="pct"/>
                  <w:tcBorders>
                    <w:top w:val="single" w:sz="6" w:space="0" w:color="BFBFBF"/>
                  </w:tcBorders>
                </w:tcPr>
                <w:p w14:paraId="2F847B3A" w14:textId="77777777" w:rsidR="009C6940" w:rsidRDefault="009C6940" w:rsidP="009C6940">
                  <w:pPr>
                    <w:pStyle w:val="TableUnitsRow"/>
                    <w:jc w:val="left"/>
                  </w:pPr>
                  <w:r>
                    <w:t>A</w:t>
                  </w:r>
                  <w:r w:rsidRPr="006154A4">
                    <w:t>cute, adult</w:t>
                  </w:r>
                </w:p>
              </w:tc>
              <w:tc>
                <w:tcPr>
                  <w:tcW w:w="1900" w:type="pct"/>
                  <w:tcBorders>
                    <w:top w:val="single" w:sz="6" w:space="0" w:color="BFBFBF"/>
                  </w:tcBorders>
                </w:tcPr>
                <w:p w14:paraId="08783C16" w14:textId="77777777" w:rsidR="009C6940" w:rsidRDefault="009C6940" w:rsidP="009C6940">
                  <w:pPr>
                    <w:pStyle w:val="TableBodyText"/>
                  </w:pPr>
                  <w:r w:rsidRPr="0029646D">
                    <w:t>1.012</w:t>
                  </w:r>
                </w:p>
              </w:tc>
            </w:tr>
            <w:tr w:rsidR="009C6940" w14:paraId="33A0BAB3" w14:textId="77777777" w:rsidTr="009C6940">
              <w:tc>
                <w:tcPr>
                  <w:tcW w:w="3100" w:type="pct"/>
                </w:tcPr>
                <w:p w14:paraId="7ECC08A4" w14:textId="77777777" w:rsidR="009C6940" w:rsidRDefault="009C6940" w:rsidP="009C6940">
                  <w:pPr>
                    <w:pStyle w:val="TableUnitsRow"/>
                    <w:jc w:val="left"/>
                  </w:pPr>
                  <w:r>
                    <w:t>A</w:t>
                  </w:r>
                  <w:r w:rsidRPr="006154A4">
                    <w:t>cute, older person</w:t>
                  </w:r>
                </w:p>
              </w:tc>
              <w:tc>
                <w:tcPr>
                  <w:tcW w:w="1900" w:type="pct"/>
                </w:tcPr>
                <w:p w14:paraId="74747B07" w14:textId="77777777" w:rsidR="009C6940" w:rsidRDefault="009C6940" w:rsidP="009C6940">
                  <w:pPr>
                    <w:pStyle w:val="TableBodyText"/>
                  </w:pPr>
                  <w:r w:rsidRPr="0029646D">
                    <w:t>1.106</w:t>
                  </w:r>
                </w:p>
              </w:tc>
            </w:tr>
            <w:tr w:rsidR="009C6940" w14:paraId="5D852562" w14:textId="77777777" w:rsidTr="009C6940">
              <w:tc>
                <w:tcPr>
                  <w:tcW w:w="3100" w:type="pct"/>
                </w:tcPr>
                <w:p w14:paraId="382721F2" w14:textId="77777777" w:rsidR="009C6940" w:rsidRDefault="009C6940" w:rsidP="009C6940">
                  <w:pPr>
                    <w:pStyle w:val="TableUnitsRow"/>
                    <w:jc w:val="left"/>
                  </w:pPr>
                  <w:r>
                    <w:t>Non</w:t>
                  </w:r>
                  <w:r>
                    <w:noBreakHyphen/>
                  </w:r>
                  <w:r w:rsidRPr="006154A4">
                    <w:t>acute</w:t>
                  </w:r>
                  <w:r>
                    <w:t>,</w:t>
                  </w:r>
                  <w:r w:rsidRPr="006154A4">
                    <w:t xml:space="preserve"> hospital</w:t>
                  </w:r>
                </w:p>
              </w:tc>
              <w:tc>
                <w:tcPr>
                  <w:tcW w:w="1900" w:type="pct"/>
                </w:tcPr>
                <w:p w14:paraId="504E0E3D" w14:textId="77777777" w:rsidR="009C6940" w:rsidRDefault="009C6940" w:rsidP="009C6940">
                  <w:pPr>
                    <w:pStyle w:val="TableBodyText"/>
                  </w:pPr>
                  <w:r w:rsidRPr="0029646D">
                    <w:t>0.308</w:t>
                  </w:r>
                </w:p>
              </w:tc>
            </w:tr>
            <w:tr w:rsidR="009C6940" w14:paraId="1A8F4EA5" w14:textId="77777777" w:rsidTr="009C6940">
              <w:tc>
                <w:tcPr>
                  <w:tcW w:w="3100" w:type="pct"/>
                  <w:tcBorders>
                    <w:bottom w:val="single" w:sz="6" w:space="0" w:color="BFBFBF"/>
                  </w:tcBorders>
                  <w:shd w:val="clear" w:color="auto" w:fill="auto"/>
                </w:tcPr>
                <w:p w14:paraId="57F7F7AB" w14:textId="77777777" w:rsidR="009C6940" w:rsidRDefault="009C6940" w:rsidP="009C6940">
                  <w:pPr>
                    <w:pStyle w:val="TableUnitsRow"/>
                    <w:jc w:val="left"/>
                  </w:pPr>
                  <w:r>
                    <w:t>Non</w:t>
                  </w:r>
                  <w:r>
                    <w:noBreakHyphen/>
                  </w:r>
                  <w:r w:rsidRPr="006154A4">
                    <w:t>acute</w:t>
                  </w:r>
                  <w:r>
                    <w:t>,</w:t>
                  </w:r>
                  <w:r w:rsidRPr="006154A4">
                    <w:t xml:space="preserve"> residential</w:t>
                  </w:r>
                </w:p>
              </w:tc>
              <w:tc>
                <w:tcPr>
                  <w:tcW w:w="1900" w:type="pct"/>
                  <w:tcBorders>
                    <w:bottom w:val="single" w:sz="6" w:space="0" w:color="BFBFBF"/>
                  </w:tcBorders>
                  <w:shd w:val="clear" w:color="auto" w:fill="auto"/>
                </w:tcPr>
                <w:p w14:paraId="5EE53782" w14:textId="77777777" w:rsidR="009C6940" w:rsidRDefault="009C6940" w:rsidP="009C6940">
                  <w:pPr>
                    <w:pStyle w:val="TableBodyText"/>
                  </w:pPr>
                  <w:r w:rsidRPr="0029646D">
                    <w:t>0.615</w:t>
                  </w:r>
                </w:p>
              </w:tc>
            </w:tr>
          </w:tbl>
          <w:p w14:paraId="06C8D04F" w14:textId="77777777" w:rsidR="009C6940" w:rsidRPr="005530FB" w:rsidRDefault="009C6940" w:rsidP="009C6940">
            <w:pPr>
              <w:pStyle w:val="BoxHeading2"/>
              <w:rPr>
                <w:sz w:val="20"/>
              </w:rPr>
            </w:pPr>
            <w:r w:rsidRPr="005530FB">
              <w:rPr>
                <w:sz w:val="20"/>
              </w:rPr>
              <w:t>Using the beds to move non</w:t>
            </w:r>
            <w:r w:rsidRPr="005530FB">
              <w:rPr>
                <w:sz w:val="20"/>
              </w:rPr>
              <w:noBreakHyphen/>
              <w:t>acute patients out of hospital</w:t>
            </w:r>
          </w:p>
          <w:p w14:paraId="60EC1B4C" w14:textId="77777777" w:rsidR="009C6940" w:rsidRPr="001B3B9A" w:rsidRDefault="009C6940" w:rsidP="009C6940">
            <w:pPr>
              <w:pStyle w:val="BoxListBullet"/>
            </w:pPr>
            <w:r w:rsidRPr="001B3B9A">
              <w:t>Moving non</w:t>
            </w:r>
            <w:r>
              <w:noBreakHyphen/>
            </w:r>
            <w:r w:rsidRPr="001B3B9A">
              <w:t>acute patients out of hospital can reduce the extent of delayed discharge, and allow for more acute patients to be treated.</w:t>
            </w:r>
            <w:r>
              <w:t xml:space="preserve"> These are patients who could be discharged from hospital if appropriate accommodation or care were available. </w:t>
            </w:r>
            <w:r w:rsidRPr="001B3B9A">
              <w:t xml:space="preserve">It is assumed that an additional </w:t>
            </w:r>
            <w:r>
              <w:t>1800 </w:t>
            </w:r>
            <w:r w:rsidRPr="001B3B9A">
              <w:t>residential beds are supplied in the community, and that non</w:t>
            </w:r>
            <w:r>
              <w:noBreakHyphen/>
            </w:r>
            <w:r w:rsidRPr="001B3B9A">
              <w:t xml:space="preserve">acute patients treated in these settings will have </w:t>
            </w:r>
            <w:r>
              <w:t>the same outcome</w:t>
            </w:r>
            <w:r w:rsidRPr="001B3B9A">
              <w:t xml:space="preserve"> </w:t>
            </w:r>
            <w:r>
              <w:t>as</w:t>
            </w:r>
            <w:r w:rsidRPr="001B3B9A">
              <w:t xml:space="preserve"> being in hospital</w:t>
            </w:r>
            <w:r>
              <w:t>.</w:t>
            </w:r>
          </w:p>
          <w:p w14:paraId="5CE02014" w14:textId="77777777" w:rsidR="009C6940" w:rsidRPr="001B3B9A" w:rsidRDefault="009C6940" w:rsidP="009C6940">
            <w:pPr>
              <w:pStyle w:val="BoxListBullet"/>
            </w:pPr>
            <w:r w:rsidRPr="001B3B9A">
              <w:t xml:space="preserve">For the additional acute patients who are not being treated, it is assumed that </w:t>
            </w:r>
            <w:r>
              <w:t>about</w:t>
            </w:r>
            <w:r w:rsidRPr="00710CD5">
              <w:t xml:space="preserve"> </w:t>
            </w:r>
            <w:r w:rsidRPr="001B3B9A">
              <w:t xml:space="preserve">85% of these patients are of working age </w:t>
            </w:r>
            <w:r w:rsidRPr="00D80781">
              <w:rPr>
                <w:rFonts w:cs="Arial"/>
                <w:szCs w:val="24"/>
              </w:rPr>
              <w:t>(AIHW 2020b)</w:t>
            </w:r>
            <w:r w:rsidRPr="001B3B9A">
              <w:t xml:space="preserve"> and will have both labour force and QALY benefits, while those not</w:t>
            </w:r>
            <w:r>
              <w:t xml:space="preserve"> of</w:t>
            </w:r>
            <w:r w:rsidRPr="001B3B9A">
              <w:t xml:space="preserve"> working age will only </w:t>
            </w:r>
            <w:r>
              <w:t>receive</w:t>
            </w:r>
            <w:r w:rsidRPr="001B3B9A">
              <w:t xml:space="preserve"> QALY benefits.</w:t>
            </w:r>
          </w:p>
          <w:p w14:paraId="1D3B8791" w14:textId="77777777" w:rsidR="009C6940" w:rsidRPr="001B3B9A" w:rsidRDefault="009C6940" w:rsidP="009C6940">
            <w:pPr>
              <w:pStyle w:val="BoxListBullet"/>
            </w:pPr>
            <w:r w:rsidRPr="001B3B9A">
              <w:t>The average length of stay is assumed to be 14</w:t>
            </w:r>
            <w:r>
              <w:t> </w:t>
            </w:r>
            <w:r w:rsidRPr="001B3B9A">
              <w:t>days</w:t>
            </w:r>
            <w:r>
              <w:t xml:space="preserve"> (for modelling convenience)</w:t>
            </w:r>
            <w:r w:rsidRPr="001B3B9A">
              <w:t>, with a 28</w:t>
            </w:r>
            <w:r>
              <w:t> </w:t>
            </w:r>
            <w:r w:rsidRPr="001B3B9A">
              <w:t>day readmission rate of 15%, and an occupancy rate of 85%</w:t>
            </w:r>
            <w:r>
              <w:t>. This implies a 14</w:t>
            </w:r>
            <w:r>
              <w:noBreakHyphen/>
            </w:r>
            <w:r w:rsidRPr="001B3B9A">
              <w:t xml:space="preserve">day readmission rate of </w:t>
            </w:r>
            <w:r>
              <w:t>8%, assuming independence of 14</w:t>
            </w:r>
            <w:r>
              <w:noBreakHyphen/>
            </w:r>
            <w:r w:rsidRPr="001B3B9A">
              <w:t>day periods of recovery.</w:t>
            </w:r>
            <w:r w:rsidRPr="00C228F3">
              <w:rPr>
                <w:rStyle w:val="FootnoteReference"/>
              </w:rPr>
              <w:footnoteReference w:id="22"/>
            </w:r>
            <w:r w:rsidRPr="001B3B9A">
              <w:t xml:space="preserve"> Patients are assumed to have recovered if they are not readmitted within 28 days. These assumptions together suggest that </w:t>
            </w:r>
            <w:r>
              <w:t>about</w:t>
            </w:r>
            <w:r w:rsidRPr="00710CD5">
              <w:t xml:space="preserve"> </w:t>
            </w:r>
            <w:r>
              <w:t>28</w:t>
            </w:r>
            <w:r w:rsidRPr="001B3B9A">
              <w:t> </w:t>
            </w:r>
            <w:r>
              <w:t>000 </w:t>
            </w:r>
            <w:r w:rsidRPr="001B3B9A">
              <w:t>patients can be treated per year.</w:t>
            </w:r>
          </w:p>
          <w:p w14:paraId="0FCC9986" w14:textId="77777777" w:rsidR="009C6940" w:rsidRPr="001B3B9A" w:rsidRDefault="009C6940" w:rsidP="009C6940">
            <w:pPr>
              <w:pStyle w:val="BoxListBullet"/>
            </w:pPr>
            <w:r w:rsidRPr="001B3B9A">
              <w:t xml:space="preserve">The cost of supplying the additional long stay residential beds is estimated to cost </w:t>
            </w:r>
            <w:r>
              <w:t>about</w:t>
            </w:r>
            <w:r w:rsidRPr="00710CD5">
              <w:t xml:space="preserve"> </w:t>
            </w:r>
            <w:r w:rsidRPr="001B3B9A">
              <w:t>$4</w:t>
            </w:r>
            <w:r>
              <w:t>26</w:t>
            </w:r>
            <w:r w:rsidRPr="001B3B9A">
              <w:t> million. The benefits are expected to be between $1</w:t>
            </w:r>
            <w:r>
              <w:t>28</w:t>
            </w:r>
            <w:r w:rsidRPr="001B3B9A">
              <w:noBreakHyphen/>
            </w:r>
            <w:r>
              <w:t>166 million</w:t>
            </w:r>
            <w:r w:rsidRPr="001B3B9A">
              <w:t xml:space="preserve"> in additional</w:t>
            </w:r>
            <w:r>
              <w:t xml:space="preserve"> aggregate labour</w:t>
            </w:r>
            <w:r w:rsidRPr="001B3B9A">
              <w:t xml:space="preserve"> income and an additional </w:t>
            </w:r>
            <w:r>
              <w:t>2068</w:t>
            </w:r>
            <w:r w:rsidRPr="001B3B9A">
              <w:noBreakHyphen/>
            </w:r>
            <w:r>
              <w:t>3766 </w:t>
            </w:r>
            <w:r w:rsidRPr="001B3B9A">
              <w:t>QALYs.</w:t>
            </w:r>
          </w:p>
          <w:p w14:paraId="372A66F9" w14:textId="77777777" w:rsidR="009C6940" w:rsidRPr="005530FB" w:rsidRDefault="009C6940" w:rsidP="009C6940">
            <w:pPr>
              <w:pStyle w:val="BoxHeading2"/>
              <w:rPr>
                <w:sz w:val="20"/>
              </w:rPr>
            </w:pPr>
            <w:r w:rsidRPr="005530FB">
              <w:rPr>
                <w:sz w:val="20"/>
              </w:rPr>
              <w:t>Using the beds to treat non</w:t>
            </w:r>
            <w:r w:rsidRPr="005530FB">
              <w:rPr>
                <w:sz w:val="20"/>
              </w:rPr>
              <w:noBreakHyphen/>
              <w:t>acute patients who were not being treated</w:t>
            </w:r>
          </w:p>
          <w:p w14:paraId="70BD2842" w14:textId="77777777" w:rsidR="009C6940" w:rsidRDefault="009C6940" w:rsidP="009C6940">
            <w:pPr>
              <w:pStyle w:val="BoxListBullet"/>
            </w:pPr>
            <w:r w:rsidRPr="001B3B9A">
              <w:t>The analysis is split into supplying additional hospital and residential beds, with a further split of residential beds into older adults and other.</w:t>
            </w:r>
            <w:r>
              <w:t xml:space="preserve"> </w:t>
            </w:r>
            <w:r w:rsidRPr="001B3B9A">
              <w:t>It is assumed that the real</w:t>
            </w:r>
            <w:r>
              <w:noBreakHyphen/>
            </w:r>
            <w:r w:rsidRPr="001B3B9A">
              <w:t>world existing mix of non</w:t>
            </w:r>
            <w:r>
              <w:noBreakHyphen/>
            </w:r>
            <w:r w:rsidRPr="001B3B9A">
              <w:t>acute beds is proportional to the mix of non</w:t>
            </w:r>
            <w:r>
              <w:noBreakHyphen/>
            </w:r>
            <w:r w:rsidRPr="001B3B9A">
              <w:t>acute beds specified in the NMHSPF. This allows for a gap to be calculated for each bed type, the number of additional patients who can be treated, and hence the identification of the costs and benefits.</w:t>
            </w:r>
          </w:p>
          <w:p w14:paraId="23BE68F6" w14:textId="77777777" w:rsidR="009C6940" w:rsidRPr="006178E3" w:rsidRDefault="009C6940" w:rsidP="009C6940">
            <w:pPr>
              <w:pStyle w:val="BoxListBullet"/>
              <w:rPr>
                <w:rFonts w:ascii="Times New Roman" w:hAnsi="Times New Roman"/>
                <w:sz w:val="24"/>
                <w:szCs w:val="24"/>
              </w:rPr>
            </w:pPr>
            <w:r>
              <w:t>While the AMHOCN has data on the outcomes for inpatient services in hospitals, the vast majority of the data are for acute episodes, which would not be an appropriate comparison. Instead, it is assumed that the effect size of a long stay hospital bed is half that of community residential services.</w:t>
            </w:r>
          </w:p>
        </w:tc>
      </w:tr>
      <w:tr w:rsidR="009C6940" w14:paraId="1181CFC8" w14:textId="77777777" w:rsidTr="009C6940">
        <w:tc>
          <w:tcPr>
            <w:tcW w:w="5000" w:type="pct"/>
            <w:tcBorders>
              <w:top w:val="nil"/>
              <w:left w:val="nil"/>
              <w:bottom w:val="nil"/>
              <w:right w:val="nil"/>
            </w:tcBorders>
            <w:shd w:val="clear" w:color="auto" w:fill="F2F2F2"/>
          </w:tcPr>
          <w:p w14:paraId="12B3A9B2"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582EA69D" w14:textId="77777777" w:rsidTr="009C6940">
        <w:tc>
          <w:tcPr>
            <w:tcW w:w="5000" w:type="pct"/>
            <w:tcBorders>
              <w:top w:val="nil"/>
              <w:left w:val="nil"/>
              <w:bottom w:val="single" w:sz="6" w:space="0" w:color="78A22F"/>
              <w:right w:val="nil"/>
            </w:tcBorders>
            <w:shd w:val="clear" w:color="auto" w:fill="F2F2F2"/>
          </w:tcPr>
          <w:p w14:paraId="3C0CF563" w14:textId="77777777" w:rsidR="009C6940" w:rsidRDefault="009C6940" w:rsidP="009C6940">
            <w:pPr>
              <w:pStyle w:val="Box"/>
              <w:spacing w:before="0" w:line="120" w:lineRule="exact"/>
            </w:pPr>
          </w:p>
        </w:tc>
      </w:tr>
      <w:tr w:rsidR="009C6940" w:rsidRPr="000863A5" w14:paraId="654F337C" w14:textId="77777777" w:rsidTr="009C6940">
        <w:tc>
          <w:tcPr>
            <w:tcW w:w="5000" w:type="pct"/>
            <w:tcBorders>
              <w:top w:val="single" w:sz="6" w:space="0" w:color="78A22F"/>
              <w:left w:val="nil"/>
              <w:bottom w:val="nil"/>
              <w:right w:val="nil"/>
            </w:tcBorders>
          </w:tcPr>
          <w:p w14:paraId="10BAB219" w14:textId="77777777" w:rsidR="009C6940" w:rsidRPr="00626D32" w:rsidRDefault="009C6940" w:rsidP="009C6940">
            <w:pPr>
              <w:pStyle w:val="BoxSpaceBelow"/>
            </w:pPr>
          </w:p>
        </w:tc>
      </w:tr>
    </w:tbl>
    <w:p w14:paraId="2A77040D"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E1D6070" w14:textId="77777777" w:rsidTr="009C6940">
        <w:trPr>
          <w:tblHeader/>
        </w:trPr>
        <w:tc>
          <w:tcPr>
            <w:tcW w:w="5000" w:type="pct"/>
            <w:tcBorders>
              <w:top w:val="single" w:sz="6" w:space="0" w:color="78A22F"/>
              <w:left w:val="nil"/>
              <w:bottom w:val="nil"/>
              <w:right w:val="nil"/>
            </w:tcBorders>
            <w:shd w:val="clear" w:color="auto" w:fill="F2F2F2"/>
          </w:tcPr>
          <w:p w14:paraId="32E31EB2" w14:textId="77777777" w:rsidR="009C6940" w:rsidRPr="000C6859" w:rsidRDefault="009C6940" w:rsidP="009C6940">
            <w:pPr>
              <w:pStyle w:val="BoxHeading1"/>
              <w:tabs>
                <w:tab w:val="left" w:pos="1058"/>
              </w:tabs>
            </w:pPr>
            <w:r>
              <w:rPr>
                <w:sz w:val="24"/>
                <w:szCs w:val="24"/>
              </w:rPr>
              <w:t>Action</w:t>
            </w:r>
            <w:r>
              <w:rPr>
                <w:sz w:val="24"/>
                <w:szCs w:val="24"/>
              </w:rPr>
              <w:tab/>
            </w:r>
            <w:r w:rsidRPr="005D2989">
              <w:rPr>
                <w:sz w:val="24"/>
                <w:szCs w:val="24"/>
              </w:rPr>
              <w:t>Bed</w:t>
            </w:r>
            <w:r>
              <w:rPr>
                <w:sz w:val="24"/>
                <w:szCs w:val="24"/>
              </w:rPr>
              <w:t>-</w:t>
            </w:r>
            <w:r w:rsidRPr="005D2989">
              <w:rPr>
                <w:sz w:val="24"/>
                <w:szCs w:val="24"/>
              </w:rPr>
              <w:t xml:space="preserve">based services </w:t>
            </w:r>
            <w:r w:rsidRPr="00B84E9F">
              <w:rPr>
                <w:rStyle w:val="Continuedintitle"/>
              </w:rPr>
              <w:t>(continued)</w:t>
            </w:r>
          </w:p>
        </w:tc>
      </w:tr>
      <w:tr w:rsidR="009C6940" w14:paraId="42A6277F" w14:textId="77777777" w:rsidTr="009C6940">
        <w:tc>
          <w:tcPr>
            <w:tcW w:w="5000" w:type="pct"/>
            <w:tcBorders>
              <w:top w:val="nil"/>
              <w:left w:val="nil"/>
              <w:bottom w:val="nil"/>
              <w:right w:val="nil"/>
            </w:tcBorders>
            <w:shd w:val="clear" w:color="auto" w:fill="F2F2F2"/>
          </w:tcPr>
          <w:p w14:paraId="5809975B" w14:textId="77777777" w:rsidR="009C6940" w:rsidRPr="001B3B9A" w:rsidRDefault="009C6940" w:rsidP="009C6940">
            <w:pPr>
              <w:pStyle w:val="BoxHeading1"/>
              <w:spacing w:before="120"/>
              <w:rPr>
                <w:color w:val="000000" w:themeColor="text1"/>
              </w:rPr>
            </w:pPr>
            <w:r w:rsidRPr="001B3B9A">
              <w:rPr>
                <w:color w:val="000000" w:themeColor="text1"/>
              </w:rPr>
              <w:t>Additional considerations</w:t>
            </w:r>
          </w:p>
          <w:p w14:paraId="030062C4" w14:textId="77777777" w:rsidR="009C6940" w:rsidRDefault="009C6940" w:rsidP="009C6940">
            <w:pPr>
              <w:pStyle w:val="BoxListBullet"/>
            </w:pPr>
            <w:r w:rsidRPr="001B3B9A">
              <w:t xml:space="preserve">It would cost </w:t>
            </w:r>
            <w:r>
              <w:t>about</w:t>
            </w:r>
            <w:r w:rsidRPr="00710CD5">
              <w:t xml:space="preserve"> </w:t>
            </w:r>
            <w:r w:rsidRPr="001B3B9A">
              <w:t>$771 million to supply these additional non</w:t>
            </w:r>
            <w:r>
              <w:noBreakHyphen/>
            </w:r>
            <w:r w:rsidRPr="001B3B9A">
              <w:t>acute beds. The benefits are expected to be between $2</w:t>
            </w:r>
            <w:r>
              <w:t>4</w:t>
            </w:r>
            <w:r w:rsidRPr="001B3B9A">
              <w:noBreakHyphen/>
              <w:t>4</w:t>
            </w:r>
            <w:r>
              <w:t>8</w:t>
            </w:r>
            <w:r w:rsidRPr="001B3B9A">
              <w:t xml:space="preserve"> in additional income and an additional </w:t>
            </w:r>
            <w:r>
              <w:t>425</w:t>
            </w:r>
            <w:r w:rsidRPr="001B3B9A">
              <w:noBreakHyphen/>
            </w:r>
            <w:r>
              <w:t>773 </w:t>
            </w:r>
            <w:r w:rsidRPr="001B3B9A">
              <w:t>QALYs.</w:t>
            </w:r>
          </w:p>
          <w:p w14:paraId="40D9B179" w14:textId="77777777" w:rsidR="009C6940" w:rsidRDefault="009C6940" w:rsidP="009C6940">
            <w:pPr>
              <w:pStyle w:val="BoxListBullet"/>
            </w:pPr>
            <w:r w:rsidRPr="001B3B9A">
              <w:t xml:space="preserve">While the results indicate that reducing the extent of delayed discharge </w:t>
            </w:r>
            <w:r>
              <w:t>(</w:t>
            </w:r>
            <w:r w:rsidRPr="001B3B9A">
              <w:t>moving non</w:t>
            </w:r>
            <w:r>
              <w:noBreakHyphen/>
            </w:r>
            <w:r w:rsidRPr="001B3B9A">
              <w:t>a</w:t>
            </w:r>
            <w:r>
              <w:t xml:space="preserve">cute patients out of acute beds) </w:t>
            </w:r>
            <w:r w:rsidRPr="001B3B9A">
              <w:t>may be a more cost effe</w:t>
            </w:r>
            <w:r>
              <w:t>ctive measure in the short run.</w:t>
            </w:r>
            <w:r w:rsidRPr="001B3B9A">
              <w:t xml:space="preserve"> it is important to ensure that non</w:t>
            </w:r>
            <w:r>
              <w:noBreakHyphen/>
            </w:r>
            <w:r w:rsidRPr="001B3B9A">
              <w:t xml:space="preserve">acute patients who are not currently treated have access to beds, as these people will usually have no other alternatives in seeking treatment for mental illness. Long stay residential beds are likely to be a more cost effective option compared to long stay hospital beds in </w:t>
            </w:r>
            <w:r>
              <w:t xml:space="preserve">the </w:t>
            </w:r>
            <w:r w:rsidRPr="001B3B9A">
              <w:t>cases where the patient can be provided with a similar level of care.</w:t>
            </w:r>
          </w:p>
          <w:p w14:paraId="7A7A589B" w14:textId="77777777" w:rsidR="009C6940" w:rsidRPr="000C6859" w:rsidRDefault="009C6940" w:rsidP="009C6940">
            <w:pPr>
              <w:pStyle w:val="BoxListBullet"/>
            </w:pPr>
            <w:r>
              <w:t>While the AMHOCN provides data on outcomes for different collection occasions, it does not provide an indication of the length of time a patient has spent within an episode. These results could be refined — for example, if a residential episode could be further disaggregated by length of stay, it would be possible to have separate effect sizes for long stay residential care and step up/step down care (which currently both use the same residential effect size).</w:t>
            </w:r>
          </w:p>
        </w:tc>
      </w:tr>
      <w:tr w:rsidR="009C6940" w14:paraId="49EB1ECD" w14:textId="77777777" w:rsidTr="009C6940">
        <w:tc>
          <w:tcPr>
            <w:tcW w:w="5000" w:type="pct"/>
            <w:tcBorders>
              <w:top w:val="nil"/>
              <w:left w:val="nil"/>
              <w:bottom w:val="single" w:sz="6" w:space="0" w:color="78A22F"/>
              <w:right w:val="nil"/>
            </w:tcBorders>
            <w:shd w:val="clear" w:color="auto" w:fill="F2F2F2"/>
          </w:tcPr>
          <w:p w14:paraId="7B461045" w14:textId="77777777" w:rsidR="009C6940" w:rsidRDefault="009C6940" w:rsidP="009C6940">
            <w:pPr>
              <w:pStyle w:val="Box"/>
              <w:spacing w:before="0" w:line="120" w:lineRule="exact"/>
            </w:pPr>
          </w:p>
        </w:tc>
      </w:tr>
      <w:tr w:rsidR="009C6940" w:rsidRPr="000863A5" w14:paraId="73E05525" w14:textId="77777777" w:rsidTr="009C6940">
        <w:tc>
          <w:tcPr>
            <w:tcW w:w="5000" w:type="pct"/>
            <w:tcBorders>
              <w:top w:val="single" w:sz="6" w:space="0" w:color="78A22F"/>
              <w:left w:val="nil"/>
              <w:bottom w:val="nil"/>
              <w:right w:val="nil"/>
            </w:tcBorders>
          </w:tcPr>
          <w:p w14:paraId="5C098280" w14:textId="77777777" w:rsidR="009C6940" w:rsidRPr="00626D32" w:rsidRDefault="009C6940" w:rsidP="009C6940">
            <w:pPr>
              <w:pStyle w:val="BoxSpaceBelow"/>
            </w:pPr>
          </w:p>
        </w:tc>
      </w:tr>
    </w:tbl>
    <w:p w14:paraId="002F54D2" w14:textId="77777777" w:rsidR="009C6940" w:rsidRPr="002734F9"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rsidRPr="002734F9" w14:paraId="01751AA0" w14:textId="77777777" w:rsidTr="009C6940">
        <w:trPr>
          <w:tblHeader/>
        </w:trPr>
        <w:tc>
          <w:tcPr>
            <w:tcW w:w="5000" w:type="pct"/>
            <w:tcBorders>
              <w:top w:val="single" w:sz="6" w:space="0" w:color="78A22F"/>
              <w:left w:val="nil"/>
              <w:bottom w:val="nil"/>
              <w:right w:val="nil"/>
            </w:tcBorders>
            <w:shd w:val="clear" w:color="auto" w:fill="F2F2F2"/>
          </w:tcPr>
          <w:p w14:paraId="32D5B0D1" w14:textId="77777777" w:rsidR="009C6940" w:rsidRPr="002734F9" w:rsidRDefault="009C6940" w:rsidP="009C6940">
            <w:pPr>
              <w:pStyle w:val="BoxHeading1"/>
              <w:tabs>
                <w:tab w:val="left" w:pos="1134"/>
              </w:tabs>
            </w:pPr>
            <w:r>
              <w:rPr>
                <w:sz w:val="24"/>
                <w:szCs w:val="24"/>
              </w:rPr>
              <w:t>Action</w:t>
            </w:r>
            <w:r>
              <w:rPr>
                <w:sz w:val="24"/>
                <w:szCs w:val="24"/>
              </w:rPr>
              <w:tab/>
            </w:r>
            <w:r w:rsidRPr="002734F9">
              <w:rPr>
                <w:sz w:val="24"/>
                <w:szCs w:val="24"/>
              </w:rPr>
              <w:t>Alternatives to emergency departments</w:t>
            </w:r>
          </w:p>
          <w:p w14:paraId="4AED0211" w14:textId="77777777" w:rsidR="009C6940" w:rsidRPr="002734F9" w:rsidRDefault="009C6940" w:rsidP="009C6940">
            <w:pPr>
              <w:pStyle w:val="Box"/>
            </w:pPr>
            <w:r w:rsidRPr="002734F9">
              <w:t>State and Territory Governments should provide more alternatives to hospital emergency departments (EDs) for people with acute mental illness.</w:t>
            </w:r>
          </w:p>
        </w:tc>
      </w:tr>
      <w:tr w:rsidR="009C6940" w:rsidRPr="002734F9" w14:paraId="044F7894" w14:textId="77777777" w:rsidTr="009C6940">
        <w:tc>
          <w:tcPr>
            <w:tcW w:w="5000" w:type="pct"/>
            <w:tcBorders>
              <w:top w:val="nil"/>
              <w:left w:val="nil"/>
              <w:bottom w:val="nil"/>
              <w:right w:val="nil"/>
            </w:tcBorders>
            <w:shd w:val="clear" w:color="auto" w:fill="F2F2F2"/>
          </w:tcPr>
          <w:p w14:paraId="048B1471" w14:textId="77777777" w:rsidR="009C6940" w:rsidRPr="002734F9" w:rsidRDefault="009C6940" w:rsidP="009C6940">
            <w:pPr>
              <w:pStyle w:val="BoxHeading1"/>
              <w:spacing w:before="120"/>
            </w:pPr>
            <w:r w:rsidRPr="002734F9">
              <w:t>Population</w:t>
            </w:r>
          </w:p>
          <w:p w14:paraId="669BDBE3" w14:textId="77777777" w:rsidR="009C6940" w:rsidRPr="002734F9" w:rsidRDefault="009C6940" w:rsidP="009C6940">
            <w:pPr>
              <w:pStyle w:val="Box"/>
            </w:pPr>
            <w:r w:rsidRPr="002734F9">
              <w:t>There are people who attend EDs for a mental health</w:t>
            </w:r>
            <w:r w:rsidRPr="002734F9">
              <w:noBreakHyphen/>
              <w:t xml:space="preserve">related reason who could have been treated elsewhere. Treating these people elsewhere could lead to better outcomes and cost savings from a reduction in ED presentations. The estimated </w:t>
            </w:r>
            <w:r>
              <w:t>c</w:t>
            </w:r>
            <w:r w:rsidRPr="002734F9">
              <w:t>ost savings arise from two different populations, based on the method of arrival. Those who arrive by ambulance potentially have cost savings from mobile crisis services, while those who arrive via walking, private/public transport, community transport, or taxi could have cost savings from after</w:t>
            </w:r>
            <w:r w:rsidRPr="002734F9">
              <w:noBreakHyphen/>
              <w:t>hours/peer</w:t>
            </w:r>
            <w:r w:rsidRPr="002734F9">
              <w:noBreakHyphen/>
              <w:t>led services.</w:t>
            </w:r>
          </w:p>
        </w:tc>
      </w:tr>
      <w:tr w:rsidR="009C6940" w:rsidRPr="002734F9" w14:paraId="60539E4E" w14:textId="77777777" w:rsidTr="009C6940">
        <w:tc>
          <w:tcPr>
            <w:tcW w:w="5000" w:type="pct"/>
            <w:tcBorders>
              <w:top w:val="nil"/>
              <w:left w:val="nil"/>
              <w:bottom w:val="nil"/>
              <w:right w:val="nil"/>
            </w:tcBorders>
            <w:shd w:val="clear" w:color="auto" w:fill="F2F2F2"/>
          </w:tcPr>
          <w:p w14:paraId="77D18993" w14:textId="77777777" w:rsidR="009C6940" w:rsidRPr="002734F9" w:rsidRDefault="009C6940" w:rsidP="009C6940">
            <w:pPr>
              <w:pStyle w:val="BoxHeading1"/>
              <w:spacing w:before="120"/>
            </w:pPr>
            <w:r w:rsidRPr="002734F9">
              <w:t>Costs and cost savings</w:t>
            </w:r>
          </w:p>
          <w:p w14:paraId="3C97B501" w14:textId="77777777" w:rsidR="009C6940" w:rsidRPr="002734F9" w:rsidRDefault="009C6940" w:rsidP="009C6940">
            <w:pPr>
              <w:pStyle w:val="BoxListBullet"/>
            </w:pPr>
            <w:r w:rsidRPr="002734F9">
              <w:t xml:space="preserve">The cost per ED presentation for a serious mental illness is assumed to be $805 (2019 dollars) </w:t>
            </w:r>
            <w:r w:rsidRPr="002734F9">
              <w:rPr>
                <w:rFonts w:cs="Arial"/>
                <w:szCs w:val="24"/>
              </w:rPr>
              <w:t>(IHPA 2017)</w:t>
            </w:r>
            <w:r w:rsidRPr="002734F9">
              <w:t>.</w:t>
            </w:r>
          </w:p>
          <w:p w14:paraId="2307B0B8" w14:textId="77777777" w:rsidR="009C6940" w:rsidRPr="002734F9" w:rsidRDefault="009C6940" w:rsidP="009C6940">
            <w:pPr>
              <w:pStyle w:val="BoxListBullet"/>
              <w:numPr>
                <w:ilvl w:val="0"/>
                <w:numId w:val="3"/>
              </w:numPr>
            </w:pPr>
            <w:r w:rsidRPr="002734F9">
              <w:t>Costs for mobile crisis services include increased expenditures as well as cost savings. It is assumed that, in the first instance, an additional five sites are trialled nationally.</w:t>
            </w:r>
          </w:p>
          <w:p w14:paraId="79135603" w14:textId="77777777" w:rsidR="009C6940" w:rsidRPr="002734F9" w:rsidRDefault="009C6940" w:rsidP="009C6940">
            <w:pPr>
              <w:pStyle w:val="BoxListBullet2"/>
              <w:tabs>
                <w:tab w:val="num" w:pos="340"/>
              </w:tabs>
              <w:ind w:left="567" w:hanging="283"/>
            </w:pPr>
            <w:r w:rsidRPr="002734F9">
              <w:t>For the Mental Health Acute Assessment Team (MHAAT), between 2015 and 2017, about 50% of mental health</w:t>
            </w:r>
            <w:r w:rsidRPr="002734F9">
              <w:noBreakHyphen/>
              <w:t xml:space="preserve">related callouts resulted in patients bypassing EDs in favour of more appropriate care </w:t>
            </w:r>
            <w:r w:rsidRPr="002734F9">
              <w:rPr>
                <w:rFonts w:cs="Arial"/>
                <w:szCs w:val="24"/>
              </w:rPr>
              <w:t>(WSLHD 2017)</w:t>
            </w:r>
            <w:r w:rsidRPr="002734F9">
              <w:t xml:space="preserve">, while a pilot trial in Victoria found 75% of attendances were diverted </w:t>
            </w:r>
            <w:r w:rsidRPr="002734F9">
              <w:rPr>
                <w:rFonts w:cs="Arial"/>
                <w:szCs w:val="24"/>
              </w:rPr>
              <w:t>(Barwon Health 2019)</w:t>
            </w:r>
            <w:r w:rsidRPr="002734F9">
              <w:t>.</w:t>
            </w:r>
          </w:p>
          <w:p w14:paraId="75D7A2C1" w14:textId="77777777" w:rsidR="009C6940" w:rsidRPr="002734F9" w:rsidRDefault="009C6940" w:rsidP="009C6940">
            <w:pPr>
              <w:pStyle w:val="BoxListBullet2"/>
              <w:tabs>
                <w:tab w:val="num" w:pos="340"/>
              </w:tabs>
              <w:ind w:left="567" w:hanging="283"/>
            </w:pPr>
            <w:r w:rsidRPr="002734F9">
              <w:t>Cost data provided by NSW Ambulance suggested a cost of $600 000 per year, covering two ambulance and two mental health FTEs. The trial results indicate that 51.5% of shift time (or 5.7 hours per day) is spent on MHAAT cases, with an average of 3.9</w:t>
            </w:r>
            <w:r>
              <w:t> </w:t>
            </w:r>
            <w:r w:rsidRPr="002734F9">
              <w:t>cases per day. Using the proportion of shift time spent working on mental health</w:t>
            </w:r>
            <w:r w:rsidRPr="002734F9">
              <w:noBreakHyphen/>
              <w:t>related cases as a lower bound on the cost, this suggests a cost between $1.5</w:t>
            </w:r>
            <w:r w:rsidRPr="002734F9">
              <w:noBreakHyphen/>
              <w:t>3 million, and a cost saving between $2.9</w:t>
            </w:r>
            <w:r w:rsidRPr="002734F9">
              <w:noBreakHyphen/>
              <w:t>4.3 million (2019 dollars).</w:t>
            </w:r>
          </w:p>
          <w:p w14:paraId="6C8BB514" w14:textId="77777777" w:rsidR="009C6940" w:rsidRPr="002734F9" w:rsidRDefault="009C6940" w:rsidP="009C6940">
            <w:pPr>
              <w:pStyle w:val="BoxListBullet"/>
              <w:numPr>
                <w:ilvl w:val="0"/>
                <w:numId w:val="3"/>
              </w:numPr>
            </w:pPr>
            <w:r w:rsidRPr="002734F9">
              <w:t>Safe haven cafés</w:t>
            </w:r>
          </w:p>
          <w:p w14:paraId="46AEC0EB" w14:textId="77777777" w:rsidR="009C6940" w:rsidRPr="002734F9" w:rsidRDefault="009C6940" w:rsidP="009C6940">
            <w:pPr>
              <w:pStyle w:val="BoxListBullet2"/>
              <w:ind w:left="567" w:hanging="283"/>
            </w:pPr>
            <w:r w:rsidRPr="002734F9">
              <w:t xml:space="preserve">An evaluation of the St Vincent’s safe haven café in Melbourne </w:t>
            </w:r>
            <w:r w:rsidRPr="00BE72B0">
              <w:rPr>
                <w:rFonts w:cs="Arial"/>
                <w:szCs w:val="24"/>
              </w:rPr>
              <w:t>(PwC 2018)</w:t>
            </w:r>
            <w:r w:rsidRPr="002734F9">
              <w:t xml:space="preserve"> found that between 118 and 362 ED presentations could have been avoided per year. From the evaluation, the initial fixed cost was $124 175, and the annual operating costs (which includes wages, overheads, and goods and services) were $191 540 (2018 dollars). It is assumed that the fixed costs are equally spread over 10 years.</w:t>
            </w:r>
          </w:p>
          <w:p w14:paraId="392BCC91" w14:textId="77777777" w:rsidR="009C6940" w:rsidRPr="002734F9" w:rsidRDefault="009C6940" w:rsidP="009C6940">
            <w:pPr>
              <w:pStyle w:val="BoxListBullet2"/>
              <w:tabs>
                <w:tab w:val="num" w:pos="340"/>
              </w:tabs>
              <w:ind w:left="567" w:hanging="283"/>
            </w:pPr>
            <w:r>
              <w:t>Establishing five</w:t>
            </w:r>
            <w:r w:rsidRPr="002734F9">
              <w:t xml:space="preserve"> safe haven café trials </w:t>
            </w:r>
            <w:r>
              <w:t>is estimated to cost $1.1 </w:t>
            </w:r>
            <w:r w:rsidRPr="002734F9">
              <w:t>million. Across the trials, this implies total cost savin</w:t>
            </w:r>
            <w:r>
              <w:t>gs of between $470 000 and $1.5 </w:t>
            </w:r>
            <w:r w:rsidRPr="002734F9">
              <w:t>million per year.</w:t>
            </w:r>
          </w:p>
        </w:tc>
      </w:tr>
      <w:tr w:rsidR="009C6940" w:rsidRPr="002734F9" w14:paraId="58802ECD" w14:textId="77777777" w:rsidTr="009C6940">
        <w:tc>
          <w:tcPr>
            <w:tcW w:w="5000" w:type="pct"/>
            <w:tcBorders>
              <w:top w:val="nil"/>
              <w:left w:val="nil"/>
              <w:bottom w:val="nil"/>
              <w:right w:val="nil"/>
            </w:tcBorders>
            <w:shd w:val="clear" w:color="auto" w:fill="F2F2F2"/>
          </w:tcPr>
          <w:p w14:paraId="02ED090E" w14:textId="77777777" w:rsidR="009C6940" w:rsidRPr="002734F9" w:rsidRDefault="009C6940" w:rsidP="009C6940">
            <w:pPr>
              <w:pStyle w:val="BoxHeading1"/>
              <w:spacing w:before="120"/>
            </w:pPr>
            <w:r w:rsidRPr="002734F9">
              <w:t>Additional considerations</w:t>
            </w:r>
          </w:p>
          <w:p w14:paraId="5A811515" w14:textId="77777777" w:rsidR="009C6940" w:rsidRPr="002734F9" w:rsidRDefault="009C6940" w:rsidP="009C6940">
            <w:pPr>
              <w:pStyle w:val="BoxListBullet"/>
              <w:numPr>
                <w:ilvl w:val="0"/>
                <w:numId w:val="3"/>
              </w:numPr>
              <w:rPr>
                <w:rStyle w:val="BoxChar"/>
              </w:rPr>
            </w:pPr>
            <w:r w:rsidRPr="002734F9">
              <w:t xml:space="preserve">For mobile crisis services, limited service utilisation will limit cost effectiveness. This could be due to time spent waiting for new cases to arrive which are suitable for the team. As such, it is important for any additional sites to be located strategically in areas </w:t>
            </w:r>
            <w:r>
              <w:t>that</w:t>
            </w:r>
            <w:r w:rsidRPr="002734F9">
              <w:t xml:space="preserve"> historically have had higher rates of mental health</w:t>
            </w:r>
            <w:r w:rsidRPr="002734F9">
              <w:noBreakHyphen/>
              <w:t xml:space="preserve">related attendances. It is essential that appropriate locations for diversions be available within the area (e.g., community mental health services). Similar </w:t>
            </w:r>
            <w:r w:rsidRPr="002734F9">
              <w:rPr>
                <w:rStyle w:val="BoxChar"/>
              </w:rPr>
              <w:t>considerations apply to safe haven cafés — the additional sites should located be in areas with higher rates of mental health</w:t>
            </w:r>
            <w:r w:rsidRPr="002734F9">
              <w:rPr>
                <w:rStyle w:val="BoxChar"/>
              </w:rPr>
              <w:noBreakHyphen/>
              <w:t>related ED attendances.</w:t>
            </w:r>
          </w:p>
          <w:p w14:paraId="2512ACE9" w14:textId="77777777" w:rsidR="009C6940" w:rsidRPr="002734F9" w:rsidRDefault="009C6940" w:rsidP="009C6940">
            <w:pPr>
              <w:pStyle w:val="BoxListBullet"/>
              <w:numPr>
                <w:ilvl w:val="0"/>
                <w:numId w:val="3"/>
              </w:numPr>
            </w:pPr>
            <w:r w:rsidRPr="002734F9">
              <w:rPr>
                <w:rStyle w:val="BoxChar"/>
              </w:rPr>
              <w:t xml:space="preserve">These are other </w:t>
            </w:r>
            <w:r>
              <w:rPr>
                <w:rStyle w:val="BoxChar"/>
              </w:rPr>
              <w:t xml:space="preserve">unquantifiable </w:t>
            </w:r>
            <w:r w:rsidRPr="002734F9">
              <w:rPr>
                <w:rStyle w:val="BoxChar"/>
              </w:rPr>
              <w:t>benefits, such as avoiding the distress potentially associated with going to an ED.</w:t>
            </w:r>
          </w:p>
        </w:tc>
      </w:tr>
      <w:tr w:rsidR="009C6940" w:rsidRPr="002734F9" w14:paraId="61BD1C09" w14:textId="77777777" w:rsidTr="009C6940">
        <w:tc>
          <w:tcPr>
            <w:tcW w:w="5000" w:type="pct"/>
            <w:tcBorders>
              <w:top w:val="nil"/>
              <w:left w:val="nil"/>
              <w:bottom w:val="single" w:sz="6" w:space="0" w:color="78A22F"/>
              <w:right w:val="nil"/>
            </w:tcBorders>
            <w:shd w:val="clear" w:color="auto" w:fill="F2F2F2"/>
          </w:tcPr>
          <w:p w14:paraId="4890453D" w14:textId="77777777" w:rsidR="009C6940" w:rsidRPr="002734F9" w:rsidRDefault="009C6940" w:rsidP="009C6940">
            <w:pPr>
              <w:pStyle w:val="Box"/>
              <w:spacing w:before="0" w:line="120" w:lineRule="exact"/>
            </w:pPr>
          </w:p>
        </w:tc>
      </w:tr>
      <w:tr w:rsidR="009C6940" w:rsidRPr="002734F9" w14:paraId="4C344CD9" w14:textId="77777777" w:rsidTr="009C6940">
        <w:tc>
          <w:tcPr>
            <w:tcW w:w="5000" w:type="pct"/>
            <w:tcBorders>
              <w:top w:val="single" w:sz="6" w:space="0" w:color="78A22F"/>
              <w:left w:val="nil"/>
              <w:bottom w:val="nil"/>
              <w:right w:val="nil"/>
            </w:tcBorders>
          </w:tcPr>
          <w:p w14:paraId="2EE96E2C" w14:textId="77777777" w:rsidR="009C6940" w:rsidRPr="002734F9" w:rsidRDefault="009C6940" w:rsidP="009C6940">
            <w:pPr>
              <w:pStyle w:val="BoxSpaceBelow"/>
            </w:pPr>
          </w:p>
        </w:tc>
      </w:tr>
    </w:tbl>
    <w:p w14:paraId="0D7509E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6941A1F" w14:textId="77777777" w:rsidTr="009C6940">
        <w:trPr>
          <w:tblHeader/>
        </w:trPr>
        <w:tc>
          <w:tcPr>
            <w:tcW w:w="5000" w:type="pct"/>
            <w:tcBorders>
              <w:top w:val="single" w:sz="6" w:space="0" w:color="78A22F"/>
              <w:left w:val="nil"/>
              <w:bottom w:val="nil"/>
              <w:right w:val="nil"/>
            </w:tcBorders>
            <w:shd w:val="clear" w:color="auto" w:fill="F2F2F2"/>
          </w:tcPr>
          <w:p w14:paraId="5E08EFE7" w14:textId="77777777" w:rsidR="009C6940" w:rsidRPr="00D11A6E" w:rsidRDefault="009C6940" w:rsidP="009C6940">
            <w:pPr>
              <w:pStyle w:val="BoxHeading1"/>
              <w:tabs>
                <w:tab w:val="left" w:pos="1075"/>
              </w:tabs>
              <w:rPr>
                <w:sz w:val="24"/>
                <w:szCs w:val="24"/>
              </w:rPr>
            </w:pPr>
            <w:r>
              <w:rPr>
                <w:sz w:val="24"/>
                <w:szCs w:val="24"/>
              </w:rPr>
              <w:t>Action</w:t>
            </w:r>
            <w:r>
              <w:rPr>
                <w:sz w:val="24"/>
                <w:szCs w:val="24"/>
              </w:rPr>
              <w:tab/>
            </w:r>
            <w:r w:rsidRPr="00D11A6E">
              <w:rPr>
                <w:sz w:val="24"/>
                <w:szCs w:val="24"/>
              </w:rPr>
              <w:t>Online navigation portal to support referral pathways</w:t>
            </w:r>
          </w:p>
          <w:p w14:paraId="17E851BA" w14:textId="77777777" w:rsidR="009C6940" w:rsidRPr="000C6859" w:rsidRDefault="009C6940" w:rsidP="009C6940">
            <w:pPr>
              <w:pStyle w:val="Box"/>
            </w:pPr>
            <w:r w:rsidRPr="00C57B0B">
              <w:t xml:space="preserve">Commissioning agencies should ensure service providers have access to online navigation </w:t>
            </w:r>
            <w:r>
              <w:t>portal</w:t>
            </w:r>
            <w:r w:rsidRPr="00C57B0B">
              <w:t xml:space="preserve"> offering information on pathways in the mental health system.</w:t>
            </w:r>
          </w:p>
        </w:tc>
      </w:tr>
      <w:tr w:rsidR="009C6940" w14:paraId="6CBBA265" w14:textId="77777777" w:rsidTr="009C6940">
        <w:tc>
          <w:tcPr>
            <w:tcW w:w="5000" w:type="pct"/>
            <w:tcBorders>
              <w:top w:val="nil"/>
              <w:left w:val="nil"/>
              <w:bottom w:val="nil"/>
              <w:right w:val="nil"/>
            </w:tcBorders>
            <w:shd w:val="clear" w:color="auto" w:fill="F2F2F2"/>
          </w:tcPr>
          <w:p w14:paraId="3ABAF107" w14:textId="77777777" w:rsidR="009C6940" w:rsidRDefault="009C6940" w:rsidP="009C6940">
            <w:pPr>
              <w:pStyle w:val="BoxHeading1"/>
            </w:pPr>
            <w:r>
              <w:t>Effect</w:t>
            </w:r>
          </w:p>
          <w:p w14:paraId="30BD643F" w14:textId="77777777" w:rsidR="009C6940" w:rsidRPr="00896B5F" w:rsidRDefault="009C6940" w:rsidP="009C6940">
            <w:pPr>
              <w:pStyle w:val="Box"/>
              <w:rPr>
                <w:spacing w:val="-2"/>
              </w:rPr>
            </w:pPr>
            <w:r w:rsidRPr="00896B5F">
              <w:rPr>
                <w:spacing w:val="-2"/>
              </w:rPr>
              <w:t>This recommended action supports the implementation and effectiveness of other healthcare actions.</w:t>
            </w:r>
          </w:p>
        </w:tc>
      </w:tr>
      <w:tr w:rsidR="009C6940" w14:paraId="16ADECF3" w14:textId="77777777" w:rsidTr="009C6940">
        <w:tc>
          <w:tcPr>
            <w:tcW w:w="5000" w:type="pct"/>
            <w:tcBorders>
              <w:top w:val="nil"/>
              <w:left w:val="nil"/>
              <w:bottom w:val="nil"/>
              <w:right w:val="nil"/>
            </w:tcBorders>
            <w:shd w:val="clear" w:color="auto" w:fill="F2F2F2"/>
          </w:tcPr>
          <w:p w14:paraId="7551F0E7" w14:textId="77777777" w:rsidR="009C6940" w:rsidRDefault="009C6940" w:rsidP="009C6940">
            <w:pPr>
              <w:pStyle w:val="BoxHeading1"/>
            </w:pPr>
            <w:r>
              <w:t>Costs</w:t>
            </w:r>
          </w:p>
          <w:p w14:paraId="6393C3A1" w14:textId="77777777" w:rsidR="009C6940" w:rsidRDefault="009C6940" w:rsidP="009C6940">
            <w:pPr>
              <w:pStyle w:val="Box"/>
            </w:pPr>
            <w:r>
              <w:t xml:space="preserve">The HealthPathways portal model, which is already used by most PHNs, could be used to contain information on pathways within the mental health system. </w:t>
            </w:r>
            <w:r w:rsidRPr="00CF47EA">
              <w:t>Increased expenditure</w:t>
            </w:r>
            <w:r>
              <w:t>s will result</w:t>
            </w:r>
            <w:r w:rsidRPr="00CF47EA">
              <w:t xml:space="preserve"> from establishing portals for the three PHNs </w:t>
            </w:r>
            <w:r>
              <w:t>that</w:t>
            </w:r>
            <w:r w:rsidRPr="00CF47EA">
              <w:t xml:space="preserve"> do not already have it, and expanding the </w:t>
            </w:r>
            <w:r>
              <w:t>portal</w:t>
            </w:r>
            <w:r w:rsidRPr="00CF47EA">
              <w:t xml:space="preserve"> beyond </w:t>
            </w:r>
            <w:r>
              <w:t xml:space="preserve">the health sector to include schools and psychosocial supports, </w:t>
            </w:r>
            <w:r w:rsidRPr="00CF47EA">
              <w:t xml:space="preserve">across all </w:t>
            </w:r>
            <w:r>
              <w:t xml:space="preserve">regional commissioning authorities. </w:t>
            </w:r>
          </w:p>
          <w:p w14:paraId="36C4DF1D" w14:textId="77777777" w:rsidR="009C6940" w:rsidRDefault="009C6940" w:rsidP="009C6940">
            <w:pPr>
              <w:pStyle w:val="Box"/>
            </w:pPr>
            <w:r>
              <w:t>Initial expenditures of $2.6</w:t>
            </w:r>
            <w:r>
              <w:noBreakHyphen/>
              <w:t>4.3 million are required to expand online navigation portals to include non</w:t>
            </w:r>
            <w:r>
              <w:noBreakHyphen/>
              <w:t xml:space="preserve">clinical services, and to establish portals in the three regions not yet covered by HealthPathways. </w:t>
            </w:r>
          </w:p>
          <w:p w14:paraId="39B03D64" w14:textId="77777777" w:rsidR="009C6940" w:rsidRPr="00CA399C" w:rsidRDefault="009C6940" w:rsidP="009C6940">
            <w:pPr>
              <w:pStyle w:val="BoxListBullet"/>
              <w:rPr>
                <w:rFonts w:ascii="Times New Roman" w:hAnsi="Times New Roman"/>
                <w:sz w:val="24"/>
                <w:szCs w:val="24"/>
              </w:rPr>
            </w:pPr>
            <w:r>
              <w:t xml:space="preserve">Startup costs are based on the $282 400 to establish the HealthPathways portal in Mackay </w:t>
            </w:r>
            <w:r w:rsidRPr="00D80781">
              <w:rPr>
                <w:rFonts w:cs="Arial"/>
                <w:szCs w:val="24"/>
              </w:rPr>
              <w:t>(Blythe, Lee and Kularatna 2019)</w:t>
            </w:r>
            <w:r>
              <w:t>.</w:t>
            </w:r>
          </w:p>
          <w:p w14:paraId="393007B6" w14:textId="77777777" w:rsidR="009C6940" w:rsidRDefault="009C6940" w:rsidP="009C6940">
            <w:pPr>
              <w:pStyle w:val="BoxListBullet"/>
            </w:pPr>
            <w:r>
              <w:rPr>
                <w:noProof/>
              </w:rPr>
              <w:t xml:space="preserve">The cost estimates used in this report also take into account </w:t>
            </w:r>
            <w:r>
              <w:t>that an additional 20% ($1 750 880) and an upper bound estimate of an additional 40% ($3 501 760) may be needed to expand the coverage of portals across all regions.</w:t>
            </w:r>
          </w:p>
          <w:p w14:paraId="02A4978E" w14:textId="77777777" w:rsidR="009C6940" w:rsidRDefault="009C6940" w:rsidP="009C6940">
            <w:pPr>
              <w:pStyle w:val="Box"/>
              <w:rPr>
                <w:rStyle w:val="BoxChar"/>
              </w:rPr>
            </w:pPr>
            <w:r>
              <w:rPr>
                <w:rStyle w:val="BoxChar"/>
              </w:rPr>
              <w:t>O</w:t>
            </w:r>
            <w:r w:rsidRPr="00CA399C">
              <w:rPr>
                <w:rStyle w:val="BoxChar"/>
              </w:rPr>
              <w:t>ngoing annual cost</w:t>
            </w:r>
            <w:r>
              <w:rPr>
                <w:rStyle w:val="BoxChar"/>
              </w:rPr>
              <w:t>s</w:t>
            </w:r>
            <w:r w:rsidRPr="00CA399C">
              <w:rPr>
                <w:rStyle w:val="BoxChar"/>
              </w:rPr>
              <w:t xml:space="preserve"> </w:t>
            </w:r>
            <w:r>
              <w:rPr>
                <w:rStyle w:val="BoxChar"/>
              </w:rPr>
              <w:t xml:space="preserve">are estimated to be </w:t>
            </w:r>
            <w:r>
              <w:t>about</w:t>
            </w:r>
            <w:r w:rsidRPr="00710CD5">
              <w:t xml:space="preserve"> </w:t>
            </w:r>
            <w:r>
              <w:rPr>
                <w:rStyle w:val="BoxChar"/>
              </w:rPr>
              <w:t>$3.4–5.7 million, and include:</w:t>
            </w:r>
          </w:p>
          <w:p w14:paraId="7F56CC2B" w14:textId="77777777" w:rsidR="009C6940" w:rsidRDefault="009C6940" w:rsidP="009C6940">
            <w:pPr>
              <w:pStyle w:val="BoxListBullet"/>
              <w:rPr>
                <w:rStyle w:val="BoxChar"/>
              </w:rPr>
            </w:pPr>
            <w:r w:rsidRPr="00CA399C">
              <w:rPr>
                <w:rStyle w:val="BoxChar"/>
              </w:rPr>
              <w:t>the cost</w:t>
            </w:r>
            <w:r>
              <w:rPr>
                <w:rStyle w:val="BoxChar"/>
              </w:rPr>
              <w:t>s</w:t>
            </w:r>
            <w:r w:rsidRPr="00CA399C">
              <w:rPr>
                <w:rStyle w:val="BoxChar"/>
              </w:rPr>
              <w:t xml:space="preserve"> of the additional three portals, based on the ongoing annual cost of $369 400 fo</w:t>
            </w:r>
            <w:r>
              <w:rPr>
                <w:rStyle w:val="BoxChar"/>
              </w:rPr>
              <w:t>r the portal in Mackay</w:t>
            </w:r>
          </w:p>
          <w:p w14:paraId="3FE3868F" w14:textId="77777777" w:rsidR="009C6940" w:rsidRDefault="009C6940" w:rsidP="009C6940">
            <w:pPr>
              <w:pStyle w:val="BoxListBullet"/>
            </w:pPr>
            <w:r>
              <w:rPr>
                <w:rStyle w:val="BoxChar"/>
              </w:rPr>
              <w:t>an additional lower bound estimate of 20% ($2 290 280) and upper bound of 40% ($4 580 560) in ongoing costs to manage the non</w:t>
            </w:r>
            <w:r>
              <w:rPr>
                <w:rStyle w:val="BoxChar"/>
              </w:rPr>
              <w:noBreakHyphen/>
              <w:t xml:space="preserve">clinical content in the portal </w:t>
            </w:r>
            <w:r w:rsidRPr="00D80781">
              <w:rPr>
                <w:rFonts w:cs="Arial"/>
                <w:szCs w:val="24"/>
              </w:rPr>
              <w:t>(Blythe, Lee and Kularatna 2019)</w:t>
            </w:r>
            <w:r>
              <w:t>.</w:t>
            </w:r>
          </w:p>
        </w:tc>
      </w:tr>
      <w:tr w:rsidR="009C6940" w14:paraId="1712020E" w14:textId="77777777" w:rsidTr="009C6940">
        <w:tc>
          <w:tcPr>
            <w:tcW w:w="5000" w:type="pct"/>
            <w:tcBorders>
              <w:top w:val="nil"/>
              <w:left w:val="nil"/>
              <w:bottom w:val="nil"/>
              <w:right w:val="nil"/>
            </w:tcBorders>
            <w:shd w:val="clear" w:color="auto" w:fill="F2F2F2"/>
          </w:tcPr>
          <w:p w14:paraId="2967E751" w14:textId="77777777" w:rsidR="009C6940" w:rsidRDefault="009C6940" w:rsidP="009C6940">
            <w:pPr>
              <w:pStyle w:val="BoxHeading1"/>
            </w:pPr>
            <w:r>
              <w:t>Additional considerations</w:t>
            </w:r>
          </w:p>
          <w:p w14:paraId="1221DB61" w14:textId="77777777" w:rsidR="009C6940" w:rsidRDefault="009C6940" w:rsidP="009C6940">
            <w:pPr>
              <w:pStyle w:val="BoxListBullet"/>
              <w:numPr>
                <w:ilvl w:val="0"/>
                <w:numId w:val="3"/>
              </w:numPr>
            </w:pPr>
            <w:r>
              <w:t>These estimates are based on the implementation of HealthPathways in Mackay. Any regional differences in costs (such as wages) are not take into account.</w:t>
            </w:r>
          </w:p>
          <w:p w14:paraId="37E9E09F" w14:textId="77777777" w:rsidR="009C6940" w:rsidRDefault="009C6940" w:rsidP="009C6940">
            <w:pPr>
              <w:pStyle w:val="BoxListBullet"/>
              <w:numPr>
                <w:ilvl w:val="0"/>
                <w:numId w:val="3"/>
              </w:numPr>
            </w:pPr>
            <w:r>
              <w:t xml:space="preserve">The Productivity Commission is not recommending that governments adopt any particular model for the online navigation platforms. A navigation platform that is different to HealthPathways is likely to have different costs. </w:t>
            </w:r>
          </w:p>
          <w:p w14:paraId="225AF913" w14:textId="77777777" w:rsidR="009C6940" w:rsidRPr="000C6859" w:rsidRDefault="009C6940" w:rsidP="009C6940">
            <w:pPr>
              <w:pStyle w:val="BoxListBullet"/>
              <w:numPr>
                <w:ilvl w:val="0"/>
                <w:numId w:val="3"/>
              </w:numPr>
            </w:pPr>
            <w:r>
              <w:t xml:space="preserve">Additional changes to platforms over time, such as including the ability to make bookings with providers through the platform, will likely increase the cost of the platform, which is not accounted for in these estimates. </w:t>
            </w:r>
          </w:p>
        </w:tc>
      </w:tr>
      <w:tr w:rsidR="009C6940" w14:paraId="0AD4F80E" w14:textId="77777777" w:rsidTr="009C6940">
        <w:tc>
          <w:tcPr>
            <w:tcW w:w="5000" w:type="pct"/>
            <w:tcBorders>
              <w:top w:val="nil"/>
              <w:left w:val="nil"/>
              <w:bottom w:val="single" w:sz="6" w:space="0" w:color="78A22F"/>
              <w:right w:val="nil"/>
            </w:tcBorders>
            <w:shd w:val="clear" w:color="auto" w:fill="F2F2F2"/>
          </w:tcPr>
          <w:p w14:paraId="28E596BF" w14:textId="77777777" w:rsidR="009C6940" w:rsidRDefault="009C6940" w:rsidP="009C6940">
            <w:pPr>
              <w:pStyle w:val="Box"/>
              <w:spacing w:before="0" w:line="120" w:lineRule="exact"/>
            </w:pPr>
          </w:p>
        </w:tc>
      </w:tr>
      <w:tr w:rsidR="009C6940" w:rsidRPr="000863A5" w14:paraId="64DD0835" w14:textId="77777777" w:rsidTr="009C6940">
        <w:tc>
          <w:tcPr>
            <w:tcW w:w="5000" w:type="pct"/>
            <w:tcBorders>
              <w:top w:val="single" w:sz="6" w:space="0" w:color="78A22F"/>
              <w:left w:val="nil"/>
              <w:bottom w:val="nil"/>
              <w:right w:val="nil"/>
            </w:tcBorders>
          </w:tcPr>
          <w:p w14:paraId="273CDC52" w14:textId="77777777" w:rsidR="009C6940" w:rsidRPr="00626D32" w:rsidRDefault="009C6940" w:rsidP="009C6940">
            <w:pPr>
              <w:pStyle w:val="BoxSpaceBelow"/>
            </w:pPr>
          </w:p>
        </w:tc>
      </w:tr>
    </w:tbl>
    <w:p w14:paraId="0E90D1F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6848E9C" w14:textId="77777777" w:rsidTr="009C6940">
        <w:trPr>
          <w:tblHeader/>
        </w:trPr>
        <w:tc>
          <w:tcPr>
            <w:tcW w:w="5000" w:type="pct"/>
            <w:tcBorders>
              <w:top w:val="single" w:sz="6" w:space="0" w:color="78A22F"/>
              <w:left w:val="nil"/>
              <w:bottom w:val="nil"/>
              <w:right w:val="nil"/>
            </w:tcBorders>
            <w:shd w:val="clear" w:color="auto" w:fill="F2F2F2"/>
          </w:tcPr>
          <w:p w14:paraId="64D3BC1B" w14:textId="77777777" w:rsidR="009C6940" w:rsidRPr="00D11A6E" w:rsidRDefault="009C6940" w:rsidP="009C6940">
            <w:pPr>
              <w:pStyle w:val="BoxHeading1"/>
              <w:tabs>
                <w:tab w:val="left" w:pos="1109"/>
              </w:tabs>
              <w:rPr>
                <w:sz w:val="24"/>
                <w:szCs w:val="24"/>
              </w:rPr>
            </w:pPr>
            <w:r>
              <w:rPr>
                <w:sz w:val="24"/>
                <w:szCs w:val="24"/>
              </w:rPr>
              <w:t>Action</w:t>
            </w:r>
            <w:r>
              <w:rPr>
                <w:sz w:val="24"/>
                <w:szCs w:val="24"/>
              </w:rPr>
              <w:tab/>
            </w:r>
            <w:r w:rsidRPr="00D11A6E">
              <w:rPr>
                <w:sz w:val="24"/>
                <w:szCs w:val="24"/>
              </w:rPr>
              <w:t xml:space="preserve"> Care coordination</w:t>
            </w:r>
            <w:r>
              <w:rPr>
                <w:sz w:val="24"/>
                <w:szCs w:val="24"/>
              </w:rPr>
              <w:t xml:space="preserve"> services and single care plans</w:t>
            </w:r>
          </w:p>
          <w:p w14:paraId="29E44DAC" w14:textId="77777777" w:rsidR="009C6940" w:rsidRDefault="009C6940" w:rsidP="009C6940">
            <w:pPr>
              <w:pStyle w:val="Box"/>
            </w:pPr>
            <w:r>
              <w:t xml:space="preserve">Care coordination services and single care plans should made available to people </w:t>
            </w:r>
            <w:r w:rsidRPr="00C57B0B">
              <w:t>with severe and persistent mental illness</w:t>
            </w:r>
            <w:r>
              <w:t xml:space="preserve"> who need them due to their complex health and social needs.</w:t>
            </w:r>
          </w:p>
        </w:tc>
      </w:tr>
      <w:tr w:rsidR="009C6940" w14:paraId="5E64B3E7" w14:textId="77777777" w:rsidTr="009C6940">
        <w:tc>
          <w:tcPr>
            <w:tcW w:w="5000" w:type="pct"/>
            <w:tcBorders>
              <w:top w:val="nil"/>
              <w:left w:val="nil"/>
              <w:bottom w:val="nil"/>
              <w:right w:val="nil"/>
            </w:tcBorders>
            <w:shd w:val="clear" w:color="auto" w:fill="F2F2F2"/>
          </w:tcPr>
          <w:p w14:paraId="165FC952" w14:textId="77777777" w:rsidR="009C6940" w:rsidRDefault="009C6940" w:rsidP="009C6940">
            <w:pPr>
              <w:pStyle w:val="BoxHeading1"/>
              <w:spacing w:before="120"/>
            </w:pPr>
            <w:r>
              <w:t>Population</w:t>
            </w:r>
          </w:p>
          <w:p w14:paraId="73BB0FAD" w14:textId="77777777" w:rsidR="009C6940" w:rsidRDefault="009C6940" w:rsidP="009C6940">
            <w:pPr>
              <w:pStyle w:val="BoxListBullet"/>
              <w:numPr>
                <w:ilvl w:val="0"/>
                <w:numId w:val="3"/>
              </w:numPr>
            </w:pPr>
            <w:r>
              <w:t>There are estimated to be about</w:t>
            </w:r>
            <w:r w:rsidRPr="00710CD5">
              <w:t xml:space="preserve"> </w:t>
            </w:r>
            <w:r>
              <w:t xml:space="preserve">354 000 people with severe mental illness and complex needs who require a care coordinator. </w:t>
            </w:r>
          </w:p>
          <w:p w14:paraId="6A554539" w14:textId="77777777" w:rsidR="009C6940" w:rsidRDefault="009C6940" w:rsidP="009C6940">
            <w:pPr>
              <w:pStyle w:val="BoxListBullet2"/>
              <w:ind w:left="567" w:hanging="283"/>
            </w:pPr>
            <w:r>
              <w:t xml:space="preserve">64 000 of these people have the highest psychosocial needs, and are expected to receive these services from the National Disability Insurance Scheme (NDIS). </w:t>
            </w:r>
          </w:p>
          <w:p w14:paraId="644D92C4" w14:textId="77777777" w:rsidR="009C6940" w:rsidRDefault="009C6940" w:rsidP="009C6940">
            <w:pPr>
              <w:pStyle w:val="BoxListBullet2"/>
              <w:ind w:left="567" w:hanging="283"/>
            </w:pPr>
            <w:r>
              <w:t xml:space="preserve">This leaves about 290 000 people who require a care coordinator. </w:t>
            </w:r>
          </w:p>
          <w:p w14:paraId="0F045B19" w14:textId="77777777" w:rsidR="009C6940" w:rsidRDefault="009C6940" w:rsidP="009C6940">
            <w:pPr>
              <w:pStyle w:val="BoxListBullet"/>
              <w:numPr>
                <w:ilvl w:val="0"/>
                <w:numId w:val="3"/>
              </w:numPr>
            </w:pPr>
            <w:r>
              <w:t>There are also 400 000 people who require high</w:t>
            </w:r>
            <w:r>
              <w:noBreakHyphen/>
              <w:t>intensity care, and are assumed to require a single care plan, This includes people with:</w:t>
            </w:r>
          </w:p>
          <w:p w14:paraId="35278528" w14:textId="77777777" w:rsidR="009C6940" w:rsidRDefault="009C6940" w:rsidP="009C6940">
            <w:pPr>
              <w:pStyle w:val="BoxListBullet2"/>
              <w:ind w:left="567" w:hanging="283"/>
            </w:pPr>
            <w:r>
              <w:t>physical and/or substance use comorbidities in addition to their mental illness</w:t>
            </w:r>
          </w:p>
          <w:p w14:paraId="482C166A" w14:textId="77777777" w:rsidR="009C6940" w:rsidRDefault="009C6940" w:rsidP="009C6940">
            <w:pPr>
              <w:pStyle w:val="BoxListBullet2"/>
              <w:ind w:left="567" w:hanging="283"/>
            </w:pPr>
            <w:r>
              <w:t xml:space="preserve">moderate to severe mental illness </w:t>
            </w:r>
            <w:r w:rsidRPr="00594590">
              <w:t>who require psychosocial support services due to their mental ill</w:t>
            </w:r>
            <w:r>
              <w:noBreakHyphen/>
            </w:r>
            <w:r w:rsidRPr="00594590">
              <w:t>health, and are not receiving care coordination services</w:t>
            </w:r>
            <w:r>
              <w:t xml:space="preserve"> (chapter 15).</w:t>
            </w:r>
          </w:p>
        </w:tc>
      </w:tr>
      <w:tr w:rsidR="009C6940" w14:paraId="077275E7" w14:textId="77777777" w:rsidTr="009C6940">
        <w:tc>
          <w:tcPr>
            <w:tcW w:w="5000" w:type="pct"/>
            <w:tcBorders>
              <w:top w:val="nil"/>
              <w:left w:val="nil"/>
              <w:bottom w:val="nil"/>
              <w:right w:val="nil"/>
            </w:tcBorders>
            <w:shd w:val="clear" w:color="auto" w:fill="F2F2F2"/>
          </w:tcPr>
          <w:p w14:paraId="58568520" w14:textId="77777777" w:rsidR="009C6940" w:rsidRDefault="009C6940" w:rsidP="009C6940">
            <w:pPr>
              <w:pStyle w:val="BoxHeading1"/>
              <w:spacing w:before="120"/>
            </w:pPr>
            <w:r>
              <w:t>Effect</w:t>
            </w:r>
          </w:p>
          <w:p w14:paraId="0A3DFF29" w14:textId="77777777" w:rsidR="009C6940" w:rsidRDefault="009C6940" w:rsidP="009C6940">
            <w:pPr>
              <w:pStyle w:val="Box"/>
            </w:pPr>
            <w:r>
              <w:t>These actions are in place to support the implementation and effectiveness of other healthcare actions.</w:t>
            </w:r>
          </w:p>
        </w:tc>
      </w:tr>
      <w:tr w:rsidR="009C6940" w14:paraId="63F0D651" w14:textId="77777777" w:rsidTr="009C6940">
        <w:tc>
          <w:tcPr>
            <w:tcW w:w="5000" w:type="pct"/>
            <w:tcBorders>
              <w:top w:val="nil"/>
              <w:left w:val="nil"/>
              <w:bottom w:val="nil"/>
              <w:right w:val="nil"/>
            </w:tcBorders>
            <w:shd w:val="clear" w:color="auto" w:fill="F2F2F2"/>
          </w:tcPr>
          <w:p w14:paraId="4D21E6A0" w14:textId="77777777" w:rsidR="009C6940" w:rsidRDefault="009C6940" w:rsidP="009C6940">
            <w:pPr>
              <w:pStyle w:val="BoxHeading1"/>
              <w:spacing w:before="120"/>
            </w:pPr>
            <w:r>
              <w:t>Costs</w:t>
            </w:r>
          </w:p>
          <w:p w14:paraId="28995B72" w14:textId="77777777" w:rsidR="009C6940" w:rsidRDefault="009C6940" w:rsidP="009C6940">
            <w:pPr>
              <w:pStyle w:val="BoxListBullet"/>
            </w:pPr>
            <w:r w:rsidRPr="003B7A94">
              <w:t xml:space="preserve">The NMHSPF includes a range of care profiles that require care coordination services, with </w:t>
            </w:r>
            <w:r>
              <w:t xml:space="preserve">the </w:t>
            </w:r>
            <w:r w:rsidRPr="003B7A94">
              <w:t>cost per person ranging from $56 to $1622, depending on the level of services required. It is assumed that people on the NDIS have the highest care coordination cost per person, while those who require a single care plan have the lowest costs. A plausible range of costs of between $</w:t>
            </w:r>
            <w:r>
              <w:t>475–</w:t>
            </w:r>
            <w:r w:rsidRPr="003B7A94">
              <w:t>1217</w:t>
            </w:r>
            <w:r>
              <w:t> </w:t>
            </w:r>
            <w:r w:rsidRPr="003B7A94">
              <w:t xml:space="preserve">per person is assumed </w:t>
            </w:r>
            <w:r>
              <w:t>in</w:t>
            </w:r>
            <w:r w:rsidRPr="003B7A94">
              <w:t xml:space="preserve"> estimat</w:t>
            </w:r>
            <w:r>
              <w:t>ing</w:t>
            </w:r>
            <w:r w:rsidRPr="003B7A94">
              <w:t xml:space="preserve"> total expected care coordination costs. Total care coordination costs for the 2</w:t>
            </w:r>
            <w:r>
              <w:t>90 </w:t>
            </w:r>
            <w:r w:rsidRPr="003B7A94">
              <w:t xml:space="preserve">000 </w:t>
            </w:r>
            <w:r>
              <w:t>adults</w:t>
            </w:r>
            <w:r w:rsidRPr="003B7A94">
              <w:t xml:space="preserve"> requiring care coordination services outside the NDIS are estimated to range between $</w:t>
            </w:r>
            <w:r>
              <w:t>138–353 </w:t>
            </w:r>
            <w:r w:rsidRPr="003B7A94">
              <w:t>million.</w:t>
            </w:r>
          </w:p>
          <w:p w14:paraId="1E55FDA8" w14:textId="77777777" w:rsidR="009C6940" w:rsidRDefault="009C6940" w:rsidP="009C6940">
            <w:pPr>
              <w:pStyle w:val="BoxListBullet"/>
            </w:pPr>
            <w:r>
              <w:t>Single care plans are costed on the assumption that a care plan is developed and reviewed each year by a clinician, usually a GP. This is estimated to cost $189.35 per person (</w:t>
            </w:r>
            <w:r w:rsidRPr="00725582">
              <w:t>MBS Online</w:t>
            </w:r>
            <w:r>
              <w:t xml:space="preserve">). It is assumed that between 50% to 80% of people will have their care plan developed </w:t>
            </w:r>
            <w:r w:rsidRPr="00725582">
              <w:t>and managed</w:t>
            </w:r>
            <w:r>
              <w:t xml:space="preserve"> by a clinician who will receive these rebates. This suggests a total cost of $38–61 million. </w:t>
            </w:r>
            <w:r w:rsidRPr="00725582">
              <w:t>Where the care plan is developed and managed by a worker who is not eligible for the MBS, for example, a psychosocial support worker, these activities are assumed to be part of their usual duties, and incurs no additional cost.</w:t>
            </w:r>
          </w:p>
        </w:tc>
      </w:tr>
      <w:tr w:rsidR="009C6940" w14:paraId="0BECAB5C" w14:textId="77777777" w:rsidTr="009C6940">
        <w:tc>
          <w:tcPr>
            <w:tcW w:w="5000" w:type="pct"/>
            <w:tcBorders>
              <w:top w:val="nil"/>
              <w:left w:val="nil"/>
              <w:bottom w:val="nil"/>
              <w:right w:val="nil"/>
            </w:tcBorders>
            <w:shd w:val="clear" w:color="auto" w:fill="F2F2F2"/>
          </w:tcPr>
          <w:p w14:paraId="295ADBC9" w14:textId="77777777" w:rsidR="009C6940" w:rsidRDefault="009C6940" w:rsidP="009C6940">
            <w:pPr>
              <w:pStyle w:val="BoxHeading1"/>
              <w:spacing w:before="120"/>
            </w:pPr>
            <w:r>
              <w:t>Additional considerations</w:t>
            </w:r>
          </w:p>
          <w:p w14:paraId="1DAE7940" w14:textId="77777777" w:rsidR="009C6940" w:rsidRDefault="009C6940" w:rsidP="009C6940">
            <w:pPr>
              <w:pStyle w:val="BoxListBullet"/>
            </w:pPr>
            <w:r>
              <w:t>There is a lack of information about how many people already receive care coordination services or have single care plans outside of the NDIS. The actual number of people who require these services will be less than the estimated 290 000 and 400 000 people assumed. As a result the actual increase in costs will be also be lower than estimated.</w:t>
            </w:r>
          </w:p>
          <w:p w14:paraId="496E4DD0" w14:textId="77777777" w:rsidR="009C6940" w:rsidRDefault="009C6940" w:rsidP="009C6940">
            <w:pPr>
              <w:pStyle w:val="BoxListBullet"/>
            </w:pPr>
            <w:r>
              <w:t xml:space="preserve">People receiving care coordination services will also require a single care plan. This is assumed to be included in the cost of care coordination services. </w:t>
            </w:r>
          </w:p>
          <w:p w14:paraId="27ABFBEE" w14:textId="77777777" w:rsidR="009C6940" w:rsidRDefault="009C6940" w:rsidP="009C6940">
            <w:pPr>
              <w:pStyle w:val="BoxListBullet"/>
            </w:pPr>
            <w:r>
              <w:t>Community ambulatory services include care coordination services. The cost of providing care coordination costs for these people are included in the costing of reforms to community ambulatory services.</w:t>
            </w:r>
          </w:p>
        </w:tc>
      </w:tr>
      <w:tr w:rsidR="009C6940" w14:paraId="115854EC" w14:textId="77777777" w:rsidTr="009C6940">
        <w:tc>
          <w:tcPr>
            <w:tcW w:w="5000" w:type="pct"/>
            <w:tcBorders>
              <w:top w:val="nil"/>
              <w:left w:val="nil"/>
              <w:bottom w:val="single" w:sz="6" w:space="0" w:color="78A22F"/>
              <w:right w:val="nil"/>
            </w:tcBorders>
            <w:shd w:val="clear" w:color="auto" w:fill="F2F2F2"/>
          </w:tcPr>
          <w:p w14:paraId="1176B05B" w14:textId="77777777" w:rsidR="009C6940" w:rsidRDefault="009C6940" w:rsidP="009C6940">
            <w:pPr>
              <w:pStyle w:val="Box"/>
              <w:spacing w:before="0" w:line="120" w:lineRule="exact"/>
            </w:pPr>
          </w:p>
        </w:tc>
      </w:tr>
      <w:tr w:rsidR="009C6940" w:rsidRPr="000863A5" w14:paraId="223D7E73" w14:textId="77777777" w:rsidTr="009C6940">
        <w:tc>
          <w:tcPr>
            <w:tcW w:w="5000" w:type="pct"/>
            <w:tcBorders>
              <w:top w:val="single" w:sz="6" w:space="0" w:color="78A22F"/>
              <w:left w:val="nil"/>
              <w:bottom w:val="nil"/>
              <w:right w:val="nil"/>
            </w:tcBorders>
          </w:tcPr>
          <w:p w14:paraId="04BEAE9D" w14:textId="77777777" w:rsidR="009C6940" w:rsidRPr="00626D32" w:rsidRDefault="009C6940" w:rsidP="009C6940">
            <w:pPr>
              <w:pStyle w:val="BoxSpaceBelow"/>
            </w:pPr>
          </w:p>
        </w:tc>
      </w:tr>
    </w:tbl>
    <w:p w14:paraId="2C28CB35" w14:textId="77777777" w:rsidR="009C6940" w:rsidRPr="00A7274B" w:rsidRDefault="009C6940" w:rsidP="009C6940">
      <w:pPr>
        <w:pStyle w:val="Heading2"/>
        <w:spacing w:after="360"/>
      </w:pPr>
      <w:r w:rsidRPr="00A7274B">
        <w:lastRenderedPageBreak/>
        <w:t>K.</w:t>
      </w:r>
      <w:r>
        <w:rPr>
          <w:noProof/>
        </w:rPr>
        <w:t>2</w:t>
      </w:r>
      <w:r w:rsidRPr="00A7274B">
        <w:tab/>
        <w:t>Carers and families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17F9D11" w14:textId="77777777" w:rsidTr="009C6940">
        <w:trPr>
          <w:tblHeader/>
        </w:trPr>
        <w:tc>
          <w:tcPr>
            <w:tcW w:w="5000" w:type="pct"/>
            <w:tcBorders>
              <w:top w:val="single" w:sz="6" w:space="0" w:color="78A22F"/>
              <w:left w:val="nil"/>
              <w:bottom w:val="nil"/>
              <w:right w:val="nil"/>
            </w:tcBorders>
            <w:shd w:val="clear" w:color="auto" w:fill="F2F2F2"/>
          </w:tcPr>
          <w:p w14:paraId="34088A65" w14:textId="77777777" w:rsidR="009C6940" w:rsidRDefault="009C6940" w:rsidP="009C6940">
            <w:pPr>
              <w:pStyle w:val="BoxHeading1"/>
              <w:tabs>
                <w:tab w:val="left" w:pos="1092"/>
              </w:tabs>
              <w:ind w:left="1092" w:hanging="1092"/>
              <w:rPr>
                <w:sz w:val="24"/>
                <w:szCs w:val="24"/>
              </w:rPr>
            </w:pPr>
            <w:r>
              <w:rPr>
                <w:sz w:val="24"/>
                <w:szCs w:val="24"/>
              </w:rPr>
              <w:t>Action</w:t>
            </w:r>
            <w:r>
              <w:rPr>
                <w:sz w:val="24"/>
                <w:szCs w:val="24"/>
              </w:rPr>
              <w:tab/>
              <w:t>G</w:t>
            </w:r>
            <w:r w:rsidRPr="00741541">
              <w:rPr>
                <w:sz w:val="24"/>
                <w:szCs w:val="24"/>
              </w:rPr>
              <w:t>reater s</w:t>
            </w:r>
            <w:r>
              <w:rPr>
                <w:sz w:val="24"/>
                <w:szCs w:val="24"/>
              </w:rPr>
              <w:t xml:space="preserve">upport for carers and families </w:t>
            </w:r>
            <w:r w:rsidRPr="00741541">
              <w:rPr>
                <w:sz w:val="24"/>
                <w:szCs w:val="24"/>
              </w:rPr>
              <w:t>within mental healthcare and support services</w:t>
            </w:r>
            <w:r>
              <w:rPr>
                <w:sz w:val="24"/>
                <w:szCs w:val="24"/>
              </w:rPr>
              <w:t xml:space="preserve"> </w:t>
            </w:r>
          </w:p>
          <w:p w14:paraId="46B20BE0" w14:textId="77777777" w:rsidR="009C6940" w:rsidRDefault="009C6940" w:rsidP="009C6940">
            <w:pPr>
              <w:pStyle w:val="Box"/>
            </w:pPr>
            <w:r>
              <w:t>A range of actions to benefit the carers and families of people with mental illness are presented in chapter 18, including:</w:t>
            </w:r>
          </w:p>
          <w:p w14:paraId="377E5948" w14:textId="77777777" w:rsidR="009C6940" w:rsidRDefault="009C6940" w:rsidP="009C6940">
            <w:pPr>
              <w:pStyle w:val="BoxListBullet"/>
            </w:pPr>
            <w:r>
              <w:t>the promotion of family</w:t>
            </w:r>
            <w:r>
              <w:noBreakHyphen/>
              <w:t xml:space="preserve"> and carer</w:t>
            </w:r>
            <w:r>
              <w:noBreakHyphen/>
              <w:t xml:space="preserve">inclusive practices in mental health services </w:t>
            </w:r>
          </w:p>
          <w:p w14:paraId="0533EEE2" w14:textId="77777777" w:rsidR="009C6940" w:rsidRDefault="009C6940" w:rsidP="009C6940">
            <w:pPr>
              <w:pStyle w:val="BoxListBullet"/>
            </w:pPr>
            <w:r>
              <w:t>improvements to the responsibilities, planning and evaluation of carer and family support services in the community.</w:t>
            </w:r>
          </w:p>
          <w:p w14:paraId="346011C5" w14:textId="77777777" w:rsidR="009C6940" w:rsidRDefault="009C6940" w:rsidP="009C6940">
            <w:pPr>
              <w:pStyle w:val="Box"/>
              <w:spacing w:before="80"/>
            </w:pPr>
            <w:r w:rsidRPr="00653836">
              <w:t>Family</w:t>
            </w:r>
            <w:r>
              <w:noBreakHyphen/>
            </w:r>
            <w:r w:rsidRPr="00653836">
              <w:t xml:space="preserve"> and carer</w:t>
            </w:r>
            <w:r>
              <w:noBreakHyphen/>
            </w:r>
            <w:r w:rsidRPr="00653836">
              <w:t>inclusive practice requires men</w:t>
            </w:r>
            <w:r>
              <w:t xml:space="preserve">tal health services to consider the needs of </w:t>
            </w:r>
            <w:r w:rsidRPr="00653836">
              <w:t>family members’ and carers’</w:t>
            </w:r>
            <w:r w:rsidRPr="00553243">
              <w:t>, and their role in contributing to the recovery of individuals wit</w:t>
            </w:r>
            <w:r>
              <w:t>h mental illness. The proposed action includes expanded access to rebated carer and family consultations, as well as increased accountability and capacity within state and territory mental healthcare services.</w:t>
            </w:r>
          </w:p>
          <w:p w14:paraId="649678D9" w14:textId="77777777" w:rsidR="009C6940" w:rsidRDefault="009C6940" w:rsidP="009C6940">
            <w:pPr>
              <w:pStyle w:val="Box"/>
              <w:spacing w:before="80"/>
            </w:pPr>
            <w:r>
              <w:t xml:space="preserve">Improvements to carer and family support services in the community are assumed to fill unmet needs over time. </w:t>
            </w:r>
          </w:p>
          <w:p w14:paraId="7BA70534" w14:textId="77777777" w:rsidR="009C6940" w:rsidRDefault="009C6940" w:rsidP="009C6940">
            <w:pPr>
              <w:pStyle w:val="Box"/>
              <w:spacing w:before="80"/>
            </w:pPr>
            <w:r>
              <w:t>These actions are assumed to benefit carers and families in a single benefit that represents the cumulative effect of these proposed changes.</w:t>
            </w:r>
          </w:p>
        </w:tc>
      </w:tr>
      <w:tr w:rsidR="009C6940" w14:paraId="64A27D01" w14:textId="77777777" w:rsidTr="009C6940">
        <w:tc>
          <w:tcPr>
            <w:tcW w:w="5000" w:type="pct"/>
            <w:tcBorders>
              <w:top w:val="nil"/>
              <w:left w:val="nil"/>
              <w:bottom w:val="nil"/>
              <w:right w:val="nil"/>
            </w:tcBorders>
            <w:shd w:val="clear" w:color="auto" w:fill="F2F2F2"/>
          </w:tcPr>
          <w:p w14:paraId="27B974B6" w14:textId="77777777" w:rsidR="009C6940" w:rsidRDefault="009C6940" w:rsidP="009C6940">
            <w:pPr>
              <w:pStyle w:val="BoxHeading1"/>
              <w:spacing w:before="120"/>
            </w:pPr>
            <w:r>
              <w:t>Population</w:t>
            </w:r>
          </w:p>
          <w:p w14:paraId="10BF344D" w14:textId="77777777" w:rsidR="009C6940" w:rsidRPr="00896B5F" w:rsidRDefault="009C6940" w:rsidP="00E9018C">
            <w:pPr>
              <w:pStyle w:val="Box"/>
              <w:spacing w:before="60"/>
              <w:rPr>
                <w:spacing w:val="2"/>
                <w:lang w:val="en-US"/>
              </w:rPr>
            </w:pPr>
            <w:r w:rsidRPr="00896B5F">
              <w:rPr>
                <w:spacing w:val="2"/>
                <w:lang w:val="en-US"/>
              </w:rPr>
              <w:t>There were almost 1 million carers of people with mental illness in 2018. Mental illness was the main condition of the care recipient for 414 000 (43%) of these mental health carers (chapter 18). However, not all carers require carer support services or interact with mental health services every year.</w:t>
            </w:r>
          </w:p>
          <w:p w14:paraId="12461AB5" w14:textId="77777777" w:rsidR="009C6940" w:rsidRPr="004A30C7" w:rsidRDefault="009C6940" w:rsidP="00E9018C">
            <w:pPr>
              <w:pStyle w:val="Box"/>
              <w:spacing w:before="60"/>
              <w:rPr>
                <w:lang w:val="en-US"/>
              </w:rPr>
            </w:pPr>
            <w:r w:rsidRPr="004A30C7">
              <w:rPr>
                <w:lang w:val="en-US"/>
              </w:rPr>
              <w:t xml:space="preserve">There are 96 000 primary carers </w:t>
            </w:r>
            <w:r w:rsidRPr="005E45AB">
              <w:rPr>
                <w:lang w:val="en-US"/>
              </w:rPr>
              <w:t>who co</w:t>
            </w:r>
            <w:r>
              <w:rPr>
                <w:lang w:val="en-US"/>
              </w:rPr>
              <w:noBreakHyphen/>
            </w:r>
            <w:r w:rsidRPr="005E45AB">
              <w:rPr>
                <w:lang w:val="en-US"/>
              </w:rPr>
              <w:t>resided with person whose main condition was mental illness in 2018</w:t>
            </w:r>
            <w:r w:rsidRPr="00F340B4">
              <w:rPr>
                <w:lang w:val="en-US"/>
              </w:rPr>
              <w:t xml:space="preserve"> (chapter</w:t>
            </w:r>
            <w:r>
              <w:rPr>
                <w:lang w:val="en-US"/>
              </w:rPr>
              <w:t> </w:t>
            </w:r>
            <w:r w:rsidRPr="00F67F34">
              <w:rPr>
                <w:lang w:val="en-US"/>
              </w:rPr>
              <w:t>18</w:t>
            </w:r>
            <w:r w:rsidRPr="004A30C7">
              <w:rPr>
                <w:lang w:val="en-US"/>
              </w:rPr>
              <w:t>) and it is estimated that 57% have unmet needs (</w:t>
            </w:r>
            <w:r w:rsidRPr="00F67F34">
              <w:rPr>
                <w:lang w:val="en-US"/>
              </w:rPr>
              <w:t>table 18.4</w:t>
            </w:r>
            <w:r>
              <w:rPr>
                <w:lang w:val="en-US"/>
              </w:rPr>
              <w:t xml:space="preserve">), suggesting that </w:t>
            </w:r>
            <w:r w:rsidRPr="00F340B4">
              <w:rPr>
                <w:lang w:val="en-US"/>
              </w:rPr>
              <w:t>there are</w:t>
            </w:r>
            <w:r>
              <w:rPr>
                <w:lang w:val="en-US"/>
              </w:rPr>
              <w:t xml:space="preserve"> in the order of</w:t>
            </w:r>
            <w:r w:rsidRPr="00F340B4">
              <w:rPr>
                <w:lang w:val="en-US"/>
              </w:rPr>
              <w:t xml:space="preserve"> </w:t>
            </w:r>
            <w:r>
              <w:rPr>
                <w:lang w:val="en-US"/>
              </w:rPr>
              <w:t>55</w:t>
            </w:r>
            <w:r w:rsidRPr="00F340B4">
              <w:rPr>
                <w:lang w:val="en-US"/>
              </w:rPr>
              <w:t> </w:t>
            </w:r>
            <w:r>
              <w:rPr>
                <w:lang w:val="en-US"/>
              </w:rPr>
              <w:t>00</w:t>
            </w:r>
            <w:r w:rsidRPr="00F340B4">
              <w:rPr>
                <w:lang w:val="en-US"/>
              </w:rPr>
              <w:t xml:space="preserve">0 carers who </w:t>
            </w:r>
            <w:r>
              <w:rPr>
                <w:lang w:val="en-US"/>
              </w:rPr>
              <w:t xml:space="preserve">are </w:t>
            </w:r>
            <w:r w:rsidRPr="00F340B4">
              <w:rPr>
                <w:lang w:val="en-US"/>
              </w:rPr>
              <w:t>assume</w:t>
            </w:r>
            <w:r>
              <w:rPr>
                <w:lang w:val="en-US"/>
              </w:rPr>
              <w:t>d</w:t>
            </w:r>
            <w:r w:rsidRPr="00F340B4">
              <w:rPr>
                <w:lang w:val="en-US"/>
              </w:rPr>
              <w:t xml:space="preserve"> </w:t>
            </w:r>
            <w:r>
              <w:rPr>
                <w:lang w:val="en-US"/>
              </w:rPr>
              <w:t>to</w:t>
            </w:r>
            <w:r w:rsidRPr="00F340B4">
              <w:rPr>
                <w:lang w:val="en-US"/>
              </w:rPr>
              <w:t xml:space="preserve"> benefit.</w:t>
            </w:r>
          </w:p>
          <w:p w14:paraId="267B5617" w14:textId="77777777" w:rsidR="009C6940" w:rsidRDefault="009C6940" w:rsidP="00E9018C">
            <w:pPr>
              <w:pStyle w:val="Box"/>
              <w:tabs>
                <w:tab w:val="left" w:pos="1680"/>
              </w:tabs>
              <w:spacing w:before="60"/>
            </w:pPr>
            <w:r w:rsidRPr="001A5EBD">
              <w:rPr>
                <w:lang w:val="en-US"/>
              </w:rPr>
              <w:t>There are 4</w:t>
            </w:r>
            <w:r>
              <w:rPr>
                <w:lang w:val="en-US"/>
              </w:rPr>
              <w:t xml:space="preserve">.4 million </w:t>
            </w:r>
            <w:r w:rsidRPr="001A5EBD">
              <w:rPr>
                <w:lang w:val="en-US"/>
              </w:rPr>
              <w:t>children and adolescents aged 4</w:t>
            </w:r>
            <w:r w:rsidRPr="001A5EBD">
              <w:rPr>
                <w:lang w:val="en-US"/>
              </w:rPr>
              <w:noBreakHyphen/>
              <w:t xml:space="preserve">17 </w:t>
            </w:r>
            <w:r w:rsidRPr="00D80781">
              <w:rPr>
                <w:rFonts w:cs="Arial"/>
                <w:szCs w:val="24"/>
              </w:rPr>
              <w:t>(ABS 2019a)</w:t>
            </w:r>
            <w:r w:rsidRPr="001A5EBD">
              <w:rPr>
                <w:lang w:val="en-US"/>
              </w:rPr>
              <w:t xml:space="preserve">. </w:t>
            </w:r>
            <w:r>
              <w:rPr>
                <w:lang w:val="en-US"/>
              </w:rPr>
              <w:t xml:space="preserve">Of their primary carers, </w:t>
            </w:r>
            <w:r w:rsidRPr="001A5EBD">
              <w:rPr>
                <w:lang w:val="en-US"/>
              </w:rPr>
              <w:t xml:space="preserve">4.6% reported that mental health problems had interfered with daily activities most or all of the time since the child was born </w:t>
            </w:r>
            <w:r w:rsidRPr="00D80781">
              <w:rPr>
                <w:rFonts w:cs="Arial"/>
                <w:szCs w:val="24"/>
              </w:rPr>
              <w:t>(Johnson et al. 2019)</w:t>
            </w:r>
            <w:r w:rsidRPr="001A5EBD">
              <w:rPr>
                <w:lang w:val="en-US"/>
              </w:rPr>
              <w:t xml:space="preserve">. </w:t>
            </w:r>
            <w:r>
              <w:rPr>
                <w:lang w:val="en-US"/>
              </w:rPr>
              <w:t>Assuming</w:t>
            </w:r>
            <w:r w:rsidRPr="001A5EBD">
              <w:rPr>
                <w:lang w:val="en-US"/>
              </w:rPr>
              <w:t xml:space="preserve"> one child per primary carer with mental health problems, </w:t>
            </w:r>
            <w:r>
              <w:rPr>
                <w:lang w:val="en-US"/>
              </w:rPr>
              <w:t>there may be</w:t>
            </w:r>
            <w:r w:rsidRPr="001A5EBD">
              <w:rPr>
                <w:lang w:val="en-US"/>
              </w:rPr>
              <w:t xml:space="preserve"> </w:t>
            </w:r>
            <w:r>
              <w:rPr>
                <w:lang w:val="en-US"/>
              </w:rPr>
              <w:t xml:space="preserve">about </w:t>
            </w:r>
            <w:r w:rsidRPr="001A5EBD">
              <w:rPr>
                <w:lang w:val="en-US"/>
              </w:rPr>
              <w:t>20</w:t>
            </w:r>
            <w:r>
              <w:rPr>
                <w:lang w:val="en-US"/>
              </w:rPr>
              <w:t>1</w:t>
            </w:r>
            <w:r w:rsidRPr="001A5EBD">
              <w:rPr>
                <w:lang w:val="en-US"/>
              </w:rPr>
              <w:t> </w:t>
            </w:r>
            <w:r>
              <w:rPr>
                <w:lang w:val="en-US"/>
              </w:rPr>
              <w:t>000 </w:t>
            </w:r>
            <w:r w:rsidRPr="001A5EBD">
              <w:rPr>
                <w:lang w:val="en-US"/>
              </w:rPr>
              <w:t>children of parents with mental illness who could benefit.</w:t>
            </w:r>
          </w:p>
        </w:tc>
      </w:tr>
      <w:tr w:rsidR="009C6940" w14:paraId="2F4D2E94" w14:textId="77777777" w:rsidTr="009C6940">
        <w:tc>
          <w:tcPr>
            <w:tcW w:w="5000" w:type="pct"/>
            <w:tcBorders>
              <w:top w:val="nil"/>
              <w:left w:val="nil"/>
              <w:bottom w:val="nil"/>
              <w:right w:val="nil"/>
            </w:tcBorders>
            <w:shd w:val="clear" w:color="auto" w:fill="F2F2F2"/>
          </w:tcPr>
          <w:p w14:paraId="48A28899" w14:textId="77777777" w:rsidR="009C6940" w:rsidRDefault="009C6940" w:rsidP="009C6940">
            <w:pPr>
              <w:pStyle w:val="BoxHeading1"/>
              <w:spacing w:before="120"/>
            </w:pPr>
            <w:r>
              <w:t>Costs</w:t>
            </w:r>
          </w:p>
          <w:p w14:paraId="1E5F2B61" w14:textId="77777777" w:rsidR="009C6940" w:rsidRPr="00EE0584" w:rsidRDefault="009C6940" w:rsidP="009C6940">
            <w:pPr>
              <w:pStyle w:val="Box"/>
              <w:rPr>
                <w:i/>
              </w:rPr>
            </w:pPr>
            <w:r w:rsidRPr="00EE0584">
              <w:rPr>
                <w:i/>
              </w:rPr>
              <w:t xml:space="preserve">Carer and family consultations without the care recipient present </w:t>
            </w:r>
          </w:p>
          <w:p w14:paraId="440FDAE4" w14:textId="77777777" w:rsidR="009C6940" w:rsidRDefault="009C6940" w:rsidP="009C6940">
            <w:pPr>
              <w:pStyle w:val="Box"/>
              <w:spacing w:before="100"/>
            </w:pPr>
            <w:r>
              <w:t>Between 6</w:t>
            </w:r>
            <w:r>
              <w:noBreakHyphen/>
              <w:t xml:space="preserve">15% of </w:t>
            </w:r>
            <w:r w:rsidRPr="00694FE2">
              <w:t xml:space="preserve">the people </w:t>
            </w:r>
            <w:r>
              <w:t>rebated</w:t>
            </w:r>
            <w:r w:rsidRPr="00694FE2">
              <w:t xml:space="preserve"> under the MBS to see a psychiatrist, had a related non</w:t>
            </w:r>
            <w:r>
              <w:noBreakHyphen/>
            </w:r>
            <w:r w:rsidRPr="00694FE2">
              <w:t>patient consultation</w:t>
            </w:r>
            <w:r>
              <w:t xml:space="preserve"> (unpublished MBS data, AIHW </w:t>
            </w:r>
            <w:r w:rsidRPr="002666FB">
              <w:t>2019</w:t>
            </w:r>
            <w:r>
              <w:t>e). If the same proportion was applied to all people using Better Access (1.25 million in 2017</w:t>
            </w:r>
            <w:r>
              <w:noBreakHyphen/>
              <w:t>18), between 79 000 and 192 000 additional people would have psychologist (or allied mental health) consultations without the care recipient present. 41% of these people would see clinical psychologists (at a cost of $86.15 per session), with the remainder seeing registered psychologists or other mental health professionals ($61.05 per session).</w:t>
            </w:r>
            <w:r w:rsidRPr="00C228F3">
              <w:rPr>
                <w:rStyle w:val="FootnoteReference"/>
              </w:rPr>
              <w:footnoteReference w:id="23"/>
            </w:r>
          </w:p>
        </w:tc>
      </w:tr>
      <w:tr w:rsidR="009C6940" w:rsidRPr="00114C25" w14:paraId="15B10BF2" w14:textId="77777777" w:rsidTr="009C6940">
        <w:tc>
          <w:tcPr>
            <w:tcW w:w="5000" w:type="pct"/>
            <w:tcBorders>
              <w:top w:val="nil"/>
              <w:left w:val="nil"/>
              <w:bottom w:val="nil"/>
              <w:right w:val="nil"/>
            </w:tcBorders>
            <w:shd w:val="clear" w:color="auto" w:fill="F2F2F2"/>
          </w:tcPr>
          <w:p w14:paraId="3F009DC3"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3661E174" w14:textId="77777777" w:rsidTr="009C6940">
        <w:tc>
          <w:tcPr>
            <w:tcW w:w="5000" w:type="pct"/>
            <w:tcBorders>
              <w:top w:val="nil"/>
              <w:left w:val="nil"/>
              <w:bottom w:val="single" w:sz="6" w:space="0" w:color="78A22F"/>
              <w:right w:val="nil"/>
            </w:tcBorders>
            <w:shd w:val="clear" w:color="auto" w:fill="F2F2F2"/>
          </w:tcPr>
          <w:p w14:paraId="44240F0B" w14:textId="77777777" w:rsidR="009C6940" w:rsidRDefault="009C6940" w:rsidP="00E9018C">
            <w:pPr>
              <w:pStyle w:val="Box"/>
              <w:keepNext w:val="0"/>
              <w:spacing w:before="0" w:line="120" w:lineRule="exact"/>
            </w:pPr>
          </w:p>
        </w:tc>
      </w:tr>
    </w:tbl>
    <w:p w14:paraId="6412EB6A" w14:textId="77777777" w:rsidR="009C6940" w:rsidRDefault="009C6940" w:rsidP="00E9018C">
      <w:pPr>
        <w:pStyle w:val="BoxSpaceAbove"/>
        <w:keepNext w:val="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D077ABE" w14:textId="77777777" w:rsidTr="009C6940">
        <w:trPr>
          <w:tblHeader/>
        </w:trPr>
        <w:tc>
          <w:tcPr>
            <w:tcW w:w="5000" w:type="pct"/>
            <w:tcBorders>
              <w:top w:val="single" w:sz="6" w:space="0" w:color="78A22F"/>
              <w:left w:val="nil"/>
              <w:bottom w:val="nil"/>
              <w:right w:val="nil"/>
            </w:tcBorders>
            <w:shd w:val="clear" w:color="auto" w:fill="F2F2F2"/>
          </w:tcPr>
          <w:p w14:paraId="44DE3E43" w14:textId="77777777" w:rsidR="009C6940" w:rsidRPr="009019C8" w:rsidRDefault="009C6940" w:rsidP="009C6940">
            <w:pPr>
              <w:pStyle w:val="BoxHeading1"/>
              <w:tabs>
                <w:tab w:val="left" w:pos="1134"/>
              </w:tabs>
              <w:ind w:left="1134" w:hanging="1134"/>
              <w:rPr>
                <w:b w:val="0"/>
                <w:sz w:val="24"/>
                <w:szCs w:val="24"/>
              </w:rPr>
            </w:pPr>
            <w:r>
              <w:rPr>
                <w:sz w:val="24"/>
                <w:szCs w:val="24"/>
              </w:rPr>
              <w:t>Action</w:t>
            </w:r>
            <w:r>
              <w:rPr>
                <w:sz w:val="24"/>
                <w:szCs w:val="24"/>
              </w:rPr>
              <w:tab/>
              <w:t>G</w:t>
            </w:r>
            <w:r w:rsidRPr="00741541">
              <w:rPr>
                <w:sz w:val="24"/>
                <w:szCs w:val="24"/>
              </w:rPr>
              <w:t>reater s</w:t>
            </w:r>
            <w:r>
              <w:rPr>
                <w:sz w:val="24"/>
                <w:szCs w:val="24"/>
              </w:rPr>
              <w:t xml:space="preserve">upport for carers and families </w:t>
            </w:r>
            <w:r w:rsidRPr="00741541">
              <w:rPr>
                <w:sz w:val="24"/>
                <w:szCs w:val="24"/>
              </w:rPr>
              <w:t>within mental healthcare and support services</w:t>
            </w:r>
            <w:r>
              <w:rPr>
                <w:sz w:val="24"/>
                <w:szCs w:val="24"/>
              </w:rPr>
              <w:t xml:space="preserve"> </w:t>
            </w:r>
            <w:r w:rsidRPr="00A7274B">
              <w:rPr>
                <w:rStyle w:val="Continuedintitle"/>
              </w:rPr>
              <w:t>(continued)</w:t>
            </w:r>
          </w:p>
        </w:tc>
      </w:tr>
      <w:tr w:rsidR="009C6940" w14:paraId="563EABBC" w14:textId="77777777" w:rsidTr="009C6940">
        <w:tc>
          <w:tcPr>
            <w:tcW w:w="5000" w:type="pct"/>
            <w:tcBorders>
              <w:top w:val="nil"/>
              <w:left w:val="nil"/>
              <w:bottom w:val="nil"/>
              <w:right w:val="nil"/>
            </w:tcBorders>
            <w:shd w:val="clear" w:color="auto" w:fill="F2F2F2"/>
          </w:tcPr>
          <w:p w14:paraId="42FC7BCD" w14:textId="77777777" w:rsidR="009C6940" w:rsidRDefault="009C6940" w:rsidP="009C6940">
            <w:pPr>
              <w:pStyle w:val="Box"/>
            </w:pPr>
            <w:r>
              <w:t>The annual cost of MBS rebates for</w:t>
            </w:r>
            <w:r w:rsidRPr="00E428DA">
              <w:t xml:space="preserve"> </w:t>
            </w:r>
            <w:r>
              <w:t>carer</w:t>
            </w:r>
            <w:r w:rsidRPr="00E428DA">
              <w:t xml:space="preserve"> and family consultations with</w:t>
            </w:r>
            <w:r>
              <w:t xml:space="preserve">out the care recipient present for psychologists and other allied mental health professionals would be </w:t>
            </w:r>
            <w:r w:rsidRPr="006D0506">
              <w:t>be</w:t>
            </w:r>
            <w:r>
              <w:t>tween</w:t>
            </w:r>
            <w:r w:rsidRPr="006D0506">
              <w:t xml:space="preserve"> $</w:t>
            </w:r>
            <w:r>
              <w:t>9.6</w:t>
            </w:r>
            <w:r>
              <w:noBreakHyphen/>
              <w:t>23.3 </w:t>
            </w:r>
            <w:r w:rsidRPr="006D0506">
              <w:t>million</w:t>
            </w:r>
            <w:r>
              <w:t xml:space="preserve"> (2019 dollars). This is based on the assumption of an average of 1.7 sessions (based on unpublished MBS data).</w:t>
            </w:r>
          </w:p>
          <w:p w14:paraId="6B264AD3" w14:textId="77777777" w:rsidR="009C6940" w:rsidRPr="00EE0584" w:rsidRDefault="009C6940" w:rsidP="009C6940">
            <w:pPr>
              <w:pStyle w:val="Box"/>
              <w:rPr>
                <w:i/>
              </w:rPr>
            </w:pPr>
            <w:r w:rsidRPr="00EE0584">
              <w:rPr>
                <w:i/>
              </w:rPr>
              <w:t>Carer and family consultations with the care recipient present</w:t>
            </w:r>
          </w:p>
          <w:p w14:paraId="37117B50" w14:textId="77777777" w:rsidR="009C6940" w:rsidRDefault="009C6940" w:rsidP="009C6940">
            <w:pPr>
              <w:pStyle w:val="Box"/>
            </w:pPr>
            <w:r w:rsidRPr="00463DEC">
              <w:t xml:space="preserve">Given that the MBS </w:t>
            </w:r>
            <w:r>
              <w:t>rebates</w:t>
            </w:r>
            <w:r w:rsidRPr="00463DEC">
              <w:t xml:space="preserve"> clinical psychologists to provide any evidenced based therapy with the patient present,</w:t>
            </w:r>
            <w:r>
              <w:t xml:space="preserve"> the cost associated with this action</w:t>
            </w:r>
            <w:r w:rsidRPr="00463DEC">
              <w:t xml:space="preserve"> applies to sessions with registered psychologists and other allied mental health professionals</w:t>
            </w:r>
            <w:r>
              <w:t>, who are limited in the types of interventions they are subsidised to provide</w:t>
            </w:r>
            <w:r w:rsidRPr="00463DEC">
              <w:t>.</w:t>
            </w:r>
            <w:r>
              <w:t xml:space="preserve"> It is assumed </w:t>
            </w:r>
            <w:r w:rsidRPr="00752AF5">
              <w:t>that the same proportion of people wanting a non</w:t>
            </w:r>
            <w:r>
              <w:noBreakHyphen/>
            </w:r>
            <w:r w:rsidRPr="00752AF5">
              <w:t xml:space="preserve">patient consultation </w:t>
            </w:r>
            <w:r>
              <w:t xml:space="preserve">— but excluded from doing so under current arrangements — </w:t>
            </w:r>
            <w:r w:rsidRPr="00752AF5">
              <w:t>would want a family and carer consultation with the patient present (</w:t>
            </w:r>
            <w:r>
              <w:t xml:space="preserve">6 </w:t>
            </w:r>
            <w:r>
              <w:noBreakHyphen/>
              <w:t>15%</w:t>
            </w:r>
            <w:r w:rsidRPr="00752AF5">
              <w:t>).</w:t>
            </w:r>
            <w:r>
              <w:t xml:space="preserve"> It might be expected that between 46 000 and 113 000 families would benefit from this action (59% of the population estimated above).</w:t>
            </w:r>
          </w:p>
          <w:p w14:paraId="34B46CE0" w14:textId="77777777" w:rsidR="009C6940" w:rsidRDefault="009C6940" w:rsidP="009C6940">
            <w:pPr>
              <w:pStyle w:val="Box"/>
            </w:pPr>
            <w:r>
              <w:t>The annual cost of MBS rebates for carer</w:t>
            </w:r>
            <w:r w:rsidRPr="00E428DA">
              <w:t xml:space="preserve"> and family </w:t>
            </w:r>
            <w:r>
              <w:t>consultations with the care recipient present would be between $4.0 and 9.7 million (2019 dollars). It is assumed that the average number of sessions is one (based on the single</w:t>
            </w:r>
            <w:r>
              <w:noBreakHyphen/>
              <w:t>session family consultation model, chapter </w:t>
            </w:r>
            <w:r w:rsidRPr="0002455B">
              <w:t>18) and that the MBS benefit is $86.15.</w:t>
            </w:r>
          </w:p>
          <w:p w14:paraId="08C1ABCA" w14:textId="77777777" w:rsidR="009C6940" w:rsidRPr="00583287" w:rsidRDefault="009C6940" w:rsidP="009C6940">
            <w:pPr>
              <w:pStyle w:val="Box"/>
              <w:rPr>
                <w:i/>
                <w:iCs/>
              </w:rPr>
            </w:pPr>
            <w:r w:rsidRPr="00583287">
              <w:rPr>
                <w:i/>
                <w:iCs/>
              </w:rPr>
              <w:t>Family</w:t>
            </w:r>
            <w:r>
              <w:rPr>
                <w:i/>
                <w:iCs/>
              </w:rPr>
              <w:noBreakHyphen/>
            </w:r>
            <w:r w:rsidRPr="00583287">
              <w:rPr>
                <w:i/>
                <w:iCs/>
              </w:rPr>
              <w:t xml:space="preserve"> and carer</w:t>
            </w:r>
            <w:r>
              <w:rPr>
                <w:i/>
                <w:iCs/>
              </w:rPr>
              <w:noBreakHyphen/>
            </w:r>
            <w:r w:rsidRPr="00583287">
              <w:rPr>
                <w:i/>
                <w:iCs/>
              </w:rPr>
              <w:t xml:space="preserve">inclusive practices in </w:t>
            </w:r>
            <w:r>
              <w:rPr>
                <w:i/>
                <w:iCs/>
              </w:rPr>
              <w:t>state and territory mental healthcare services</w:t>
            </w:r>
            <w:r w:rsidRPr="00583287">
              <w:rPr>
                <w:i/>
                <w:iCs/>
              </w:rPr>
              <w:t xml:space="preserve"> </w:t>
            </w:r>
          </w:p>
          <w:p w14:paraId="08E812C4" w14:textId="77777777" w:rsidR="009C6940" w:rsidRDefault="009C6940" w:rsidP="009C6940">
            <w:pPr>
              <w:pStyle w:val="Box"/>
              <w:tabs>
                <w:tab w:val="left" w:pos="1680"/>
              </w:tabs>
            </w:pPr>
            <w:r>
              <w:t>Improving capacity for</w:t>
            </w:r>
            <w:r w:rsidRPr="0002455B">
              <w:t xml:space="preserve"> family</w:t>
            </w:r>
            <w:r>
              <w:noBreakHyphen/>
            </w:r>
            <w:r w:rsidRPr="0002455B">
              <w:t xml:space="preserve"> and carer</w:t>
            </w:r>
            <w:r>
              <w:noBreakHyphen/>
            </w:r>
            <w:r w:rsidRPr="0002455B">
              <w:t xml:space="preserve"> inclusive practices within state and territory community and inpatient mental healthcare services is expected to </w:t>
            </w:r>
            <w:r>
              <w:t>require additional dedicated staff</w:t>
            </w:r>
            <w:r w:rsidRPr="0002455B">
              <w:t xml:space="preserve">, </w:t>
            </w:r>
            <w:r>
              <w:t xml:space="preserve">which is </w:t>
            </w:r>
            <w:r w:rsidRPr="0002455B">
              <w:t>estimated to cost between $59.5</w:t>
            </w:r>
            <w:r w:rsidRPr="0002455B">
              <w:noBreakHyphen/>
              <w:t>68.3 million (2019 dollars).</w:t>
            </w:r>
          </w:p>
          <w:p w14:paraId="4A24AD63" w14:textId="77777777" w:rsidR="009C6940" w:rsidRPr="00CB0235" w:rsidRDefault="009C6940" w:rsidP="009C6940">
            <w:pPr>
              <w:pStyle w:val="Box"/>
              <w:rPr>
                <w:i/>
                <w:iCs/>
              </w:rPr>
            </w:pPr>
            <w:r w:rsidRPr="00CB0235">
              <w:rPr>
                <w:i/>
                <w:iCs/>
              </w:rPr>
              <w:t>Support services for carers and families</w:t>
            </w:r>
            <w:r>
              <w:rPr>
                <w:i/>
                <w:iCs/>
              </w:rPr>
              <w:t xml:space="preserve"> in the community</w:t>
            </w:r>
          </w:p>
          <w:p w14:paraId="7C1C940A" w14:textId="77777777" w:rsidR="009C6940" w:rsidRPr="0065729B" w:rsidRDefault="009C6940" w:rsidP="009C6940">
            <w:pPr>
              <w:pStyle w:val="BoxHeading1"/>
              <w:spacing w:before="120"/>
              <w:rPr>
                <w:b w:val="0"/>
                <w:sz w:val="20"/>
              </w:rPr>
            </w:pPr>
            <w:r>
              <w:rPr>
                <w:b w:val="0"/>
                <w:sz w:val="20"/>
              </w:rPr>
              <w:t>C</w:t>
            </w:r>
            <w:r w:rsidRPr="0065729B">
              <w:rPr>
                <w:b w:val="0"/>
                <w:sz w:val="20"/>
              </w:rPr>
              <w:t>ost</w:t>
            </w:r>
            <w:r>
              <w:rPr>
                <w:b w:val="0"/>
                <w:sz w:val="20"/>
              </w:rPr>
              <w:t>s</w:t>
            </w:r>
            <w:r w:rsidRPr="0065729B">
              <w:rPr>
                <w:b w:val="0"/>
                <w:sz w:val="20"/>
              </w:rPr>
              <w:t xml:space="preserve"> of providing carer and family support services that meet community need</w:t>
            </w:r>
            <w:r>
              <w:rPr>
                <w:b w:val="0"/>
                <w:sz w:val="20"/>
              </w:rPr>
              <w:t xml:space="preserve"> can be estimated using information from the NMHSPF and other cost assumptions</w:t>
            </w:r>
            <w:r w:rsidRPr="0065729B">
              <w:rPr>
                <w:b w:val="0"/>
                <w:sz w:val="20"/>
              </w:rPr>
              <w:t xml:space="preserve">. </w:t>
            </w:r>
            <w:r>
              <w:rPr>
                <w:b w:val="0"/>
                <w:sz w:val="20"/>
              </w:rPr>
              <w:t xml:space="preserve">It is estimated that there is an a need for an additional </w:t>
            </w:r>
            <w:r w:rsidRPr="0065729B">
              <w:rPr>
                <w:b w:val="0"/>
                <w:sz w:val="20"/>
              </w:rPr>
              <w:t>$153</w:t>
            </w:r>
            <w:r>
              <w:rPr>
                <w:b w:val="0"/>
                <w:sz w:val="20"/>
              </w:rPr>
              <w:t> </w:t>
            </w:r>
            <w:r w:rsidRPr="0065729B">
              <w:rPr>
                <w:b w:val="0"/>
                <w:sz w:val="20"/>
              </w:rPr>
              <w:t xml:space="preserve">million </w:t>
            </w:r>
            <w:r>
              <w:rPr>
                <w:b w:val="0"/>
                <w:sz w:val="20"/>
              </w:rPr>
              <w:t xml:space="preserve">(2019 dollars) </w:t>
            </w:r>
            <w:r w:rsidRPr="0065729B">
              <w:rPr>
                <w:b w:val="0"/>
                <w:sz w:val="20"/>
              </w:rPr>
              <w:t>worth of these services in 2019</w:t>
            </w:r>
            <w:r>
              <w:rPr>
                <w:b w:val="0"/>
                <w:sz w:val="20"/>
              </w:rPr>
              <w:noBreakHyphen/>
            </w:r>
            <w:r w:rsidRPr="0065729B">
              <w:rPr>
                <w:b w:val="0"/>
                <w:sz w:val="20"/>
              </w:rPr>
              <w:t>20, including:</w:t>
            </w:r>
          </w:p>
          <w:p w14:paraId="6F68451B" w14:textId="77777777" w:rsidR="009C6940" w:rsidRPr="00637B00" w:rsidRDefault="009C6940" w:rsidP="009C6940">
            <w:pPr>
              <w:pStyle w:val="BoxListBullet"/>
              <w:numPr>
                <w:ilvl w:val="0"/>
                <w:numId w:val="3"/>
              </w:numPr>
            </w:pPr>
            <w:r w:rsidRPr="00637B00">
              <w:t>$17.0 million for individual and group based carer peer work delivered by specialised mental health community support services</w:t>
            </w:r>
          </w:p>
          <w:p w14:paraId="0E301838" w14:textId="77777777" w:rsidR="009C6940" w:rsidRPr="00637B00" w:rsidRDefault="009C6940" w:rsidP="009C6940">
            <w:pPr>
              <w:pStyle w:val="BoxListBullet"/>
              <w:numPr>
                <w:ilvl w:val="0"/>
                <w:numId w:val="3"/>
              </w:numPr>
            </w:pPr>
            <w:r w:rsidRPr="00637B00">
              <w:t xml:space="preserve">$101.6 million for day and flexible respite, and residential crisis and respite services </w:t>
            </w:r>
          </w:p>
          <w:p w14:paraId="661DD61D" w14:textId="77777777" w:rsidR="009C6940" w:rsidRPr="00637B00" w:rsidRDefault="009C6940" w:rsidP="009C6940">
            <w:pPr>
              <w:pStyle w:val="BoxListBullet"/>
              <w:numPr>
                <w:ilvl w:val="0"/>
                <w:numId w:val="3"/>
              </w:numPr>
            </w:pPr>
            <w:r w:rsidRPr="00637B00">
              <w:t>$10.1 million for other carer support services</w:t>
            </w:r>
          </w:p>
          <w:p w14:paraId="21ABF21A" w14:textId="77777777" w:rsidR="009C6940" w:rsidRPr="00637B00" w:rsidRDefault="009C6940" w:rsidP="009C6940">
            <w:pPr>
              <w:pStyle w:val="BoxListBullet"/>
              <w:numPr>
                <w:ilvl w:val="0"/>
                <w:numId w:val="3"/>
              </w:numPr>
            </w:pPr>
            <w:r w:rsidRPr="00637B00">
              <w:t>$24.4 million for family support services.</w:t>
            </w:r>
          </w:p>
          <w:p w14:paraId="5C738192" w14:textId="77777777" w:rsidR="009C6940" w:rsidRDefault="009C6940" w:rsidP="009C6940">
            <w:pPr>
              <w:pStyle w:val="Box"/>
            </w:pPr>
            <w:r w:rsidRPr="00F340B4">
              <w:t>The Survey of Disability, Ageing and Carers only provides information on the support needs of the subset of carers who are primary carers and reside with their care recipient There were 96 000</w:t>
            </w:r>
            <w:r>
              <w:t> </w:t>
            </w:r>
            <w:r w:rsidRPr="00F340B4">
              <w:t>co</w:t>
            </w:r>
            <w:r>
              <w:noBreakHyphen/>
            </w:r>
            <w:r w:rsidRPr="00F340B4">
              <w:t>resident primary carers to someone whose main condition was mental illness in 2018. Of these carers, 55</w:t>
            </w:r>
            <w:r>
              <w:t> </w:t>
            </w:r>
            <w:r w:rsidRPr="00F340B4">
              <w:t>000</w:t>
            </w:r>
            <w:r>
              <w:t> </w:t>
            </w:r>
            <w:r w:rsidRPr="00F340B4">
              <w:t>carers</w:t>
            </w:r>
            <w:r>
              <w:t xml:space="preserve"> (57%)</w:t>
            </w:r>
            <w:r w:rsidRPr="00F340B4">
              <w:t xml:space="preserve"> reported unmet needs for support (based on a range of measure</w:t>
            </w:r>
            <w:r>
              <w:t>s</w:t>
            </w:r>
            <w:r w:rsidRPr="00F340B4">
              <w:t xml:space="preserve"> reported in table</w:t>
            </w:r>
            <w:r>
              <w:t> </w:t>
            </w:r>
            <w:r w:rsidRPr="00F340B4">
              <w:t>18.4). Assuming this percentage is proportional to the amount of services required to support all carer and family needs, an approximate estimate of the additional funding needed to meet</w:t>
            </w:r>
            <w:r>
              <w:t xml:space="preserve"> the unmet</w:t>
            </w:r>
            <w:r w:rsidRPr="00F340B4">
              <w:t xml:space="preserve"> mental health</w:t>
            </w:r>
            <w:r>
              <w:t xml:space="preserve"> needs of families’ and carers’ is $87.3 </w:t>
            </w:r>
            <w:r w:rsidRPr="00F340B4">
              <w:t>million per year.</w:t>
            </w:r>
          </w:p>
        </w:tc>
      </w:tr>
      <w:tr w:rsidR="009C6940" w14:paraId="1FDD8690" w14:textId="77777777" w:rsidTr="009C6940">
        <w:tc>
          <w:tcPr>
            <w:tcW w:w="5000" w:type="pct"/>
            <w:tcBorders>
              <w:top w:val="nil"/>
              <w:left w:val="nil"/>
              <w:bottom w:val="nil"/>
              <w:right w:val="nil"/>
            </w:tcBorders>
            <w:shd w:val="clear" w:color="auto" w:fill="F2F2F2"/>
          </w:tcPr>
          <w:p w14:paraId="3D4F2224"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19A8C52D" w14:textId="77777777" w:rsidTr="009C6940">
        <w:tc>
          <w:tcPr>
            <w:tcW w:w="5000" w:type="pct"/>
            <w:tcBorders>
              <w:top w:val="nil"/>
              <w:left w:val="nil"/>
              <w:bottom w:val="single" w:sz="6" w:space="0" w:color="78A22F"/>
              <w:right w:val="nil"/>
            </w:tcBorders>
            <w:shd w:val="clear" w:color="auto" w:fill="F2F2F2"/>
          </w:tcPr>
          <w:p w14:paraId="108000BB" w14:textId="77777777" w:rsidR="009C6940" w:rsidRDefault="009C6940" w:rsidP="009C6940">
            <w:pPr>
              <w:pStyle w:val="Box"/>
              <w:spacing w:before="0" w:line="120" w:lineRule="exact"/>
            </w:pPr>
          </w:p>
        </w:tc>
      </w:tr>
      <w:tr w:rsidR="009C6940" w:rsidRPr="000863A5" w14:paraId="0FB69627" w14:textId="77777777" w:rsidTr="009C6940">
        <w:tc>
          <w:tcPr>
            <w:tcW w:w="5000" w:type="pct"/>
            <w:tcBorders>
              <w:top w:val="single" w:sz="6" w:space="0" w:color="78A22F"/>
              <w:left w:val="nil"/>
              <w:bottom w:val="nil"/>
              <w:right w:val="nil"/>
            </w:tcBorders>
          </w:tcPr>
          <w:p w14:paraId="7AA10E82" w14:textId="77777777" w:rsidR="009C6940" w:rsidRPr="00626D32" w:rsidRDefault="009C6940" w:rsidP="009C6940">
            <w:pPr>
              <w:pStyle w:val="BoxSpaceBelow"/>
            </w:pPr>
          </w:p>
        </w:tc>
      </w:tr>
    </w:tbl>
    <w:p w14:paraId="6AAB12A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85A934D" w14:textId="77777777" w:rsidTr="009C6940">
        <w:trPr>
          <w:tblHeader/>
        </w:trPr>
        <w:tc>
          <w:tcPr>
            <w:tcW w:w="5000" w:type="pct"/>
            <w:tcBorders>
              <w:top w:val="single" w:sz="6" w:space="0" w:color="78A22F"/>
              <w:left w:val="nil"/>
              <w:bottom w:val="nil"/>
              <w:right w:val="nil"/>
            </w:tcBorders>
            <w:shd w:val="clear" w:color="auto" w:fill="F2F2F2"/>
          </w:tcPr>
          <w:p w14:paraId="3FF6C118" w14:textId="77777777" w:rsidR="009C6940" w:rsidRPr="007E2F3B" w:rsidRDefault="009C6940" w:rsidP="009C6940">
            <w:pPr>
              <w:pStyle w:val="BoxHeading1"/>
              <w:tabs>
                <w:tab w:val="left" w:pos="1075"/>
              </w:tabs>
              <w:ind w:left="1075" w:hanging="1075"/>
              <w:rPr>
                <w:b w:val="0"/>
                <w:sz w:val="24"/>
                <w:szCs w:val="24"/>
              </w:rPr>
            </w:pPr>
            <w:r>
              <w:rPr>
                <w:sz w:val="24"/>
                <w:szCs w:val="24"/>
              </w:rPr>
              <w:t>Action</w:t>
            </w:r>
            <w:r>
              <w:rPr>
                <w:sz w:val="24"/>
                <w:szCs w:val="24"/>
              </w:rPr>
              <w:tab/>
              <w:t>G</w:t>
            </w:r>
            <w:r w:rsidRPr="00741541">
              <w:rPr>
                <w:sz w:val="24"/>
                <w:szCs w:val="24"/>
              </w:rPr>
              <w:t>reater s</w:t>
            </w:r>
            <w:r>
              <w:rPr>
                <w:sz w:val="24"/>
                <w:szCs w:val="24"/>
              </w:rPr>
              <w:t xml:space="preserve">upport for carers and families </w:t>
            </w:r>
            <w:r w:rsidRPr="00741541">
              <w:rPr>
                <w:sz w:val="24"/>
                <w:szCs w:val="24"/>
              </w:rPr>
              <w:t>within mental healthcare and support services</w:t>
            </w:r>
            <w:r>
              <w:rPr>
                <w:sz w:val="24"/>
                <w:szCs w:val="24"/>
              </w:rPr>
              <w:t xml:space="preserve"> </w:t>
            </w:r>
            <w:r w:rsidRPr="00A7274B">
              <w:rPr>
                <w:rStyle w:val="Continuedintitle"/>
              </w:rPr>
              <w:t>(continued)</w:t>
            </w:r>
          </w:p>
        </w:tc>
      </w:tr>
      <w:tr w:rsidR="009C6940" w14:paraId="215D85B0" w14:textId="77777777" w:rsidTr="009C6940">
        <w:tc>
          <w:tcPr>
            <w:tcW w:w="5000" w:type="pct"/>
            <w:tcBorders>
              <w:top w:val="nil"/>
              <w:left w:val="nil"/>
              <w:bottom w:val="nil"/>
              <w:right w:val="nil"/>
            </w:tcBorders>
            <w:shd w:val="clear" w:color="auto" w:fill="F2F2F2"/>
          </w:tcPr>
          <w:p w14:paraId="45D1EC28" w14:textId="77777777" w:rsidR="009C6940" w:rsidRDefault="009C6940" w:rsidP="009C6940">
            <w:pPr>
              <w:pStyle w:val="Box"/>
              <w:tabs>
                <w:tab w:val="left" w:pos="1680"/>
              </w:tabs>
            </w:pPr>
            <w:r>
              <w:t xml:space="preserve">The total costs of providing greater support </w:t>
            </w:r>
            <w:r w:rsidRPr="00A77BDE">
              <w:t xml:space="preserve">for carers and families within mental health care and support services </w:t>
            </w:r>
            <w:r>
              <w:t>is estimated to be between $160 and 189 </w:t>
            </w:r>
            <w:r w:rsidRPr="00A77BDE">
              <w:t>million (2019 dollars).</w:t>
            </w:r>
          </w:p>
        </w:tc>
      </w:tr>
      <w:tr w:rsidR="009C6940" w14:paraId="22968A9A" w14:textId="77777777" w:rsidTr="009C6940">
        <w:tc>
          <w:tcPr>
            <w:tcW w:w="5000" w:type="pct"/>
            <w:tcBorders>
              <w:top w:val="nil"/>
              <w:left w:val="nil"/>
              <w:bottom w:val="nil"/>
              <w:right w:val="nil"/>
            </w:tcBorders>
            <w:shd w:val="clear" w:color="auto" w:fill="F2F2F2"/>
          </w:tcPr>
          <w:p w14:paraId="1BDE6B89" w14:textId="77777777" w:rsidR="009C6940" w:rsidRDefault="009C6940" w:rsidP="009C6940">
            <w:pPr>
              <w:pStyle w:val="BoxHeading1"/>
              <w:spacing w:before="120"/>
            </w:pPr>
            <w:r>
              <w:t>Effects</w:t>
            </w:r>
          </w:p>
          <w:p w14:paraId="3ED01BE5" w14:textId="77777777" w:rsidR="009C6940" w:rsidRPr="009A5425" w:rsidRDefault="009C6940" w:rsidP="009C6940">
            <w:pPr>
              <w:pStyle w:val="Box"/>
            </w:pPr>
            <w:r>
              <w:t xml:space="preserve">The costs outlined above cover a broad range of supports for families and carers. Families and carers who did not previously have access to support that met their needs are expected to benefit. However, the costs are not assessed against the benefits of a </w:t>
            </w:r>
            <w:r w:rsidRPr="000F3BAC">
              <w:rPr>
                <w:i/>
              </w:rPr>
              <w:t>particular</w:t>
            </w:r>
            <w:r>
              <w:t xml:space="preserve"> intervention, but rather, against a more general summary of possible effects on carers, care recipients, and children of parents with mental illness.</w:t>
            </w:r>
          </w:p>
          <w:p w14:paraId="50CAF1B6" w14:textId="77777777" w:rsidR="009C6940" w:rsidRDefault="009C6940" w:rsidP="009C6940">
            <w:pPr>
              <w:pStyle w:val="Box"/>
              <w:rPr>
                <w:i/>
                <w:iCs/>
              </w:rPr>
            </w:pPr>
            <w:r w:rsidRPr="00CB0235">
              <w:rPr>
                <w:i/>
                <w:iCs/>
              </w:rPr>
              <w:t>Carers</w:t>
            </w:r>
          </w:p>
          <w:p w14:paraId="14A7C4F0" w14:textId="77777777" w:rsidR="009C6940" w:rsidRPr="00B70D23" w:rsidRDefault="009C6940" w:rsidP="009C6940">
            <w:pPr>
              <w:pStyle w:val="Box"/>
              <w:rPr>
                <w:b/>
              </w:rPr>
            </w:pPr>
            <w:r>
              <w:rPr>
                <w:lang w:val="en-US"/>
              </w:rPr>
              <w:t>An effect size of 0.4 was estimated by combining effects from a selection of studies.</w:t>
            </w:r>
          </w:p>
          <w:p w14:paraId="033ADB4C" w14:textId="77777777" w:rsidR="009C6940" w:rsidRDefault="009C6940" w:rsidP="009C6940">
            <w:pPr>
              <w:pStyle w:val="BoxListBullet"/>
              <w:numPr>
                <w:ilvl w:val="0"/>
                <w:numId w:val="3"/>
              </w:numPr>
              <w:rPr>
                <w:lang w:val="en-US"/>
              </w:rPr>
            </w:pPr>
            <w:r w:rsidRPr="00CB0235">
              <w:rPr>
                <w:lang w:val="en-US"/>
              </w:rPr>
              <w:t xml:space="preserve">Farhall et al. </w:t>
            </w:r>
            <w:r w:rsidRPr="00D80781">
              <w:rPr>
                <w:rFonts w:cs="Arial"/>
              </w:rPr>
              <w:t>(20</w:t>
            </w:r>
            <w:r>
              <w:rPr>
                <w:rFonts w:cs="Arial"/>
              </w:rPr>
              <w:t>20</w:t>
            </w:r>
            <w:r w:rsidRPr="00D80781">
              <w:rPr>
                <w:rFonts w:cs="Arial"/>
              </w:rPr>
              <w:t>)</w:t>
            </w:r>
            <w:r w:rsidRPr="00B70D23">
              <w:rPr>
                <w:lang w:val="en-US"/>
              </w:rPr>
              <w:t xml:space="preserve"> </w:t>
            </w:r>
            <w:r>
              <w:rPr>
                <w:lang w:val="en-US"/>
              </w:rPr>
              <w:t>found</w:t>
            </w:r>
            <w:r w:rsidRPr="00B70D23">
              <w:rPr>
                <w:lang w:val="en-US"/>
              </w:rPr>
              <w:t xml:space="preserve"> that a family education program for carers of adults with serious mental illness has a mental health effect size of 0.3 for carers. This was based on the change in the total DASS score between time 1 and time 4 for the subsample considered in the study.</w:t>
            </w:r>
          </w:p>
          <w:p w14:paraId="03FB9741" w14:textId="77777777" w:rsidR="009C6940" w:rsidRPr="007266CD" w:rsidRDefault="009C6940" w:rsidP="009C6940">
            <w:pPr>
              <w:pStyle w:val="BoxListBullet"/>
              <w:numPr>
                <w:ilvl w:val="0"/>
                <w:numId w:val="3"/>
              </w:numPr>
              <w:rPr>
                <w:lang w:val="en-US"/>
              </w:rPr>
            </w:pPr>
            <w:r>
              <w:rPr>
                <w:lang w:val="en-US"/>
              </w:rPr>
              <w:t xml:space="preserve">McCann et al. </w:t>
            </w:r>
            <w:r w:rsidRPr="00D77A2E">
              <w:rPr>
                <w:rFonts w:cs="Arial"/>
              </w:rPr>
              <w:t>(2013)</w:t>
            </w:r>
            <w:r>
              <w:rPr>
                <w:lang w:val="en-US"/>
              </w:rPr>
              <w:t xml:space="preserve"> </w:t>
            </w:r>
            <w:r w:rsidRPr="007266CD">
              <w:rPr>
                <w:lang w:val="en-US"/>
              </w:rPr>
              <w:t>reported results from a randomized control trial of bibliotherapy for carers of young people with first</w:t>
            </w:r>
            <w:r>
              <w:rPr>
                <w:lang w:val="en-US"/>
              </w:rPr>
              <w:noBreakHyphen/>
            </w:r>
            <w:r w:rsidRPr="007266CD">
              <w:rPr>
                <w:lang w:val="en-US"/>
              </w:rPr>
              <w:t>episode psychosis. For those receiving the bibliotherapy intervention, there was an effect size of 0.44 (as measured by change in K10 between baseline and follow</w:t>
            </w:r>
            <w:r w:rsidRPr="007266CD">
              <w:rPr>
                <w:lang w:val="en-US"/>
              </w:rPr>
              <w:noBreakHyphen/>
              <w:t>up at 16 weeks).</w:t>
            </w:r>
          </w:p>
          <w:p w14:paraId="65E64545" w14:textId="77777777" w:rsidR="009C6940" w:rsidRDefault="009C6940" w:rsidP="009C6940">
            <w:pPr>
              <w:pStyle w:val="BoxListBullet"/>
              <w:numPr>
                <w:ilvl w:val="0"/>
                <w:numId w:val="3"/>
              </w:numPr>
              <w:rPr>
                <w:lang w:val="en-US"/>
              </w:rPr>
            </w:pPr>
            <w:r>
              <w:rPr>
                <w:lang w:val="en-US"/>
              </w:rPr>
              <w:t xml:space="preserve">Chiocchi et al. </w:t>
            </w:r>
            <w:r w:rsidRPr="00BE72B0">
              <w:rPr>
                <w:rFonts w:cs="Arial"/>
                <w:szCs w:val="24"/>
              </w:rPr>
              <w:t>(2019)</w:t>
            </w:r>
            <w:r>
              <w:rPr>
                <w:lang w:val="en-US"/>
              </w:rPr>
              <w:t xml:space="preserve"> found that a carer</w:t>
            </w:r>
            <w:r>
              <w:rPr>
                <w:lang w:val="en-US"/>
              </w:rPr>
              <w:noBreakHyphen/>
              <w:t>led psychoeducational program for carers had an effect size of 0.89 between time 1 and time 5 (as measured by the Warwick</w:t>
            </w:r>
            <w:r>
              <w:rPr>
                <w:lang w:val="en-US"/>
              </w:rPr>
              <w:noBreakHyphen/>
              <w:t>Edinburgh Mental Well</w:t>
            </w:r>
            <w:r>
              <w:rPr>
                <w:lang w:val="en-US"/>
              </w:rPr>
              <w:noBreakHyphen/>
              <w:t>Being Scale).</w:t>
            </w:r>
          </w:p>
          <w:p w14:paraId="4DFC62CA" w14:textId="77777777" w:rsidR="009C6940" w:rsidRDefault="009C6940" w:rsidP="009C6940">
            <w:pPr>
              <w:pStyle w:val="BoxListBullet"/>
              <w:numPr>
                <w:ilvl w:val="0"/>
                <w:numId w:val="3"/>
              </w:numPr>
              <w:rPr>
                <w:lang w:val="en-US"/>
              </w:rPr>
            </w:pPr>
            <w:r w:rsidRPr="007E2F3B">
              <w:rPr>
                <w:lang w:val="en-US"/>
              </w:rPr>
              <w:t>Hibbs</w:t>
            </w:r>
            <w:r>
              <w:rPr>
                <w:lang w:val="en-US"/>
              </w:rPr>
              <w:t xml:space="preserve"> et al.</w:t>
            </w:r>
            <w:r w:rsidRPr="007E2F3B">
              <w:rPr>
                <w:lang w:val="en-US"/>
              </w:rPr>
              <w:t xml:space="preserve"> </w:t>
            </w:r>
            <w:r w:rsidRPr="00BE72B0">
              <w:rPr>
                <w:rFonts w:cs="Arial"/>
                <w:szCs w:val="24"/>
              </w:rPr>
              <w:t>(2015)</w:t>
            </w:r>
            <w:r>
              <w:rPr>
                <w:lang w:val="en-US"/>
              </w:rPr>
              <w:t xml:space="preserve"> </w:t>
            </w:r>
            <w:r w:rsidRPr="007E2F3B">
              <w:rPr>
                <w:lang w:val="en-US"/>
              </w:rPr>
              <w:t>undertook a meta</w:t>
            </w:r>
            <w:r>
              <w:rPr>
                <w:lang w:val="en-US"/>
              </w:rPr>
              <w:noBreakHyphen/>
            </w:r>
            <w:r w:rsidRPr="007E2F3B">
              <w:rPr>
                <w:lang w:val="en-US"/>
              </w:rPr>
              <w:t>analysis of interventions for carers of people with eating disorders and reported an effect size of 0.32 on carer distress (as measured by the GHQ, DASS, and The Hospital Anxiety and Depression Scale).</w:t>
            </w:r>
          </w:p>
          <w:p w14:paraId="6666BE2A" w14:textId="77777777" w:rsidR="009C6940" w:rsidRPr="00CB0235" w:rsidRDefault="009C6940" w:rsidP="009C6940">
            <w:pPr>
              <w:pStyle w:val="Box"/>
              <w:rPr>
                <w:i/>
                <w:iCs/>
              </w:rPr>
            </w:pPr>
            <w:r w:rsidRPr="00CB0235">
              <w:rPr>
                <w:i/>
                <w:iCs/>
              </w:rPr>
              <w:t>Care recipients</w:t>
            </w:r>
          </w:p>
          <w:p w14:paraId="0E9A48D9" w14:textId="77777777" w:rsidR="009C6940" w:rsidRDefault="009C6940" w:rsidP="009C6940">
            <w:pPr>
              <w:pStyle w:val="BoxListBullet"/>
              <w:numPr>
                <w:ilvl w:val="0"/>
                <w:numId w:val="3"/>
              </w:numPr>
            </w:pPr>
            <w:r w:rsidRPr="00D11A6E">
              <w:rPr>
                <w:lang w:val="en-US"/>
              </w:rPr>
              <w:t>A meta</w:t>
            </w:r>
            <w:r>
              <w:rPr>
                <w:lang w:val="en-US"/>
              </w:rPr>
              <w:noBreakHyphen/>
            </w:r>
            <w:r w:rsidRPr="00D11A6E">
              <w:rPr>
                <w:lang w:val="en-US"/>
              </w:rPr>
              <w:t xml:space="preserve">analysis of </w:t>
            </w:r>
            <w:r>
              <w:t xml:space="preserve">family psychosocial interventions for schizophrenia </w:t>
            </w:r>
            <w:r w:rsidRPr="00D80781">
              <w:rPr>
                <w:rFonts w:cs="Arial"/>
                <w:szCs w:val="24"/>
              </w:rPr>
              <w:t>(Pharoah et al. 2010)</w:t>
            </w:r>
            <w:r>
              <w:t xml:space="preserve"> was used to construct an effect size for care recipients by synthesising the results across the studies. This suggests an effect size of 0.79 for care recipients. This is assumed only to benefit the 7500 care recipients with schizophrenia or other psychoses in SDAC of carers with unmet needs. </w:t>
            </w:r>
          </w:p>
          <w:p w14:paraId="4FE95C69" w14:textId="77777777" w:rsidR="009C6940" w:rsidRDefault="009C6940" w:rsidP="009C6940">
            <w:pPr>
              <w:pStyle w:val="BoxListBullet"/>
              <w:numPr>
                <w:ilvl w:val="0"/>
                <w:numId w:val="3"/>
              </w:numPr>
            </w:pPr>
            <w:r>
              <w:t>The evidence base for the effect on the care recipient for other types of mental illness is limited and hence the benefits for these care recipients have not been included here.</w:t>
            </w:r>
          </w:p>
          <w:p w14:paraId="468B0F19" w14:textId="77777777" w:rsidR="009C6940" w:rsidRPr="00CB0235" w:rsidRDefault="009C6940" w:rsidP="009C6940">
            <w:pPr>
              <w:pStyle w:val="Box"/>
              <w:rPr>
                <w:i/>
                <w:iCs/>
              </w:rPr>
            </w:pPr>
            <w:r w:rsidRPr="00CB0235">
              <w:rPr>
                <w:i/>
                <w:iCs/>
              </w:rPr>
              <w:t>Children of parents with mental illness</w:t>
            </w:r>
          </w:p>
          <w:p w14:paraId="5FCEFB96" w14:textId="77777777" w:rsidR="009C6940" w:rsidRPr="007E2F3B" w:rsidRDefault="009C6940" w:rsidP="009C6940">
            <w:pPr>
              <w:pStyle w:val="BoxListBullet"/>
              <w:numPr>
                <w:ilvl w:val="0"/>
                <w:numId w:val="3"/>
              </w:numPr>
            </w:pPr>
            <w:r>
              <w:t xml:space="preserve">Solantaus et al. </w:t>
            </w:r>
            <w:r w:rsidRPr="00D80781">
              <w:rPr>
                <w:rFonts w:cs="Arial"/>
              </w:rPr>
              <w:t>(2010)</w:t>
            </w:r>
            <w:r>
              <w:t xml:space="preserve"> found that a child</w:t>
            </w:r>
            <w:r>
              <w:noBreakHyphen/>
              <w:t>focused psychoeducation discussion with parents with depression has an effect size of 0.12 for children of parents with mental illness. Although, t</w:t>
            </w:r>
            <w:r w:rsidRPr="00053533">
              <w:rPr>
                <w:bCs/>
              </w:rPr>
              <w:t xml:space="preserve">he effect size for the benefits for children of parents with mental illness was drawn from a study </w:t>
            </w:r>
            <w:r>
              <w:rPr>
                <w:bCs/>
              </w:rPr>
              <w:t>focu</w:t>
            </w:r>
            <w:r w:rsidRPr="00053533">
              <w:rPr>
                <w:bCs/>
              </w:rPr>
              <w:t>sed on parents with mood disorders</w:t>
            </w:r>
            <w:r>
              <w:rPr>
                <w:bCs/>
              </w:rPr>
              <w:t xml:space="preserve">, </w:t>
            </w:r>
            <w:r w:rsidRPr="00053533">
              <w:rPr>
                <w:bCs/>
              </w:rPr>
              <w:t xml:space="preserve">Reupert et al. </w:t>
            </w:r>
            <w:r w:rsidRPr="00D80781">
              <w:rPr>
                <w:rFonts w:cs="Arial"/>
              </w:rPr>
              <w:t>(2012)</w:t>
            </w:r>
            <w:r w:rsidRPr="00053533">
              <w:rPr>
                <w:bCs/>
              </w:rPr>
              <w:t xml:space="preserve"> demonstrated that significant effects extend to other forms of severe mental illness.</w:t>
            </w:r>
          </w:p>
        </w:tc>
      </w:tr>
      <w:tr w:rsidR="009C6940" w14:paraId="0B108B03" w14:textId="77777777" w:rsidTr="009C6940">
        <w:tc>
          <w:tcPr>
            <w:tcW w:w="5000" w:type="pct"/>
            <w:tcBorders>
              <w:top w:val="nil"/>
              <w:left w:val="nil"/>
              <w:bottom w:val="nil"/>
              <w:right w:val="nil"/>
            </w:tcBorders>
            <w:shd w:val="clear" w:color="auto" w:fill="F2F2F2"/>
          </w:tcPr>
          <w:p w14:paraId="044FF903"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7C1E54E2" w14:textId="77777777" w:rsidTr="009C6940">
        <w:tc>
          <w:tcPr>
            <w:tcW w:w="5000" w:type="pct"/>
            <w:tcBorders>
              <w:top w:val="nil"/>
              <w:left w:val="nil"/>
              <w:bottom w:val="single" w:sz="6" w:space="0" w:color="78A22F"/>
              <w:right w:val="nil"/>
            </w:tcBorders>
            <w:shd w:val="clear" w:color="auto" w:fill="F2F2F2"/>
          </w:tcPr>
          <w:p w14:paraId="14B197EE" w14:textId="77777777" w:rsidR="009C6940" w:rsidRDefault="009C6940" w:rsidP="009C6940">
            <w:pPr>
              <w:pStyle w:val="Box"/>
              <w:spacing w:before="0" w:line="120" w:lineRule="exact"/>
            </w:pPr>
          </w:p>
        </w:tc>
      </w:tr>
      <w:tr w:rsidR="009C6940" w:rsidRPr="000863A5" w14:paraId="7140BA9A" w14:textId="77777777" w:rsidTr="009C6940">
        <w:tc>
          <w:tcPr>
            <w:tcW w:w="5000" w:type="pct"/>
            <w:tcBorders>
              <w:top w:val="single" w:sz="6" w:space="0" w:color="78A22F"/>
              <w:left w:val="nil"/>
              <w:bottom w:val="nil"/>
              <w:right w:val="nil"/>
            </w:tcBorders>
          </w:tcPr>
          <w:p w14:paraId="32AB509F" w14:textId="77777777" w:rsidR="009C6940" w:rsidRPr="00626D32" w:rsidRDefault="009C6940" w:rsidP="009C6940">
            <w:pPr>
              <w:pStyle w:val="BoxSpaceBelow"/>
            </w:pPr>
          </w:p>
        </w:tc>
      </w:tr>
    </w:tbl>
    <w:p w14:paraId="5B4393CA"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A98773E" w14:textId="77777777" w:rsidTr="009C6940">
        <w:trPr>
          <w:tblHeader/>
        </w:trPr>
        <w:tc>
          <w:tcPr>
            <w:tcW w:w="5000" w:type="pct"/>
            <w:tcBorders>
              <w:top w:val="single" w:sz="6" w:space="0" w:color="78A22F"/>
              <w:left w:val="nil"/>
              <w:bottom w:val="nil"/>
              <w:right w:val="nil"/>
            </w:tcBorders>
            <w:shd w:val="clear" w:color="auto" w:fill="F2F2F2"/>
          </w:tcPr>
          <w:p w14:paraId="4A899150" w14:textId="77777777" w:rsidR="009C6940" w:rsidRPr="007E2F3B" w:rsidRDefault="009C6940" w:rsidP="009C6940">
            <w:pPr>
              <w:pStyle w:val="BoxHeading1"/>
              <w:tabs>
                <w:tab w:val="left" w:pos="1126"/>
              </w:tabs>
              <w:spacing w:after="240"/>
              <w:ind w:left="1126" w:hanging="1126"/>
              <w:rPr>
                <w:b w:val="0"/>
                <w:sz w:val="24"/>
                <w:szCs w:val="24"/>
              </w:rPr>
            </w:pPr>
            <w:r>
              <w:rPr>
                <w:sz w:val="24"/>
                <w:szCs w:val="24"/>
              </w:rPr>
              <w:t>Action</w:t>
            </w:r>
            <w:r>
              <w:rPr>
                <w:sz w:val="24"/>
                <w:szCs w:val="24"/>
              </w:rPr>
              <w:tab/>
              <w:t>G</w:t>
            </w:r>
            <w:r w:rsidRPr="00741541">
              <w:rPr>
                <w:sz w:val="24"/>
                <w:szCs w:val="24"/>
              </w:rPr>
              <w:t>reater s</w:t>
            </w:r>
            <w:r>
              <w:rPr>
                <w:sz w:val="24"/>
                <w:szCs w:val="24"/>
              </w:rPr>
              <w:t xml:space="preserve">upport for carers and families </w:t>
            </w:r>
            <w:r w:rsidRPr="00741541">
              <w:rPr>
                <w:sz w:val="24"/>
                <w:szCs w:val="24"/>
              </w:rPr>
              <w:t>within mental healthcare and support services</w:t>
            </w:r>
            <w:r>
              <w:rPr>
                <w:sz w:val="24"/>
                <w:szCs w:val="24"/>
              </w:rPr>
              <w:t xml:space="preserve"> </w:t>
            </w:r>
            <w:r w:rsidRPr="00A7274B">
              <w:rPr>
                <w:b w:val="0"/>
                <w:sz w:val="18"/>
                <w:szCs w:val="18"/>
              </w:rPr>
              <w:t>(continued)</w:t>
            </w:r>
          </w:p>
        </w:tc>
      </w:tr>
      <w:tr w:rsidR="009C6940" w14:paraId="732226F2" w14:textId="77777777" w:rsidTr="009C6940">
        <w:tc>
          <w:tcPr>
            <w:tcW w:w="5000" w:type="pct"/>
            <w:tcBorders>
              <w:top w:val="nil"/>
              <w:left w:val="nil"/>
              <w:bottom w:val="nil"/>
              <w:right w:val="nil"/>
            </w:tcBorders>
            <w:shd w:val="clear" w:color="auto" w:fill="F2F2F2"/>
          </w:tcPr>
          <w:tbl>
            <w:tblPr>
              <w:tblW w:w="5000" w:type="pct"/>
              <w:tblCellMar>
                <w:top w:w="28" w:type="dxa"/>
                <w:left w:w="0" w:type="dxa"/>
                <w:right w:w="0" w:type="dxa"/>
              </w:tblCellMar>
              <w:tblLook w:val="0000" w:firstRow="0" w:lastRow="0" w:firstColumn="0" w:lastColumn="0" w:noHBand="0" w:noVBand="0"/>
            </w:tblPr>
            <w:tblGrid>
              <w:gridCol w:w="3379"/>
              <w:gridCol w:w="1397"/>
              <w:gridCol w:w="1395"/>
              <w:gridCol w:w="1254"/>
              <w:gridCol w:w="1080"/>
            </w:tblGrid>
            <w:tr w:rsidR="009C6940" w14:paraId="787A29BD" w14:textId="77777777" w:rsidTr="009C6940">
              <w:trPr>
                <w:tblHeader/>
              </w:trPr>
              <w:tc>
                <w:tcPr>
                  <w:tcW w:w="1986" w:type="pct"/>
                  <w:tcBorders>
                    <w:top w:val="single" w:sz="6" w:space="0" w:color="BFBFBF"/>
                    <w:bottom w:val="single" w:sz="6" w:space="0" w:color="BFBFBF"/>
                  </w:tcBorders>
                  <w:shd w:val="clear" w:color="auto" w:fill="auto"/>
                  <w:tcMar>
                    <w:top w:w="28" w:type="dxa"/>
                  </w:tcMar>
                </w:tcPr>
                <w:p w14:paraId="66233C72" w14:textId="77777777" w:rsidR="009C6940" w:rsidRDefault="009C6940" w:rsidP="009C6940">
                  <w:pPr>
                    <w:pStyle w:val="TableColumnHeading"/>
                    <w:jc w:val="left"/>
                  </w:pPr>
                </w:p>
              </w:tc>
              <w:tc>
                <w:tcPr>
                  <w:tcW w:w="821" w:type="pct"/>
                  <w:tcBorders>
                    <w:top w:val="single" w:sz="6" w:space="0" w:color="BFBFBF"/>
                    <w:bottom w:val="single" w:sz="6" w:space="0" w:color="BFBFBF"/>
                  </w:tcBorders>
                </w:tcPr>
                <w:p w14:paraId="70D2C0B8" w14:textId="77777777" w:rsidR="009C6940" w:rsidRPr="00BB7BC1" w:rsidRDefault="009C6940" w:rsidP="009C6940">
                  <w:pPr>
                    <w:pStyle w:val="TableColumnHeading"/>
                  </w:pPr>
                  <w:r w:rsidRPr="00BB7BC1">
                    <w:t>Population size</w:t>
                  </w:r>
                </w:p>
              </w:tc>
              <w:tc>
                <w:tcPr>
                  <w:tcW w:w="820" w:type="pct"/>
                  <w:tcBorders>
                    <w:top w:val="single" w:sz="6" w:space="0" w:color="BFBFBF"/>
                    <w:bottom w:val="single" w:sz="6" w:space="0" w:color="BFBFBF"/>
                  </w:tcBorders>
                </w:tcPr>
                <w:p w14:paraId="603854D8" w14:textId="77777777" w:rsidR="009C6940" w:rsidRPr="00BB7BC1" w:rsidRDefault="009C6940" w:rsidP="009C6940">
                  <w:pPr>
                    <w:pStyle w:val="TableColumnHeading"/>
                  </w:pPr>
                  <w:r w:rsidRPr="00BB7BC1">
                    <w:t>Effect size</w:t>
                  </w:r>
                </w:p>
              </w:tc>
              <w:tc>
                <w:tcPr>
                  <w:tcW w:w="737" w:type="pct"/>
                  <w:tcBorders>
                    <w:top w:val="single" w:sz="6" w:space="0" w:color="BFBFBF"/>
                    <w:bottom w:val="single" w:sz="6" w:space="0" w:color="BFBFBF"/>
                  </w:tcBorders>
                  <w:shd w:val="clear" w:color="auto" w:fill="auto"/>
                  <w:tcMar>
                    <w:top w:w="28" w:type="dxa"/>
                  </w:tcMar>
                </w:tcPr>
                <w:p w14:paraId="6C1BC200" w14:textId="77777777" w:rsidR="009C6940" w:rsidRPr="00BB7BC1" w:rsidRDefault="009C6940" w:rsidP="009C6940">
                  <w:pPr>
                    <w:pStyle w:val="TableColumnHeading"/>
                  </w:pPr>
                  <w:r w:rsidRPr="00BB7BC1">
                    <w:t>Income</w:t>
                  </w:r>
                </w:p>
              </w:tc>
              <w:tc>
                <w:tcPr>
                  <w:tcW w:w="635" w:type="pct"/>
                  <w:tcBorders>
                    <w:top w:val="single" w:sz="6" w:space="0" w:color="BFBFBF"/>
                    <w:bottom w:val="single" w:sz="6" w:space="0" w:color="BFBFBF"/>
                  </w:tcBorders>
                  <w:shd w:val="clear" w:color="auto" w:fill="auto"/>
                  <w:tcMar>
                    <w:top w:w="28" w:type="dxa"/>
                  </w:tcMar>
                </w:tcPr>
                <w:p w14:paraId="7FEE6A8A" w14:textId="77777777" w:rsidR="009C6940" w:rsidRPr="00BB7BC1" w:rsidRDefault="009C6940" w:rsidP="009C6940">
                  <w:pPr>
                    <w:pStyle w:val="TableColumnHeading"/>
                  </w:pPr>
                  <w:r w:rsidRPr="00BB7BC1">
                    <w:t>QALYs</w:t>
                  </w:r>
                </w:p>
              </w:tc>
            </w:tr>
            <w:tr w:rsidR="009C6940" w14:paraId="31F6607E" w14:textId="77777777" w:rsidTr="009C6940">
              <w:tc>
                <w:tcPr>
                  <w:tcW w:w="1986" w:type="pct"/>
                  <w:tcBorders>
                    <w:top w:val="single" w:sz="6" w:space="0" w:color="BFBFBF"/>
                  </w:tcBorders>
                </w:tcPr>
                <w:p w14:paraId="01A03060" w14:textId="77777777" w:rsidR="009C6940" w:rsidRDefault="009C6940" w:rsidP="009C6940">
                  <w:pPr>
                    <w:pStyle w:val="TableUnitsRow"/>
                    <w:jc w:val="left"/>
                  </w:pPr>
                  <w:r>
                    <w:t>Carers</w:t>
                  </w:r>
                </w:p>
              </w:tc>
              <w:tc>
                <w:tcPr>
                  <w:tcW w:w="821" w:type="pct"/>
                  <w:tcBorders>
                    <w:top w:val="single" w:sz="6" w:space="0" w:color="BFBFBF"/>
                  </w:tcBorders>
                </w:tcPr>
                <w:p w14:paraId="796C77F6" w14:textId="77777777" w:rsidR="009C6940" w:rsidRPr="00BB7BC1" w:rsidRDefault="009C6940" w:rsidP="009C6940">
                  <w:pPr>
                    <w:pStyle w:val="TableBodyText"/>
                  </w:pPr>
                  <w:r w:rsidRPr="00BB7BC1">
                    <w:t>55 000</w:t>
                  </w:r>
                </w:p>
              </w:tc>
              <w:tc>
                <w:tcPr>
                  <w:tcW w:w="820" w:type="pct"/>
                  <w:tcBorders>
                    <w:top w:val="single" w:sz="6" w:space="0" w:color="BFBFBF"/>
                  </w:tcBorders>
                </w:tcPr>
                <w:p w14:paraId="51431533" w14:textId="77777777" w:rsidR="009C6940" w:rsidRPr="00BB7BC1" w:rsidRDefault="009C6940" w:rsidP="009C6940">
                  <w:pPr>
                    <w:pStyle w:val="TableBodyText"/>
                  </w:pPr>
                  <w:r w:rsidRPr="00BB7BC1">
                    <w:t>0.40</w:t>
                  </w:r>
                </w:p>
              </w:tc>
              <w:tc>
                <w:tcPr>
                  <w:tcW w:w="737" w:type="pct"/>
                  <w:tcBorders>
                    <w:top w:val="single" w:sz="6" w:space="0" w:color="BFBFBF"/>
                  </w:tcBorders>
                </w:tcPr>
                <w:p w14:paraId="15911C13" w14:textId="77777777" w:rsidR="009C6940" w:rsidRPr="00BB7BC1" w:rsidRDefault="009C6940" w:rsidP="009C6940">
                  <w:pPr>
                    <w:pStyle w:val="TableBodyText"/>
                  </w:pPr>
                  <w:r w:rsidRPr="00BB7BC1">
                    <w:t>$124</w:t>
                  </w:r>
                  <w:r w:rsidRPr="00BB7BC1">
                    <w:noBreakHyphen/>
                    <w:t>245 million</w:t>
                  </w:r>
                </w:p>
              </w:tc>
              <w:tc>
                <w:tcPr>
                  <w:tcW w:w="635" w:type="pct"/>
                  <w:tcBorders>
                    <w:top w:val="single" w:sz="6" w:space="0" w:color="BFBFBF"/>
                  </w:tcBorders>
                </w:tcPr>
                <w:p w14:paraId="7AEEB082" w14:textId="77777777" w:rsidR="009C6940" w:rsidRPr="00BB7BC1" w:rsidRDefault="009C6940" w:rsidP="009C6940">
                  <w:pPr>
                    <w:pStyle w:val="TableBodyText"/>
                  </w:pPr>
                  <w:r w:rsidRPr="00BB7BC1">
                    <w:t>1 602</w:t>
                  </w:r>
                  <w:r w:rsidRPr="00BB7BC1">
                    <w:noBreakHyphen/>
                    <w:t>2 917</w:t>
                  </w:r>
                </w:p>
              </w:tc>
            </w:tr>
            <w:tr w:rsidR="009C6940" w14:paraId="52E39258" w14:textId="77777777" w:rsidTr="009C6940">
              <w:tc>
                <w:tcPr>
                  <w:tcW w:w="1986" w:type="pct"/>
                </w:tcPr>
                <w:p w14:paraId="53E07F97" w14:textId="77777777" w:rsidR="009C6940" w:rsidRDefault="009C6940" w:rsidP="009C6940">
                  <w:pPr>
                    <w:pStyle w:val="TableUnitsRow"/>
                    <w:jc w:val="left"/>
                  </w:pPr>
                  <w:r>
                    <w:t>Care recipients with schizophrenia or psychosis</w:t>
                  </w:r>
                </w:p>
              </w:tc>
              <w:tc>
                <w:tcPr>
                  <w:tcW w:w="821" w:type="pct"/>
                </w:tcPr>
                <w:p w14:paraId="668B9813" w14:textId="77777777" w:rsidR="009C6940" w:rsidRPr="00BB7BC1" w:rsidRDefault="009C6940" w:rsidP="009C6940">
                  <w:pPr>
                    <w:pStyle w:val="TableBodyText"/>
                  </w:pPr>
                  <w:r w:rsidRPr="00BB7BC1">
                    <w:t>7 500</w:t>
                  </w:r>
                </w:p>
              </w:tc>
              <w:tc>
                <w:tcPr>
                  <w:tcW w:w="820" w:type="pct"/>
                </w:tcPr>
                <w:p w14:paraId="1455F10A" w14:textId="77777777" w:rsidR="009C6940" w:rsidRPr="00BB7BC1" w:rsidRDefault="009C6940" w:rsidP="009C6940">
                  <w:pPr>
                    <w:pStyle w:val="TableBodyText"/>
                  </w:pPr>
                  <w:r w:rsidRPr="00BB7BC1">
                    <w:t>0.79</w:t>
                  </w:r>
                </w:p>
              </w:tc>
              <w:tc>
                <w:tcPr>
                  <w:tcW w:w="737" w:type="pct"/>
                </w:tcPr>
                <w:p w14:paraId="400CC1D5" w14:textId="77777777" w:rsidR="009C6940" w:rsidRPr="00BB7BC1" w:rsidRDefault="009C6940" w:rsidP="009C6940">
                  <w:pPr>
                    <w:pStyle w:val="TableBodyText"/>
                  </w:pPr>
                  <w:r w:rsidRPr="00BB7BC1">
                    <w:t>—</w:t>
                  </w:r>
                </w:p>
              </w:tc>
              <w:tc>
                <w:tcPr>
                  <w:tcW w:w="635" w:type="pct"/>
                </w:tcPr>
                <w:p w14:paraId="4474E0DF" w14:textId="77777777" w:rsidR="009C6940" w:rsidRPr="00BB7BC1" w:rsidRDefault="009C6940" w:rsidP="009C6940">
                  <w:pPr>
                    <w:pStyle w:val="TableBodyText"/>
                  </w:pPr>
                  <w:r w:rsidRPr="00BB7BC1">
                    <w:t>431</w:t>
                  </w:r>
                  <w:r w:rsidRPr="00BB7BC1">
                    <w:noBreakHyphen/>
                    <w:t>785</w:t>
                  </w:r>
                </w:p>
              </w:tc>
            </w:tr>
            <w:tr w:rsidR="009C6940" w14:paraId="5CD47BDD" w14:textId="77777777" w:rsidTr="009C6940">
              <w:tc>
                <w:tcPr>
                  <w:tcW w:w="1986" w:type="pct"/>
                  <w:tcBorders>
                    <w:bottom w:val="single" w:sz="6" w:space="0" w:color="BFBFBF"/>
                  </w:tcBorders>
                  <w:shd w:val="clear" w:color="auto" w:fill="auto"/>
                </w:tcPr>
                <w:p w14:paraId="7F7210CF" w14:textId="77777777" w:rsidR="009C6940" w:rsidRDefault="009C6940" w:rsidP="009C6940">
                  <w:pPr>
                    <w:pStyle w:val="TableUnitsRow"/>
                    <w:jc w:val="left"/>
                  </w:pPr>
                  <w:r>
                    <w:t>Children of parents with mental illness</w:t>
                  </w:r>
                </w:p>
              </w:tc>
              <w:tc>
                <w:tcPr>
                  <w:tcW w:w="821" w:type="pct"/>
                  <w:tcBorders>
                    <w:bottom w:val="single" w:sz="6" w:space="0" w:color="BFBFBF"/>
                  </w:tcBorders>
                </w:tcPr>
                <w:p w14:paraId="55FBC30B" w14:textId="77777777" w:rsidR="009C6940" w:rsidRPr="00BB7BC1" w:rsidRDefault="009C6940" w:rsidP="009C6940">
                  <w:pPr>
                    <w:pStyle w:val="TableBodyText"/>
                  </w:pPr>
                  <w:r w:rsidRPr="00BB7BC1">
                    <w:t>200 800</w:t>
                  </w:r>
                </w:p>
              </w:tc>
              <w:tc>
                <w:tcPr>
                  <w:tcW w:w="820" w:type="pct"/>
                  <w:tcBorders>
                    <w:bottom w:val="single" w:sz="6" w:space="0" w:color="BFBFBF"/>
                  </w:tcBorders>
                </w:tcPr>
                <w:p w14:paraId="367661ED" w14:textId="77777777" w:rsidR="009C6940" w:rsidRPr="00BB7BC1" w:rsidRDefault="009C6940" w:rsidP="009C6940">
                  <w:pPr>
                    <w:pStyle w:val="TableBodyText"/>
                  </w:pPr>
                  <w:r w:rsidRPr="00BB7BC1">
                    <w:t>0.12</w:t>
                  </w:r>
                </w:p>
              </w:tc>
              <w:tc>
                <w:tcPr>
                  <w:tcW w:w="737" w:type="pct"/>
                  <w:tcBorders>
                    <w:bottom w:val="single" w:sz="6" w:space="0" w:color="BFBFBF"/>
                  </w:tcBorders>
                  <w:shd w:val="clear" w:color="auto" w:fill="auto"/>
                </w:tcPr>
                <w:p w14:paraId="76978E45" w14:textId="77777777" w:rsidR="009C6940" w:rsidRPr="00BB7BC1" w:rsidRDefault="009C6940" w:rsidP="009C6940">
                  <w:pPr>
                    <w:pStyle w:val="TableBodyText"/>
                  </w:pPr>
                  <w:r w:rsidRPr="00BB7BC1">
                    <w:t>—</w:t>
                  </w:r>
                </w:p>
              </w:tc>
              <w:tc>
                <w:tcPr>
                  <w:tcW w:w="635" w:type="pct"/>
                  <w:tcBorders>
                    <w:bottom w:val="single" w:sz="6" w:space="0" w:color="BFBFBF"/>
                  </w:tcBorders>
                  <w:shd w:val="clear" w:color="auto" w:fill="auto"/>
                </w:tcPr>
                <w:p w14:paraId="2F39F0B7" w14:textId="77777777" w:rsidR="009C6940" w:rsidRPr="00BB7BC1" w:rsidRDefault="009C6940" w:rsidP="009C6940">
                  <w:pPr>
                    <w:pStyle w:val="TableBodyText"/>
                  </w:pPr>
                  <w:r w:rsidRPr="00BB7BC1">
                    <w:t>1 790</w:t>
                  </w:r>
                  <w:r w:rsidRPr="00BB7BC1">
                    <w:noBreakHyphen/>
                    <w:t>3 259</w:t>
                  </w:r>
                </w:p>
              </w:tc>
            </w:tr>
          </w:tbl>
          <w:p w14:paraId="5EA0AFE4" w14:textId="77777777" w:rsidR="009C6940" w:rsidRPr="00147D77" w:rsidRDefault="009C6940" w:rsidP="009C6940">
            <w:pPr>
              <w:pStyle w:val="Box"/>
              <w:spacing w:before="240"/>
              <w:rPr>
                <w:i/>
                <w:iCs/>
              </w:rPr>
            </w:pPr>
            <w:r w:rsidRPr="00147D77">
              <w:rPr>
                <w:i/>
                <w:iCs/>
              </w:rPr>
              <w:t>Cost savings</w:t>
            </w:r>
          </w:p>
          <w:p w14:paraId="5588992A" w14:textId="77777777" w:rsidR="009C6940" w:rsidRDefault="009C6940" w:rsidP="009C6940">
            <w:pPr>
              <w:pStyle w:val="Box"/>
            </w:pPr>
            <w:r>
              <w:t xml:space="preserve">It is estimated that 29% of the care recipients who are expected to benefit have had an ED presentation in the past 12 months (Productivity </w:t>
            </w:r>
            <w:r w:rsidRPr="00645A10">
              <w:t xml:space="preserve">Commission estimates using </w:t>
            </w:r>
            <w:r>
              <w:t>ABS</w:t>
            </w:r>
            <w:r w:rsidRPr="00645A10">
              <w:t xml:space="preserve"> </w:t>
            </w:r>
            <w:r w:rsidRPr="00D80781">
              <w:rPr>
                <w:rFonts w:cs="Arial"/>
              </w:rPr>
              <w:t>2020a</w:t>
            </w:r>
            <w:r>
              <w:t>). This means that there are potential cost savings from reduced ED presentations for about</w:t>
            </w:r>
            <w:r w:rsidRPr="00710CD5">
              <w:t xml:space="preserve"> </w:t>
            </w:r>
            <w:r>
              <w:t xml:space="preserve">7500 care recipients. However not all of these ED presentations will be avoided. </w:t>
            </w:r>
            <w:r w:rsidRPr="00BC6684">
              <w:t xml:space="preserve">A randomised controlled trial by Calvo et al. </w:t>
            </w:r>
            <w:r w:rsidRPr="00D80781">
              <w:rPr>
                <w:rFonts w:cs="Arial"/>
              </w:rPr>
              <w:t>(2014)</w:t>
            </w:r>
            <w:r w:rsidRPr="00BC6684">
              <w:t xml:space="preserve"> found that at the end of the group intervention, people in the psychoeducation group were 24 percentage points less likely to have had visited the emergency department.</w:t>
            </w:r>
            <w:r>
              <w:t xml:space="preserve"> Combining this with the average cost of an ED presentation for severe mental illness ($805 per presentation), the cost savings from a reduction in ED presentations are $1.4 million.</w:t>
            </w:r>
          </w:p>
          <w:p w14:paraId="7468CA34" w14:textId="77777777" w:rsidR="009C6940" w:rsidRDefault="009C6940" w:rsidP="009C6940">
            <w:pPr>
              <w:pStyle w:val="Box"/>
            </w:pPr>
            <w:r>
              <w:t xml:space="preserve">Family psychosocial interventions for schizophrenia </w:t>
            </w:r>
            <w:r w:rsidRPr="00D80781">
              <w:rPr>
                <w:rFonts w:cs="Arial"/>
                <w:szCs w:val="24"/>
              </w:rPr>
              <w:t>(Pharoah et al. 2010)</w:t>
            </w:r>
            <w:r>
              <w:t xml:space="preserve"> and family interventions for early psychosis </w:t>
            </w:r>
            <w:r w:rsidRPr="00D80781">
              <w:rPr>
                <w:rFonts w:cs="Arial"/>
                <w:szCs w:val="24"/>
              </w:rPr>
              <w:t>(Bird et al. 2010)</w:t>
            </w:r>
            <w:r>
              <w:t xml:space="preserve"> can reduce the number of hospital admissions, compared with care as usual, by 26</w:t>
            </w:r>
            <w:r>
              <w:noBreakHyphen/>
              <w:t>49 percentage points. It is estimated that there were about</w:t>
            </w:r>
            <w:r w:rsidRPr="00710CD5">
              <w:t xml:space="preserve"> </w:t>
            </w:r>
            <w:r>
              <w:t>7500 hospital admissions by care recipients (Productivity C</w:t>
            </w:r>
            <w:r w:rsidRPr="00645A10">
              <w:t xml:space="preserve">ommission estimates using </w:t>
            </w:r>
            <w:r>
              <w:t>ABS</w:t>
            </w:r>
            <w:r w:rsidRPr="00645A10">
              <w:t xml:space="preserve"> </w:t>
            </w:r>
            <w:r w:rsidRPr="00D80781">
              <w:rPr>
                <w:rFonts w:cs="Arial"/>
              </w:rPr>
              <w:t>2020a</w:t>
            </w:r>
            <w:r>
              <w:t>). Assuming an average length of stay of 15 days in an acute bed (at an average cost of $19 548 per stay), reducing the number of hospital admissions could lead to cost savings between $38</w:t>
            </w:r>
            <w:r>
              <w:noBreakHyphen/>
              <w:t>72 million. This is likely to be a conservative assumption as it could be the case that multiple admission are avoided by the same care recipient.</w:t>
            </w:r>
          </w:p>
        </w:tc>
      </w:tr>
      <w:tr w:rsidR="009C6940" w14:paraId="5378C814" w14:textId="77777777" w:rsidTr="009C6940">
        <w:tc>
          <w:tcPr>
            <w:tcW w:w="5000" w:type="pct"/>
            <w:tcBorders>
              <w:top w:val="nil"/>
              <w:left w:val="nil"/>
              <w:bottom w:val="nil"/>
              <w:right w:val="nil"/>
            </w:tcBorders>
            <w:shd w:val="clear" w:color="auto" w:fill="F2F2F2"/>
          </w:tcPr>
          <w:p w14:paraId="003D0E13" w14:textId="77777777" w:rsidR="009C6940" w:rsidRDefault="009C6940" w:rsidP="009C6940">
            <w:pPr>
              <w:pStyle w:val="BoxHeading1"/>
              <w:spacing w:before="120"/>
            </w:pPr>
            <w:r>
              <w:t>Additional considerations</w:t>
            </w:r>
          </w:p>
          <w:p w14:paraId="4151A1A1" w14:textId="77777777" w:rsidR="009C6940" w:rsidRPr="00053533" w:rsidRDefault="009C6940" w:rsidP="009C6940">
            <w:pPr>
              <w:pStyle w:val="Box"/>
              <w:rPr>
                <w:bCs/>
              </w:rPr>
            </w:pPr>
            <w:r w:rsidRPr="00053533">
              <w:rPr>
                <w:bCs/>
              </w:rPr>
              <w:t>There are a number of other possible effects that need to be considered:</w:t>
            </w:r>
          </w:p>
          <w:p w14:paraId="73B27634" w14:textId="77777777" w:rsidR="009C6940" w:rsidRDefault="009C6940" w:rsidP="009C6940">
            <w:pPr>
              <w:pStyle w:val="BoxListBullet"/>
              <w:numPr>
                <w:ilvl w:val="0"/>
                <w:numId w:val="3"/>
              </w:numPr>
            </w:pPr>
            <w:r>
              <w:t>Aggregate benefits to carers are likely to be underestimated. The population of carers who have unmet need and are likely to benefit from these reforms is an underestimate because carers who do not reside with their care recipient, are not primary carers, or are caring for someone who has mental illness but it is not their main condition are not included.</w:t>
            </w:r>
          </w:p>
          <w:p w14:paraId="206D9384" w14:textId="77777777" w:rsidR="009C6940" w:rsidRPr="009557C1" w:rsidRDefault="009C6940" w:rsidP="009C6940">
            <w:pPr>
              <w:pStyle w:val="BoxListBullet"/>
              <w:numPr>
                <w:ilvl w:val="0"/>
                <w:numId w:val="3"/>
              </w:numPr>
            </w:pPr>
            <w:r>
              <w:t xml:space="preserve">The population of </w:t>
            </w:r>
            <w:r w:rsidRPr="001A5EBD">
              <w:rPr>
                <w:lang w:val="en-US"/>
              </w:rPr>
              <w:t>children of parents with mental illness</w:t>
            </w:r>
            <w:r>
              <w:rPr>
                <w:lang w:val="en-US"/>
              </w:rPr>
              <w:t xml:space="preserve"> with unmet needs is uncertain. All children of parents with severe and chronic mental illness have been included, but some of these families may not have unmet needs. Children of parents with severe but not chronic mental illness are not included in the population estimate, although some may have unmet needs.</w:t>
            </w:r>
          </w:p>
          <w:p w14:paraId="26C0F4B7" w14:textId="77777777" w:rsidR="009C6940" w:rsidRDefault="009C6940" w:rsidP="009C6940">
            <w:pPr>
              <w:pStyle w:val="BoxListBullet"/>
              <w:numPr>
                <w:ilvl w:val="0"/>
                <w:numId w:val="3"/>
              </w:numPr>
            </w:pPr>
            <w:r>
              <w:t>Other family and household members of people with mental illness who are not carers are also likely to experience benefits not quantified here.</w:t>
            </w:r>
          </w:p>
        </w:tc>
      </w:tr>
      <w:tr w:rsidR="009C6940" w14:paraId="363E0939" w14:textId="77777777" w:rsidTr="009C6940">
        <w:tc>
          <w:tcPr>
            <w:tcW w:w="5000" w:type="pct"/>
            <w:tcBorders>
              <w:top w:val="nil"/>
              <w:left w:val="nil"/>
              <w:bottom w:val="single" w:sz="6" w:space="0" w:color="78A22F"/>
              <w:right w:val="nil"/>
            </w:tcBorders>
            <w:shd w:val="clear" w:color="auto" w:fill="F2F2F2"/>
          </w:tcPr>
          <w:p w14:paraId="5BA07890" w14:textId="77777777" w:rsidR="009C6940" w:rsidRDefault="009C6940" w:rsidP="009C6940">
            <w:pPr>
              <w:pStyle w:val="Box"/>
              <w:spacing w:before="0" w:line="120" w:lineRule="exact"/>
            </w:pPr>
          </w:p>
        </w:tc>
      </w:tr>
      <w:tr w:rsidR="009C6940" w:rsidRPr="000863A5" w14:paraId="3A722203" w14:textId="77777777" w:rsidTr="009C6940">
        <w:tc>
          <w:tcPr>
            <w:tcW w:w="5000" w:type="pct"/>
            <w:tcBorders>
              <w:top w:val="single" w:sz="6" w:space="0" w:color="78A22F"/>
              <w:left w:val="nil"/>
              <w:bottom w:val="nil"/>
              <w:right w:val="nil"/>
            </w:tcBorders>
          </w:tcPr>
          <w:p w14:paraId="04F4B28B" w14:textId="77777777" w:rsidR="009C6940" w:rsidRPr="00626D32" w:rsidRDefault="009C6940" w:rsidP="009C6940">
            <w:pPr>
              <w:pStyle w:val="BoxSpaceBelow"/>
            </w:pPr>
          </w:p>
        </w:tc>
      </w:tr>
    </w:tbl>
    <w:p w14:paraId="478FAAAD" w14:textId="77777777" w:rsidR="009C6940" w:rsidRDefault="009C6940" w:rsidP="009C6940">
      <w:pPr>
        <w:pStyle w:val="Heading2"/>
      </w:pPr>
      <w:r>
        <w:lastRenderedPageBreak/>
        <w:t>K.</w:t>
      </w:r>
      <w:r>
        <w:rPr>
          <w:noProof/>
        </w:rPr>
        <w:t>3</w:t>
      </w:r>
      <w:r>
        <w:tab/>
        <w:t>Income and employment support</w:t>
      </w:r>
    </w:p>
    <w:p w14:paraId="6D9383AA"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8F24953" w14:textId="77777777" w:rsidTr="009C6940">
        <w:trPr>
          <w:tblHeader/>
        </w:trPr>
        <w:tc>
          <w:tcPr>
            <w:tcW w:w="5000" w:type="pct"/>
            <w:tcBorders>
              <w:top w:val="single" w:sz="6" w:space="0" w:color="78A22F"/>
              <w:left w:val="nil"/>
              <w:bottom w:val="nil"/>
              <w:right w:val="nil"/>
            </w:tcBorders>
            <w:shd w:val="clear" w:color="auto" w:fill="F2F2F2"/>
          </w:tcPr>
          <w:p w14:paraId="4F2F0246" w14:textId="77777777" w:rsidR="009C6940" w:rsidRPr="00ED717B" w:rsidRDefault="009C6940" w:rsidP="009C6940">
            <w:pPr>
              <w:pStyle w:val="BoxHeading1"/>
              <w:tabs>
                <w:tab w:val="left" w:pos="1092"/>
              </w:tabs>
              <w:rPr>
                <w:sz w:val="24"/>
                <w:szCs w:val="24"/>
              </w:rPr>
            </w:pPr>
            <w:r>
              <w:rPr>
                <w:sz w:val="24"/>
                <w:szCs w:val="24"/>
              </w:rPr>
              <w:t>Action</w:t>
            </w:r>
            <w:r>
              <w:rPr>
                <w:sz w:val="24"/>
                <w:szCs w:val="24"/>
              </w:rPr>
              <w:tab/>
            </w:r>
            <w:r w:rsidRPr="00ED717B">
              <w:rPr>
                <w:sz w:val="24"/>
                <w:szCs w:val="24"/>
              </w:rPr>
              <w:t xml:space="preserve">Staged rollout of Individual Placement </w:t>
            </w:r>
            <w:r>
              <w:rPr>
                <w:sz w:val="24"/>
                <w:szCs w:val="24"/>
              </w:rPr>
              <w:t>and</w:t>
            </w:r>
            <w:r w:rsidRPr="00ED717B">
              <w:rPr>
                <w:sz w:val="24"/>
                <w:szCs w:val="24"/>
              </w:rPr>
              <w:t xml:space="preserve"> Support</w:t>
            </w:r>
          </w:p>
          <w:p w14:paraId="59771876" w14:textId="77777777" w:rsidR="009C6940" w:rsidRDefault="009C6940" w:rsidP="009C6940">
            <w:pPr>
              <w:pStyle w:val="Box"/>
            </w:pPr>
            <w:r w:rsidRPr="0056620D">
              <w:t>The Individual Placement and Support (IPS) model of employment support should be extended through a staged rollout to all State and Territory Government community ambulatory mental healthcare services.</w:t>
            </w:r>
          </w:p>
        </w:tc>
      </w:tr>
      <w:tr w:rsidR="009C6940" w14:paraId="51ECEE74" w14:textId="77777777" w:rsidTr="009C6940">
        <w:tc>
          <w:tcPr>
            <w:tcW w:w="5000" w:type="pct"/>
            <w:tcBorders>
              <w:top w:val="nil"/>
              <w:left w:val="nil"/>
              <w:bottom w:val="nil"/>
              <w:right w:val="nil"/>
            </w:tcBorders>
            <w:shd w:val="clear" w:color="auto" w:fill="F2F2F2"/>
          </w:tcPr>
          <w:p w14:paraId="11F3C28E" w14:textId="77777777" w:rsidR="009C6940" w:rsidRDefault="009C6940" w:rsidP="009C6940">
            <w:pPr>
              <w:pStyle w:val="BoxHeading1"/>
              <w:spacing w:before="120"/>
            </w:pPr>
            <w:r>
              <w:t>Population</w:t>
            </w:r>
          </w:p>
          <w:p w14:paraId="4F7B8D6A" w14:textId="77777777" w:rsidR="009C6940" w:rsidRDefault="009C6940" w:rsidP="009C6940">
            <w:pPr>
              <w:pStyle w:val="Box"/>
            </w:pPr>
            <w:r>
              <w:t>IPS participants are assumed to be working age, not employed, consumers of community ambulatory mental healthcare services with the most severe mental illness (receiving medium to long</w:t>
            </w:r>
            <w:r>
              <w:noBreakHyphen/>
              <w:t xml:space="preserve">term treatment). It is estimated that there are currently 68 100 people who are potential IPS participants, and that after a full rollout, </w:t>
            </w:r>
            <w:r w:rsidRPr="001B64F0">
              <w:t>4</w:t>
            </w:r>
            <w:r>
              <w:t>0 000 of these people will use</w:t>
            </w:r>
            <w:r w:rsidRPr="001B64F0">
              <w:t xml:space="preserve"> IPS</w:t>
            </w:r>
            <w:r>
              <w:t xml:space="preserve"> (Productivity Commission estimates, chapter </w:t>
            </w:r>
            <w:r w:rsidRPr="00BA5367">
              <w:t>19</w:t>
            </w:r>
            <w:r>
              <w:t>)</w:t>
            </w:r>
            <w:r w:rsidRPr="001B64F0">
              <w:t>.</w:t>
            </w:r>
          </w:p>
        </w:tc>
      </w:tr>
      <w:tr w:rsidR="009C6940" w14:paraId="191B6AC7" w14:textId="77777777" w:rsidTr="009C6940">
        <w:tc>
          <w:tcPr>
            <w:tcW w:w="5000" w:type="pct"/>
            <w:tcBorders>
              <w:top w:val="nil"/>
              <w:left w:val="nil"/>
              <w:bottom w:val="nil"/>
              <w:right w:val="nil"/>
            </w:tcBorders>
            <w:shd w:val="clear" w:color="auto" w:fill="F2F2F2"/>
          </w:tcPr>
          <w:p w14:paraId="0984B4E8" w14:textId="77777777" w:rsidR="009C6940" w:rsidRDefault="009C6940" w:rsidP="009C6940">
            <w:pPr>
              <w:pStyle w:val="BoxHeading1"/>
              <w:spacing w:before="120"/>
            </w:pPr>
            <w:r>
              <w:t>Effect</w:t>
            </w:r>
          </w:p>
          <w:p w14:paraId="431CD6D0" w14:textId="77777777" w:rsidR="009C6940" w:rsidRPr="005530FB" w:rsidRDefault="009C6940" w:rsidP="009C6940">
            <w:pPr>
              <w:pStyle w:val="Box"/>
              <w:rPr>
                <w:i/>
              </w:rPr>
            </w:pPr>
            <w:r w:rsidRPr="005530FB">
              <w:rPr>
                <w:i/>
              </w:rPr>
              <w:t>Health</w:t>
            </w:r>
            <w:r w:rsidRPr="005530FB">
              <w:rPr>
                <w:i/>
              </w:rPr>
              <w:noBreakHyphen/>
              <w:t>related quality of life</w:t>
            </w:r>
          </w:p>
          <w:p w14:paraId="4469BBAF" w14:textId="77777777" w:rsidR="009C6940" w:rsidRDefault="009C6940" w:rsidP="009C6940">
            <w:pPr>
              <w:pStyle w:val="Box"/>
            </w:pPr>
            <w:r>
              <w:t>IPS is assumed to have a positive effect on participant’s health</w:t>
            </w:r>
            <w:r>
              <w:noBreakHyphen/>
              <w:t>related quality of life, thereby increasing their number of quality</w:t>
            </w:r>
            <w:r>
              <w:noBreakHyphen/>
              <w:t>adjusted life years. Assuming an effect size of 0.08, this suggests an additional 238</w:t>
            </w:r>
            <w:r w:rsidRPr="005B603B">
              <w:noBreakHyphen/>
            </w:r>
            <w:r>
              <w:t>434 QALYs per year. The effect size is estimated based on pooling the estimates from several studies:</w:t>
            </w:r>
          </w:p>
          <w:p w14:paraId="2752056A" w14:textId="77777777" w:rsidR="009C6940" w:rsidRDefault="009C6940" w:rsidP="009C6940">
            <w:pPr>
              <w:pStyle w:val="BoxListBullet"/>
            </w:pPr>
            <w:r w:rsidRPr="008F38D0">
              <w:t xml:space="preserve">Michon et al. </w:t>
            </w:r>
            <w:r w:rsidRPr="00D80781">
              <w:rPr>
                <w:rFonts w:cs="Arial"/>
              </w:rPr>
              <w:t>(2014)</w:t>
            </w:r>
            <w:r>
              <w:t xml:space="preserve"> </w:t>
            </w:r>
            <w:r w:rsidRPr="008F38D0">
              <w:t>evaluate</w:t>
            </w:r>
            <w:r>
              <w:t>d</w:t>
            </w:r>
            <w:r w:rsidRPr="008F38D0">
              <w:t xml:space="preserve"> the effectiveness of IPS for people with severe mental illness in the Netherlands. </w:t>
            </w:r>
            <w:r>
              <w:t>Mental health was measured using the Mental Health Inventory (MHI</w:t>
            </w:r>
            <w:r>
              <w:noBreakHyphen/>
              <w:t>5), and found an effect size of 0.17 for those with competitive employment at the end of the 30</w:t>
            </w:r>
            <w:r>
              <w:noBreakHyphen/>
              <w:t>month trial.</w:t>
            </w:r>
          </w:p>
          <w:p w14:paraId="10A66903" w14:textId="77777777" w:rsidR="009C6940" w:rsidRPr="00ED717B" w:rsidRDefault="009C6940" w:rsidP="009C6940">
            <w:pPr>
              <w:pStyle w:val="BoxListBullet"/>
            </w:pPr>
            <w:r w:rsidRPr="008F38D0">
              <w:t xml:space="preserve">Drake et al. </w:t>
            </w:r>
            <w:r w:rsidRPr="00D80781">
              <w:rPr>
                <w:rFonts w:cs="Arial"/>
              </w:rPr>
              <w:t>(1999)</w:t>
            </w:r>
            <w:r w:rsidRPr="008F38D0">
              <w:rPr>
                <w:lang w:val="en-US"/>
              </w:rPr>
              <w:t xml:space="preserve"> evaluate</w:t>
            </w:r>
            <w:r>
              <w:rPr>
                <w:lang w:val="en-US"/>
              </w:rPr>
              <w:t>d</w:t>
            </w:r>
            <w:r w:rsidRPr="008F38D0">
              <w:rPr>
                <w:lang w:val="en-US"/>
              </w:rPr>
              <w:t xml:space="preserve"> the effectiveness of a supported employment for inner city patients with severe mental illness. </w:t>
            </w:r>
            <w:r>
              <w:t>Conducting a randomised control trial, m</w:t>
            </w:r>
            <w:r w:rsidRPr="00ED717B">
              <w:t xml:space="preserve">ental health was measured using the BPRS (Brief Psychiatric Rating Scale) and an effect size of 0.16 was found for those who received IPS </w:t>
            </w:r>
            <w:r>
              <w:t>(</w:t>
            </w:r>
            <w:r w:rsidRPr="00ED717B">
              <w:t>compared to those receiving enhanced vocational rehabilitation</w:t>
            </w:r>
            <w:r>
              <w:t>)</w:t>
            </w:r>
            <w:r w:rsidRPr="00ED717B">
              <w:t>.</w:t>
            </w:r>
          </w:p>
          <w:p w14:paraId="5B173FBA" w14:textId="77777777" w:rsidR="009C6940" w:rsidRDefault="009C6940" w:rsidP="009C6940">
            <w:pPr>
              <w:pStyle w:val="BoxListBullet"/>
            </w:pPr>
            <w:r>
              <w:t xml:space="preserve">Kukla and Bond </w:t>
            </w:r>
            <w:r w:rsidRPr="00D80781">
              <w:rPr>
                <w:rFonts w:cs="Arial"/>
              </w:rPr>
              <w:t>(2013)</w:t>
            </w:r>
            <w:r>
              <w:t xml:space="preserve"> studied the effect of IPS on non</w:t>
            </w:r>
            <w:r>
              <w:noBreakHyphen/>
              <w:t>vocational outcomes including psychiatric symptoms and quality of life. These were measured using the Positive and Negative Syndrome Scale (PANSS), and found an effect size of 0.17 for those who received IPS compared to those that received a stepwise vocational model.</w:t>
            </w:r>
          </w:p>
          <w:p w14:paraId="25F49FC8" w14:textId="77777777" w:rsidR="009C6940" w:rsidRDefault="009C6940" w:rsidP="009C6940">
            <w:pPr>
              <w:pStyle w:val="BoxListBullet"/>
            </w:pPr>
            <w:r w:rsidRPr="008F38D0">
              <w:rPr>
                <w:lang w:val="fr-FR"/>
              </w:rPr>
              <w:t>Burns et al</w:t>
            </w:r>
            <w:r>
              <w:rPr>
                <w:lang w:val="fr-FR"/>
              </w:rPr>
              <w:t>.</w:t>
            </w:r>
            <w:r w:rsidRPr="008F38D0">
              <w:rPr>
                <w:lang w:val="fr-FR"/>
              </w:rPr>
              <w:t> </w:t>
            </w:r>
            <w:r w:rsidRPr="00D16988">
              <w:rPr>
                <w:rFonts w:cs="Arial"/>
                <w:lang w:val="fr-FR"/>
              </w:rPr>
              <w:t>(2009)</w:t>
            </w:r>
            <w:r w:rsidRPr="008F38D0">
              <w:rPr>
                <w:lang w:val="fr-FR"/>
              </w:rPr>
              <w:t xml:space="preserve"> studied a randomised controlled trial of IPS across six European countries, with participants allocated to IPS or the best alternative local vocational service. </w:t>
            </w:r>
            <w:r>
              <w:t xml:space="preserve">The authors did not find significant differences between the two groups, with an effect size of </w:t>
            </w:r>
            <w:r>
              <w:noBreakHyphen/>
              <w:t>0.051 based on using PANSS as the outcome measure.</w:t>
            </w:r>
          </w:p>
          <w:p w14:paraId="34A293FF" w14:textId="77777777" w:rsidR="009C6940" w:rsidRPr="005530FB" w:rsidRDefault="009C6940" w:rsidP="009C6940">
            <w:pPr>
              <w:pStyle w:val="Box"/>
              <w:rPr>
                <w:i/>
              </w:rPr>
            </w:pPr>
            <w:r w:rsidRPr="005530FB">
              <w:rPr>
                <w:i/>
              </w:rPr>
              <w:t>Employment</w:t>
            </w:r>
          </w:p>
          <w:p w14:paraId="5C147D65" w14:textId="77777777" w:rsidR="009C6940" w:rsidRDefault="009C6940" w:rsidP="009C6940">
            <w:pPr>
              <w:pStyle w:val="Box"/>
              <w:tabs>
                <w:tab w:val="left" w:pos="1680"/>
              </w:tabs>
            </w:pPr>
            <w:r w:rsidRPr="005D3617">
              <w:rPr>
                <w:rStyle w:val="BoxChar"/>
              </w:rPr>
              <w:t xml:space="preserve">Labour market benefits are based on vocational outcomes reported in Waghorn et al. </w:t>
            </w:r>
            <w:r w:rsidRPr="00D80781">
              <w:rPr>
                <w:rFonts w:cs="Arial"/>
              </w:rPr>
              <w:t>(2014)</w:t>
            </w:r>
            <w:r w:rsidRPr="005D3617">
              <w:rPr>
                <w:rStyle w:val="BoxChar"/>
              </w:rPr>
              <w:t>, which compared the effectiveness of IPS to current employment support programs for people with disability.</w:t>
            </w:r>
            <w:r>
              <w:t xml:space="preserve"> The authors reported that, over a 12 month period, people receiving IPS were 19 percentage points more likely to be employed, work an additional 3.6 weeks, worked 5.1 hours less, and have a $2.50 higher hourly wage compared to the control.</w:t>
            </w:r>
          </w:p>
        </w:tc>
      </w:tr>
      <w:tr w:rsidR="009C6940" w14:paraId="5605A100" w14:textId="77777777" w:rsidTr="009C6940">
        <w:tc>
          <w:tcPr>
            <w:tcW w:w="5000" w:type="pct"/>
            <w:tcBorders>
              <w:top w:val="nil"/>
              <w:left w:val="nil"/>
              <w:bottom w:val="nil"/>
              <w:right w:val="nil"/>
            </w:tcBorders>
            <w:shd w:val="clear" w:color="auto" w:fill="F2F2F2"/>
          </w:tcPr>
          <w:p w14:paraId="4BDC1B06"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2A86CE8F" w14:textId="77777777" w:rsidTr="009C6940">
        <w:tc>
          <w:tcPr>
            <w:tcW w:w="5000" w:type="pct"/>
            <w:tcBorders>
              <w:top w:val="nil"/>
              <w:left w:val="nil"/>
              <w:bottom w:val="single" w:sz="6" w:space="0" w:color="78A22F"/>
              <w:right w:val="nil"/>
            </w:tcBorders>
            <w:shd w:val="clear" w:color="auto" w:fill="F2F2F2"/>
          </w:tcPr>
          <w:p w14:paraId="30FE6574" w14:textId="77777777" w:rsidR="009C6940" w:rsidRDefault="009C6940" w:rsidP="009C6940">
            <w:pPr>
              <w:pStyle w:val="Box"/>
              <w:spacing w:before="0" w:line="120" w:lineRule="exact"/>
            </w:pPr>
          </w:p>
        </w:tc>
      </w:tr>
      <w:tr w:rsidR="009C6940" w:rsidRPr="000863A5" w14:paraId="2952FD57" w14:textId="77777777" w:rsidTr="009C6940">
        <w:tc>
          <w:tcPr>
            <w:tcW w:w="5000" w:type="pct"/>
            <w:tcBorders>
              <w:top w:val="single" w:sz="6" w:space="0" w:color="78A22F"/>
              <w:left w:val="nil"/>
              <w:bottom w:val="nil"/>
              <w:right w:val="nil"/>
            </w:tcBorders>
          </w:tcPr>
          <w:p w14:paraId="10AF1F5D" w14:textId="77777777" w:rsidR="009C6940" w:rsidRPr="00626D32" w:rsidRDefault="009C6940" w:rsidP="009C6940">
            <w:pPr>
              <w:pStyle w:val="BoxSpaceBelow"/>
            </w:pPr>
          </w:p>
        </w:tc>
      </w:tr>
    </w:tbl>
    <w:p w14:paraId="6FCDC22D"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DB9916F" w14:textId="77777777" w:rsidTr="009C6940">
        <w:trPr>
          <w:tblHeader/>
        </w:trPr>
        <w:tc>
          <w:tcPr>
            <w:tcW w:w="5000" w:type="pct"/>
            <w:tcBorders>
              <w:top w:val="single" w:sz="6" w:space="0" w:color="78A22F"/>
              <w:left w:val="nil"/>
              <w:bottom w:val="nil"/>
              <w:right w:val="nil"/>
            </w:tcBorders>
            <w:shd w:val="clear" w:color="auto" w:fill="F2F2F2"/>
          </w:tcPr>
          <w:p w14:paraId="439F34CE" w14:textId="77777777" w:rsidR="009C6940" w:rsidRPr="00897F4A" w:rsidRDefault="009C6940" w:rsidP="009C6940">
            <w:pPr>
              <w:pStyle w:val="BoxHeading1"/>
              <w:tabs>
                <w:tab w:val="left" w:pos="1109"/>
              </w:tabs>
              <w:rPr>
                <w:b w:val="0"/>
                <w:sz w:val="24"/>
                <w:szCs w:val="24"/>
              </w:rPr>
            </w:pPr>
            <w:r>
              <w:rPr>
                <w:sz w:val="24"/>
                <w:szCs w:val="24"/>
              </w:rPr>
              <w:t>Action</w:t>
            </w:r>
            <w:r>
              <w:rPr>
                <w:sz w:val="24"/>
                <w:szCs w:val="24"/>
              </w:rPr>
              <w:tab/>
            </w:r>
            <w:r w:rsidRPr="00ED717B">
              <w:rPr>
                <w:sz w:val="24"/>
                <w:szCs w:val="24"/>
              </w:rPr>
              <w:t xml:space="preserve">Staged rollout of Individual Placement </w:t>
            </w:r>
            <w:r>
              <w:rPr>
                <w:sz w:val="24"/>
                <w:szCs w:val="24"/>
              </w:rPr>
              <w:t xml:space="preserve">and Support </w:t>
            </w:r>
            <w:r w:rsidRPr="00A7274B">
              <w:rPr>
                <w:b w:val="0"/>
                <w:sz w:val="18"/>
                <w:szCs w:val="18"/>
              </w:rPr>
              <w:t>(continued)</w:t>
            </w:r>
          </w:p>
        </w:tc>
      </w:tr>
      <w:tr w:rsidR="009C6940" w14:paraId="2D147491" w14:textId="77777777" w:rsidTr="009C6940">
        <w:tc>
          <w:tcPr>
            <w:tcW w:w="5000" w:type="pct"/>
            <w:tcBorders>
              <w:top w:val="nil"/>
              <w:left w:val="nil"/>
              <w:bottom w:val="nil"/>
              <w:right w:val="nil"/>
            </w:tcBorders>
            <w:shd w:val="clear" w:color="auto" w:fill="F2F2F2"/>
          </w:tcPr>
          <w:p w14:paraId="630D3DEB" w14:textId="77777777" w:rsidR="009C6940" w:rsidRDefault="009C6940" w:rsidP="009C6940">
            <w:pPr>
              <w:pStyle w:val="Box"/>
              <w:tabs>
                <w:tab w:val="left" w:pos="1680"/>
              </w:tabs>
            </w:pPr>
            <w:r>
              <w:t xml:space="preserve">However, </w:t>
            </w:r>
            <w:r w:rsidRPr="00904A85">
              <w:t>pre</w:t>
            </w:r>
            <w:r>
              <w:noBreakHyphen/>
            </w:r>
            <w:r w:rsidRPr="00904A85">
              <w:t xml:space="preserve">existing differences in </w:t>
            </w:r>
            <w:r>
              <w:t>t</w:t>
            </w:r>
            <w:r w:rsidRPr="00904A85">
              <w:t xml:space="preserve">he employment rate </w:t>
            </w:r>
            <w:r>
              <w:t xml:space="preserve">between the two groups in the year preceding the study could bias these results. The employment rate </w:t>
            </w:r>
            <w:r w:rsidRPr="00904A85">
              <w:t>was 11</w:t>
            </w:r>
            <w:r>
              <w:t> </w:t>
            </w:r>
            <w:r w:rsidRPr="00904A85">
              <w:t xml:space="preserve">percentage points higher in the treated group than the control </w:t>
            </w:r>
            <w:r>
              <w:t>(39% compared with 28 %).</w:t>
            </w:r>
          </w:p>
          <w:p w14:paraId="0E0D3E1C" w14:textId="77777777" w:rsidR="009C6940" w:rsidRDefault="009C6940" w:rsidP="009C6940">
            <w:pPr>
              <w:pStyle w:val="Box"/>
            </w:pPr>
            <w:r>
              <w:t>Given this, a range of 8</w:t>
            </w:r>
            <w:r>
              <w:noBreakHyphen/>
              <w:t>19 percentage points is assumed for the difference in the probability of gaining employment, leading to a change in expected labour income of $42</w:t>
            </w:r>
            <w:r>
              <w:noBreakHyphen/>
              <w:t>90 million (2019 dollars).</w:t>
            </w:r>
          </w:p>
        </w:tc>
      </w:tr>
      <w:tr w:rsidR="009C6940" w14:paraId="5C9B59C3" w14:textId="77777777" w:rsidTr="009C6940">
        <w:tc>
          <w:tcPr>
            <w:tcW w:w="5000" w:type="pct"/>
            <w:tcBorders>
              <w:top w:val="nil"/>
              <w:left w:val="nil"/>
              <w:bottom w:val="nil"/>
              <w:right w:val="nil"/>
            </w:tcBorders>
            <w:shd w:val="clear" w:color="auto" w:fill="F2F2F2"/>
          </w:tcPr>
          <w:p w14:paraId="04C8A197" w14:textId="77777777" w:rsidR="009C6940" w:rsidRPr="000C6859" w:rsidRDefault="009C6940" w:rsidP="009C6940">
            <w:pPr>
              <w:pStyle w:val="BoxHeading1"/>
              <w:spacing w:before="120"/>
            </w:pPr>
            <w:r>
              <w:t>Costs</w:t>
            </w:r>
          </w:p>
          <w:p w14:paraId="1FEBD933" w14:textId="77777777" w:rsidR="009C6940" w:rsidRDefault="009C6940" w:rsidP="009C6940">
            <w:pPr>
              <w:pStyle w:val="BoxListBullet"/>
              <w:numPr>
                <w:ilvl w:val="0"/>
                <w:numId w:val="3"/>
              </w:numPr>
            </w:pPr>
            <w:r w:rsidRPr="00F40D3B">
              <w:t>T</w:t>
            </w:r>
            <w:r>
              <w:t>he estimates of the t</w:t>
            </w:r>
            <w:r w:rsidRPr="00F40D3B">
              <w:t xml:space="preserve">otal </w:t>
            </w:r>
            <w:r>
              <w:t xml:space="preserve">additional </w:t>
            </w:r>
            <w:r w:rsidRPr="00F40D3B">
              <w:t xml:space="preserve">costs </w:t>
            </w:r>
            <w:r>
              <w:t xml:space="preserve">associated with a staged rollout of IPS are based on those identified in the </w:t>
            </w:r>
            <w:r w:rsidRPr="00F40D3B">
              <w:t>evaluation of the national youth</w:t>
            </w:r>
            <w:r>
              <w:noBreakHyphen/>
            </w:r>
            <w:r w:rsidRPr="00F40D3B">
              <w:t xml:space="preserve">focused IPS trial </w:t>
            </w:r>
            <w:r w:rsidRPr="002F1EBF">
              <w:rPr>
                <w:rFonts w:cs="Arial"/>
                <w:szCs w:val="24"/>
              </w:rPr>
              <w:t>(KPMG 2019)</w:t>
            </w:r>
            <w:r w:rsidRPr="00B62151">
              <w:t>.</w:t>
            </w:r>
            <w:r w:rsidRPr="00F40D3B">
              <w:t xml:space="preserve"> The costs cited in the study include annual site expenses and a fidelity review.</w:t>
            </w:r>
            <w:r>
              <w:t xml:space="preserve"> </w:t>
            </w:r>
            <w:r w:rsidRPr="009034E7">
              <w:t>Across the range of sites evaluated in the review, the total co</w:t>
            </w:r>
            <w:r>
              <w:t>st per person ranges from $2692</w:t>
            </w:r>
            <w:r>
              <w:noBreakHyphen/>
              <w:t>7149</w:t>
            </w:r>
            <w:r w:rsidRPr="009034E7">
              <w:t>, with a mean of $</w:t>
            </w:r>
            <w:r>
              <w:t>4449</w:t>
            </w:r>
            <w:r w:rsidRPr="009034E7">
              <w:t xml:space="preserve"> (2019 dollars).</w:t>
            </w:r>
            <w:r>
              <w:t xml:space="preserve"> </w:t>
            </w:r>
            <w:r w:rsidRPr="009034E7">
              <w:t xml:space="preserve">Assuming an additional </w:t>
            </w:r>
            <w:r w:rsidRPr="00F40D3B">
              <w:t>40</w:t>
            </w:r>
            <w:r>
              <w:t> </w:t>
            </w:r>
            <w:r w:rsidRPr="009034E7">
              <w:t>000 people</w:t>
            </w:r>
            <w:r>
              <w:t xml:space="preserve"> participate in IPS, </w:t>
            </w:r>
            <w:r w:rsidRPr="00F40D3B">
              <w:t xml:space="preserve">total costs </w:t>
            </w:r>
            <w:r>
              <w:t>are likely to range</w:t>
            </w:r>
            <w:r w:rsidRPr="009034E7">
              <w:t xml:space="preserve"> from $1</w:t>
            </w:r>
            <w:r>
              <w:t>08</w:t>
            </w:r>
            <w:r>
              <w:noBreakHyphen/>
              <w:t>286 </w:t>
            </w:r>
            <w:r w:rsidRPr="009034E7">
              <w:t>million, with a mean of $</w:t>
            </w:r>
            <w:r>
              <w:t>178</w:t>
            </w:r>
            <w:r w:rsidRPr="009034E7">
              <w:t xml:space="preserve"> million (2019 dollars).</w:t>
            </w:r>
          </w:p>
          <w:p w14:paraId="35F84DF9" w14:textId="77777777" w:rsidR="009C6940" w:rsidRPr="009034E7" w:rsidRDefault="009C6940" w:rsidP="009C6940">
            <w:pPr>
              <w:pStyle w:val="BoxListBullet"/>
              <w:numPr>
                <w:ilvl w:val="0"/>
                <w:numId w:val="3"/>
              </w:numPr>
            </w:pPr>
            <w:r>
              <w:t>IPS is likely to result in substantial healthcare savings, ranging</w:t>
            </w:r>
            <w:r w:rsidRPr="009034E7">
              <w:t xml:space="preserve"> between $1</w:t>
            </w:r>
            <w:r>
              <w:t>37</w:t>
            </w:r>
            <w:r w:rsidRPr="009034E7">
              <w:noBreakHyphen/>
            </w:r>
            <w:r>
              <w:t>575 </w:t>
            </w:r>
            <w:r w:rsidRPr="009034E7">
              <w:t>million, with a</w:t>
            </w:r>
            <w:r>
              <w:t>n</w:t>
            </w:r>
            <w:r w:rsidRPr="009034E7">
              <w:t xml:space="preserve"> average </w:t>
            </w:r>
            <w:r>
              <w:t xml:space="preserve">cost saving </w:t>
            </w:r>
            <w:r w:rsidRPr="009034E7">
              <w:t xml:space="preserve">of </w:t>
            </w:r>
            <w:r>
              <w:t>$329 million (2019 dollars). This translates to an</w:t>
            </w:r>
            <w:r w:rsidRPr="009034E7">
              <w:t xml:space="preserve"> a</w:t>
            </w:r>
            <w:r>
              <w:t>verage cost saving per person of</w:t>
            </w:r>
            <w:r w:rsidRPr="009034E7">
              <w:t xml:space="preserve"> $</w:t>
            </w:r>
            <w:r>
              <w:t>8230</w:t>
            </w:r>
            <w:r w:rsidRPr="009034E7">
              <w:t xml:space="preserve"> (2019</w:t>
            </w:r>
            <w:r>
              <w:t> </w:t>
            </w:r>
            <w:r w:rsidRPr="009034E7">
              <w:t>dollars).</w:t>
            </w:r>
            <w:r>
              <w:t xml:space="preserve"> This is based on several studies. </w:t>
            </w:r>
          </w:p>
          <w:p w14:paraId="11D41823" w14:textId="77777777" w:rsidR="009C6940" w:rsidRPr="009034E7" w:rsidRDefault="009C6940" w:rsidP="009C6940">
            <w:pPr>
              <w:pStyle w:val="BoxListBullet2"/>
              <w:tabs>
                <w:tab w:val="num" w:pos="340"/>
              </w:tabs>
              <w:ind w:left="567" w:hanging="283"/>
            </w:pPr>
            <w:r w:rsidRPr="009034E7">
              <w:t xml:space="preserve">Shi </w:t>
            </w:r>
            <w:r w:rsidRPr="00D80781">
              <w:rPr>
                <w:rFonts w:cs="Arial"/>
              </w:rPr>
              <w:t>(2011)</w:t>
            </w:r>
            <w:r w:rsidRPr="009034E7">
              <w:t xml:space="preserve"> f</w:t>
            </w:r>
            <w:r>
              <w:t>ound</w:t>
            </w:r>
            <w:r w:rsidRPr="009034E7">
              <w:t xml:space="preserve"> that on average, healthcare costs were reduced by $9581 over a </w:t>
            </w:r>
            <w:r>
              <w:t>12</w:t>
            </w:r>
            <w:r>
              <w:noBreakHyphen/>
              <w:t>month period (2019 dollars).</w:t>
            </w:r>
          </w:p>
          <w:p w14:paraId="10AE9F8E" w14:textId="77777777" w:rsidR="009C6940" w:rsidRPr="009034E7" w:rsidRDefault="009C6940" w:rsidP="009C6940">
            <w:pPr>
              <w:pStyle w:val="BoxListBullet2"/>
              <w:tabs>
                <w:tab w:val="num" w:pos="340"/>
              </w:tabs>
              <w:ind w:left="567" w:hanging="283"/>
            </w:pPr>
            <w:r w:rsidRPr="0053534F">
              <w:t xml:space="preserve">Burns et al. </w:t>
            </w:r>
            <w:r w:rsidRPr="00D80781">
              <w:rPr>
                <w:rFonts w:cs="Arial"/>
              </w:rPr>
              <w:t>(2007)</w:t>
            </w:r>
            <w:r w:rsidRPr="0053534F">
              <w:t xml:space="preserve"> </w:t>
            </w:r>
            <w:r>
              <w:t>found</w:t>
            </w:r>
            <w:r w:rsidRPr="0053534F">
              <w:t xml:space="preserve"> that the time spent in hospital </w:t>
            </w:r>
            <w:r>
              <w:t>was</w:t>
            </w:r>
            <w:r w:rsidRPr="0053534F">
              <w:t xml:space="preserve"> halved — equivalent to 15</w:t>
            </w:r>
            <w:r>
              <w:t> </w:t>
            </w:r>
            <w:r w:rsidRPr="0053534F">
              <w:t>days over a 12</w:t>
            </w:r>
            <w:r>
              <w:noBreakHyphen/>
            </w:r>
            <w:r w:rsidRPr="0053534F">
              <w:t xml:space="preserve">month period. </w:t>
            </w:r>
            <w:r w:rsidRPr="009034E7">
              <w:t>In Australia, the cost of a non</w:t>
            </w:r>
            <w:r>
              <w:noBreakHyphen/>
            </w:r>
            <w:r w:rsidRPr="009034E7">
              <w:t>acute inpatient bed day is $</w:t>
            </w:r>
            <w:r>
              <w:t>929</w:t>
            </w:r>
            <w:r w:rsidRPr="009034E7">
              <w:t xml:space="preserve"> (2019 dollars). This suggests that </w:t>
            </w:r>
            <w:r>
              <w:t xml:space="preserve">healthcare </w:t>
            </w:r>
            <w:r w:rsidRPr="009034E7">
              <w:t>cost savings over a 12</w:t>
            </w:r>
            <w:r>
              <w:noBreakHyphen/>
            </w:r>
            <w:r w:rsidRPr="009034E7">
              <w:t>month period are $</w:t>
            </w:r>
            <w:r w:rsidRPr="009034E7" w:rsidDel="00835011">
              <w:t>14 </w:t>
            </w:r>
            <w:r>
              <w:t>380</w:t>
            </w:r>
            <w:r w:rsidRPr="009034E7">
              <w:t xml:space="preserve"> per person (2019 dollars).</w:t>
            </w:r>
          </w:p>
          <w:p w14:paraId="162BBDD7" w14:textId="77777777" w:rsidR="009C6940" w:rsidRPr="009034E7" w:rsidRDefault="009C6940" w:rsidP="009C6940">
            <w:pPr>
              <w:pStyle w:val="BoxListBullet2"/>
              <w:tabs>
                <w:tab w:val="num" w:pos="340"/>
              </w:tabs>
              <w:ind w:left="567" w:hanging="283"/>
            </w:pPr>
            <w:r w:rsidRPr="0053534F">
              <w:t xml:space="preserve">Heslin et al. </w:t>
            </w:r>
            <w:r w:rsidRPr="00D80781">
              <w:rPr>
                <w:rFonts w:cs="Arial"/>
              </w:rPr>
              <w:t>(2011)</w:t>
            </w:r>
            <w:r w:rsidRPr="0053534F">
              <w:t xml:space="preserve"> </w:t>
            </w:r>
            <w:r>
              <w:t>found</w:t>
            </w:r>
            <w:r w:rsidRPr="0053534F">
              <w:t xml:space="preserve"> that costs of service use were reduced by $6853 (2019 dollars) over a two year period. </w:t>
            </w:r>
            <w:r>
              <w:t>These</w:t>
            </w:r>
            <w:r w:rsidRPr="009034E7">
              <w:t xml:space="preserve"> inc</w:t>
            </w:r>
            <w:r>
              <w:t xml:space="preserve">lude healthcare costs, day care, education, </w:t>
            </w:r>
            <w:r w:rsidRPr="009034E7">
              <w:t>and social care.</w:t>
            </w:r>
            <w:r>
              <w:t xml:space="preserve"> </w:t>
            </w:r>
            <w:r w:rsidRPr="009034E7">
              <w:t>This suggests that cost savings over a 12</w:t>
            </w:r>
            <w:r>
              <w:noBreakHyphen/>
            </w:r>
            <w:r w:rsidRPr="009034E7">
              <w:t xml:space="preserve">month are $3427 </w:t>
            </w:r>
            <w:r>
              <w:t>per person (2019 dollars).</w:t>
            </w:r>
          </w:p>
          <w:p w14:paraId="271E9DE0" w14:textId="77777777" w:rsidR="009C6940" w:rsidRDefault="009C6940" w:rsidP="009C6940">
            <w:pPr>
              <w:pStyle w:val="BoxListBullet"/>
              <w:numPr>
                <w:ilvl w:val="0"/>
                <w:numId w:val="3"/>
              </w:numPr>
            </w:pPr>
            <w:r>
              <w:t xml:space="preserve">There are likely to be further savings through people moving from </w:t>
            </w:r>
            <w:r w:rsidRPr="009034E7">
              <w:t xml:space="preserve">Disability </w:t>
            </w:r>
            <w:r>
              <w:t>E</w:t>
            </w:r>
            <w:r w:rsidRPr="009034E7">
              <w:t xml:space="preserve">mployment </w:t>
            </w:r>
            <w:r>
              <w:t>S</w:t>
            </w:r>
            <w:r w:rsidRPr="009034E7">
              <w:t xml:space="preserve">ervices (DES) </w:t>
            </w:r>
            <w:r>
              <w:t xml:space="preserve">into an IPS program. The cost of DES per person </w:t>
            </w:r>
            <w:r w:rsidRPr="009034E7">
              <w:t xml:space="preserve">is estimated </w:t>
            </w:r>
            <w:r>
              <w:t>to be</w:t>
            </w:r>
            <w:r w:rsidRPr="009034E7">
              <w:t xml:space="preserve"> $4609 (2019 dollars) over a 12</w:t>
            </w:r>
            <w:r>
              <w:noBreakHyphen/>
            </w:r>
            <w:r w:rsidRPr="009034E7">
              <w:t>month period</w:t>
            </w:r>
            <w:r>
              <w:t xml:space="preserve"> </w:t>
            </w:r>
            <w:r w:rsidRPr="00D80781">
              <w:rPr>
                <w:rFonts w:cs="Arial"/>
                <w:szCs w:val="24"/>
              </w:rPr>
              <w:t>(DSS 2019; LMIP 2018)</w:t>
            </w:r>
            <w:r w:rsidRPr="009034E7">
              <w:t>.</w:t>
            </w:r>
            <w:r>
              <w:t xml:space="preserve"> </w:t>
            </w:r>
            <w:r w:rsidRPr="009034E7">
              <w:t>Using Waghorn et al. </w:t>
            </w:r>
            <w:r w:rsidRPr="00D80781">
              <w:rPr>
                <w:rFonts w:cs="Arial"/>
              </w:rPr>
              <w:t>(2014)</w:t>
            </w:r>
            <w:r>
              <w:t>, it is estimated that introducing an IPS program would result in 26%</w:t>
            </w:r>
            <w:r w:rsidRPr="009034E7">
              <w:t xml:space="preserve"> of </w:t>
            </w:r>
            <w:r>
              <w:t>DES</w:t>
            </w:r>
            <w:r w:rsidRPr="009034E7">
              <w:t xml:space="preserve"> participants</w:t>
            </w:r>
            <w:r>
              <w:t xml:space="preserve"> moving</w:t>
            </w:r>
            <w:r w:rsidRPr="009034E7">
              <w:t xml:space="preserve"> </w:t>
            </w:r>
            <w:r>
              <w:t xml:space="preserve">into an IPS program, and an </w:t>
            </w:r>
            <w:r w:rsidRPr="009034E7">
              <w:t>aggregate cost saving of $49 million (2019 </w:t>
            </w:r>
            <w:r>
              <w:t>dollars).</w:t>
            </w:r>
          </w:p>
        </w:tc>
      </w:tr>
      <w:tr w:rsidR="009C6940" w14:paraId="6D975758" w14:textId="77777777" w:rsidTr="009C6940">
        <w:tc>
          <w:tcPr>
            <w:tcW w:w="5000" w:type="pct"/>
            <w:tcBorders>
              <w:top w:val="nil"/>
              <w:left w:val="nil"/>
              <w:bottom w:val="nil"/>
              <w:right w:val="nil"/>
            </w:tcBorders>
            <w:shd w:val="clear" w:color="auto" w:fill="F2F2F2"/>
          </w:tcPr>
          <w:p w14:paraId="4ECF814E" w14:textId="77777777" w:rsidR="009C6940" w:rsidRDefault="009C6940" w:rsidP="009C6940">
            <w:pPr>
              <w:pStyle w:val="BoxHeading1"/>
              <w:spacing w:before="120"/>
            </w:pPr>
            <w:r>
              <w:t>Additional considerations</w:t>
            </w:r>
          </w:p>
          <w:p w14:paraId="09A063A8" w14:textId="77777777" w:rsidR="009C6940" w:rsidRDefault="009C6940" w:rsidP="009C6940">
            <w:pPr>
              <w:pStyle w:val="BoxListBullet"/>
            </w:pPr>
            <w:r>
              <w:t>It is assumed the total cost of running a program for adults is equivalent to running a youth</w:t>
            </w:r>
            <w:r>
              <w:noBreakHyphen/>
              <w:t>focused program.</w:t>
            </w:r>
          </w:p>
          <w:p w14:paraId="691BE118" w14:textId="77777777" w:rsidR="009C6940" w:rsidRDefault="009C6940" w:rsidP="009C6940">
            <w:pPr>
              <w:pStyle w:val="BoxListBullet"/>
            </w:pPr>
            <w:r>
              <w:t xml:space="preserve">Studies used above have small sample sizes and this analysis assumes that there is no loss of benefit when the program is scaled up to service a national cohort. In actuality, the benefits are likely diminish as the size of the program increases. </w:t>
            </w:r>
          </w:p>
        </w:tc>
      </w:tr>
      <w:tr w:rsidR="009C6940" w14:paraId="02641B2C" w14:textId="77777777" w:rsidTr="009C6940">
        <w:tc>
          <w:tcPr>
            <w:tcW w:w="5000" w:type="pct"/>
            <w:tcBorders>
              <w:top w:val="nil"/>
              <w:left w:val="nil"/>
              <w:bottom w:val="nil"/>
              <w:right w:val="nil"/>
            </w:tcBorders>
            <w:shd w:val="clear" w:color="auto" w:fill="F2F2F2"/>
          </w:tcPr>
          <w:p w14:paraId="61FEADF3"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3C29CE46" w14:textId="77777777" w:rsidTr="009C6940">
        <w:tc>
          <w:tcPr>
            <w:tcW w:w="5000" w:type="pct"/>
            <w:tcBorders>
              <w:top w:val="nil"/>
              <w:left w:val="nil"/>
              <w:bottom w:val="single" w:sz="6" w:space="0" w:color="78A22F"/>
              <w:right w:val="nil"/>
            </w:tcBorders>
            <w:shd w:val="clear" w:color="auto" w:fill="F2F2F2"/>
          </w:tcPr>
          <w:p w14:paraId="55731CEF" w14:textId="77777777" w:rsidR="009C6940" w:rsidRDefault="009C6940" w:rsidP="009C6940">
            <w:pPr>
              <w:pStyle w:val="Box"/>
              <w:spacing w:before="0" w:line="120" w:lineRule="exact"/>
            </w:pPr>
          </w:p>
        </w:tc>
      </w:tr>
      <w:tr w:rsidR="009C6940" w:rsidRPr="000863A5" w14:paraId="35A3BEE5" w14:textId="77777777" w:rsidTr="009C6940">
        <w:tc>
          <w:tcPr>
            <w:tcW w:w="5000" w:type="pct"/>
            <w:tcBorders>
              <w:top w:val="single" w:sz="6" w:space="0" w:color="78A22F"/>
              <w:left w:val="nil"/>
              <w:bottom w:val="nil"/>
              <w:right w:val="nil"/>
            </w:tcBorders>
          </w:tcPr>
          <w:p w14:paraId="2ADB2EEB" w14:textId="77777777" w:rsidR="009C6940" w:rsidRPr="00626D32" w:rsidRDefault="009C6940" w:rsidP="009C6940">
            <w:pPr>
              <w:pStyle w:val="BoxSpaceBelow"/>
            </w:pPr>
          </w:p>
        </w:tc>
      </w:tr>
    </w:tbl>
    <w:p w14:paraId="65DF22A4"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16D8926" w14:textId="77777777" w:rsidTr="009C6940">
        <w:trPr>
          <w:tblHeader/>
        </w:trPr>
        <w:tc>
          <w:tcPr>
            <w:tcW w:w="5000" w:type="pct"/>
            <w:tcBorders>
              <w:top w:val="single" w:sz="6" w:space="0" w:color="78A22F"/>
              <w:left w:val="nil"/>
              <w:bottom w:val="nil"/>
              <w:right w:val="nil"/>
            </w:tcBorders>
            <w:shd w:val="clear" w:color="auto" w:fill="F2F2F2"/>
          </w:tcPr>
          <w:p w14:paraId="3C40EA69" w14:textId="77777777" w:rsidR="009C6940" w:rsidRPr="00A47ED5" w:rsidRDefault="009C6940" w:rsidP="009C6940">
            <w:pPr>
              <w:pStyle w:val="BoxHeading1"/>
              <w:tabs>
                <w:tab w:val="left" w:pos="1127"/>
              </w:tabs>
              <w:rPr>
                <w:b w:val="0"/>
              </w:rPr>
            </w:pPr>
            <w:r>
              <w:rPr>
                <w:sz w:val="24"/>
                <w:szCs w:val="24"/>
              </w:rPr>
              <w:t>Action</w:t>
            </w:r>
            <w:r>
              <w:rPr>
                <w:sz w:val="24"/>
                <w:szCs w:val="24"/>
              </w:rPr>
              <w:tab/>
            </w:r>
            <w:r w:rsidRPr="00ED717B">
              <w:rPr>
                <w:sz w:val="24"/>
                <w:szCs w:val="24"/>
              </w:rPr>
              <w:t xml:space="preserve">Staged rollout of Individual Placement </w:t>
            </w:r>
            <w:r>
              <w:rPr>
                <w:sz w:val="24"/>
                <w:szCs w:val="24"/>
              </w:rPr>
              <w:t>and</w:t>
            </w:r>
            <w:r w:rsidRPr="00ED717B">
              <w:rPr>
                <w:sz w:val="24"/>
                <w:szCs w:val="24"/>
              </w:rPr>
              <w:t xml:space="preserve"> Support</w:t>
            </w:r>
            <w:r>
              <w:rPr>
                <w:sz w:val="24"/>
                <w:szCs w:val="24"/>
              </w:rPr>
              <w:t xml:space="preserve"> </w:t>
            </w:r>
            <w:r w:rsidRPr="000E0FBF">
              <w:rPr>
                <w:rStyle w:val="Continuedintitle"/>
              </w:rPr>
              <w:t>(continued)</w:t>
            </w:r>
          </w:p>
        </w:tc>
      </w:tr>
      <w:tr w:rsidR="009C6940" w14:paraId="23BC0B61" w14:textId="77777777" w:rsidTr="009C6940">
        <w:tc>
          <w:tcPr>
            <w:tcW w:w="5000" w:type="pct"/>
            <w:tcBorders>
              <w:top w:val="nil"/>
              <w:left w:val="nil"/>
              <w:bottom w:val="nil"/>
              <w:right w:val="nil"/>
            </w:tcBorders>
            <w:shd w:val="clear" w:color="auto" w:fill="F2F2F2"/>
          </w:tcPr>
          <w:p w14:paraId="023349D4" w14:textId="77777777" w:rsidR="009C6940" w:rsidRDefault="009C6940" w:rsidP="009C6940">
            <w:pPr>
              <w:pStyle w:val="BoxListBullet"/>
            </w:pPr>
            <w:r>
              <w:t>Some of the</w:t>
            </w:r>
            <w:r w:rsidRPr="000C20D2">
              <w:t xml:space="preserve"> studies</w:t>
            </w:r>
            <w:r>
              <w:t xml:space="preserve"> cited above</w:t>
            </w:r>
            <w:r w:rsidRPr="000C20D2">
              <w:t xml:space="preserve"> are based on international evidence</w:t>
            </w:r>
            <w:r>
              <w:t>. When considering healthcare costs, the Productivity Commission has used purchasing power parities published by the OECD to convert costs from the units reported to Australian dollars. However, the proportion of employed participants in international studies was not adjusted to account for differences between international and Australian labour markets or health systems.</w:t>
            </w:r>
          </w:p>
          <w:p w14:paraId="04A40763" w14:textId="77777777" w:rsidR="009C6940" w:rsidRDefault="009C6940" w:rsidP="009C6940">
            <w:pPr>
              <w:pStyle w:val="BoxListBullet"/>
            </w:pPr>
            <w:r>
              <w:t xml:space="preserve">Not all studies referenced above had statistically significant results (for example, Heslin et al. </w:t>
            </w:r>
            <w:r>
              <w:rPr>
                <w:rFonts w:cs="Arial"/>
              </w:rPr>
              <w:t>2011</w:t>
            </w:r>
            <w:r>
              <w:t xml:space="preserve">). Estimates from Heslin et al. </w:t>
            </w:r>
            <w:r w:rsidRPr="00F93FFF">
              <w:t>(2011)</w:t>
            </w:r>
            <w:r>
              <w:t xml:space="preserve"> were included to so as not to upwardly bias the cost</w:t>
            </w:r>
            <w:r>
              <w:noBreakHyphen/>
              <w:t>savings estimates.</w:t>
            </w:r>
          </w:p>
        </w:tc>
      </w:tr>
      <w:tr w:rsidR="009C6940" w14:paraId="19111627" w14:textId="77777777" w:rsidTr="009C6940">
        <w:tc>
          <w:tcPr>
            <w:tcW w:w="5000" w:type="pct"/>
            <w:tcBorders>
              <w:top w:val="nil"/>
              <w:left w:val="nil"/>
              <w:bottom w:val="single" w:sz="6" w:space="0" w:color="78A22F"/>
              <w:right w:val="nil"/>
            </w:tcBorders>
            <w:shd w:val="clear" w:color="auto" w:fill="F2F2F2"/>
          </w:tcPr>
          <w:p w14:paraId="000D4B5E" w14:textId="77777777" w:rsidR="009C6940" w:rsidRDefault="009C6940" w:rsidP="009C6940">
            <w:pPr>
              <w:pStyle w:val="Box"/>
              <w:spacing w:before="0" w:line="120" w:lineRule="exact"/>
            </w:pPr>
          </w:p>
        </w:tc>
      </w:tr>
      <w:tr w:rsidR="009C6940" w:rsidRPr="000863A5" w14:paraId="6798296B" w14:textId="77777777" w:rsidTr="009C6940">
        <w:tc>
          <w:tcPr>
            <w:tcW w:w="5000" w:type="pct"/>
            <w:tcBorders>
              <w:top w:val="single" w:sz="6" w:space="0" w:color="78A22F"/>
              <w:left w:val="nil"/>
              <w:bottom w:val="nil"/>
              <w:right w:val="nil"/>
            </w:tcBorders>
          </w:tcPr>
          <w:p w14:paraId="3F8B8C75" w14:textId="77777777" w:rsidR="009C6940" w:rsidRPr="00626D32" w:rsidRDefault="009C6940" w:rsidP="009C6940">
            <w:pPr>
              <w:pStyle w:val="BoxSpaceBelow"/>
            </w:pPr>
          </w:p>
        </w:tc>
      </w:tr>
    </w:tbl>
    <w:p w14:paraId="5379D3C6" w14:textId="77777777" w:rsidR="009C6940" w:rsidRDefault="009C6940" w:rsidP="009C6940">
      <w:pPr>
        <w:pStyle w:val="Heading2"/>
      </w:pPr>
      <w:r>
        <w:lastRenderedPageBreak/>
        <w:t>K.</w:t>
      </w:r>
      <w:r>
        <w:rPr>
          <w:noProof/>
        </w:rPr>
        <w:t>4</w:t>
      </w:r>
      <w:r>
        <w:tab/>
        <w:t>Housing</w:t>
      </w:r>
    </w:p>
    <w:p w14:paraId="03BE2DF9"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30206B1" w14:textId="77777777" w:rsidTr="009C6940">
        <w:trPr>
          <w:tblHeader/>
        </w:trPr>
        <w:tc>
          <w:tcPr>
            <w:tcW w:w="5000" w:type="pct"/>
            <w:tcBorders>
              <w:top w:val="single" w:sz="6" w:space="0" w:color="78A22F"/>
              <w:left w:val="nil"/>
              <w:bottom w:val="nil"/>
              <w:right w:val="nil"/>
            </w:tcBorders>
            <w:shd w:val="clear" w:color="auto" w:fill="F2F2F2"/>
          </w:tcPr>
          <w:p w14:paraId="31F6512C" w14:textId="77777777" w:rsidR="009C6940" w:rsidRPr="00E74D3C" w:rsidRDefault="009C6940" w:rsidP="009C6940">
            <w:pPr>
              <w:pStyle w:val="BoxHeading1"/>
              <w:tabs>
                <w:tab w:val="left" w:pos="1126"/>
              </w:tabs>
              <w:rPr>
                <w:sz w:val="24"/>
                <w:szCs w:val="24"/>
              </w:rPr>
            </w:pPr>
            <w:r>
              <w:rPr>
                <w:sz w:val="24"/>
                <w:szCs w:val="24"/>
              </w:rPr>
              <w:t>Action</w:t>
            </w:r>
            <w:r>
              <w:rPr>
                <w:sz w:val="24"/>
                <w:szCs w:val="24"/>
              </w:rPr>
              <w:tab/>
              <w:t>Housing security for people with mental illness</w:t>
            </w:r>
          </w:p>
          <w:p w14:paraId="5194C2CD" w14:textId="77777777" w:rsidR="009C6940" w:rsidRPr="000C6859" w:rsidRDefault="009C6940" w:rsidP="009C6940">
            <w:pPr>
              <w:pStyle w:val="Box"/>
            </w:pPr>
            <w:r>
              <w:t xml:space="preserve">There is a need to help people with mental ill-health stabilise their tenancies in both the social and private housing markets. State and Territory Governments </w:t>
            </w:r>
            <w:r w:rsidRPr="003666E4">
              <w:t xml:space="preserve">should provide mental health training </w:t>
            </w:r>
            <w:r>
              <w:t>to</w:t>
            </w:r>
            <w:r w:rsidRPr="003666E4">
              <w:t xml:space="preserve"> social housing workers</w:t>
            </w:r>
            <w:r>
              <w:t xml:space="preserve"> and, with support from the Australian government, increase the provision of </w:t>
            </w:r>
            <w:r w:rsidRPr="003666E4">
              <w:t xml:space="preserve">tenancy support services </w:t>
            </w:r>
            <w:r>
              <w:t>to people with mental illness in the private housing market.</w:t>
            </w:r>
          </w:p>
        </w:tc>
      </w:tr>
      <w:tr w:rsidR="009C6940" w14:paraId="78D57368" w14:textId="77777777" w:rsidTr="009C6940">
        <w:tc>
          <w:tcPr>
            <w:tcW w:w="5000" w:type="pct"/>
            <w:tcBorders>
              <w:top w:val="nil"/>
              <w:left w:val="nil"/>
              <w:bottom w:val="nil"/>
              <w:right w:val="nil"/>
            </w:tcBorders>
            <w:shd w:val="clear" w:color="auto" w:fill="F2F2F2"/>
          </w:tcPr>
          <w:p w14:paraId="0FC79470" w14:textId="77777777" w:rsidR="009C6940" w:rsidRDefault="009C6940" w:rsidP="009C6940">
            <w:pPr>
              <w:pStyle w:val="BoxHeading1"/>
              <w:spacing w:before="120"/>
            </w:pPr>
            <w:r>
              <w:t>Population</w:t>
            </w:r>
          </w:p>
          <w:p w14:paraId="769641E2" w14:textId="77777777" w:rsidR="009C6940" w:rsidRDefault="009C6940" w:rsidP="009C6940">
            <w:pPr>
              <w:pStyle w:val="BoxListBullet"/>
              <w:numPr>
                <w:ilvl w:val="0"/>
                <w:numId w:val="3"/>
              </w:numPr>
            </w:pPr>
            <w:r>
              <w:t>The number of social housing workers who should receive mental health training was estimated</w:t>
            </w:r>
            <w:r w:rsidRPr="00A930FE">
              <w:t xml:space="preserve"> </w:t>
            </w:r>
            <w:r>
              <w:t xml:space="preserve">using the </w:t>
            </w:r>
            <w:r w:rsidRPr="00A930FE">
              <w:t xml:space="preserve">ABS Census of Population and Housing </w:t>
            </w:r>
            <w:r w:rsidRPr="00D80781">
              <w:rPr>
                <w:rFonts w:cs="Arial"/>
              </w:rPr>
              <w:t>(2017)</w:t>
            </w:r>
            <w:r w:rsidRPr="00A930FE">
              <w:t xml:space="preserve">. </w:t>
            </w:r>
            <w:r>
              <w:t xml:space="preserve">The Census reports that 16 628 people worked in </w:t>
            </w:r>
            <w:r w:rsidRPr="00A930FE">
              <w:t>‘other residential care services’</w:t>
            </w:r>
            <w:r>
              <w:t xml:space="preserve">. </w:t>
            </w:r>
            <w:r w:rsidRPr="00A930FE">
              <w:t>This numbe</w:t>
            </w:r>
            <w:r>
              <w:t>r has been adjusted to 2018</w:t>
            </w:r>
            <w:r>
              <w:noBreakHyphen/>
            </w:r>
            <w:r w:rsidRPr="00A930FE">
              <w:t>19 figures using</w:t>
            </w:r>
            <w:r>
              <w:t xml:space="preserve"> population</w:t>
            </w:r>
            <w:r w:rsidRPr="00A930FE">
              <w:t xml:space="preserve"> </w:t>
            </w:r>
            <w:r>
              <w:t>growth from</w:t>
            </w:r>
            <w:r w:rsidRPr="00A930FE">
              <w:t xml:space="preserve"> the ABS Australian Demographic Statist</w:t>
            </w:r>
            <w:r>
              <w:t xml:space="preserve">ics </w:t>
            </w:r>
            <w:r w:rsidRPr="00D80781">
              <w:rPr>
                <w:rFonts w:cs="Arial"/>
                <w:szCs w:val="24"/>
              </w:rPr>
              <w:t>(ABS 2019a)</w:t>
            </w:r>
            <w:r>
              <w:t>, giving 17 356 workers.</w:t>
            </w:r>
          </w:p>
          <w:p w14:paraId="7D6A79F4" w14:textId="77777777" w:rsidR="009C6940" w:rsidRPr="00EC0A97" w:rsidRDefault="009C6940" w:rsidP="009C6940">
            <w:pPr>
              <w:pStyle w:val="BoxListBullet"/>
              <w:numPr>
                <w:ilvl w:val="0"/>
                <w:numId w:val="3"/>
              </w:numPr>
            </w:pPr>
            <w:r>
              <w:t xml:space="preserve">There are an estimated 5503 people with a mental health problem, aged 10 years and over, </w:t>
            </w:r>
            <w:r w:rsidRPr="00344A6A">
              <w:t>with unmet need for assistance to sustain housing tenure</w:t>
            </w:r>
            <w:r>
              <w:t xml:space="preserve"> in 2018</w:t>
            </w:r>
            <w:r>
              <w:noBreakHyphen/>
              <w:t xml:space="preserve">19 (Productivity Commission estimates based on AIHW unpublished data). </w:t>
            </w:r>
          </w:p>
        </w:tc>
      </w:tr>
      <w:tr w:rsidR="009C6940" w14:paraId="2984415D" w14:textId="77777777" w:rsidTr="009C6940">
        <w:tc>
          <w:tcPr>
            <w:tcW w:w="5000" w:type="pct"/>
            <w:tcBorders>
              <w:top w:val="nil"/>
              <w:left w:val="nil"/>
              <w:bottom w:val="nil"/>
              <w:right w:val="nil"/>
            </w:tcBorders>
            <w:shd w:val="clear" w:color="auto" w:fill="F2F2F2"/>
          </w:tcPr>
          <w:p w14:paraId="2FB96108" w14:textId="77777777" w:rsidR="009C6940" w:rsidRPr="000C6859" w:rsidRDefault="009C6940" w:rsidP="009C6940">
            <w:pPr>
              <w:pStyle w:val="BoxHeading1"/>
              <w:spacing w:before="120"/>
            </w:pPr>
            <w:r>
              <w:t>Costs</w:t>
            </w:r>
          </w:p>
          <w:p w14:paraId="75CC3A4F" w14:textId="77777777" w:rsidR="009C6940" w:rsidRDefault="009C6940" w:rsidP="009C6940">
            <w:pPr>
              <w:pStyle w:val="BoxListBullet"/>
            </w:pPr>
            <w:r>
              <w:t xml:space="preserve">Mental health training costs are estimated using a sample of 30 course listings (as of May 2020) for the 12 hour standard mental health first aid course </w:t>
            </w:r>
            <w:r w:rsidRPr="00D80781">
              <w:rPr>
                <w:rFonts w:cs="Arial"/>
                <w:szCs w:val="24"/>
              </w:rPr>
              <w:t>(MHFA Australia 2020)</w:t>
            </w:r>
            <w:r>
              <w:t>. This gives an average course cost of $262 per person with a range between $150 to $440. Assuming 17 356 workers are provided training, the average total cost is $4.5 million, with a range between 2.6</w:t>
            </w:r>
            <w:r>
              <w:noBreakHyphen/>
              <w:t>7.6 million.</w:t>
            </w:r>
          </w:p>
          <w:p w14:paraId="36E5D0B3" w14:textId="77777777" w:rsidR="009C6940" w:rsidRPr="000C6859" w:rsidRDefault="009C6940" w:rsidP="009C6940">
            <w:pPr>
              <w:pStyle w:val="BoxListBullet"/>
            </w:pPr>
            <w:r>
              <w:t>Tenancy support costs are drawn from</w:t>
            </w:r>
            <w:r w:rsidRPr="009034E7">
              <w:t xml:space="preserve"> </w:t>
            </w:r>
            <w:r w:rsidRPr="00C600C8">
              <w:t>Zaretzky and Flatau</w:t>
            </w:r>
            <w:r>
              <w:t xml:space="preserve"> </w:t>
            </w:r>
            <w:r w:rsidRPr="00D80781">
              <w:rPr>
                <w:rFonts w:cs="Arial"/>
              </w:rPr>
              <w:t>(2015)</w:t>
            </w:r>
            <w:r>
              <w:t>, who estimate that the average cost of tenancy support to be $3199. This included support to maintain an existing social tenancy ($1402) and costs for general homelessness support to access/maintain a social housing tenancy ($6394) (2012 dollars). This gives an average total cost between $10</w:t>
            </w:r>
            <w:r>
              <w:noBreakHyphen/>
              <w:t>44 million (2019 dollars).</w:t>
            </w:r>
          </w:p>
        </w:tc>
      </w:tr>
      <w:tr w:rsidR="009C6940" w14:paraId="2239CC15" w14:textId="77777777" w:rsidTr="009C6940">
        <w:tc>
          <w:tcPr>
            <w:tcW w:w="5000" w:type="pct"/>
            <w:tcBorders>
              <w:top w:val="nil"/>
              <w:left w:val="nil"/>
              <w:bottom w:val="nil"/>
              <w:right w:val="nil"/>
            </w:tcBorders>
            <w:shd w:val="clear" w:color="auto" w:fill="F2F2F2"/>
          </w:tcPr>
          <w:p w14:paraId="51CC5A8F" w14:textId="77777777" w:rsidR="009C6940" w:rsidRDefault="009C6940" w:rsidP="009C6940">
            <w:pPr>
              <w:pStyle w:val="BoxHeading1"/>
            </w:pPr>
            <w:r>
              <w:t>Additional considerations</w:t>
            </w:r>
          </w:p>
          <w:p w14:paraId="27BB0E9F" w14:textId="77777777" w:rsidR="009C6940" w:rsidRPr="001D3184" w:rsidRDefault="009C6940" w:rsidP="009C6940">
            <w:pPr>
              <w:pStyle w:val="BoxListBullet"/>
              <w:numPr>
                <w:ilvl w:val="0"/>
                <w:numId w:val="3"/>
              </w:numPr>
              <w:rPr>
                <w:rFonts w:cs="Arial"/>
                <w:sz w:val="22"/>
                <w:szCs w:val="22"/>
              </w:rPr>
            </w:pPr>
            <w:r>
              <w:t>Mental Health First Australia training course fees vary for many reasons including individual Instructor qualifications and credentials, course venue, course location, course catering and course participant subsidies that may be available as a result of a community grant.</w:t>
            </w:r>
          </w:p>
          <w:p w14:paraId="4E2CA81A" w14:textId="77777777" w:rsidR="009C6940" w:rsidRPr="001D3184" w:rsidRDefault="009C6940" w:rsidP="009C6940">
            <w:pPr>
              <w:pStyle w:val="BoxListBullet"/>
              <w:numPr>
                <w:ilvl w:val="0"/>
                <w:numId w:val="3"/>
              </w:numPr>
              <w:rPr>
                <w:rFonts w:cs="Arial"/>
                <w:sz w:val="22"/>
                <w:szCs w:val="22"/>
              </w:rPr>
            </w:pPr>
            <w:r>
              <w:t>Cost savings to government from avoiding eviction events are likely to be substantial. The Productivity Commission has not attempted to estimate the</w:t>
            </w:r>
            <w:r w:rsidRPr="008066DD">
              <w:t xml:space="preserve"> cost savings </w:t>
            </w:r>
            <w:r>
              <w:t>from these interventions (for example through</w:t>
            </w:r>
            <w:r w:rsidRPr="008066DD">
              <w:t xml:space="preserve"> </w:t>
            </w:r>
            <w:r>
              <w:t xml:space="preserve">fewer eviction events or </w:t>
            </w:r>
            <w:r w:rsidRPr="008066DD">
              <w:t>escalation of mental illness episodes) as it is difficult to get estimates of the prevalence of such events</w:t>
            </w:r>
            <w:r>
              <w:t xml:space="preserve"> and to predict the effectiveness of interventions in reducing such events. </w:t>
            </w:r>
            <w:r w:rsidRPr="00C600C8">
              <w:t>Zaretzky and Flatau</w:t>
            </w:r>
            <w:r>
              <w:t xml:space="preserve"> </w:t>
            </w:r>
            <w:r w:rsidRPr="00D80781">
              <w:rPr>
                <w:rFonts w:cs="Arial"/>
              </w:rPr>
              <w:t>(2015)</w:t>
            </w:r>
            <w:r w:rsidRPr="00BB6BFB">
              <w:t xml:space="preserve"> </w:t>
            </w:r>
            <w:r>
              <w:t xml:space="preserve">estimated that </w:t>
            </w:r>
            <w:r w:rsidRPr="00BB6BFB">
              <w:t>average cost per eviction event</w:t>
            </w:r>
            <w:r>
              <w:t xml:space="preserve"> </w:t>
            </w:r>
            <w:r w:rsidRPr="00BB6BFB">
              <w:t>was $</w:t>
            </w:r>
            <w:r>
              <w:t>11 075 (2019 dollars) based on data for the</w:t>
            </w:r>
            <w:r w:rsidRPr="00BB6BFB">
              <w:t xml:space="preserve"> ACT, Tasmania, Victoria and WA</w:t>
            </w:r>
            <w:r>
              <w:t xml:space="preserve">. This represents </w:t>
            </w:r>
            <w:r w:rsidRPr="00BB6BFB">
              <w:t>a significant sa</w:t>
            </w:r>
            <w:r>
              <w:t>vings opportunity for government.</w:t>
            </w:r>
          </w:p>
        </w:tc>
      </w:tr>
      <w:tr w:rsidR="009C6940" w14:paraId="0B646332" w14:textId="77777777" w:rsidTr="009C6940">
        <w:tc>
          <w:tcPr>
            <w:tcW w:w="5000" w:type="pct"/>
            <w:tcBorders>
              <w:top w:val="nil"/>
              <w:left w:val="nil"/>
              <w:bottom w:val="single" w:sz="6" w:space="0" w:color="78A22F"/>
              <w:right w:val="nil"/>
            </w:tcBorders>
            <w:shd w:val="clear" w:color="auto" w:fill="F2F2F2"/>
          </w:tcPr>
          <w:p w14:paraId="1E5704EB" w14:textId="77777777" w:rsidR="009C6940" w:rsidRDefault="009C6940" w:rsidP="009C6940">
            <w:pPr>
              <w:pStyle w:val="Box"/>
              <w:spacing w:before="0" w:line="120" w:lineRule="exact"/>
            </w:pPr>
          </w:p>
        </w:tc>
      </w:tr>
      <w:tr w:rsidR="009C6940" w:rsidRPr="000863A5" w14:paraId="5E8437E9" w14:textId="77777777" w:rsidTr="009C6940">
        <w:tc>
          <w:tcPr>
            <w:tcW w:w="5000" w:type="pct"/>
            <w:tcBorders>
              <w:top w:val="single" w:sz="6" w:space="0" w:color="78A22F"/>
              <w:left w:val="nil"/>
              <w:bottom w:val="nil"/>
              <w:right w:val="nil"/>
            </w:tcBorders>
          </w:tcPr>
          <w:p w14:paraId="253E3501" w14:textId="77777777" w:rsidR="009C6940" w:rsidRPr="00626D32" w:rsidRDefault="009C6940" w:rsidP="009C6940">
            <w:pPr>
              <w:pStyle w:val="BoxSpaceBelow"/>
            </w:pPr>
          </w:p>
        </w:tc>
      </w:tr>
    </w:tbl>
    <w:p w14:paraId="1161C99A"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B212465" w14:textId="77777777" w:rsidTr="009C6940">
        <w:trPr>
          <w:tblHeader/>
        </w:trPr>
        <w:tc>
          <w:tcPr>
            <w:tcW w:w="5000" w:type="pct"/>
            <w:tcBorders>
              <w:top w:val="single" w:sz="6" w:space="0" w:color="78A22F"/>
              <w:left w:val="nil"/>
              <w:bottom w:val="nil"/>
              <w:right w:val="nil"/>
            </w:tcBorders>
            <w:shd w:val="clear" w:color="auto" w:fill="F2F2F2"/>
          </w:tcPr>
          <w:p w14:paraId="6F7FD842" w14:textId="77777777" w:rsidR="009C6940" w:rsidRPr="006951DC" w:rsidRDefault="009C6940" w:rsidP="009C6940">
            <w:pPr>
              <w:pStyle w:val="BoxHeading1"/>
              <w:tabs>
                <w:tab w:val="left" w:pos="1110"/>
              </w:tabs>
              <w:rPr>
                <w:sz w:val="24"/>
                <w:szCs w:val="24"/>
              </w:rPr>
            </w:pPr>
            <w:r>
              <w:rPr>
                <w:sz w:val="24"/>
                <w:szCs w:val="24"/>
              </w:rPr>
              <w:t>Action</w:t>
            </w:r>
            <w:r>
              <w:rPr>
                <w:sz w:val="24"/>
                <w:szCs w:val="24"/>
              </w:rPr>
              <w:tab/>
            </w:r>
            <w:r w:rsidRPr="006951DC">
              <w:rPr>
                <w:sz w:val="24"/>
                <w:szCs w:val="24"/>
              </w:rPr>
              <w:t>Supported housing</w:t>
            </w:r>
          </w:p>
          <w:p w14:paraId="1698487A" w14:textId="77777777" w:rsidR="009C6940" w:rsidRPr="000C6859" w:rsidRDefault="009C6940" w:rsidP="009C6940">
            <w:pPr>
              <w:pStyle w:val="Box"/>
            </w:pPr>
            <w:r w:rsidRPr="003666E4">
              <w:t>Each State and Territory Government, working with housing support providers and with support from the Australian Government, should address the shortfall in the number of supported housing places for people with severe mental illness by providing a combination of long term housing options for people with severe mental illness who require integrated housing and mental health supports.</w:t>
            </w:r>
          </w:p>
        </w:tc>
      </w:tr>
      <w:tr w:rsidR="009C6940" w14:paraId="7D569005" w14:textId="77777777" w:rsidTr="009C6940">
        <w:tc>
          <w:tcPr>
            <w:tcW w:w="5000" w:type="pct"/>
            <w:tcBorders>
              <w:top w:val="nil"/>
              <w:left w:val="nil"/>
              <w:bottom w:val="nil"/>
              <w:right w:val="nil"/>
            </w:tcBorders>
            <w:shd w:val="clear" w:color="auto" w:fill="F2F2F2"/>
          </w:tcPr>
          <w:p w14:paraId="717E19BE" w14:textId="77777777" w:rsidR="009C6940" w:rsidRDefault="009C6940" w:rsidP="009C6940">
            <w:pPr>
              <w:pStyle w:val="BoxHeading1"/>
            </w:pPr>
            <w:r>
              <w:t>Population</w:t>
            </w:r>
          </w:p>
          <w:p w14:paraId="0DAE9353" w14:textId="77777777" w:rsidR="009C6940" w:rsidRPr="00EC0A97" w:rsidRDefault="009C6940" w:rsidP="009C6940">
            <w:pPr>
              <w:pStyle w:val="Box"/>
            </w:pPr>
            <w:r>
              <w:t xml:space="preserve">It is estimated that </w:t>
            </w:r>
            <w:r w:rsidDel="00EE49A9">
              <w:t>between</w:t>
            </w:r>
            <w:r>
              <w:t xml:space="preserve"> 9019 and 12 515 additional </w:t>
            </w:r>
            <w:r w:rsidDel="00901E51">
              <w:t xml:space="preserve">people </w:t>
            </w:r>
            <w:r>
              <w:t>required</w:t>
            </w:r>
            <w:r w:rsidDel="00901E51">
              <w:t xml:space="preserve"> </w:t>
            </w:r>
            <w:r>
              <w:t>supported housing places in 2017</w:t>
            </w:r>
            <w:r>
              <w:noBreakHyphen/>
              <w:t xml:space="preserve">18. The ‘gap’ between current and required supporting housing was estimated using numbers of existing supported housing places </w:t>
            </w:r>
            <w:r w:rsidRPr="00D80781">
              <w:rPr>
                <w:rFonts w:cs="Arial"/>
                <w:szCs w:val="24"/>
              </w:rPr>
              <w:t>(AIHW 2020c Table FAC.25)</w:t>
            </w:r>
            <w:r>
              <w:t xml:space="preserve"> and an estimate of demand based on ABS population projections and the rate per 100 000 who need supported housing </w:t>
            </w:r>
            <w:r w:rsidRPr="00D80781">
              <w:rPr>
                <w:rFonts w:cs="Arial"/>
                <w:szCs w:val="24"/>
              </w:rPr>
              <w:t>(ABS 2019a; Siskind et al. 2012)</w:t>
            </w:r>
            <w:r>
              <w:t xml:space="preserve">. </w:t>
            </w:r>
          </w:p>
        </w:tc>
      </w:tr>
      <w:tr w:rsidR="009C6940" w14:paraId="6D7B68BF" w14:textId="77777777" w:rsidTr="009C6940">
        <w:tc>
          <w:tcPr>
            <w:tcW w:w="5000" w:type="pct"/>
            <w:tcBorders>
              <w:top w:val="nil"/>
              <w:left w:val="nil"/>
              <w:bottom w:val="nil"/>
              <w:right w:val="nil"/>
            </w:tcBorders>
            <w:shd w:val="clear" w:color="auto" w:fill="F2F2F2"/>
          </w:tcPr>
          <w:p w14:paraId="7CE00AD8" w14:textId="77777777" w:rsidR="009C6940" w:rsidRPr="000C6859" w:rsidRDefault="009C6940" w:rsidP="009C6940">
            <w:pPr>
              <w:pStyle w:val="BoxHeading1"/>
            </w:pPr>
            <w:r>
              <w:t>Costs</w:t>
            </w:r>
          </w:p>
          <w:p w14:paraId="3A0D0A90" w14:textId="77777777" w:rsidR="009C6940" w:rsidRDefault="009C6940" w:rsidP="009C6940">
            <w:pPr>
              <w:pStyle w:val="Box"/>
            </w:pPr>
            <w:r>
              <w:t xml:space="preserve">Costs and cost savings are sourced from evaluations of the </w:t>
            </w:r>
            <w:r w:rsidRPr="009A5E78">
              <w:t>Housing and Accommodation Support Initiative</w:t>
            </w:r>
            <w:r>
              <w:t xml:space="preserve"> (HASI) from Bruce et al. </w:t>
            </w:r>
            <w:r w:rsidRPr="00D80781">
              <w:rPr>
                <w:rFonts w:cs="Arial"/>
              </w:rPr>
              <w:t>(2012)</w:t>
            </w:r>
            <w:r>
              <w:t xml:space="preserve"> and Doorway (a private rental program) from Nous Group </w:t>
            </w:r>
            <w:r w:rsidRPr="00D80781">
              <w:rPr>
                <w:rFonts w:cs="Arial"/>
              </w:rPr>
              <w:t>(2014)</w:t>
            </w:r>
            <w:r>
              <w:t>. This suggests an average total cost of $484 million with a range between $230</w:t>
            </w:r>
            <w:r>
              <w:noBreakHyphen/>
              <w:t>807 million, and an average total cost saving of $320 million with a range between $147</w:t>
            </w:r>
            <w:r>
              <w:noBreakHyphen/>
              <w:t>540 million (2019 dollars).</w:t>
            </w:r>
          </w:p>
          <w:p w14:paraId="215B072A" w14:textId="77777777" w:rsidR="009C6940" w:rsidRDefault="009C6940" w:rsidP="009C6940">
            <w:pPr>
              <w:pStyle w:val="BoxHeading1"/>
              <w:spacing w:after="120"/>
              <w:rPr>
                <w:rStyle w:val="NoteLabel"/>
                <w:b/>
              </w:rPr>
            </w:pPr>
            <w:r w:rsidRPr="00043027">
              <w:rPr>
                <w:sz w:val="18"/>
              </w:rPr>
              <w:t>Supported housing costs and cost savings</w:t>
            </w:r>
            <w:r w:rsidRPr="008D3CBA">
              <w:rPr>
                <w:rStyle w:val="NoteLabel"/>
                <w:b/>
              </w:rPr>
              <w:t>a</w:t>
            </w:r>
          </w:p>
          <w:tbl>
            <w:tblPr>
              <w:tblW w:w="4914" w:type="pct"/>
              <w:tblCellMar>
                <w:top w:w="28" w:type="dxa"/>
                <w:left w:w="0" w:type="dxa"/>
                <w:right w:w="0" w:type="dxa"/>
              </w:tblCellMar>
              <w:tblLook w:val="0000" w:firstRow="0" w:lastRow="0" w:firstColumn="0" w:lastColumn="0" w:noHBand="0" w:noVBand="0"/>
            </w:tblPr>
            <w:tblGrid>
              <w:gridCol w:w="4866"/>
              <w:gridCol w:w="1613"/>
              <w:gridCol w:w="1760"/>
              <w:gridCol w:w="120"/>
            </w:tblGrid>
            <w:tr w:rsidR="009C6940" w14:paraId="10193057" w14:textId="77777777" w:rsidTr="009C6940">
              <w:trPr>
                <w:tblHeader/>
              </w:trPr>
              <w:tc>
                <w:tcPr>
                  <w:tcW w:w="2910" w:type="pct"/>
                  <w:tcBorders>
                    <w:top w:val="single" w:sz="6" w:space="0" w:color="BFBFBF"/>
                    <w:bottom w:val="single" w:sz="6" w:space="0" w:color="BFBFBF"/>
                  </w:tcBorders>
                  <w:shd w:val="clear" w:color="auto" w:fill="auto"/>
                  <w:tcMar>
                    <w:top w:w="28" w:type="dxa"/>
                  </w:tcMar>
                </w:tcPr>
                <w:p w14:paraId="3C2E895C" w14:textId="77777777" w:rsidR="009C6940" w:rsidRDefault="009C6940" w:rsidP="009C6940">
                  <w:pPr>
                    <w:pStyle w:val="TableColumnHeading"/>
                    <w:jc w:val="left"/>
                  </w:pPr>
                </w:p>
              </w:tc>
              <w:tc>
                <w:tcPr>
                  <w:tcW w:w="965" w:type="pct"/>
                  <w:tcBorders>
                    <w:top w:val="single" w:sz="6" w:space="0" w:color="BFBFBF"/>
                    <w:bottom w:val="single" w:sz="6" w:space="0" w:color="BFBFBF"/>
                  </w:tcBorders>
                </w:tcPr>
                <w:p w14:paraId="6058639D" w14:textId="77777777" w:rsidR="009C6940" w:rsidRPr="00BC7DA9" w:rsidRDefault="009C6940" w:rsidP="009C6940">
                  <w:pPr>
                    <w:pStyle w:val="TableColumnHeading"/>
                  </w:pPr>
                  <w:r w:rsidRPr="00BC7DA9">
                    <w:t>HASI</w:t>
                  </w:r>
                </w:p>
              </w:tc>
              <w:tc>
                <w:tcPr>
                  <w:tcW w:w="1053" w:type="pct"/>
                  <w:tcBorders>
                    <w:top w:val="single" w:sz="6" w:space="0" w:color="BFBFBF"/>
                    <w:bottom w:val="single" w:sz="6" w:space="0" w:color="BFBFBF"/>
                  </w:tcBorders>
                  <w:shd w:val="clear" w:color="auto" w:fill="auto"/>
                  <w:tcMar>
                    <w:top w:w="28" w:type="dxa"/>
                  </w:tcMar>
                </w:tcPr>
                <w:p w14:paraId="39F26C08" w14:textId="77777777" w:rsidR="009C6940" w:rsidRPr="00BC7DA9" w:rsidRDefault="009C6940" w:rsidP="009C6940">
                  <w:pPr>
                    <w:pStyle w:val="TableColumnHeading"/>
                  </w:pPr>
                  <w:r w:rsidRPr="00BC7DA9">
                    <w:t>Doorway</w:t>
                  </w:r>
                </w:p>
              </w:tc>
              <w:tc>
                <w:tcPr>
                  <w:tcW w:w="72" w:type="pct"/>
                  <w:tcBorders>
                    <w:top w:val="single" w:sz="6" w:space="0" w:color="BFBFBF"/>
                    <w:bottom w:val="single" w:sz="6" w:space="0" w:color="BFBFBF"/>
                  </w:tcBorders>
                  <w:shd w:val="clear" w:color="auto" w:fill="auto"/>
                  <w:tcMar>
                    <w:top w:w="28" w:type="dxa"/>
                  </w:tcMar>
                </w:tcPr>
                <w:p w14:paraId="24273B43" w14:textId="77777777" w:rsidR="009C6940" w:rsidRDefault="009C6940" w:rsidP="009C6940">
                  <w:pPr>
                    <w:pStyle w:val="TableColumnHeading"/>
                    <w:ind w:right="28"/>
                  </w:pPr>
                </w:p>
              </w:tc>
            </w:tr>
            <w:tr w:rsidR="009C6940" w14:paraId="13683719" w14:textId="77777777" w:rsidTr="009C6940">
              <w:tc>
                <w:tcPr>
                  <w:tcW w:w="2910" w:type="pct"/>
                  <w:tcBorders>
                    <w:top w:val="single" w:sz="6" w:space="0" w:color="BFBFBF"/>
                  </w:tcBorders>
                  <w:vAlign w:val="bottom"/>
                </w:tcPr>
                <w:p w14:paraId="31603985" w14:textId="77777777" w:rsidR="009C6940" w:rsidRPr="00BC7DA9" w:rsidRDefault="009C6940" w:rsidP="009C6940">
                  <w:pPr>
                    <w:pStyle w:val="TableUnitsRow"/>
                    <w:jc w:val="left"/>
                  </w:pPr>
                  <w:r w:rsidRPr="00BC7DA9">
                    <w:t>Average non</w:t>
                  </w:r>
                  <w:r w:rsidRPr="00BC7DA9">
                    <w:noBreakHyphen/>
                    <w:t>accommodation cost (2019 dollars)</w:t>
                  </w:r>
                </w:p>
              </w:tc>
              <w:tc>
                <w:tcPr>
                  <w:tcW w:w="965" w:type="pct"/>
                  <w:tcBorders>
                    <w:top w:val="single" w:sz="6" w:space="0" w:color="BFBFBF"/>
                  </w:tcBorders>
                  <w:vAlign w:val="bottom"/>
                </w:tcPr>
                <w:p w14:paraId="538B7AD5" w14:textId="77777777" w:rsidR="009C6940" w:rsidRPr="00BC7DA9" w:rsidRDefault="009C6940" w:rsidP="009C6940">
                  <w:pPr>
                    <w:pStyle w:val="TableBodyText"/>
                  </w:pPr>
                  <w:r w:rsidRPr="00BC7DA9">
                    <w:t>$46 361</w:t>
                  </w:r>
                </w:p>
              </w:tc>
              <w:tc>
                <w:tcPr>
                  <w:tcW w:w="1053" w:type="pct"/>
                  <w:tcBorders>
                    <w:top w:val="single" w:sz="6" w:space="0" w:color="BFBFBF"/>
                  </w:tcBorders>
                  <w:vAlign w:val="bottom"/>
                </w:tcPr>
                <w:p w14:paraId="28F41D37" w14:textId="77777777" w:rsidR="009C6940" w:rsidRPr="00BC7DA9" w:rsidRDefault="009C6940" w:rsidP="009C6940">
                  <w:pPr>
                    <w:pStyle w:val="TableBodyText"/>
                  </w:pPr>
                  <w:r w:rsidRPr="00BC7DA9">
                    <w:t>$13 498</w:t>
                  </w:r>
                </w:p>
              </w:tc>
              <w:tc>
                <w:tcPr>
                  <w:tcW w:w="72" w:type="pct"/>
                  <w:tcBorders>
                    <w:top w:val="single" w:sz="6" w:space="0" w:color="BFBFBF"/>
                  </w:tcBorders>
                </w:tcPr>
                <w:p w14:paraId="381186AC" w14:textId="77777777" w:rsidR="009C6940" w:rsidRDefault="009C6940" w:rsidP="009C6940">
                  <w:pPr>
                    <w:pStyle w:val="TableUnitsRow"/>
                    <w:ind w:right="28"/>
                  </w:pPr>
                </w:p>
              </w:tc>
            </w:tr>
            <w:tr w:rsidR="009C6940" w14:paraId="120666DA" w14:textId="77777777" w:rsidTr="009C6940">
              <w:tc>
                <w:tcPr>
                  <w:tcW w:w="2910" w:type="pct"/>
                  <w:vAlign w:val="bottom"/>
                </w:tcPr>
                <w:p w14:paraId="20167FEB" w14:textId="77777777" w:rsidR="009C6940" w:rsidRPr="00BC7DA9" w:rsidRDefault="009C6940" w:rsidP="009C6940">
                  <w:pPr>
                    <w:pStyle w:val="TableUnitsRow"/>
                    <w:jc w:val="left"/>
                  </w:pPr>
                  <w:r w:rsidRPr="00BC7DA9">
                    <w:t>Average accommodation cost (2019 dollars)</w:t>
                  </w:r>
                </w:p>
              </w:tc>
              <w:tc>
                <w:tcPr>
                  <w:tcW w:w="965" w:type="pct"/>
                  <w:vAlign w:val="bottom"/>
                </w:tcPr>
                <w:p w14:paraId="1A3618F0" w14:textId="77777777" w:rsidR="009C6940" w:rsidRPr="00BC7DA9" w:rsidRDefault="009C6940" w:rsidP="009C6940">
                  <w:pPr>
                    <w:pStyle w:val="TableBodyText"/>
                  </w:pPr>
                  <w:r w:rsidRPr="00BC7DA9">
                    <w:t>$18 096</w:t>
                  </w:r>
                </w:p>
              </w:tc>
              <w:tc>
                <w:tcPr>
                  <w:tcW w:w="1053" w:type="pct"/>
                  <w:vAlign w:val="bottom"/>
                </w:tcPr>
                <w:p w14:paraId="28677C5E" w14:textId="77777777" w:rsidR="009C6940" w:rsidRPr="00BC7DA9" w:rsidRDefault="009C6940" w:rsidP="009C6940">
                  <w:pPr>
                    <w:pStyle w:val="TableBodyText"/>
                  </w:pPr>
                  <w:r w:rsidRPr="00BC7DA9">
                    <w:t>$11 992</w:t>
                  </w:r>
                </w:p>
              </w:tc>
              <w:tc>
                <w:tcPr>
                  <w:tcW w:w="72" w:type="pct"/>
                </w:tcPr>
                <w:p w14:paraId="251AD913" w14:textId="77777777" w:rsidR="009C6940" w:rsidRDefault="009C6940" w:rsidP="009C6940">
                  <w:pPr>
                    <w:pStyle w:val="TableBodyText"/>
                    <w:ind w:right="28"/>
                  </w:pPr>
                </w:p>
              </w:tc>
            </w:tr>
            <w:tr w:rsidR="009C6940" w14:paraId="32DE6BFA" w14:textId="77777777" w:rsidTr="009C6940">
              <w:tc>
                <w:tcPr>
                  <w:tcW w:w="2910" w:type="pct"/>
                  <w:tcBorders>
                    <w:bottom w:val="single" w:sz="6" w:space="0" w:color="BFBFBF"/>
                  </w:tcBorders>
                  <w:shd w:val="clear" w:color="auto" w:fill="auto"/>
                  <w:vAlign w:val="bottom"/>
                </w:tcPr>
                <w:p w14:paraId="1AA46E79" w14:textId="77777777" w:rsidR="009C6940" w:rsidRPr="00BC7DA9" w:rsidRDefault="009C6940" w:rsidP="009C6940">
                  <w:pPr>
                    <w:pStyle w:val="TableUnitsRow"/>
                    <w:jc w:val="left"/>
                  </w:pPr>
                  <w:r w:rsidRPr="00BC7DA9">
                    <w:t>Average reduction in health service usage (2019 dollars)</w:t>
                  </w:r>
                </w:p>
              </w:tc>
              <w:tc>
                <w:tcPr>
                  <w:tcW w:w="965" w:type="pct"/>
                  <w:tcBorders>
                    <w:bottom w:val="single" w:sz="6" w:space="0" w:color="BFBFBF"/>
                  </w:tcBorders>
                  <w:vAlign w:val="bottom"/>
                </w:tcPr>
                <w:p w14:paraId="312ED10E" w14:textId="77777777" w:rsidR="009C6940" w:rsidRPr="00BC7DA9" w:rsidRDefault="009C6940" w:rsidP="009C6940">
                  <w:pPr>
                    <w:pStyle w:val="TableBodyText"/>
                  </w:pPr>
                  <w:r w:rsidRPr="00BC7DA9">
                    <w:t>$43 142</w:t>
                  </w:r>
                </w:p>
              </w:tc>
              <w:tc>
                <w:tcPr>
                  <w:tcW w:w="1053" w:type="pct"/>
                  <w:tcBorders>
                    <w:bottom w:val="single" w:sz="6" w:space="0" w:color="BFBFBF"/>
                  </w:tcBorders>
                  <w:shd w:val="clear" w:color="auto" w:fill="auto"/>
                  <w:vAlign w:val="bottom"/>
                </w:tcPr>
                <w:p w14:paraId="6C16C94B" w14:textId="77777777" w:rsidR="009C6940" w:rsidRPr="00BC7DA9" w:rsidRDefault="009C6940" w:rsidP="009C6940">
                  <w:pPr>
                    <w:pStyle w:val="TableBodyText"/>
                  </w:pPr>
                  <w:r w:rsidRPr="00BC7DA9">
                    <w:t>$16 274</w:t>
                  </w:r>
                </w:p>
              </w:tc>
              <w:tc>
                <w:tcPr>
                  <w:tcW w:w="72" w:type="pct"/>
                  <w:tcBorders>
                    <w:bottom w:val="single" w:sz="6" w:space="0" w:color="BFBFBF"/>
                  </w:tcBorders>
                  <w:shd w:val="clear" w:color="auto" w:fill="auto"/>
                </w:tcPr>
                <w:p w14:paraId="41353FD3" w14:textId="77777777" w:rsidR="009C6940" w:rsidRDefault="009C6940" w:rsidP="009C6940">
                  <w:pPr>
                    <w:pStyle w:val="TableBodyText"/>
                    <w:ind w:right="28"/>
                  </w:pPr>
                </w:p>
              </w:tc>
            </w:tr>
          </w:tbl>
          <w:p w14:paraId="19E125FF" w14:textId="77777777" w:rsidR="009C6940" w:rsidRPr="000C6859" w:rsidRDefault="009C6940" w:rsidP="009C6940">
            <w:pPr>
              <w:pStyle w:val="Note"/>
            </w:pPr>
            <w:r w:rsidRPr="008E77FE">
              <w:rPr>
                <w:rStyle w:val="NoteLabel"/>
              </w:rPr>
              <w:t>a</w:t>
            </w:r>
            <w:r>
              <w:t xml:space="preserve"> HASI accommodation costs are assumed to be equal to mean public housing costs per annum. Doorway accommodation costs are based on rentals in the private housing market.</w:t>
            </w:r>
          </w:p>
        </w:tc>
      </w:tr>
      <w:tr w:rsidR="009C6940" w14:paraId="12E22BD4" w14:textId="77777777" w:rsidTr="009C6940">
        <w:tc>
          <w:tcPr>
            <w:tcW w:w="5000" w:type="pct"/>
            <w:tcBorders>
              <w:top w:val="nil"/>
              <w:left w:val="nil"/>
              <w:bottom w:val="nil"/>
              <w:right w:val="nil"/>
            </w:tcBorders>
            <w:shd w:val="clear" w:color="auto" w:fill="F2F2F2"/>
          </w:tcPr>
          <w:p w14:paraId="326E61AC" w14:textId="77777777" w:rsidR="009C6940" w:rsidRDefault="009C6940" w:rsidP="009C6940">
            <w:pPr>
              <w:pStyle w:val="BoxHeading1"/>
            </w:pPr>
            <w:r>
              <w:t>Additional considerations</w:t>
            </w:r>
          </w:p>
          <w:p w14:paraId="4FA5C7BE" w14:textId="77777777" w:rsidR="009C6940" w:rsidRDefault="009C6940" w:rsidP="009C6940">
            <w:pPr>
              <w:pStyle w:val="BoxListBullet"/>
              <w:numPr>
                <w:ilvl w:val="0"/>
                <w:numId w:val="3"/>
              </w:numPr>
            </w:pPr>
            <w:r w:rsidRPr="008066DD">
              <w:t xml:space="preserve">Fixed costs of providing new public housing have not been </w:t>
            </w:r>
            <w:r>
              <w:t>included above</w:t>
            </w:r>
            <w:r w:rsidRPr="008066DD">
              <w:t>.</w:t>
            </w:r>
          </w:p>
          <w:p w14:paraId="25ECB012" w14:textId="77777777" w:rsidR="009C6940" w:rsidRDefault="009C6940" w:rsidP="009C6940">
            <w:pPr>
              <w:pStyle w:val="BoxListBullet"/>
              <w:numPr>
                <w:ilvl w:val="0"/>
                <w:numId w:val="3"/>
              </w:numPr>
            </w:pPr>
            <w:r>
              <w:t>The population of interest is based on 2017</w:t>
            </w:r>
            <w:r>
              <w:noBreakHyphen/>
              <w:t>18 data. The Productivity Commission has not adjusted this value to obtain a 2018</w:t>
            </w:r>
            <w:r>
              <w:noBreakHyphen/>
              <w:t>19 value.</w:t>
            </w:r>
          </w:p>
          <w:p w14:paraId="042B7989" w14:textId="77777777" w:rsidR="009C6940" w:rsidRPr="00C71DF4" w:rsidRDefault="009C6940" w:rsidP="009C6940">
            <w:pPr>
              <w:pStyle w:val="BoxListBullet"/>
              <w:numPr>
                <w:ilvl w:val="0"/>
                <w:numId w:val="3"/>
              </w:numPr>
            </w:pPr>
            <w:r>
              <w:t>The estimate of the number of people who require supported accommodation is based on Siskind et al. </w:t>
            </w:r>
            <w:r w:rsidRPr="00D80781">
              <w:rPr>
                <w:rFonts w:cs="Arial"/>
              </w:rPr>
              <w:t>(2012)</w:t>
            </w:r>
            <w:r>
              <w:t>, who found that 88 supported accommodation places per 100 000 population were required, consisting of supported public housing, supervised supported hostels, crisis accommodation, and residential rehabilitation. The lower bound on the estimate of supported housing places required (9019) only includes supported housing and supervised supported hostels, while the upper bound (12 215) contains all forms of supported accommodation discussed. This means that the upper bound will have an overlap with community residential non</w:t>
            </w:r>
            <w:r>
              <w:noBreakHyphen/>
              <w:t>acute beds, while the lower bound will not.</w:t>
            </w:r>
          </w:p>
        </w:tc>
      </w:tr>
      <w:tr w:rsidR="009C6940" w14:paraId="76D189C9" w14:textId="77777777" w:rsidTr="009C6940">
        <w:tc>
          <w:tcPr>
            <w:tcW w:w="5000" w:type="pct"/>
            <w:tcBorders>
              <w:top w:val="nil"/>
              <w:left w:val="nil"/>
              <w:bottom w:val="single" w:sz="6" w:space="0" w:color="78A22F"/>
              <w:right w:val="nil"/>
            </w:tcBorders>
            <w:shd w:val="clear" w:color="auto" w:fill="F2F2F2"/>
          </w:tcPr>
          <w:p w14:paraId="09B81A31" w14:textId="77777777" w:rsidR="009C6940" w:rsidRDefault="009C6940" w:rsidP="009C6940">
            <w:pPr>
              <w:pStyle w:val="Box"/>
              <w:spacing w:before="0" w:line="120" w:lineRule="exact"/>
            </w:pPr>
          </w:p>
        </w:tc>
      </w:tr>
      <w:tr w:rsidR="009C6940" w:rsidRPr="000863A5" w14:paraId="14B56870" w14:textId="77777777" w:rsidTr="009C6940">
        <w:tc>
          <w:tcPr>
            <w:tcW w:w="5000" w:type="pct"/>
            <w:tcBorders>
              <w:top w:val="single" w:sz="6" w:space="0" w:color="78A22F"/>
              <w:left w:val="nil"/>
              <w:bottom w:val="nil"/>
              <w:right w:val="nil"/>
            </w:tcBorders>
          </w:tcPr>
          <w:p w14:paraId="5F9FE8DE" w14:textId="77777777" w:rsidR="009C6940" w:rsidRPr="00626D32" w:rsidRDefault="009C6940" w:rsidP="009C6940">
            <w:pPr>
              <w:pStyle w:val="BoxSpaceBelow"/>
            </w:pPr>
          </w:p>
        </w:tc>
      </w:tr>
    </w:tbl>
    <w:p w14:paraId="0E7457B9"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0E86E4D" w14:textId="77777777" w:rsidTr="009C6940">
        <w:trPr>
          <w:tblHeader/>
        </w:trPr>
        <w:tc>
          <w:tcPr>
            <w:tcW w:w="5000" w:type="pct"/>
            <w:tcBorders>
              <w:top w:val="single" w:sz="6" w:space="0" w:color="78A22F"/>
              <w:left w:val="nil"/>
              <w:bottom w:val="nil"/>
              <w:right w:val="nil"/>
            </w:tcBorders>
            <w:shd w:val="clear" w:color="auto" w:fill="F2F2F2"/>
          </w:tcPr>
          <w:p w14:paraId="20560F2E" w14:textId="77777777" w:rsidR="009C6940" w:rsidRPr="008344CB" w:rsidRDefault="009C6940" w:rsidP="009C6940">
            <w:pPr>
              <w:pStyle w:val="BoxHeading1"/>
              <w:tabs>
                <w:tab w:val="left" w:pos="1075"/>
              </w:tabs>
              <w:rPr>
                <w:sz w:val="24"/>
              </w:rPr>
            </w:pPr>
            <w:r>
              <w:rPr>
                <w:sz w:val="24"/>
                <w:szCs w:val="24"/>
              </w:rPr>
              <w:t>Action</w:t>
            </w:r>
            <w:r>
              <w:rPr>
                <w:sz w:val="24"/>
              </w:rPr>
              <w:tab/>
            </w:r>
            <w:r w:rsidRPr="008344CB">
              <w:rPr>
                <w:sz w:val="24"/>
              </w:rPr>
              <w:t>Housing after discharge from hospital or prison</w:t>
            </w:r>
          </w:p>
          <w:p w14:paraId="20910951" w14:textId="77777777" w:rsidR="009C6940" w:rsidRPr="003666E4" w:rsidRDefault="009C6940" w:rsidP="009C6940">
            <w:pPr>
              <w:pStyle w:val="Box"/>
            </w:pPr>
            <w:r w:rsidRPr="003666E4">
              <w:t>Each State and Territory Government, with support from the Australian Government, should commit to a nationally consistent formal policy of no exits into homelessness for people with mental illness who are discharged from institutional care, including hospitals and prisons.</w:t>
            </w:r>
          </w:p>
          <w:p w14:paraId="771F2557" w14:textId="77777777" w:rsidR="009C6940" w:rsidRPr="000C6859" w:rsidRDefault="009C6940" w:rsidP="009C6940">
            <w:pPr>
              <w:pStyle w:val="Box"/>
            </w:pPr>
            <w:r w:rsidRPr="003666E4">
              <w:t>Governments should ensure that people with mental illness who exit institutional care (particularly hospitals or prisons) receive a comprehensive mental health discharge plan, ready access to transitional housing, and services have the capacity to meet their needs. These programs should integrate care coordination and access to accommodation.</w:t>
            </w:r>
          </w:p>
        </w:tc>
      </w:tr>
      <w:tr w:rsidR="009C6940" w14:paraId="407E1352" w14:textId="77777777" w:rsidTr="009C6940">
        <w:tc>
          <w:tcPr>
            <w:tcW w:w="5000" w:type="pct"/>
            <w:tcBorders>
              <w:top w:val="nil"/>
              <w:left w:val="nil"/>
              <w:bottom w:val="nil"/>
              <w:right w:val="nil"/>
            </w:tcBorders>
            <w:shd w:val="clear" w:color="auto" w:fill="F2F2F2"/>
          </w:tcPr>
          <w:p w14:paraId="6FDC1E77" w14:textId="77777777" w:rsidR="009C6940" w:rsidRDefault="009C6940" w:rsidP="009C6940">
            <w:pPr>
              <w:pStyle w:val="BoxHeading1"/>
              <w:spacing w:before="120"/>
            </w:pPr>
            <w:r>
              <w:t>Population</w:t>
            </w:r>
          </w:p>
          <w:p w14:paraId="6A89B8A9" w14:textId="77777777" w:rsidR="009C6940" w:rsidRPr="00896B5F" w:rsidRDefault="009C6940" w:rsidP="009C6940">
            <w:pPr>
              <w:pStyle w:val="Box"/>
              <w:rPr>
                <w:spacing w:val="-2"/>
              </w:rPr>
            </w:pPr>
            <w:r w:rsidRPr="00896B5F">
              <w:rPr>
                <w:spacing w:val="-2"/>
              </w:rPr>
              <w:t xml:space="preserve">There are 3000 people who are in need of housing upon discharge from hospital or prison (chapter 20). This is based on an estimated 2000 people in hospital who are able to be discharged and 1000 people who are discharged from ‘institutional settings’ into homelessness </w:t>
            </w:r>
            <w:r w:rsidRPr="00896B5F">
              <w:rPr>
                <w:rFonts w:cs="Arial"/>
                <w:spacing w:val="-2"/>
                <w:szCs w:val="24"/>
              </w:rPr>
              <w:t>(AIHW 2019c)</w:t>
            </w:r>
            <w:r w:rsidRPr="00896B5F">
              <w:rPr>
                <w:spacing w:val="-2"/>
              </w:rPr>
              <w:t>.</w:t>
            </w:r>
          </w:p>
        </w:tc>
      </w:tr>
      <w:tr w:rsidR="009C6940" w14:paraId="099E9CF4" w14:textId="77777777" w:rsidTr="009C6940">
        <w:trPr>
          <w:trHeight w:val="4947"/>
        </w:trPr>
        <w:tc>
          <w:tcPr>
            <w:tcW w:w="5000" w:type="pct"/>
            <w:tcBorders>
              <w:top w:val="nil"/>
              <w:left w:val="nil"/>
              <w:bottom w:val="nil"/>
              <w:right w:val="nil"/>
            </w:tcBorders>
            <w:shd w:val="clear" w:color="auto" w:fill="F2F2F2"/>
          </w:tcPr>
          <w:p w14:paraId="3FB80828" w14:textId="77777777" w:rsidR="009C6940" w:rsidRPr="000C6859" w:rsidRDefault="009C6940" w:rsidP="009C6940">
            <w:pPr>
              <w:pStyle w:val="BoxHeading1"/>
              <w:spacing w:before="120"/>
            </w:pPr>
            <w:r>
              <w:t>Costs</w:t>
            </w:r>
          </w:p>
          <w:p w14:paraId="121DB86E" w14:textId="77777777" w:rsidR="009C6940" w:rsidRDefault="009C6940" w:rsidP="009C6940">
            <w:pPr>
              <w:pStyle w:val="Box"/>
            </w:pPr>
            <w:r>
              <w:t xml:space="preserve">Costs and cost savings are estimated using data from the Transitional Housing Team (Queensland) </w:t>
            </w:r>
            <w:r w:rsidRPr="00D80781">
              <w:rPr>
                <w:rFonts w:cs="Arial"/>
                <w:szCs w:val="24"/>
              </w:rPr>
              <w:t>(Siskind et al. 2014)</w:t>
            </w:r>
            <w:r>
              <w:t xml:space="preserve">, Homeless Teams (Perth) </w:t>
            </w:r>
            <w:r w:rsidRPr="00D80781">
              <w:rPr>
                <w:rFonts w:cs="Arial"/>
                <w:szCs w:val="24"/>
              </w:rPr>
              <w:t>(Gazey et al. 2019)</w:t>
            </w:r>
            <w:r>
              <w:t xml:space="preserve">, and the National Partnership Agreement on Homelessness (NPAH) Housing Support Worker Mental Health (HSWMH) Program </w:t>
            </w:r>
            <w:r w:rsidRPr="00D80781">
              <w:rPr>
                <w:rFonts w:cs="Arial"/>
                <w:szCs w:val="24"/>
              </w:rPr>
              <w:t>(Wood et al. 2016)</w:t>
            </w:r>
            <w:r>
              <w:t>. The t</w:t>
            </w:r>
            <w:r w:rsidRPr="00AC4A48">
              <w:t xml:space="preserve">otal costs </w:t>
            </w:r>
            <w:r>
              <w:t xml:space="preserve">presented here are </w:t>
            </w:r>
            <w:r w:rsidRPr="00AC4A48">
              <w:t>estimated by scaling up the range of average program costs</w:t>
            </w:r>
            <w:r>
              <w:t xml:space="preserve"> </w:t>
            </w:r>
            <w:r w:rsidRPr="00AC4A48">
              <w:t>to meet estimated demand.</w:t>
            </w:r>
            <w:r>
              <w:t xml:space="preserve"> This suggests an average total cost of providing services of $49 million with a range between $15</w:t>
            </w:r>
            <w:r>
              <w:noBreakHyphen/>
              <w:t>94 million and an average total health cost savings of $159 million with a range between $25</w:t>
            </w:r>
            <w:r>
              <w:noBreakHyphen/>
              <w:t>333 million, and an overall potential net benefit of $10</w:t>
            </w:r>
            <w:r>
              <w:noBreakHyphen/>
              <w:t>295 million.</w:t>
            </w:r>
          </w:p>
          <w:p w14:paraId="19391BE5" w14:textId="77777777" w:rsidR="009C6940" w:rsidRDefault="009C6940" w:rsidP="009C6940">
            <w:pPr>
              <w:pStyle w:val="BoxHeading1"/>
              <w:spacing w:after="120"/>
              <w:rPr>
                <w:sz w:val="18"/>
              </w:rPr>
            </w:pPr>
            <w:r>
              <w:rPr>
                <w:sz w:val="18"/>
              </w:rPr>
              <w:t>C</w:t>
            </w:r>
            <w:r w:rsidRPr="00043027">
              <w:rPr>
                <w:sz w:val="18"/>
              </w:rPr>
              <w:t>osts and cost savings</w:t>
            </w:r>
            <w:r>
              <w:rPr>
                <w:sz w:val="18"/>
              </w:rPr>
              <w:t xml:space="preserve"> associated with housing support after discharge</w:t>
            </w:r>
          </w:p>
          <w:tbl>
            <w:tblPr>
              <w:tblW w:w="5000" w:type="pct"/>
              <w:tblCellMar>
                <w:top w:w="28" w:type="dxa"/>
                <w:left w:w="0" w:type="dxa"/>
                <w:right w:w="0" w:type="dxa"/>
              </w:tblCellMar>
              <w:tblLook w:val="0000" w:firstRow="0" w:lastRow="0" w:firstColumn="0" w:lastColumn="0" w:noHBand="0" w:noVBand="0"/>
            </w:tblPr>
            <w:tblGrid>
              <w:gridCol w:w="2787"/>
              <w:gridCol w:w="2077"/>
              <w:gridCol w:w="2028"/>
              <w:gridCol w:w="1613"/>
            </w:tblGrid>
            <w:tr w:rsidR="009C6940" w14:paraId="4BCB7126" w14:textId="77777777" w:rsidTr="009C6940">
              <w:trPr>
                <w:tblHeader/>
              </w:trPr>
              <w:tc>
                <w:tcPr>
                  <w:tcW w:w="1638" w:type="pct"/>
                  <w:tcBorders>
                    <w:top w:val="single" w:sz="6" w:space="0" w:color="BFBFBF"/>
                    <w:bottom w:val="single" w:sz="6" w:space="0" w:color="BFBFBF"/>
                  </w:tcBorders>
                  <w:shd w:val="clear" w:color="auto" w:fill="auto"/>
                  <w:tcMar>
                    <w:top w:w="28" w:type="dxa"/>
                  </w:tcMar>
                </w:tcPr>
                <w:p w14:paraId="3EEFE20E" w14:textId="77777777" w:rsidR="009C6940" w:rsidRDefault="009C6940" w:rsidP="009C6940">
                  <w:pPr>
                    <w:pStyle w:val="TableColumnHeading"/>
                    <w:jc w:val="left"/>
                  </w:pPr>
                </w:p>
              </w:tc>
              <w:tc>
                <w:tcPr>
                  <w:tcW w:w="1221" w:type="pct"/>
                  <w:tcBorders>
                    <w:top w:val="single" w:sz="6" w:space="0" w:color="BFBFBF"/>
                    <w:bottom w:val="single" w:sz="6" w:space="0" w:color="BFBFBF"/>
                  </w:tcBorders>
                </w:tcPr>
                <w:p w14:paraId="13BFFFF7" w14:textId="77777777" w:rsidR="009C6940" w:rsidRPr="009A22AC" w:rsidRDefault="009C6940" w:rsidP="009C6940">
                  <w:pPr>
                    <w:pStyle w:val="TableColumnHeading"/>
                  </w:pPr>
                  <w:r w:rsidRPr="009A22AC">
                    <w:t>Transitional Housing Team (Queensland)</w:t>
                  </w:r>
                </w:p>
              </w:tc>
              <w:tc>
                <w:tcPr>
                  <w:tcW w:w="1192" w:type="pct"/>
                  <w:tcBorders>
                    <w:top w:val="single" w:sz="6" w:space="0" w:color="BFBFBF"/>
                    <w:bottom w:val="single" w:sz="6" w:space="0" w:color="BFBFBF"/>
                  </w:tcBorders>
                  <w:shd w:val="clear" w:color="auto" w:fill="auto"/>
                  <w:tcMar>
                    <w:top w:w="28" w:type="dxa"/>
                  </w:tcMar>
                </w:tcPr>
                <w:p w14:paraId="47CB6825" w14:textId="77777777" w:rsidR="009C6940" w:rsidRPr="009A22AC" w:rsidRDefault="009C6940" w:rsidP="009C6940">
                  <w:pPr>
                    <w:pStyle w:val="TableColumnHeading"/>
                  </w:pPr>
                  <w:r w:rsidRPr="009A22AC">
                    <w:t>Homeless Teams (Perth)</w:t>
                  </w:r>
                </w:p>
              </w:tc>
              <w:tc>
                <w:tcPr>
                  <w:tcW w:w="948" w:type="pct"/>
                  <w:tcBorders>
                    <w:top w:val="single" w:sz="6" w:space="0" w:color="BFBFBF"/>
                    <w:bottom w:val="single" w:sz="6" w:space="0" w:color="BFBFBF"/>
                  </w:tcBorders>
                  <w:shd w:val="clear" w:color="auto" w:fill="auto"/>
                  <w:tcMar>
                    <w:top w:w="28" w:type="dxa"/>
                  </w:tcMar>
                </w:tcPr>
                <w:p w14:paraId="61671CDF" w14:textId="77777777" w:rsidR="009C6940" w:rsidRPr="009A22AC" w:rsidRDefault="009C6940" w:rsidP="009C6940">
                  <w:pPr>
                    <w:pStyle w:val="TableColumnHeading"/>
                  </w:pPr>
                  <w:r w:rsidRPr="009A22AC">
                    <w:t>NPAH HSWMH</w:t>
                  </w:r>
                </w:p>
              </w:tc>
            </w:tr>
            <w:tr w:rsidR="009C6940" w14:paraId="1F589274" w14:textId="77777777" w:rsidTr="009C6940">
              <w:tc>
                <w:tcPr>
                  <w:tcW w:w="1638" w:type="pct"/>
                  <w:tcBorders>
                    <w:top w:val="single" w:sz="6" w:space="0" w:color="BFBFBF"/>
                  </w:tcBorders>
                </w:tcPr>
                <w:p w14:paraId="56C0AC59" w14:textId="77777777" w:rsidR="009C6940" w:rsidRDefault="009C6940" w:rsidP="009C6940">
                  <w:pPr>
                    <w:pStyle w:val="TableUnitsRow"/>
                    <w:jc w:val="left"/>
                  </w:pPr>
                  <w:r w:rsidRPr="008B0842">
                    <w:t>Average cost per support period</w:t>
                  </w:r>
                  <w:r>
                    <w:t xml:space="preserve"> (2019 dollars)</w:t>
                  </w:r>
                </w:p>
              </w:tc>
              <w:tc>
                <w:tcPr>
                  <w:tcW w:w="1221" w:type="pct"/>
                  <w:tcBorders>
                    <w:top w:val="single" w:sz="6" w:space="0" w:color="BFBFBF"/>
                  </w:tcBorders>
                </w:tcPr>
                <w:p w14:paraId="38A0C19A" w14:textId="77777777" w:rsidR="009C6940" w:rsidRPr="009A22AC" w:rsidRDefault="009C6940" w:rsidP="009C6940">
                  <w:pPr>
                    <w:pStyle w:val="TableBodyText"/>
                  </w:pPr>
                  <w:r w:rsidRPr="009A22AC">
                    <w:t>$31 208</w:t>
                  </w:r>
                </w:p>
              </w:tc>
              <w:tc>
                <w:tcPr>
                  <w:tcW w:w="1192" w:type="pct"/>
                  <w:tcBorders>
                    <w:top w:val="single" w:sz="6" w:space="0" w:color="BFBFBF"/>
                  </w:tcBorders>
                </w:tcPr>
                <w:p w14:paraId="0A3000AC" w14:textId="77777777" w:rsidR="009C6940" w:rsidRPr="009A22AC" w:rsidRDefault="009C6940" w:rsidP="009C6940">
                  <w:pPr>
                    <w:pStyle w:val="TableBodyText"/>
                  </w:pPr>
                  <w:r w:rsidRPr="009A22AC">
                    <w:t>$5 134</w:t>
                  </w:r>
                </w:p>
              </w:tc>
              <w:tc>
                <w:tcPr>
                  <w:tcW w:w="948" w:type="pct"/>
                  <w:tcBorders>
                    <w:top w:val="single" w:sz="6" w:space="0" w:color="BFBFBF"/>
                  </w:tcBorders>
                </w:tcPr>
                <w:p w14:paraId="6E968426" w14:textId="77777777" w:rsidR="009C6940" w:rsidRPr="009A22AC" w:rsidRDefault="009C6940" w:rsidP="009C6940">
                  <w:pPr>
                    <w:pStyle w:val="TableBodyText"/>
                  </w:pPr>
                  <w:r w:rsidRPr="009A22AC">
                    <w:t>$12 734</w:t>
                  </w:r>
                </w:p>
              </w:tc>
            </w:tr>
            <w:tr w:rsidR="009C6940" w14:paraId="10B29504" w14:textId="77777777" w:rsidTr="009C6940">
              <w:tc>
                <w:tcPr>
                  <w:tcW w:w="1638" w:type="pct"/>
                  <w:tcBorders>
                    <w:bottom w:val="single" w:sz="6" w:space="0" w:color="BFBFBF"/>
                  </w:tcBorders>
                  <w:shd w:val="clear" w:color="auto" w:fill="auto"/>
                </w:tcPr>
                <w:p w14:paraId="23F72E4E" w14:textId="77777777" w:rsidR="009C6940" w:rsidRDefault="009C6940" w:rsidP="009C6940">
                  <w:pPr>
                    <w:pStyle w:val="TableUnitsRow"/>
                    <w:jc w:val="left"/>
                  </w:pPr>
                  <w:r w:rsidRPr="008B0842">
                    <w:t>Average health cost savings per support period</w:t>
                  </w:r>
                  <w:r>
                    <w:t xml:space="preserve"> (2019 dollars)</w:t>
                  </w:r>
                </w:p>
              </w:tc>
              <w:tc>
                <w:tcPr>
                  <w:tcW w:w="1221" w:type="pct"/>
                  <w:tcBorders>
                    <w:bottom w:val="single" w:sz="6" w:space="0" w:color="BFBFBF"/>
                  </w:tcBorders>
                </w:tcPr>
                <w:p w14:paraId="5CB828B9" w14:textId="77777777" w:rsidR="009C6940" w:rsidRPr="009A22AC" w:rsidRDefault="009C6940" w:rsidP="009C6940">
                  <w:pPr>
                    <w:pStyle w:val="TableBodyText"/>
                  </w:pPr>
                  <w:r w:rsidRPr="009A22AC">
                    <w:t>$38 605</w:t>
                  </w:r>
                </w:p>
              </w:tc>
              <w:tc>
                <w:tcPr>
                  <w:tcW w:w="1192" w:type="pct"/>
                  <w:tcBorders>
                    <w:bottom w:val="single" w:sz="6" w:space="0" w:color="BFBFBF"/>
                  </w:tcBorders>
                  <w:shd w:val="clear" w:color="auto" w:fill="auto"/>
                </w:tcPr>
                <w:p w14:paraId="1FFF1880" w14:textId="77777777" w:rsidR="009C6940" w:rsidRPr="009A22AC" w:rsidRDefault="009C6940" w:rsidP="009C6940">
                  <w:pPr>
                    <w:pStyle w:val="TableBodyText"/>
                  </w:pPr>
                  <w:r w:rsidRPr="009A22AC">
                    <w:t>$8 397</w:t>
                  </w:r>
                </w:p>
              </w:tc>
              <w:tc>
                <w:tcPr>
                  <w:tcW w:w="948" w:type="pct"/>
                  <w:tcBorders>
                    <w:bottom w:val="single" w:sz="6" w:space="0" w:color="BFBFBF"/>
                  </w:tcBorders>
                  <w:shd w:val="clear" w:color="auto" w:fill="auto"/>
                </w:tcPr>
                <w:p w14:paraId="185BB16E" w14:textId="77777777" w:rsidR="009C6940" w:rsidRPr="009A22AC" w:rsidRDefault="009C6940" w:rsidP="009C6940">
                  <w:pPr>
                    <w:pStyle w:val="TableBodyText"/>
                  </w:pPr>
                  <w:r w:rsidRPr="009A22AC">
                    <w:t>$111 000</w:t>
                  </w:r>
                </w:p>
              </w:tc>
            </w:tr>
          </w:tbl>
          <w:p w14:paraId="2E0B7BF1" w14:textId="77777777" w:rsidR="009C6940" w:rsidRPr="00896B5F" w:rsidRDefault="009C6940" w:rsidP="009C6940">
            <w:pPr>
              <w:pStyle w:val="Box"/>
            </w:pPr>
          </w:p>
        </w:tc>
      </w:tr>
      <w:tr w:rsidR="009C6940" w14:paraId="21108160" w14:textId="77777777" w:rsidTr="009C6940">
        <w:tc>
          <w:tcPr>
            <w:tcW w:w="5000" w:type="pct"/>
            <w:tcBorders>
              <w:top w:val="nil"/>
              <w:left w:val="nil"/>
              <w:bottom w:val="nil"/>
              <w:right w:val="nil"/>
            </w:tcBorders>
            <w:shd w:val="clear" w:color="auto" w:fill="F2F2F2"/>
          </w:tcPr>
          <w:p w14:paraId="24F7EC4C" w14:textId="77777777" w:rsidR="009C6940" w:rsidRDefault="009C6940" w:rsidP="009C6940">
            <w:pPr>
              <w:pStyle w:val="BoxHeading1"/>
            </w:pPr>
            <w:r>
              <w:t>Additional considerations</w:t>
            </w:r>
          </w:p>
          <w:p w14:paraId="5630E72A" w14:textId="77777777" w:rsidR="009C6940" w:rsidRDefault="009C6940" w:rsidP="009C6940">
            <w:pPr>
              <w:pStyle w:val="BoxListBullet"/>
            </w:pPr>
            <w:r w:rsidRPr="00C6376A">
              <w:t xml:space="preserve">There </w:t>
            </w:r>
            <w:r>
              <w:t>are</w:t>
            </w:r>
            <w:r w:rsidRPr="00C6376A">
              <w:t xml:space="preserve"> large variation</w:t>
            </w:r>
            <w:r>
              <w:t>s</w:t>
            </w:r>
            <w:r w:rsidRPr="00C6376A">
              <w:t xml:space="preserve"> between the</w:t>
            </w:r>
            <w:r>
              <w:t xml:space="preserve"> cost and cost saving estimates across</w:t>
            </w:r>
            <w:r w:rsidRPr="00C6376A">
              <w:t xml:space="preserve"> pilot programs considered in this analysis. The </w:t>
            </w:r>
            <w:r>
              <w:t>Productivity</w:t>
            </w:r>
            <w:r w:rsidRPr="00C6376A">
              <w:t xml:space="preserve"> Commission has not attempted to adjust these costs based on the reach or scalability of each of the three studies considered. </w:t>
            </w:r>
          </w:p>
          <w:p w14:paraId="2D212202" w14:textId="77777777" w:rsidR="009C6940" w:rsidRDefault="009C6940" w:rsidP="009C6940">
            <w:pPr>
              <w:pStyle w:val="BoxListBullet"/>
            </w:pPr>
            <w:r w:rsidRPr="00C6376A">
              <w:t xml:space="preserve">The pilot programs used to estimated costs focus on people discharged from hospital rather than prison. The cost of providing discharge support to people leaving prison is likely to differ, although there is a lack of evidence in this respect. </w:t>
            </w:r>
          </w:p>
          <w:p w14:paraId="6B2261D8" w14:textId="77777777" w:rsidR="009C6940" w:rsidRPr="00C6376A" w:rsidRDefault="009C6940" w:rsidP="009C6940">
            <w:pPr>
              <w:pStyle w:val="BoxListBullet"/>
            </w:pPr>
            <w:r>
              <w:t>Addressing the shortage in non</w:t>
            </w:r>
            <w:r>
              <w:noBreakHyphen/>
              <w:t xml:space="preserve">acute beds (discussed above) will also help to ensure people are not discharged into homelessness. Given the potential overlap in the people that are likely to benefit from these two actions the cost of improving discharge from hospital may be an overestimate. </w:t>
            </w:r>
          </w:p>
        </w:tc>
      </w:tr>
      <w:tr w:rsidR="009C6940" w14:paraId="5D95934C" w14:textId="77777777" w:rsidTr="009C6940">
        <w:tc>
          <w:tcPr>
            <w:tcW w:w="5000" w:type="pct"/>
            <w:tcBorders>
              <w:top w:val="nil"/>
              <w:left w:val="nil"/>
              <w:bottom w:val="single" w:sz="6" w:space="0" w:color="78A22F"/>
              <w:right w:val="nil"/>
            </w:tcBorders>
            <w:shd w:val="clear" w:color="auto" w:fill="F2F2F2"/>
          </w:tcPr>
          <w:p w14:paraId="113FF48E" w14:textId="77777777" w:rsidR="009C6940" w:rsidRDefault="009C6940" w:rsidP="009C6940">
            <w:pPr>
              <w:pStyle w:val="Box"/>
              <w:spacing w:before="0" w:line="120" w:lineRule="exact"/>
            </w:pPr>
          </w:p>
        </w:tc>
      </w:tr>
      <w:tr w:rsidR="009C6940" w:rsidRPr="000863A5" w14:paraId="227E4F9B" w14:textId="77777777" w:rsidTr="009C6940">
        <w:tc>
          <w:tcPr>
            <w:tcW w:w="5000" w:type="pct"/>
            <w:tcBorders>
              <w:top w:val="single" w:sz="6" w:space="0" w:color="78A22F"/>
              <w:left w:val="nil"/>
              <w:bottom w:val="nil"/>
              <w:right w:val="nil"/>
            </w:tcBorders>
          </w:tcPr>
          <w:p w14:paraId="4E40AECA" w14:textId="77777777" w:rsidR="009C6940" w:rsidRPr="00626D32" w:rsidRDefault="009C6940" w:rsidP="009C6940">
            <w:pPr>
              <w:pStyle w:val="BoxSpaceBelow"/>
            </w:pPr>
          </w:p>
        </w:tc>
      </w:tr>
    </w:tbl>
    <w:p w14:paraId="62C0A714"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2F05F3A" w14:textId="77777777" w:rsidTr="009C6940">
        <w:trPr>
          <w:tblHeader/>
        </w:trPr>
        <w:tc>
          <w:tcPr>
            <w:tcW w:w="5000" w:type="pct"/>
            <w:tcBorders>
              <w:top w:val="single" w:sz="6" w:space="0" w:color="78A22F"/>
              <w:left w:val="nil"/>
              <w:bottom w:val="nil"/>
              <w:right w:val="nil"/>
            </w:tcBorders>
            <w:shd w:val="clear" w:color="auto" w:fill="F2F2F2"/>
          </w:tcPr>
          <w:p w14:paraId="13D685D5" w14:textId="77777777" w:rsidR="009C6940" w:rsidRPr="00491617" w:rsidRDefault="009C6940" w:rsidP="009C6940">
            <w:pPr>
              <w:pStyle w:val="BoxHeading1"/>
              <w:tabs>
                <w:tab w:val="left" w:pos="1134"/>
              </w:tabs>
              <w:rPr>
                <w:sz w:val="24"/>
              </w:rPr>
            </w:pPr>
            <w:r>
              <w:rPr>
                <w:sz w:val="24"/>
              </w:rPr>
              <w:t>Action</w:t>
            </w:r>
            <w:r>
              <w:rPr>
                <w:sz w:val="24"/>
              </w:rPr>
              <w:tab/>
            </w:r>
            <w:r w:rsidRPr="00491617">
              <w:rPr>
                <w:sz w:val="24"/>
              </w:rPr>
              <w:t>Homelessness services</w:t>
            </w:r>
          </w:p>
          <w:p w14:paraId="27D8EE82" w14:textId="77777777" w:rsidR="009C6940" w:rsidRPr="003666E4" w:rsidRDefault="009C6940" w:rsidP="009C6940">
            <w:pPr>
              <w:pStyle w:val="Box"/>
            </w:pPr>
            <w:r w:rsidRPr="003666E4">
              <w:t>Each State and Territory Government, with support from the Australian Government, should address the gap in homelessness services for people with mental illness in their jurisdiction. This should include increasing existing homelessness services as well as scaling up longer term housing options such as Housing First programs.</w:t>
            </w:r>
          </w:p>
          <w:p w14:paraId="4842B88F" w14:textId="77777777" w:rsidR="009C6940" w:rsidRPr="003666E4" w:rsidRDefault="009C6940" w:rsidP="009C6940">
            <w:pPr>
              <w:pStyle w:val="BoxListBullet"/>
              <w:numPr>
                <w:ilvl w:val="0"/>
                <w:numId w:val="3"/>
              </w:numPr>
            </w:pPr>
            <w:r w:rsidRPr="003666E4">
              <w:t xml:space="preserve">Housing First programs should target people who experience severe and complex mental illness, are persistently homeless, and are unlikely to respond to existing homelessness services. </w:t>
            </w:r>
          </w:p>
          <w:p w14:paraId="42AF1CCB" w14:textId="77777777" w:rsidR="009C6940" w:rsidRPr="000C6859" w:rsidRDefault="009C6940" w:rsidP="009C6940">
            <w:pPr>
              <w:pStyle w:val="BoxListBullet"/>
              <w:numPr>
                <w:ilvl w:val="0"/>
                <w:numId w:val="3"/>
              </w:numPr>
            </w:pPr>
            <w:r w:rsidRPr="003666E4">
              <w:t>This would require governments to invest in homelessness services that make long term housing available specifically for these programs.</w:t>
            </w:r>
          </w:p>
        </w:tc>
      </w:tr>
      <w:tr w:rsidR="009C6940" w14:paraId="4C35E1DA" w14:textId="77777777" w:rsidTr="009C6940">
        <w:tc>
          <w:tcPr>
            <w:tcW w:w="5000" w:type="pct"/>
            <w:tcBorders>
              <w:top w:val="nil"/>
              <w:left w:val="nil"/>
              <w:bottom w:val="nil"/>
              <w:right w:val="nil"/>
            </w:tcBorders>
            <w:shd w:val="clear" w:color="auto" w:fill="F2F2F2"/>
          </w:tcPr>
          <w:p w14:paraId="6A8218D9" w14:textId="77777777" w:rsidR="009C6940" w:rsidRDefault="009C6940" w:rsidP="009C6940">
            <w:pPr>
              <w:pStyle w:val="BoxHeading1"/>
              <w:spacing w:before="120"/>
            </w:pPr>
            <w:r>
              <w:t>Population</w:t>
            </w:r>
          </w:p>
          <w:p w14:paraId="1C002270" w14:textId="77777777" w:rsidR="009C6940" w:rsidRPr="00EC0A97" w:rsidRDefault="009C6940" w:rsidP="009C6940">
            <w:pPr>
              <w:pStyle w:val="BoxListBullet"/>
              <w:numPr>
                <w:ilvl w:val="0"/>
                <w:numId w:val="3"/>
              </w:numPr>
            </w:pPr>
            <w:r>
              <w:t>There are between 15 366 and 18 832 people with a current mental health issue who</w:t>
            </w:r>
            <w:r w:rsidRPr="00C600C8">
              <w:t xml:space="preserve"> </w:t>
            </w:r>
            <w:r w:rsidRPr="00055E81">
              <w:t>have unmet needs for l</w:t>
            </w:r>
            <w:r>
              <w:t>ong</w:t>
            </w:r>
            <w:r>
              <w:noBreakHyphen/>
              <w:t>term housing (AIHW unpublished).</w:t>
            </w:r>
          </w:p>
        </w:tc>
      </w:tr>
      <w:tr w:rsidR="009C6940" w14:paraId="55B64A8D" w14:textId="77777777" w:rsidTr="009C6940">
        <w:tc>
          <w:tcPr>
            <w:tcW w:w="5000" w:type="pct"/>
            <w:tcBorders>
              <w:top w:val="nil"/>
              <w:left w:val="nil"/>
              <w:bottom w:val="nil"/>
              <w:right w:val="nil"/>
            </w:tcBorders>
            <w:shd w:val="clear" w:color="auto" w:fill="F2F2F2"/>
          </w:tcPr>
          <w:p w14:paraId="4A2646C1" w14:textId="77777777" w:rsidR="009C6940" w:rsidRPr="000C6859" w:rsidRDefault="009C6940" w:rsidP="009C6940">
            <w:pPr>
              <w:pStyle w:val="BoxHeading1"/>
              <w:spacing w:before="120"/>
            </w:pPr>
            <w:r>
              <w:t>Costs</w:t>
            </w:r>
          </w:p>
          <w:p w14:paraId="39753CCB" w14:textId="77777777" w:rsidR="009C6940" w:rsidRDefault="009C6940" w:rsidP="009C6940">
            <w:pPr>
              <w:pStyle w:val="BoxListBullet"/>
              <w:numPr>
                <w:ilvl w:val="0"/>
                <w:numId w:val="3"/>
              </w:numPr>
            </w:pPr>
            <w:r>
              <w:t>Accommodation costs are estimated using average accommodation costs for social housing ($18 096 per year) and private rental ($20 860 per year) (Productivity C</w:t>
            </w:r>
            <w:r w:rsidRPr="001914DC">
              <w:t>ommiss</w:t>
            </w:r>
            <w:r>
              <w:t>ion estimates based on ABS (2019</w:t>
            </w:r>
            <w:r w:rsidRPr="001914DC">
              <w:t>, Housin</w:t>
            </w:r>
            <w:r>
              <w:t xml:space="preserve">g Occupancy and Costs, Cat. no. 4130.0) </w:t>
            </w:r>
            <w:r w:rsidRPr="001914DC">
              <w:t xml:space="preserve">and </w:t>
            </w:r>
            <w:r>
              <w:t xml:space="preserve">SCRGSP </w:t>
            </w:r>
            <w:r w:rsidRPr="00D80781">
              <w:rPr>
                <w:rFonts w:cs="Arial"/>
              </w:rPr>
              <w:t>(2020a, 2020b, unpublished data)</w:t>
            </w:r>
            <w:r>
              <w:t>). Total costs are estimated to be between $278</w:t>
            </w:r>
            <w:r>
              <w:noBreakHyphen/>
              <w:t xml:space="preserve">393 million per year. These estimates do not include the fixed costs of providing new public housing. </w:t>
            </w:r>
          </w:p>
          <w:p w14:paraId="61AA1A0D" w14:textId="77777777" w:rsidR="009C6940" w:rsidRPr="000C6859" w:rsidRDefault="009C6940" w:rsidP="009C6940">
            <w:pPr>
              <w:pStyle w:val="BoxListBullet"/>
              <w:numPr>
                <w:ilvl w:val="0"/>
                <w:numId w:val="3"/>
              </w:numPr>
            </w:pPr>
            <w:r>
              <w:t xml:space="preserve">Cost offsets from </w:t>
            </w:r>
            <w:r w:rsidRPr="009100B3">
              <w:t xml:space="preserve">Zaretzky et al. </w:t>
            </w:r>
            <w:r w:rsidRPr="00D80781">
              <w:rPr>
                <w:rFonts w:cs="Arial"/>
              </w:rPr>
              <w:t>(2013)</w:t>
            </w:r>
            <w:r>
              <w:t xml:space="preserve"> are used to calculate the cost savings. They found an average cost offset of $1643 for men, $10 554 for women, and $4360 across both genders (2019 dollars). Total cost savings are estimated to lie between $67</w:t>
            </w:r>
            <w:r>
              <w:noBreakHyphen/>
              <w:t>132 million per year.</w:t>
            </w:r>
          </w:p>
        </w:tc>
      </w:tr>
      <w:tr w:rsidR="009C6940" w14:paraId="2BCFED4D" w14:textId="77777777" w:rsidTr="009C6940">
        <w:tc>
          <w:tcPr>
            <w:tcW w:w="5000" w:type="pct"/>
            <w:tcBorders>
              <w:top w:val="nil"/>
              <w:left w:val="nil"/>
              <w:bottom w:val="nil"/>
              <w:right w:val="nil"/>
            </w:tcBorders>
            <w:shd w:val="clear" w:color="auto" w:fill="F2F2F2"/>
          </w:tcPr>
          <w:p w14:paraId="4D56D74B" w14:textId="77777777" w:rsidR="009C6940" w:rsidRDefault="009C6940" w:rsidP="009C6940">
            <w:pPr>
              <w:pStyle w:val="BoxHeading1"/>
              <w:spacing w:before="120"/>
            </w:pPr>
            <w:r>
              <w:t>Additional considerations</w:t>
            </w:r>
          </w:p>
          <w:p w14:paraId="178E2A72" w14:textId="77777777" w:rsidR="009C6940" w:rsidRDefault="009C6940" w:rsidP="009C6940">
            <w:pPr>
              <w:pStyle w:val="BoxListBullet"/>
            </w:pPr>
            <w:r w:rsidRPr="00C6273A">
              <w:t>Cost offsets were not estimated for street</w:t>
            </w:r>
            <w:r>
              <w:noBreakHyphen/>
            </w:r>
            <w:r w:rsidRPr="00C6273A">
              <w:t>to</w:t>
            </w:r>
            <w:r>
              <w:noBreakHyphen/>
            </w:r>
            <w:r w:rsidRPr="00C6273A">
              <w:t xml:space="preserve">home clients </w:t>
            </w:r>
            <w:r>
              <w:t xml:space="preserve">owing </w:t>
            </w:r>
            <w:r w:rsidRPr="00C6273A">
              <w:t>to</w:t>
            </w:r>
            <w:r>
              <w:t xml:space="preserve"> the</w:t>
            </w:r>
            <w:r w:rsidRPr="00C6273A">
              <w:t xml:space="preserve"> </w:t>
            </w:r>
            <w:r>
              <w:t>a</w:t>
            </w:r>
            <w:r w:rsidRPr="00C6273A">
              <w:t xml:space="preserve"> very small sample size</w:t>
            </w:r>
            <w:r>
              <w:t>, which is likely to have a materially significant impact on the average cost offsets.</w:t>
            </w:r>
          </w:p>
          <w:p w14:paraId="43FF14DB" w14:textId="77777777" w:rsidR="009C6940" w:rsidRPr="000C6859" w:rsidRDefault="009C6940" w:rsidP="009C6940">
            <w:pPr>
              <w:pStyle w:val="BoxListBullet"/>
            </w:pPr>
            <w:r w:rsidRPr="00C6273A">
              <w:t>An eviction related cost</w:t>
            </w:r>
            <w:r>
              <w:noBreakHyphen/>
            </w:r>
            <w:r w:rsidRPr="00C6273A">
              <w:t>offset was not estimated, but evidence suggests that support results in a reduced probability of eviction from a public tenancy, resulting in a saving of just over $600</w:t>
            </w:r>
            <w:r>
              <w:t xml:space="preserve"> per </w:t>
            </w:r>
            <w:r w:rsidRPr="00C6273A">
              <w:t>client</w:t>
            </w:r>
            <w:r>
              <w:t xml:space="preserve"> (Zaretsky et al. 2013).</w:t>
            </w:r>
          </w:p>
        </w:tc>
      </w:tr>
      <w:tr w:rsidR="009C6940" w14:paraId="4B3C3D05" w14:textId="77777777" w:rsidTr="009C6940">
        <w:tc>
          <w:tcPr>
            <w:tcW w:w="5000" w:type="pct"/>
            <w:tcBorders>
              <w:top w:val="nil"/>
              <w:left w:val="nil"/>
              <w:bottom w:val="single" w:sz="6" w:space="0" w:color="78A22F"/>
              <w:right w:val="nil"/>
            </w:tcBorders>
            <w:shd w:val="clear" w:color="auto" w:fill="F2F2F2"/>
          </w:tcPr>
          <w:p w14:paraId="62CF7159" w14:textId="77777777" w:rsidR="009C6940" w:rsidRDefault="009C6940" w:rsidP="009C6940">
            <w:pPr>
              <w:pStyle w:val="Box"/>
              <w:spacing w:before="0" w:line="120" w:lineRule="exact"/>
            </w:pPr>
          </w:p>
        </w:tc>
      </w:tr>
      <w:tr w:rsidR="009C6940" w:rsidRPr="000863A5" w14:paraId="04913CA5" w14:textId="77777777" w:rsidTr="009C6940">
        <w:tc>
          <w:tcPr>
            <w:tcW w:w="5000" w:type="pct"/>
            <w:tcBorders>
              <w:top w:val="single" w:sz="6" w:space="0" w:color="78A22F"/>
              <w:left w:val="nil"/>
              <w:bottom w:val="nil"/>
              <w:right w:val="nil"/>
            </w:tcBorders>
          </w:tcPr>
          <w:p w14:paraId="60FDD2EA" w14:textId="77777777" w:rsidR="009C6940" w:rsidRPr="00626D32" w:rsidRDefault="009C6940" w:rsidP="009C6940">
            <w:pPr>
              <w:pStyle w:val="BoxSpaceBelow"/>
            </w:pPr>
          </w:p>
        </w:tc>
      </w:tr>
    </w:tbl>
    <w:p w14:paraId="52D02D0E"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02860EC" w14:textId="77777777" w:rsidTr="009C6940">
        <w:trPr>
          <w:tblHeader/>
        </w:trPr>
        <w:tc>
          <w:tcPr>
            <w:tcW w:w="5000" w:type="pct"/>
            <w:tcBorders>
              <w:top w:val="single" w:sz="6" w:space="0" w:color="78A22F"/>
              <w:left w:val="nil"/>
              <w:bottom w:val="nil"/>
              <w:right w:val="nil"/>
            </w:tcBorders>
            <w:shd w:val="clear" w:color="auto" w:fill="F2F2F2"/>
          </w:tcPr>
          <w:p w14:paraId="175D44E2" w14:textId="77777777" w:rsidR="009C6940" w:rsidRPr="008C61CF" w:rsidRDefault="009C6940" w:rsidP="009C6940">
            <w:pPr>
              <w:pStyle w:val="BoxHeading1"/>
              <w:rPr>
                <w:sz w:val="24"/>
              </w:rPr>
            </w:pPr>
            <w:r w:rsidRPr="006C3358">
              <w:rPr>
                <w:sz w:val="24"/>
              </w:rPr>
              <w:t xml:space="preserve">Benefits across housing </w:t>
            </w:r>
            <w:r>
              <w:rPr>
                <w:sz w:val="24"/>
              </w:rPr>
              <w:t>actions</w:t>
            </w:r>
          </w:p>
        </w:tc>
      </w:tr>
      <w:tr w:rsidR="009C6940" w14:paraId="34BCC847" w14:textId="77777777" w:rsidTr="009C6940">
        <w:tc>
          <w:tcPr>
            <w:tcW w:w="5000" w:type="pct"/>
            <w:tcBorders>
              <w:top w:val="nil"/>
              <w:left w:val="nil"/>
              <w:bottom w:val="nil"/>
              <w:right w:val="nil"/>
            </w:tcBorders>
            <w:shd w:val="clear" w:color="auto" w:fill="F2F2F2"/>
          </w:tcPr>
          <w:p w14:paraId="581B413B" w14:textId="77777777" w:rsidR="009C6940" w:rsidRDefault="009C6940" w:rsidP="009C6940">
            <w:pPr>
              <w:pStyle w:val="BoxHeading1"/>
              <w:spacing w:before="120"/>
            </w:pPr>
            <w:r>
              <w:t>Population</w:t>
            </w:r>
          </w:p>
          <w:p w14:paraId="28A26C3F" w14:textId="77777777" w:rsidR="009C6940" w:rsidRPr="00FA6EF4" w:rsidRDefault="009C6940" w:rsidP="009C6940">
            <w:pPr>
              <w:pStyle w:val="Box"/>
            </w:pPr>
            <w:r>
              <w:t>Across the housing actions above, each year there are about:</w:t>
            </w:r>
          </w:p>
          <w:p w14:paraId="7A1F715E" w14:textId="77777777" w:rsidR="009C6940" w:rsidRPr="001A5EBD" w:rsidRDefault="009C6940" w:rsidP="009C6940">
            <w:pPr>
              <w:pStyle w:val="BoxListBullet"/>
              <w:numPr>
                <w:ilvl w:val="0"/>
                <w:numId w:val="3"/>
              </w:numPr>
              <w:rPr>
                <w:lang w:val="en-US"/>
              </w:rPr>
            </w:pPr>
            <w:r w:rsidRPr="001A5EBD">
              <w:rPr>
                <w:lang w:val="en-US"/>
              </w:rPr>
              <w:t>55</w:t>
            </w:r>
            <w:r>
              <w:rPr>
                <w:lang w:val="en-US"/>
              </w:rPr>
              <w:t>00</w:t>
            </w:r>
            <w:r w:rsidRPr="001A5EBD">
              <w:rPr>
                <w:lang w:val="en-US"/>
              </w:rPr>
              <w:t xml:space="preserve"> people</w:t>
            </w:r>
            <w:r>
              <w:rPr>
                <w:lang w:val="en-US"/>
              </w:rPr>
              <w:t xml:space="preserve"> requiring</w:t>
            </w:r>
            <w:r w:rsidRPr="001A5EBD">
              <w:rPr>
                <w:lang w:val="en-US"/>
              </w:rPr>
              <w:t xml:space="preserve"> assistance to sustain housing tenure </w:t>
            </w:r>
          </w:p>
          <w:p w14:paraId="234D241A" w14:textId="77777777" w:rsidR="009C6940" w:rsidRPr="001A5EBD" w:rsidRDefault="009C6940" w:rsidP="009C6940">
            <w:pPr>
              <w:pStyle w:val="BoxListBullet"/>
              <w:numPr>
                <w:ilvl w:val="0"/>
                <w:numId w:val="3"/>
              </w:numPr>
              <w:rPr>
                <w:lang w:val="en-US"/>
              </w:rPr>
            </w:pPr>
            <w:r w:rsidRPr="001A5EBD">
              <w:rPr>
                <w:lang w:val="en-US"/>
              </w:rPr>
              <w:t>between 90</w:t>
            </w:r>
            <w:r>
              <w:rPr>
                <w:lang w:val="en-US"/>
              </w:rPr>
              <w:t>00</w:t>
            </w:r>
            <w:r w:rsidRPr="001A5EBD">
              <w:rPr>
                <w:lang w:val="en-US"/>
              </w:rPr>
              <w:t xml:space="preserve"> and 12 5</w:t>
            </w:r>
            <w:r>
              <w:rPr>
                <w:lang w:val="en-US"/>
              </w:rPr>
              <w:t>00</w:t>
            </w:r>
            <w:r w:rsidRPr="001A5EBD">
              <w:rPr>
                <w:lang w:val="en-US"/>
              </w:rPr>
              <w:t xml:space="preserve"> </w:t>
            </w:r>
            <w:r>
              <w:rPr>
                <w:lang w:val="en-US"/>
              </w:rPr>
              <w:t xml:space="preserve">additional </w:t>
            </w:r>
            <w:r w:rsidRPr="001A5EBD">
              <w:rPr>
                <w:lang w:val="en-US"/>
              </w:rPr>
              <w:t>people who require supported housing</w:t>
            </w:r>
          </w:p>
          <w:p w14:paraId="616EC426" w14:textId="77777777" w:rsidR="009C6940" w:rsidRDefault="009C6940" w:rsidP="009C6940">
            <w:pPr>
              <w:pStyle w:val="BoxListBullet"/>
              <w:numPr>
                <w:ilvl w:val="0"/>
                <w:numId w:val="3"/>
              </w:numPr>
            </w:pPr>
            <w:r>
              <w:t xml:space="preserve">3000 people who </w:t>
            </w:r>
            <w:r w:rsidRPr="00055E81">
              <w:t>are in need of housing upon discharge from hospital or prison</w:t>
            </w:r>
            <w:r w:rsidRPr="000146E6">
              <w:t xml:space="preserve"> </w:t>
            </w:r>
            <w:r w:rsidRPr="00D80781">
              <w:rPr>
                <w:rFonts w:cs="Arial"/>
                <w:szCs w:val="24"/>
              </w:rPr>
              <w:t>(AIHW 2019c)</w:t>
            </w:r>
          </w:p>
          <w:p w14:paraId="7167C350" w14:textId="77777777" w:rsidR="009C6940" w:rsidRDefault="009C6940" w:rsidP="009C6940">
            <w:pPr>
              <w:pStyle w:val="BoxListBullet"/>
              <w:numPr>
                <w:ilvl w:val="0"/>
                <w:numId w:val="3"/>
              </w:numPr>
            </w:pPr>
            <w:r w:rsidRPr="008C61CF">
              <w:rPr>
                <w:lang w:val="en-US"/>
              </w:rPr>
              <w:t>between 15 300 and 18 800 people with a current mental health issue who have unmet needs for long</w:t>
            </w:r>
            <w:r>
              <w:rPr>
                <w:lang w:val="en-US"/>
              </w:rPr>
              <w:noBreakHyphen/>
            </w:r>
            <w:r w:rsidRPr="008C61CF">
              <w:rPr>
                <w:lang w:val="en-US"/>
              </w:rPr>
              <w:t>term housing.</w:t>
            </w:r>
          </w:p>
        </w:tc>
      </w:tr>
      <w:tr w:rsidR="009C6940" w14:paraId="2D004E2B" w14:textId="77777777" w:rsidTr="009C6940">
        <w:tc>
          <w:tcPr>
            <w:tcW w:w="5000" w:type="pct"/>
            <w:tcBorders>
              <w:top w:val="nil"/>
              <w:left w:val="nil"/>
              <w:bottom w:val="nil"/>
              <w:right w:val="nil"/>
            </w:tcBorders>
            <w:shd w:val="clear" w:color="auto" w:fill="F2F2F2"/>
          </w:tcPr>
          <w:p w14:paraId="495C1B24" w14:textId="77777777" w:rsidR="009C6940" w:rsidRDefault="009C6940" w:rsidP="009C6940">
            <w:pPr>
              <w:pStyle w:val="BoxHeading1"/>
              <w:spacing w:before="120"/>
            </w:pPr>
            <w:r>
              <w:t>Effect</w:t>
            </w:r>
          </w:p>
          <w:p w14:paraId="6D8A1BA0" w14:textId="77777777" w:rsidR="009C6940" w:rsidRDefault="009C6940" w:rsidP="009C6940">
            <w:pPr>
              <w:pStyle w:val="BoxListBullet"/>
            </w:pPr>
            <w:r w:rsidRPr="00055E81">
              <w:t xml:space="preserve">Aldridge </w:t>
            </w:r>
            <w:r w:rsidRPr="00BE72B0">
              <w:rPr>
                <w:rFonts w:cs="Arial"/>
                <w:szCs w:val="24"/>
              </w:rPr>
              <w:t>(2015)</w:t>
            </w:r>
            <w:r w:rsidRPr="00055E81">
              <w:t xml:space="preserve"> </w:t>
            </w:r>
            <w:r>
              <w:t xml:space="preserve">surveyed 27 homeless services in London and found that </w:t>
            </w:r>
            <w:r w:rsidRPr="00055E81">
              <w:t xml:space="preserve">a year of </w:t>
            </w:r>
            <w:r>
              <w:t>spent in</w:t>
            </w:r>
            <w:r w:rsidRPr="00055E81">
              <w:t xml:space="preserve"> h</w:t>
            </w:r>
            <w:r>
              <w:t>omelessness was</w:t>
            </w:r>
            <w:r w:rsidRPr="00055E81">
              <w:t xml:space="preserve"> associated with </w:t>
            </w:r>
            <w:r>
              <w:t xml:space="preserve">a loss </w:t>
            </w:r>
            <w:r w:rsidRPr="00055E81">
              <w:t xml:space="preserve">of </w:t>
            </w:r>
            <w:r>
              <w:t>0.117 QALYs.</w:t>
            </w:r>
            <w:r w:rsidRPr="00055E81">
              <w:t xml:space="preserve"> </w:t>
            </w:r>
            <w:r>
              <w:t xml:space="preserve">In an analysis of the benefits of providing mental health services to homeless people, </w:t>
            </w:r>
            <w:r w:rsidRPr="00055E81">
              <w:t xml:space="preserve">Connelly </w:t>
            </w:r>
            <w:r w:rsidRPr="00D80781">
              <w:rPr>
                <w:rFonts w:cs="Arial"/>
              </w:rPr>
              <w:t>(2013)</w:t>
            </w:r>
            <w:r>
              <w:t xml:space="preserve"> reported results from a similar (unpublished) study in Wisconsin, which suggested that access to homeless services to treat mental illness could increase QALYs by 0.12, but a more conservative assumption of 0.06 was used to account for cross</w:t>
            </w:r>
            <w:r>
              <w:noBreakHyphen/>
              <w:t>country differences. Using a QALY gain of 0.06</w:t>
            </w:r>
            <w:r>
              <w:noBreakHyphen/>
              <w:t>0.12 across the set of actions, suggests an increase of 1968–</w:t>
            </w:r>
            <w:r w:rsidRPr="00DD49C2">
              <w:t>47</w:t>
            </w:r>
            <w:r>
              <w:t>76</w:t>
            </w:r>
            <w:r w:rsidRPr="00DD49C2">
              <w:t xml:space="preserve"> </w:t>
            </w:r>
            <w:r>
              <w:t>QALYs.</w:t>
            </w:r>
          </w:p>
          <w:p w14:paraId="6652CA60" w14:textId="77777777" w:rsidR="009C6940" w:rsidRDefault="009C6940" w:rsidP="009C6940">
            <w:pPr>
              <w:pStyle w:val="BoxListBullet"/>
            </w:pPr>
            <w:r>
              <w:t xml:space="preserve">Homelessness prevention and assistance is also likely to increase the likelihood of people gaining employment. Flatau et al. </w:t>
            </w:r>
            <w:r w:rsidRPr="00D80781">
              <w:rPr>
                <w:rFonts w:cs="Arial"/>
              </w:rPr>
              <w:t>(2007)</w:t>
            </w:r>
            <w:r>
              <w:t xml:space="preserve"> reported a difference in employment rate of about</w:t>
            </w:r>
            <w:r w:rsidRPr="00710CD5">
              <w:t xml:space="preserve"> </w:t>
            </w:r>
            <w:r>
              <w:t>4.5 percentage points at the follow</w:t>
            </w:r>
            <w:r>
              <w:noBreakHyphen/>
              <w:t xml:space="preserve">up after their entry into support. </w:t>
            </w:r>
            <w:r w:rsidRPr="008A1F4F">
              <w:t xml:space="preserve">The number of hours and weeks worked is assumed to be the same as those who gain competitive employment under IPS from Waghorn et al. </w:t>
            </w:r>
            <w:r w:rsidRPr="00D80781">
              <w:rPr>
                <w:rFonts w:cs="Arial"/>
              </w:rPr>
              <w:t>(2014)</w:t>
            </w:r>
            <w:r>
              <w:t>. Using these parameters and assuming minimum wages, total additional labour income is likely to range between $17</w:t>
            </w:r>
            <w:r>
              <w:noBreakHyphen/>
              <w:t>20.6 million (2019 dollars).</w:t>
            </w:r>
          </w:p>
          <w:p w14:paraId="112AAB74" w14:textId="77777777" w:rsidR="009C6940" w:rsidRDefault="009C6940" w:rsidP="009C6940">
            <w:pPr>
              <w:pStyle w:val="BoxListBullet"/>
            </w:pPr>
            <w:r>
              <w:t>The estimates of QALYs and income above are based on the assumption that the people affected across the different actions do not overlap. A conservative estimate may consider complete overlap — in which no more than between 15 300 and 18 800 people would experience a benefit. Under this more conservative population construct QALYs would increase by between 918</w:t>
            </w:r>
            <w:r>
              <w:noBreakHyphen/>
              <w:t>2256, and aggregate income would increase by between $7.9</w:t>
            </w:r>
            <w:r>
              <w:noBreakHyphen/>
              <w:t>$9.7 million.</w:t>
            </w:r>
          </w:p>
        </w:tc>
      </w:tr>
      <w:tr w:rsidR="009C6940" w14:paraId="79AF7641" w14:textId="77777777" w:rsidTr="009C6940">
        <w:tc>
          <w:tcPr>
            <w:tcW w:w="5000" w:type="pct"/>
            <w:tcBorders>
              <w:top w:val="nil"/>
              <w:left w:val="nil"/>
              <w:bottom w:val="nil"/>
              <w:right w:val="nil"/>
            </w:tcBorders>
            <w:shd w:val="clear" w:color="auto" w:fill="F2F2F2"/>
          </w:tcPr>
          <w:p w14:paraId="7FC396F7" w14:textId="77777777" w:rsidR="009C6940" w:rsidRDefault="009C6940" w:rsidP="009C6940">
            <w:pPr>
              <w:pStyle w:val="BoxHeading1"/>
            </w:pPr>
            <w:r>
              <w:t>Additional considerations</w:t>
            </w:r>
          </w:p>
          <w:p w14:paraId="0D838FA6" w14:textId="77777777" w:rsidR="009C6940" w:rsidRDefault="009C6940" w:rsidP="009C6940">
            <w:pPr>
              <w:pStyle w:val="BoxListBullet"/>
              <w:numPr>
                <w:ilvl w:val="0"/>
                <w:numId w:val="3"/>
              </w:numPr>
            </w:pPr>
            <w:r>
              <w:t xml:space="preserve">Housing is fundamental to recovering from mental illness </w:t>
            </w:r>
            <w:r w:rsidRPr="002734F9">
              <w:t>—</w:t>
            </w:r>
            <w:r>
              <w:t xml:space="preserve"> without a place to live, it is difficult for people to receive support and recover. Further, as a key protective factor against mental ill</w:t>
            </w:r>
            <w:r>
              <w:noBreakHyphen/>
              <w:t>health, access to suitable housing is often a first step in promoting long</w:t>
            </w:r>
            <w:r>
              <w:noBreakHyphen/>
              <w:t xml:space="preserve">term recovery for people with mental illness </w:t>
            </w:r>
            <w:r w:rsidRPr="00D80781">
              <w:rPr>
                <w:rFonts w:cs="Arial"/>
                <w:szCs w:val="24"/>
              </w:rPr>
              <w:t>(Giuntoli et al. 2018)</w:t>
            </w:r>
            <w:r>
              <w:t xml:space="preserve">. </w:t>
            </w:r>
            <w:r w:rsidRPr="00F576EB">
              <w:t xml:space="preserve">Losing the psychological support associated with adequate housing can be detrimental to an individual’s sense of order, trust, continuity and security </w:t>
            </w:r>
            <w:r w:rsidRPr="00D80781">
              <w:rPr>
                <w:rFonts w:cs="Arial"/>
                <w:szCs w:val="24"/>
              </w:rPr>
              <w:t>(Hulse and Saugeres 2008; Muir et al. 2018)</w:t>
            </w:r>
            <w:r w:rsidRPr="00F576EB">
              <w:t>.</w:t>
            </w:r>
          </w:p>
          <w:p w14:paraId="0B2A87FC" w14:textId="77777777" w:rsidR="009C6940" w:rsidRDefault="009C6940" w:rsidP="009C6940">
            <w:pPr>
              <w:pStyle w:val="BoxListBullet"/>
              <w:numPr>
                <w:ilvl w:val="0"/>
                <w:numId w:val="3"/>
              </w:numPr>
            </w:pPr>
            <w:r>
              <w:t>Cost effectiveness should not be the only factor in choosing whether or not to provide housing services. Cost</w:t>
            </w:r>
            <w:r>
              <w:noBreakHyphen/>
              <w:t xml:space="preserve">benefit analyses can lead to the perception that reducing homelessness is only beneficial from a financial perspective, and that sufficient regard is not given to the social equity motivations for policy change </w:t>
            </w:r>
            <w:r w:rsidRPr="00D80781">
              <w:rPr>
                <w:rFonts w:cs="Arial"/>
                <w:szCs w:val="24"/>
              </w:rPr>
              <w:t>(Pleace et al. 2013)</w:t>
            </w:r>
            <w:r>
              <w:t>.</w:t>
            </w:r>
          </w:p>
        </w:tc>
      </w:tr>
      <w:tr w:rsidR="009C6940" w14:paraId="72EB20D3" w14:textId="77777777" w:rsidTr="009C6940">
        <w:tc>
          <w:tcPr>
            <w:tcW w:w="5000" w:type="pct"/>
            <w:tcBorders>
              <w:top w:val="nil"/>
              <w:left w:val="nil"/>
              <w:bottom w:val="nil"/>
              <w:right w:val="nil"/>
            </w:tcBorders>
            <w:shd w:val="clear" w:color="auto" w:fill="F2F2F2"/>
          </w:tcPr>
          <w:p w14:paraId="5B58A628"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4750348E" w14:textId="77777777" w:rsidTr="009C6940">
        <w:tc>
          <w:tcPr>
            <w:tcW w:w="5000" w:type="pct"/>
            <w:tcBorders>
              <w:top w:val="nil"/>
              <w:left w:val="nil"/>
              <w:bottom w:val="single" w:sz="6" w:space="0" w:color="78A22F"/>
              <w:right w:val="nil"/>
            </w:tcBorders>
            <w:shd w:val="clear" w:color="auto" w:fill="F2F2F2"/>
          </w:tcPr>
          <w:p w14:paraId="415725C1" w14:textId="77777777" w:rsidR="009C6940" w:rsidRDefault="009C6940" w:rsidP="009C6940">
            <w:pPr>
              <w:pStyle w:val="Box"/>
              <w:spacing w:before="0" w:line="120" w:lineRule="exact"/>
            </w:pPr>
          </w:p>
        </w:tc>
      </w:tr>
      <w:tr w:rsidR="009C6940" w:rsidRPr="000863A5" w14:paraId="07A099F4" w14:textId="77777777" w:rsidTr="009C6940">
        <w:tc>
          <w:tcPr>
            <w:tcW w:w="5000" w:type="pct"/>
            <w:tcBorders>
              <w:top w:val="single" w:sz="6" w:space="0" w:color="78A22F"/>
              <w:left w:val="nil"/>
              <w:bottom w:val="nil"/>
              <w:right w:val="nil"/>
            </w:tcBorders>
          </w:tcPr>
          <w:p w14:paraId="6AFD0473" w14:textId="77777777" w:rsidR="009C6940" w:rsidRPr="00626D32" w:rsidRDefault="009C6940" w:rsidP="009C6940">
            <w:pPr>
              <w:pStyle w:val="BoxSpaceBelow"/>
            </w:pPr>
          </w:p>
        </w:tc>
      </w:tr>
    </w:tbl>
    <w:p w14:paraId="373EE7F4"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A5011C7" w14:textId="77777777" w:rsidTr="009C6940">
        <w:trPr>
          <w:tblHeader/>
        </w:trPr>
        <w:tc>
          <w:tcPr>
            <w:tcW w:w="5000" w:type="pct"/>
            <w:tcBorders>
              <w:top w:val="single" w:sz="6" w:space="0" w:color="78A22F"/>
              <w:left w:val="nil"/>
              <w:bottom w:val="nil"/>
              <w:right w:val="nil"/>
            </w:tcBorders>
            <w:shd w:val="clear" w:color="auto" w:fill="F2F2F2"/>
          </w:tcPr>
          <w:p w14:paraId="03554BF8" w14:textId="77777777" w:rsidR="009C6940" w:rsidRPr="008C61CF" w:rsidRDefault="009C6940" w:rsidP="009C6940">
            <w:pPr>
              <w:pStyle w:val="BoxHeading1"/>
              <w:rPr>
                <w:b w:val="0"/>
                <w:sz w:val="24"/>
              </w:rPr>
            </w:pPr>
            <w:r w:rsidRPr="006C3358">
              <w:rPr>
                <w:sz w:val="24"/>
              </w:rPr>
              <w:t xml:space="preserve">Benefits across housing </w:t>
            </w:r>
            <w:r>
              <w:rPr>
                <w:sz w:val="24"/>
              </w:rPr>
              <w:t xml:space="preserve">actions </w:t>
            </w:r>
            <w:r w:rsidRPr="00A7274B">
              <w:rPr>
                <w:rStyle w:val="Continuedintitle"/>
              </w:rPr>
              <w:t>(continued)</w:t>
            </w:r>
          </w:p>
        </w:tc>
      </w:tr>
      <w:tr w:rsidR="009C6940" w14:paraId="184EE5FD" w14:textId="77777777" w:rsidTr="009C6940">
        <w:tc>
          <w:tcPr>
            <w:tcW w:w="5000" w:type="pct"/>
            <w:tcBorders>
              <w:top w:val="nil"/>
              <w:left w:val="nil"/>
              <w:bottom w:val="nil"/>
              <w:right w:val="nil"/>
            </w:tcBorders>
            <w:shd w:val="clear" w:color="auto" w:fill="F2F2F2"/>
          </w:tcPr>
          <w:p w14:paraId="6CC6F155" w14:textId="77777777" w:rsidR="009C6940" w:rsidRDefault="009C6940" w:rsidP="009C6940">
            <w:pPr>
              <w:pStyle w:val="BoxListBullet"/>
              <w:numPr>
                <w:ilvl w:val="0"/>
                <w:numId w:val="3"/>
              </w:numPr>
            </w:pPr>
            <w:r>
              <w:t xml:space="preserve">The benefits considered here assume a counterfactual where the person would have otherwise been evicted, homeless, or did not have treatment for their mental illness without the interventions in place. Where this is not the case, estimates may overstate the change in QALYs which arise from the intervention. </w:t>
            </w:r>
          </w:p>
          <w:p w14:paraId="27254C55" w14:textId="77777777" w:rsidR="009C6940" w:rsidRDefault="009C6940" w:rsidP="009C6940">
            <w:pPr>
              <w:pStyle w:val="BoxListBullet"/>
              <w:numPr>
                <w:ilvl w:val="0"/>
                <w:numId w:val="3"/>
              </w:numPr>
            </w:pPr>
            <w:r>
              <w:t xml:space="preserve">Estimates of labour market income may also overstate the benefits from these housing policies. In their HASI evaluation, Bruce et al. </w:t>
            </w:r>
            <w:r w:rsidRPr="00D80781">
              <w:rPr>
                <w:rFonts w:cs="Arial"/>
              </w:rPr>
              <w:t>(2012)</w:t>
            </w:r>
            <w:r>
              <w:t>, did not find a significant improvement in the employment of people with supported housing.</w:t>
            </w:r>
          </w:p>
          <w:p w14:paraId="5CEE157F" w14:textId="77777777" w:rsidR="009C6940" w:rsidRDefault="009C6940" w:rsidP="009C6940">
            <w:pPr>
              <w:pStyle w:val="BoxListBullet"/>
              <w:numPr>
                <w:ilvl w:val="0"/>
                <w:numId w:val="3"/>
              </w:numPr>
            </w:pPr>
            <w:r>
              <w:t>There are likely to be overlaps between the population who require supported housing and non</w:t>
            </w:r>
            <w:r>
              <w:noBreakHyphen/>
              <w:t>acute beds — hence, aggregating the benefits across the two actions will overestimate the benefits.</w:t>
            </w:r>
          </w:p>
          <w:p w14:paraId="34BB80F4" w14:textId="77777777" w:rsidR="009C6940" w:rsidRPr="00896B5F" w:rsidRDefault="009C6940" w:rsidP="009C6940">
            <w:pPr>
              <w:pStyle w:val="Box"/>
              <w:rPr>
                <w:spacing w:val="-2"/>
              </w:rPr>
            </w:pPr>
            <w:r w:rsidRPr="00896B5F">
              <w:rPr>
                <w:spacing w:val="-2"/>
              </w:rPr>
              <w:t xml:space="preserve">External estimates of the impact of homelessness on QALYs are used here because data on the population who require housing is scarce, with the link between QALYs, mental health, and housing even more so. This means that the estimates of the effects on QALYs reported here are not necessarily comparable with other estimates — for example, Aldridge </w:t>
            </w:r>
            <w:r w:rsidRPr="00896B5F">
              <w:rPr>
                <w:rFonts w:cs="Arial"/>
                <w:spacing w:val="-2"/>
              </w:rPr>
              <w:t>(2015)</w:t>
            </w:r>
            <w:r w:rsidRPr="00896B5F">
              <w:rPr>
                <w:spacing w:val="-2"/>
              </w:rPr>
              <w:t xml:space="preserve"> used the EQ5D to measure QALYs, while the QALYs in HILDA are based on the SF</w:t>
            </w:r>
            <w:r w:rsidRPr="00896B5F">
              <w:rPr>
                <w:spacing w:val="-2"/>
              </w:rPr>
              <w:noBreakHyphen/>
              <w:t>6D using Australian utility weights.</w:t>
            </w:r>
          </w:p>
        </w:tc>
      </w:tr>
      <w:tr w:rsidR="009C6940" w14:paraId="2F2BA502" w14:textId="77777777" w:rsidTr="009C6940">
        <w:tc>
          <w:tcPr>
            <w:tcW w:w="5000" w:type="pct"/>
            <w:tcBorders>
              <w:top w:val="nil"/>
              <w:left w:val="nil"/>
              <w:bottom w:val="single" w:sz="6" w:space="0" w:color="78A22F"/>
              <w:right w:val="nil"/>
            </w:tcBorders>
            <w:shd w:val="clear" w:color="auto" w:fill="F2F2F2"/>
          </w:tcPr>
          <w:p w14:paraId="25D9CA1E" w14:textId="77777777" w:rsidR="009C6940" w:rsidRDefault="009C6940" w:rsidP="009C6940">
            <w:pPr>
              <w:pStyle w:val="Box"/>
              <w:spacing w:before="0" w:line="120" w:lineRule="exact"/>
            </w:pPr>
          </w:p>
        </w:tc>
      </w:tr>
      <w:tr w:rsidR="009C6940" w:rsidRPr="000863A5" w14:paraId="4046BFFA" w14:textId="77777777" w:rsidTr="009C6940">
        <w:tc>
          <w:tcPr>
            <w:tcW w:w="5000" w:type="pct"/>
            <w:tcBorders>
              <w:top w:val="single" w:sz="6" w:space="0" w:color="78A22F"/>
              <w:left w:val="nil"/>
              <w:bottom w:val="nil"/>
              <w:right w:val="nil"/>
            </w:tcBorders>
          </w:tcPr>
          <w:p w14:paraId="38661BD6" w14:textId="77777777" w:rsidR="009C6940" w:rsidRPr="00626D32" w:rsidRDefault="009C6940" w:rsidP="009C6940">
            <w:pPr>
              <w:pStyle w:val="BoxSpaceBelow"/>
            </w:pPr>
          </w:p>
        </w:tc>
      </w:tr>
    </w:tbl>
    <w:p w14:paraId="753FAE7D" w14:textId="77777777" w:rsidR="009C6940" w:rsidRDefault="009C6940" w:rsidP="009C6940">
      <w:pPr>
        <w:pStyle w:val="Heading2"/>
      </w:pPr>
      <w:r>
        <w:lastRenderedPageBreak/>
        <w:t>K.</w:t>
      </w:r>
      <w:r>
        <w:rPr>
          <w:noProof/>
        </w:rPr>
        <w:t>5</w:t>
      </w:r>
      <w:r>
        <w:tab/>
        <w:t>Psychosocial supports</w:t>
      </w:r>
    </w:p>
    <w:p w14:paraId="2715D4FE"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12B581A" w14:textId="77777777" w:rsidTr="009C6940">
        <w:trPr>
          <w:tblHeader/>
        </w:trPr>
        <w:tc>
          <w:tcPr>
            <w:tcW w:w="5000" w:type="pct"/>
            <w:tcBorders>
              <w:top w:val="single" w:sz="6" w:space="0" w:color="78A22F"/>
              <w:left w:val="nil"/>
              <w:bottom w:val="nil"/>
              <w:right w:val="nil"/>
            </w:tcBorders>
            <w:shd w:val="clear" w:color="auto" w:fill="F2F2F2"/>
          </w:tcPr>
          <w:p w14:paraId="0B98D730" w14:textId="77777777" w:rsidR="009C6940" w:rsidRPr="006C3358" w:rsidRDefault="009C6940" w:rsidP="009C6940">
            <w:pPr>
              <w:pStyle w:val="BoxHeading1"/>
              <w:tabs>
                <w:tab w:val="left" w:pos="1092"/>
              </w:tabs>
              <w:rPr>
                <w:sz w:val="24"/>
              </w:rPr>
            </w:pPr>
            <w:r>
              <w:rPr>
                <w:sz w:val="24"/>
              </w:rPr>
              <w:t>Action</w:t>
            </w:r>
            <w:r>
              <w:rPr>
                <w:sz w:val="24"/>
              </w:rPr>
              <w:tab/>
            </w:r>
            <w:r w:rsidRPr="006C3358">
              <w:rPr>
                <w:sz w:val="24"/>
              </w:rPr>
              <w:t>Fill</w:t>
            </w:r>
            <w:r>
              <w:rPr>
                <w:sz w:val="24"/>
              </w:rPr>
              <w:t>ing the</w:t>
            </w:r>
            <w:r w:rsidRPr="006C3358">
              <w:rPr>
                <w:sz w:val="24"/>
              </w:rPr>
              <w:t xml:space="preserve"> gap in demand for psychosocial support services</w:t>
            </w:r>
          </w:p>
          <w:p w14:paraId="018407C9" w14:textId="77777777" w:rsidR="009C6940" w:rsidRPr="00896B5F" w:rsidRDefault="009C6940" w:rsidP="009C6940">
            <w:pPr>
              <w:pStyle w:val="Box"/>
              <w:rPr>
                <w:spacing w:val="-4"/>
              </w:rPr>
            </w:pPr>
            <w:r w:rsidRPr="00896B5F">
              <w:rPr>
                <w:spacing w:val="-4"/>
              </w:rPr>
              <w:t>People who require psychosocial supports due to mental illness should receive them. Need for these supports should be determined through a functional assessment by a psychosocial support assessor.</w:t>
            </w:r>
          </w:p>
        </w:tc>
      </w:tr>
      <w:tr w:rsidR="009C6940" w14:paraId="14FF84B3" w14:textId="77777777" w:rsidTr="009C6940">
        <w:tc>
          <w:tcPr>
            <w:tcW w:w="5000" w:type="pct"/>
            <w:tcBorders>
              <w:top w:val="nil"/>
              <w:left w:val="nil"/>
              <w:bottom w:val="nil"/>
              <w:right w:val="nil"/>
            </w:tcBorders>
            <w:shd w:val="clear" w:color="auto" w:fill="F2F2F2"/>
          </w:tcPr>
          <w:p w14:paraId="36DFAC1F" w14:textId="77777777" w:rsidR="009C6940" w:rsidRDefault="009C6940" w:rsidP="009C6940">
            <w:pPr>
              <w:pStyle w:val="BoxHeading1"/>
              <w:spacing w:before="120"/>
            </w:pPr>
            <w:r>
              <w:t>Population</w:t>
            </w:r>
          </w:p>
          <w:p w14:paraId="3DDAFBED" w14:textId="77777777" w:rsidR="009C6940" w:rsidRPr="00EC0A97" w:rsidRDefault="009C6940" w:rsidP="009C6940">
            <w:pPr>
              <w:pStyle w:val="Box"/>
            </w:pPr>
            <w:r>
              <w:t>The NMHSPF estimates that about</w:t>
            </w:r>
            <w:r w:rsidRPr="00710CD5">
              <w:t xml:space="preserve"> </w:t>
            </w:r>
            <w:r>
              <w:t>290 000 people require psychosocial supports</w:t>
            </w:r>
            <w:r w:rsidRPr="00E12E08">
              <w:t xml:space="preserve"> </w:t>
            </w:r>
            <w:r w:rsidRPr="00BE72B0">
              <w:rPr>
                <w:rFonts w:cs="Arial"/>
                <w:szCs w:val="24"/>
              </w:rPr>
              <w:t>(Diminic, Gossip and Whiteford 2016)</w:t>
            </w:r>
            <w:r w:rsidRPr="00E12E08">
              <w:t>.</w:t>
            </w:r>
            <w:r>
              <w:t xml:space="preserve"> The Productivity Commission estimates that about</w:t>
            </w:r>
            <w:r w:rsidRPr="00710CD5">
              <w:t xml:space="preserve"> </w:t>
            </w:r>
            <w:r>
              <w:t>109 000 people currently receive psychosocial support, where 34 000 of these people are on the NDIS. Assuming that the cap for the NDIS (64 000 people) will be met at some point in the future and that the provision of supports outside of the NDIS remains constant, about 154 000 people are likely to be without requisite supports. The estimates of costs and effects presented here assume that 154 000 additional people receive psychosocial support.</w:t>
            </w:r>
          </w:p>
        </w:tc>
      </w:tr>
      <w:tr w:rsidR="009C6940" w14:paraId="18A6AF3A" w14:textId="77777777" w:rsidTr="009C6940">
        <w:tc>
          <w:tcPr>
            <w:tcW w:w="5000" w:type="pct"/>
            <w:tcBorders>
              <w:top w:val="nil"/>
              <w:left w:val="nil"/>
              <w:bottom w:val="nil"/>
              <w:right w:val="nil"/>
            </w:tcBorders>
            <w:shd w:val="clear" w:color="auto" w:fill="F2F2F2"/>
          </w:tcPr>
          <w:p w14:paraId="29927316" w14:textId="77777777" w:rsidR="009C6940" w:rsidRDefault="009C6940" w:rsidP="009C6940">
            <w:pPr>
              <w:pStyle w:val="BoxHeading1"/>
              <w:spacing w:before="120"/>
            </w:pPr>
            <w:r>
              <w:t>Effect</w:t>
            </w:r>
          </w:p>
          <w:p w14:paraId="7255E556" w14:textId="77777777" w:rsidR="009C6940" w:rsidRDefault="009C6940" w:rsidP="009C6940">
            <w:pPr>
              <w:pStyle w:val="BoxListBullet"/>
              <w:numPr>
                <w:ilvl w:val="0"/>
                <w:numId w:val="3"/>
              </w:numPr>
            </w:pPr>
            <w:r>
              <w:t xml:space="preserve">Muir, Meyer and Thomas </w:t>
            </w:r>
            <w:r w:rsidRPr="00D80781">
              <w:rPr>
                <w:rFonts w:cs="Arial"/>
              </w:rPr>
              <w:t>(2016)</w:t>
            </w:r>
            <w:r>
              <w:t xml:space="preserve"> </w:t>
            </w:r>
            <w:r w:rsidRPr="008B5504">
              <w:t xml:space="preserve">conducted an evaluation of </w:t>
            </w:r>
            <w:r>
              <w:t xml:space="preserve">outcomes for Wellways Australia, </w:t>
            </w:r>
            <w:r w:rsidRPr="008B5504">
              <w:t>and estimated an effect size of 0.44 on the ‘mana</w:t>
            </w:r>
            <w:r>
              <w:t>ging mental health’ dimension.</w:t>
            </w:r>
          </w:p>
          <w:p w14:paraId="644C05FB" w14:textId="77777777" w:rsidR="009C6940" w:rsidRDefault="009C6940" w:rsidP="009C6940">
            <w:pPr>
              <w:pStyle w:val="BoxListBullet"/>
              <w:numPr>
                <w:ilvl w:val="0"/>
                <w:numId w:val="3"/>
              </w:numPr>
            </w:pPr>
            <w:r>
              <w:t xml:space="preserve">The number of hours and weeks worked by those who gain employment is assumed to be the same as those who gain competitive employment under IPS from </w:t>
            </w:r>
            <w:r w:rsidRPr="00FB5F34">
              <w:t xml:space="preserve">Waghorn et al. </w:t>
            </w:r>
            <w:r w:rsidRPr="00D80781">
              <w:rPr>
                <w:rFonts w:cs="Arial"/>
              </w:rPr>
              <w:t>(2014)</w:t>
            </w:r>
            <w:r>
              <w:t>.</w:t>
            </w:r>
          </w:p>
          <w:p w14:paraId="538E6432" w14:textId="77777777" w:rsidR="009C6940" w:rsidRPr="009C7C4B" w:rsidRDefault="009C6940" w:rsidP="009C6940">
            <w:pPr>
              <w:pStyle w:val="BoxListBullet"/>
            </w:pPr>
            <w:r w:rsidRPr="009C7C4B">
              <w:t>This suggests an aggregate increase in labour market income of between $7</w:t>
            </w:r>
            <w:r>
              <w:t>9</w:t>
            </w:r>
            <w:r w:rsidRPr="009C7C4B">
              <w:noBreakHyphen/>
              <w:t>17</w:t>
            </w:r>
            <w:r>
              <w:t>7 </w:t>
            </w:r>
            <w:r w:rsidRPr="009C7C4B">
              <w:t>million, and an increase in QALYs between 4</w:t>
            </w:r>
            <w:r>
              <w:t>912</w:t>
            </w:r>
            <w:r w:rsidRPr="009C7C4B">
              <w:noBreakHyphen/>
              <w:t>8</w:t>
            </w:r>
            <w:r>
              <w:t>903</w:t>
            </w:r>
            <w:r w:rsidRPr="009C7C4B">
              <w:t>.</w:t>
            </w:r>
          </w:p>
        </w:tc>
      </w:tr>
      <w:tr w:rsidR="009C6940" w14:paraId="54DBEAFC" w14:textId="77777777" w:rsidTr="009C6940">
        <w:trPr>
          <w:trHeight w:val="1163"/>
        </w:trPr>
        <w:tc>
          <w:tcPr>
            <w:tcW w:w="5000" w:type="pct"/>
            <w:tcBorders>
              <w:top w:val="nil"/>
              <w:left w:val="nil"/>
              <w:bottom w:val="nil"/>
              <w:right w:val="nil"/>
            </w:tcBorders>
            <w:shd w:val="clear" w:color="auto" w:fill="F2F2F2"/>
          </w:tcPr>
          <w:p w14:paraId="4D9D0E79" w14:textId="77777777" w:rsidR="009C6940" w:rsidRPr="000C6859" w:rsidRDefault="009C6940" w:rsidP="009C6940">
            <w:pPr>
              <w:pStyle w:val="BoxHeading1"/>
              <w:spacing w:before="120"/>
            </w:pPr>
            <w:r>
              <w:t>Costs</w:t>
            </w:r>
          </w:p>
          <w:p w14:paraId="1D411FF6" w14:textId="77777777" w:rsidR="009C6940" w:rsidRDefault="009C6940" w:rsidP="009C6940">
            <w:pPr>
              <w:pStyle w:val="BoxListBullet"/>
              <w:numPr>
                <w:ilvl w:val="0"/>
                <w:numId w:val="3"/>
              </w:numPr>
            </w:pPr>
            <w:r>
              <w:t xml:space="preserve">Costs are based on two previous psychosocial supports programs </w:t>
            </w:r>
            <w:r w:rsidRPr="008B4616">
              <w:rPr>
                <w:color w:val="000000" w:themeColor="text1"/>
              </w:rPr>
              <w:t>(</w:t>
            </w:r>
            <w:r>
              <w:rPr>
                <w:color w:val="000000" w:themeColor="text1"/>
              </w:rPr>
              <w:t>Productivity C</w:t>
            </w:r>
            <w:r w:rsidRPr="008B4616">
              <w:rPr>
                <w:color w:val="000000" w:themeColor="text1"/>
              </w:rPr>
              <w:t xml:space="preserve">ommission estimates based on </w:t>
            </w:r>
            <w:r>
              <w:rPr>
                <w:color w:val="000000" w:themeColor="text1"/>
              </w:rPr>
              <w:t>D</w:t>
            </w:r>
            <w:r w:rsidRPr="008B4616">
              <w:rPr>
                <w:color w:val="000000" w:themeColor="text1"/>
              </w:rPr>
              <w:t>SS and DoH</w:t>
            </w:r>
            <w:r>
              <w:rPr>
                <w:color w:val="000000" w:themeColor="text1"/>
              </w:rPr>
              <w:t>,</w:t>
            </w:r>
            <w:r w:rsidRPr="008B4616">
              <w:rPr>
                <w:color w:val="000000" w:themeColor="text1"/>
              </w:rPr>
              <w:t xml:space="preserve"> unpublished)</w:t>
            </w:r>
          </w:p>
          <w:p w14:paraId="6673D856" w14:textId="77777777" w:rsidR="009C6940" w:rsidRDefault="009C6940" w:rsidP="009C6940">
            <w:pPr>
              <w:pStyle w:val="BoxListBullet2"/>
              <w:tabs>
                <w:tab w:val="num" w:pos="340"/>
              </w:tabs>
              <w:ind w:left="567" w:hanging="283"/>
            </w:pPr>
            <w:r>
              <w:t>Personal Helpers and Mentors Service (average cost per client of $7043)</w:t>
            </w:r>
          </w:p>
          <w:p w14:paraId="053F4F63" w14:textId="77777777" w:rsidR="009C6940" w:rsidRDefault="009C6940" w:rsidP="009C6940">
            <w:pPr>
              <w:pStyle w:val="BoxListBullet2"/>
              <w:tabs>
                <w:tab w:val="num" w:pos="340"/>
              </w:tabs>
              <w:ind w:left="567" w:hanging="283"/>
            </w:pPr>
            <w:r>
              <w:t>Support for Day to Day Living in the Community (average cost per client of $2421).</w:t>
            </w:r>
          </w:p>
          <w:p w14:paraId="68D52AE8" w14:textId="77777777" w:rsidR="009C6940" w:rsidRPr="00896B5F" w:rsidRDefault="009C6940" w:rsidP="009C6940">
            <w:pPr>
              <w:pStyle w:val="BoxListBullet"/>
              <w:numPr>
                <w:ilvl w:val="0"/>
                <w:numId w:val="3"/>
              </w:numPr>
              <w:rPr>
                <w:spacing w:val="-2"/>
              </w:rPr>
            </w:pPr>
            <w:r w:rsidRPr="00896B5F">
              <w:rPr>
                <w:spacing w:val="-2"/>
              </w:rPr>
              <w:t>Given that it is likely that people with higher level needs are provided with psychosocial services under NDIS, it is assumed that two thirds of consumers will be provided with lower cost services, and the other third will be provided with higher cost services. This suggests a total additional cost of about $610 million with a range between 373</w:t>
            </w:r>
            <w:r w:rsidRPr="00896B5F">
              <w:rPr>
                <w:spacing w:val="-2"/>
              </w:rPr>
              <w:noBreakHyphen/>
              <w:t>1085 million (2019 dollars).</w:t>
            </w:r>
          </w:p>
        </w:tc>
      </w:tr>
      <w:tr w:rsidR="009C6940" w14:paraId="5157419B" w14:textId="77777777" w:rsidTr="009C6940">
        <w:trPr>
          <w:trHeight w:val="1163"/>
        </w:trPr>
        <w:tc>
          <w:tcPr>
            <w:tcW w:w="5000" w:type="pct"/>
            <w:tcBorders>
              <w:top w:val="nil"/>
              <w:left w:val="nil"/>
              <w:bottom w:val="nil"/>
              <w:right w:val="nil"/>
            </w:tcBorders>
            <w:shd w:val="clear" w:color="auto" w:fill="F2F2F2"/>
          </w:tcPr>
          <w:p w14:paraId="13D2A42F" w14:textId="77777777" w:rsidR="009C6940" w:rsidRDefault="009C6940" w:rsidP="009C6940">
            <w:pPr>
              <w:pStyle w:val="BoxHeading1"/>
              <w:spacing w:before="120"/>
            </w:pPr>
            <w:r>
              <w:t>Additional considerations</w:t>
            </w:r>
          </w:p>
          <w:p w14:paraId="12F1625D" w14:textId="77777777" w:rsidR="009C6940" w:rsidRDefault="009C6940" w:rsidP="009C6940">
            <w:pPr>
              <w:pStyle w:val="BoxListBullet"/>
              <w:numPr>
                <w:ilvl w:val="0"/>
                <w:numId w:val="3"/>
              </w:numPr>
            </w:pPr>
            <w:r>
              <w:t>There is considerable uncertainty concerning the estimates of benefits. Muir, Meyer and Thomas (2016) is an uncontrolled pre</w:t>
            </w:r>
            <w:r>
              <w:noBreakHyphen/>
              <w:t>post study, and the standard of evidence about the size of the effect is low due to the lack of randomisation. It is also likely that there would be overlap with other services areas, such as individual placement and support programs (above).</w:t>
            </w:r>
          </w:p>
        </w:tc>
      </w:tr>
      <w:tr w:rsidR="009C6940" w14:paraId="1B7F1B24" w14:textId="77777777" w:rsidTr="009C6940">
        <w:tc>
          <w:tcPr>
            <w:tcW w:w="5000" w:type="pct"/>
            <w:tcBorders>
              <w:top w:val="nil"/>
              <w:left w:val="nil"/>
              <w:bottom w:val="nil"/>
              <w:right w:val="nil"/>
            </w:tcBorders>
            <w:shd w:val="clear" w:color="auto" w:fill="F2F2F2"/>
          </w:tcPr>
          <w:p w14:paraId="1B7CBD83" w14:textId="77777777" w:rsidR="009C6940" w:rsidRPr="00D626A6" w:rsidRDefault="009C6940" w:rsidP="009C6940">
            <w:pPr>
              <w:pStyle w:val="Continued"/>
              <w:rPr>
                <w:sz w:val="20"/>
              </w:rPr>
            </w:pPr>
            <w:r w:rsidRPr="00D626A6">
              <w:rPr>
                <w:sz w:val="20"/>
              </w:rPr>
              <w:t>(continued next page)</w:t>
            </w:r>
          </w:p>
        </w:tc>
      </w:tr>
      <w:tr w:rsidR="009C6940" w14:paraId="348412CD" w14:textId="77777777" w:rsidTr="009C6940">
        <w:tc>
          <w:tcPr>
            <w:tcW w:w="5000" w:type="pct"/>
            <w:tcBorders>
              <w:top w:val="nil"/>
              <w:left w:val="nil"/>
              <w:bottom w:val="single" w:sz="6" w:space="0" w:color="78A22F"/>
              <w:right w:val="nil"/>
            </w:tcBorders>
            <w:shd w:val="clear" w:color="auto" w:fill="F2F2F2"/>
          </w:tcPr>
          <w:p w14:paraId="7640F1AB" w14:textId="77777777" w:rsidR="009C6940" w:rsidRDefault="009C6940" w:rsidP="009C6940">
            <w:pPr>
              <w:pStyle w:val="Box"/>
              <w:spacing w:before="0" w:line="120" w:lineRule="exact"/>
            </w:pPr>
          </w:p>
        </w:tc>
      </w:tr>
      <w:tr w:rsidR="009C6940" w:rsidRPr="000863A5" w14:paraId="19A3DC9F" w14:textId="77777777" w:rsidTr="009C6940">
        <w:tc>
          <w:tcPr>
            <w:tcW w:w="5000" w:type="pct"/>
            <w:tcBorders>
              <w:top w:val="single" w:sz="6" w:space="0" w:color="78A22F"/>
              <w:left w:val="nil"/>
              <w:bottom w:val="nil"/>
              <w:right w:val="nil"/>
            </w:tcBorders>
          </w:tcPr>
          <w:p w14:paraId="49D208AE" w14:textId="77777777" w:rsidR="009C6940" w:rsidRPr="00626D32" w:rsidRDefault="009C6940" w:rsidP="009C6940">
            <w:pPr>
              <w:pStyle w:val="BoxSpaceBelow"/>
            </w:pPr>
          </w:p>
        </w:tc>
      </w:tr>
    </w:tbl>
    <w:p w14:paraId="3E537855" w14:textId="77777777" w:rsidR="009C6940" w:rsidRDefault="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7A53155" w14:textId="77777777" w:rsidTr="009C6940">
        <w:trPr>
          <w:tblHeader/>
        </w:trPr>
        <w:tc>
          <w:tcPr>
            <w:tcW w:w="5000" w:type="pct"/>
            <w:tcBorders>
              <w:top w:val="single" w:sz="6" w:space="0" w:color="78A22F"/>
              <w:left w:val="nil"/>
              <w:bottom w:val="nil"/>
              <w:right w:val="nil"/>
            </w:tcBorders>
            <w:shd w:val="clear" w:color="auto" w:fill="F2F2F2"/>
          </w:tcPr>
          <w:p w14:paraId="233C340A" w14:textId="77777777" w:rsidR="009C6940" w:rsidRPr="0089380B" w:rsidRDefault="009C6940" w:rsidP="009C6940">
            <w:pPr>
              <w:pStyle w:val="BoxHeading1"/>
              <w:tabs>
                <w:tab w:val="left" w:pos="1110"/>
              </w:tabs>
              <w:ind w:left="1110" w:hanging="1110"/>
              <w:rPr>
                <w:sz w:val="24"/>
              </w:rPr>
            </w:pPr>
            <w:r>
              <w:rPr>
                <w:sz w:val="24"/>
              </w:rPr>
              <w:t>Action</w:t>
            </w:r>
            <w:r>
              <w:rPr>
                <w:sz w:val="24"/>
              </w:rPr>
              <w:tab/>
            </w:r>
            <w:r w:rsidRPr="006C3358">
              <w:rPr>
                <w:sz w:val="24"/>
              </w:rPr>
              <w:t>Fill</w:t>
            </w:r>
            <w:r>
              <w:rPr>
                <w:sz w:val="24"/>
              </w:rPr>
              <w:t>ing the</w:t>
            </w:r>
            <w:r w:rsidRPr="006C3358">
              <w:rPr>
                <w:sz w:val="24"/>
              </w:rPr>
              <w:t xml:space="preserve"> gap in demand for psychosocial support services</w:t>
            </w:r>
            <w:r>
              <w:rPr>
                <w:sz w:val="24"/>
              </w:rPr>
              <w:t xml:space="preserve"> </w:t>
            </w:r>
            <w:r w:rsidRPr="00A7274B">
              <w:rPr>
                <w:rStyle w:val="Continuedintitle"/>
              </w:rPr>
              <w:t>(continued)</w:t>
            </w:r>
          </w:p>
        </w:tc>
      </w:tr>
      <w:tr w:rsidR="009C6940" w14:paraId="2CABF929" w14:textId="77777777" w:rsidTr="009C6940">
        <w:tc>
          <w:tcPr>
            <w:tcW w:w="5000" w:type="pct"/>
            <w:tcBorders>
              <w:top w:val="nil"/>
              <w:left w:val="nil"/>
              <w:bottom w:val="nil"/>
              <w:right w:val="nil"/>
            </w:tcBorders>
            <w:shd w:val="clear" w:color="auto" w:fill="F2F2F2"/>
          </w:tcPr>
          <w:p w14:paraId="77627194" w14:textId="77777777" w:rsidR="009C6940" w:rsidRDefault="009C6940" w:rsidP="009C6940">
            <w:pPr>
              <w:pStyle w:val="BoxListBullet"/>
              <w:numPr>
                <w:ilvl w:val="0"/>
                <w:numId w:val="3"/>
              </w:numPr>
            </w:pPr>
            <w:r>
              <w:t xml:space="preserve">The estimation of the number of people who are supported outside of the NDIS (approximately 75 100) is based on: </w:t>
            </w:r>
          </w:p>
          <w:p w14:paraId="16AC2398" w14:textId="77777777" w:rsidR="009C6940" w:rsidRPr="0089380B" w:rsidRDefault="009C6940" w:rsidP="009C6940">
            <w:pPr>
              <w:pStyle w:val="BoxListBullet2"/>
              <w:ind w:left="567" w:hanging="283"/>
            </w:pPr>
            <w:r w:rsidRPr="00CA08DF">
              <w:t>2016</w:t>
            </w:r>
            <w:r w:rsidRPr="00CA08DF">
              <w:noBreakHyphen/>
              <w:t>17 estimates of the number of people supported by Austral</w:t>
            </w:r>
            <w:r w:rsidRPr="0089380B">
              <w:t>ian, State and Territory Government</w:t>
            </w:r>
            <w:r w:rsidRPr="0089380B">
              <w:noBreakHyphen/>
              <w:t>funded programs (90</w:t>
            </w:r>
            <w:r w:rsidRPr="0089380B">
              <w:noBreakHyphen/>
              <w:t xml:space="preserve">95 000 </w:t>
            </w:r>
            <w:r w:rsidRPr="00D80781">
              <w:rPr>
                <w:rFonts w:cs="Arial"/>
                <w:szCs w:val="24"/>
              </w:rPr>
              <w:t>(DoH 2017)</w:t>
            </w:r>
            <w:r>
              <w:t>)</w:t>
            </w:r>
          </w:p>
          <w:p w14:paraId="64DE3630" w14:textId="77777777" w:rsidR="009C6940" w:rsidRPr="0089380B" w:rsidRDefault="009C6940" w:rsidP="009C6940">
            <w:pPr>
              <w:pStyle w:val="BoxListBullet2"/>
              <w:ind w:left="567" w:hanging="283"/>
            </w:pPr>
            <w:r w:rsidRPr="0089380B">
              <w:t>State and Territory recurrent expenditure on grants to NGOs for specialised mental health services in 2017</w:t>
            </w:r>
            <w:r w:rsidRPr="0089380B">
              <w:noBreakHyphen/>
              <w:t xml:space="preserve">18 </w:t>
            </w:r>
            <w:r w:rsidRPr="00F56330">
              <w:rPr>
                <w:rFonts w:cs="Arial"/>
                <w:szCs w:val="24"/>
              </w:rPr>
              <w:t>(AIHW 2020a, table EXP.3)</w:t>
            </w:r>
          </w:p>
          <w:p w14:paraId="3BD1C394" w14:textId="77777777" w:rsidR="009C6940" w:rsidRPr="0089380B" w:rsidRDefault="009C6940" w:rsidP="009C6940">
            <w:pPr>
              <w:pStyle w:val="BoxListBullet2"/>
              <w:ind w:left="567" w:hanging="283"/>
            </w:pPr>
            <w:r w:rsidRPr="0089380B">
              <w:t>Information about funding for NPS</w:t>
            </w:r>
            <w:r w:rsidRPr="0089380B">
              <w:noBreakHyphen/>
              <w:t>T, NPS</w:t>
            </w:r>
            <w:r w:rsidRPr="0089380B">
              <w:noBreakHyphen/>
              <w:t xml:space="preserve">M and CoS </w:t>
            </w:r>
            <w:r w:rsidRPr="00D80781">
              <w:rPr>
                <w:rFonts w:cs="Arial"/>
                <w:szCs w:val="24"/>
              </w:rPr>
              <w:t>(DoH 2020)</w:t>
            </w:r>
          </w:p>
          <w:p w14:paraId="7948CD11" w14:textId="77777777" w:rsidR="009C6940" w:rsidRPr="0089380B" w:rsidRDefault="009C6940" w:rsidP="009C6940">
            <w:pPr>
              <w:pStyle w:val="BoxListBullet2"/>
              <w:ind w:left="567" w:hanging="283"/>
            </w:pPr>
            <w:r w:rsidRPr="0089380B">
              <w:t>The number of people being supported on NPS</w:t>
            </w:r>
            <w:r w:rsidRPr="0089380B">
              <w:noBreakHyphen/>
              <w:t>T (DoH, pers. comm., 1 May</w:t>
            </w:r>
            <w:r>
              <w:t xml:space="preserve"> </w:t>
            </w:r>
            <w:r w:rsidRPr="0089380B">
              <w:t>2020)</w:t>
            </w:r>
          </w:p>
          <w:p w14:paraId="78F0103D" w14:textId="77777777" w:rsidR="009C6940" w:rsidRPr="000550F8" w:rsidRDefault="009C6940" w:rsidP="009C6940">
            <w:pPr>
              <w:pStyle w:val="BoxListBullet2"/>
              <w:ind w:left="567" w:hanging="283"/>
            </w:pPr>
            <w:r w:rsidRPr="0089380B">
              <w:t xml:space="preserve">Unpublished </w:t>
            </w:r>
            <w:r w:rsidRPr="00CA08DF">
              <w:t>acceptance rates data</w:t>
            </w:r>
            <w:r>
              <w:t xml:space="preserve"> for Partners in Recovery</w:t>
            </w:r>
            <w:r w:rsidRPr="003D2438">
              <w:t xml:space="preserve">, </w:t>
            </w:r>
            <w:r>
              <w:t xml:space="preserve">Personal Helpers and Mentors Service </w:t>
            </w:r>
            <w:r w:rsidRPr="003D2438">
              <w:t xml:space="preserve">and </w:t>
            </w:r>
            <w:r>
              <w:t>Day to Day Living</w:t>
            </w:r>
            <w:r w:rsidRPr="003D2438" w:rsidDel="009009E2">
              <w:t xml:space="preserve"> </w:t>
            </w:r>
            <w:r>
              <w:t xml:space="preserve">programs. </w:t>
            </w:r>
          </w:p>
        </w:tc>
      </w:tr>
      <w:tr w:rsidR="009C6940" w14:paraId="10406BC5" w14:textId="77777777" w:rsidTr="009C6940">
        <w:tc>
          <w:tcPr>
            <w:tcW w:w="5000" w:type="pct"/>
            <w:tcBorders>
              <w:top w:val="nil"/>
              <w:left w:val="nil"/>
              <w:bottom w:val="single" w:sz="6" w:space="0" w:color="78A22F"/>
              <w:right w:val="nil"/>
            </w:tcBorders>
            <w:shd w:val="clear" w:color="auto" w:fill="F2F2F2"/>
          </w:tcPr>
          <w:p w14:paraId="5C825D41" w14:textId="77777777" w:rsidR="009C6940" w:rsidRDefault="009C6940">
            <w:pPr>
              <w:pStyle w:val="Box"/>
              <w:spacing w:before="0" w:line="120" w:lineRule="exact"/>
            </w:pPr>
          </w:p>
        </w:tc>
      </w:tr>
      <w:tr w:rsidR="009C6940" w:rsidRPr="000863A5" w14:paraId="65AA6171" w14:textId="77777777" w:rsidTr="009C6940">
        <w:tc>
          <w:tcPr>
            <w:tcW w:w="5000" w:type="pct"/>
            <w:tcBorders>
              <w:top w:val="single" w:sz="6" w:space="0" w:color="78A22F"/>
              <w:left w:val="nil"/>
              <w:bottom w:val="nil"/>
              <w:right w:val="nil"/>
            </w:tcBorders>
          </w:tcPr>
          <w:p w14:paraId="1273204A" w14:textId="77777777" w:rsidR="009C6940" w:rsidRPr="00626D32" w:rsidRDefault="009C6940" w:rsidP="009C6940">
            <w:pPr>
              <w:pStyle w:val="BoxSpaceBelow"/>
            </w:pPr>
          </w:p>
        </w:tc>
      </w:tr>
    </w:tbl>
    <w:p w14:paraId="54690C7C" w14:textId="77777777" w:rsidR="009C6940" w:rsidRDefault="009C6940" w:rsidP="009C6940">
      <w:pPr>
        <w:pStyle w:val="Heading2"/>
        <w:pageBreakBefore/>
      </w:pPr>
      <w:r>
        <w:lastRenderedPageBreak/>
        <w:t>K.</w:t>
      </w:r>
      <w:r>
        <w:rPr>
          <w:noProof/>
        </w:rPr>
        <w:t>6</w:t>
      </w:r>
      <w:r>
        <w:tab/>
        <w:t>Justice</w:t>
      </w:r>
    </w:p>
    <w:p w14:paraId="5D10C21E" w14:textId="77777777" w:rsidR="009C6940" w:rsidRDefault="009C6940" w:rsidP="009C6940">
      <w:pPr>
        <w:pStyle w:val="BodyText"/>
      </w:pPr>
      <w:r>
        <w:t xml:space="preserve">The beneficial effects of the various actions recommended made in the justice chapter could not be quantified because of limited quantitative evidence about the </w:t>
      </w:r>
      <w:r w:rsidRPr="00536922">
        <w:rPr>
          <w:i/>
        </w:rPr>
        <w:t>direct</w:t>
      </w:r>
      <w:r>
        <w:t xml:space="preserve"> mental health benefits that are likely to result. However, that is not to say that there are no benefits expected from the actions. For example, while research shows that mental health court diversion programs improve access to mental health services and can also reduce recidivism rates (chapter 21), evidence on the quantifiable change in mental health outcomes is limited. As a result, this section only details how cost estimates in the justice chapter are calculated.</w:t>
      </w:r>
    </w:p>
    <w:p w14:paraId="66F3E744"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B08D8D9" w14:textId="77777777" w:rsidTr="009C6940">
        <w:trPr>
          <w:tblHeader/>
        </w:trPr>
        <w:tc>
          <w:tcPr>
            <w:tcW w:w="5000" w:type="pct"/>
            <w:tcBorders>
              <w:top w:val="single" w:sz="6" w:space="0" w:color="78A22F"/>
              <w:left w:val="nil"/>
              <w:bottom w:val="nil"/>
              <w:right w:val="nil"/>
            </w:tcBorders>
            <w:shd w:val="clear" w:color="auto" w:fill="F2F2F2"/>
          </w:tcPr>
          <w:p w14:paraId="35FC0AE6" w14:textId="77777777" w:rsidR="009C6940" w:rsidRPr="008F039A" w:rsidRDefault="009C6940" w:rsidP="009C6940">
            <w:pPr>
              <w:pStyle w:val="BoxHeading1"/>
              <w:tabs>
                <w:tab w:val="left" w:pos="1134"/>
              </w:tabs>
              <w:rPr>
                <w:sz w:val="24"/>
              </w:rPr>
            </w:pPr>
            <w:r>
              <w:rPr>
                <w:sz w:val="24"/>
                <w:szCs w:val="24"/>
              </w:rPr>
              <w:t>Action</w:t>
            </w:r>
            <w:r>
              <w:rPr>
                <w:sz w:val="24"/>
              </w:rPr>
              <w:tab/>
            </w:r>
            <w:r w:rsidRPr="008F039A">
              <w:rPr>
                <w:sz w:val="24"/>
              </w:rPr>
              <w:t>Improving access to court diversion programs</w:t>
            </w:r>
          </w:p>
          <w:p w14:paraId="213AE250" w14:textId="77777777" w:rsidR="009C6940" w:rsidRPr="007440B4" w:rsidRDefault="009C6940" w:rsidP="009C6940">
            <w:pPr>
              <w:pStyle w:val="Box"/>
              <w:rPr>
                <w:sz w:val="24"/>
              </w:rPr>
            </w:pPr>
            <w:r w:rsidRPr="00C93BE6">
              <w:t xml:space="preserve">State and Territory Governments have developed court diversion programs that ‘divert’ people with mental illness away from the criminal justice system. Mental health courts offer a different model and can operate alongside court liaison services. They provide a personalised, problem solving approach </w:t>
            </w:r>
            <w:r w:rsidRPr="00475791">
              <w:t>that differs from a mainstream court process. Court liaison services aim to identify people with mental illness who have been charged, intervening as early as possible, often pre</w:t>
            </w:r>
            <w:r>
              <w:noBreakHyphen/>
            </w:r>
            <w:r w:rsidRPr="00475791">
              <w:t xml:space="preserve">trial or during the trial process </w:t>
            </w:r>
            <w:r w:rsidRPr="00D80781">
              <w:rPr>
                <w:rFonts w:cs="Arial"/>
                <w:szCs w:val="24"/>
              </w:rPr>
              <w:t>(Davidson 2015)</w:t>
            </w:r>
            <w:r w:rsidRPr="00475791">
              <w:t>.</w:t>
            </w:r>
          </w:p>
        </w:tc>
      </w:tr>
      <w:tr w:rsidR="009C6940" w14:paraId="685D6688" w14:textId="77777777" w:rsidTr="009C6940">
        <w:tc>
          <w:tcPr>
            <w:tcW w:w="5000" w:type="pct"/>
            <w:tcBorders>
              <w:top w:val="nil"/>
              <w:left w:val="nil"/>
              <w:bottom w:val="nil"/>
              <w:right w:val="nil"/>
            </w:tcBorders>
            <w:shd w:val="clear" w:color="auto" w:fill="F2F2F2"/>
          </w:tcPr>
          <w:p w14:paraId="4D73E91A" w14:textId="77777777" w:rsidR="009C6940" w:rsidRPr="000C6859" w:rsidRDefault="009C6940" w:rsidP="009C6940">
            <w:pPr>
              <w:pStyle w:val="BoxHeading1"/>
              <w:spacing w:before="120"/>
            </w:pPr>
            <w:r>
              <w:t>Costs</w:t>
            </w:r>
          </w:p>
          <w:p w14:paraId="72C2766A" w14:textId="77777777" w:rsidR="009C6940" w:rsidRPr="005530FB" w:rsidRDefault="009C6940" w:rsidP="009C6940">
            <w:pPr>
              <w:pStyle w:val="BoxHeading2"/>
              <w:spacing w:before="120"/>
              <w:rPr>
                <w:sz w:val="20"/>
              </w:rPr>
            </w:pPr>
            <w:r w:rsidRPr="005530FB">
              <w:rPr>
                <w:sz w:val="20"/>
              </w:rPr>
              <w:t>Mental health courts</w:t>
            </w:r>
          </w:p>
          <w:p w14:paraId="2945B6E5" w14:textId="77777777" w:rsidR="009C6940" w:rsidRDefault="009C6940" w:rsidP="009C6940">
            <w:pPr>
              <w:pStyle w:val="Box"/>
            </w:pPr>
            <w:r>
              <w:t xml:space="preserve">Increased costs for mental health courts were estimated using program expenditure and funding data for states where mental health courts have been established — in Victoria, South Australia, Western Australia and Tasmania (although data could not be located for Tasmania). Queensland has </w:t>
            </w:r>
            <w:r w:rsidRPr="00A475DA">
              <w:t xml:space="preserve">a mental health court, but </w:t>
            </w:r>
            <w:r>
              <w:t xml:space="preserve">it </w:t>
            </w:r>
            <w:r w:rsidRPr="00A475DA">
              <w:t>specialises in matters relating to forensic patients</w:t>
            </w:r>
            <w:r>
              <w:t>.</w:t>
            </w:r>
          </w:p>
          <w:p w14:paraId="728648BA" w14:textId="77777777" w:rsidR="009C6940" w:rsidRDefault="009C6940" w:rsidP="009C6940">
            <w:pPr>
              <w:pStyle w:val="BoxListBullet"/>
            </w:pPr>
            <w:r>
              <w:t>Victoria: was allocated $22 million (2017</w:t>
            </w:r>
            <w:r>
              <w:noBreakHyphen/>
              <w:t xml:space="preserve">18 dollars) over four years for its Assessment and Referral Court — about $5.5 million per year </w:t>
            </w:r>
            <w:r w:rsidRPr="00D80781">
              <w:rPr>
                <w:rFonts w:cs="Arial"/>
                <w:szCs w:val="24"/>
              </w:rPr>
              <w:t>(MCV 2018)</w:t>
            </w:r>
            <w:r>
              <w:t>.</w:t>
            </w:r>
          </w:p>
          <w:p w14:paraId="24A10A19" w14:textId="77777777" w:rsidR="009C6940" w:rsidRDefault="009C6940" w:rsidP="009C6940">
            <w:pPr>
              <w:pStyle w:val="BoxListBullet"/>
            </w:pPr>
            <w:r>
              <w:t xml:space="preserve">South Australia: was allocated $3.3 million (2019 dollars) in the state budget </w:t>
            </w:r>
            <w:r w:rsidRPr="00D80781">
              <w:rPr>
                <w:rFonts w:cs="Arial"/>
                <w:szCs w:val="24"/>
              </w:rPr>
              <w:t>(South Australian Government 2019)</w:t>
            </w:r>
            <w:r>
              <w:t>.</w:t>
            </w:r>
          </w:p>
          <w:p w14:paraId="510D24BE" w14:textId="77777777" w:rsidR="009C6940" w:rsidRDefault="009C6940" w:rsidP="009C6940">
            <w:pPr>
              <w:pStyle w:val="BoxListBullet"/>
            </w:pPr>
            <w:r>
              <w:t>Western Australia: reported expenditure of $4.</w:t>
            </w:r>
            <w:r w:rsidDel="00DC7B8C">
              <w:t>2</w:t>
            </w:r>
            <w:r>
              <w:t> million (2017</w:t>
            </w:r>
            <w:r>
              <w:noBreakHyphen/>
              <w:t>18 dollars) (State and Territory Government Survey).</w:t>
            </w:r>
          </w:p>
          <w:p w14:paraId="004767B1" w14:textId="77777777" w:rsidR="009C6940" w:rsidRDefault="009C6940" w:rsidP="009C6940">
            <w:pPr>
              <w:pStyle w:val="Box"/>
            </w:pPr>
            <w:r>
              <w:t>There is lack of information about the population likely to benefit from increased coverage of mental health courts. For the purposes of deriving cost estimates, it is assumed that the number of referrals (and cost for mental health courts) double, giving an additional cost of $13.</w:t>
            </w:r>
            <w:r w:rsidDel="00DC7B8C">
              <w:t>5</w:t>
            </w:r>
            <w:r>
              <w:t xml:space="preserve"> million (2019 dollars). </w:t>
            </w:r>
          </w:p>
          <w:p w14:paraId="4E619C89" w14:textId="77777777" w:rsidR="009C6940" w:rsidRPr="005530FB" w:rsidRDefault="009C6940" w:rsidP="009C6940">
            <w:pPr>
              <w:pStyle w:val="BoxHeading2"/>
              <w:spacing w:before="120"/>
              <w:rPr>
                <w:sz w:val="20"/>
              </w:rPr>
            </w:pPr>
            <w:r w:rsidRPr="005530FB">
              <w:rPr>
                <w:sz w:val="20"/>
              </w:rPr>
              <w:t>Court liaison services</w:t>
            </w:r>
          </w:p>
          <w:p w14:paraId="11BF0632" w14:textId="77777777" w:rsidR="009C6940" w:rsidRDefault="009C6940" w:rsidP="009C6940">
            <w:pPr>
              <w:pStyle w:val="BoxListBullet"/>
            </w:pPr>
            <w:r>
              <w:t>Assume that all courts will receive court liaison services, with expenditures scaling up proportionately. This suggests total additional costs are estimated to be $</w:t>
            </w:r>
            <w:r w:rsidDel="00DC7B8C">
              <w:t>32</w:t>
            </w:r>
            <w:r>
              <w:t> million (</w:t>
            </w:r>
            <w:r w:rsidDel="00DC7B8C">
              <w:t>2019</w:t>
            </w:r>
            <w:r>
              <w:t> dollars).</w:t>
            </w:r>
          </w:p>
        </w:tc>
      </w:tr>
      <w:tr w:rsidR="009C6940" w14:paraId="676AC694" w14:textId="77777777" w:rsidTr="009C6940">
        <w:tc>
          <w:tcPr>
            <w:tcW w:w="5000" w:type="pct"/>
            <w:tcBorders>
              <w:top w:val="nil"/>
              <w:left w:val="nil"/>
              <w:bottom w:val="nil"/>
              <w:right w:val="nil"/>
            </w:tcBorders>
            <w:shd w:val="clear" w:color="auto" w:fill="F2F2F2"/>
          </w:tcPr>
          <w:p w14:paraId="62335C5A"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6E57C589" w14:textId="77777777" w:rsidTr="009C6940">
        <w:tc>
          <w:tcPr>
            <w:tcW w:w="5000" w:type="pct"/>
            <w:tcBorders>
              <w:top w:val="nil"/>
              <w:left w:val="nil"/>
              <w:bottom w:val="single" w:sz="6" w:space="0" w:color="78A22F"/>
              <w:right w:val="nil"/>
            </w:tcBorders>
            <w:shd w:val="clear" w:color="auto" w:fill="F2F2F2"/>
          </w:tcPr>
          <w:p w14:paraId="06510C76" w14:textId="77777777" w:rsidR="009C6940" w:rsidRDefault="009C6940" w:rsidP="009C6940">
            <w:pPr>
              <w:pStyle w:val="Box"/>
              <w:spacing w:before="0" w:line="120" w:lineRule="exact"/>
            </w:pPr>
          </w:p>
        </w:tc>
      </w:tr>
      <w:tr w:rsidR="009C6940" w:rsidRPr="000863A5" w14:paraId="564FAD9F" w14:textId="77777777" w:rsidTr="009C6940">
        <w:tc>
          <w:tcPr>
            <w:tcW w:w="5000" w:type="pct"/>
            <w:tcBorders>
              <w:top w:val="single" w:sz="6" w:space="0" w:color="78A22F"/>
              <w:left w:val="nil"/>
              <w:bottom w:val="nil"/>
              <w:right w:val="nil"/>
            </w:tcBorders>
          </w:tcPr>
          <w:p w14:paraId="3841FB3A" w14:textId="77777777" w:rsidR="009C6940" w:rsidRPr="00626D32" w:rsidRDefault="009C6940" w:rsidP="009C6940">
            <w:pPr>
              <w:pStyle w:val="BoxSpaceBelow"/>
            </w:pPr>
          </w:p>
        </w:tc>
      </w:tr>
    </w:tbl>
    <w:p w14:paraId="49C4868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92183E5" w14:textId="77777777" w:rsidTr="009C6940">
        <w:trPr>
          <w:tblHeader/>
        </w:trPr>
        <w:tc>
          <w:tcPr>
            <w:tcW w:w="5000" w:type="pct"/>
            <w:tcBorders>
              <w:top w:val="single" w:sz="6" w:space="0" w:color="78A22F"/>
              <w:left w:val="nil"/>
              <w:bottom w:val="nil"/>
              <w:right w:val="nil"/>
            </w:tcBorders>
            <w:shd w:val="clear" w:color="auto" w:fill="F2F2F2"/>
          </w:tcPr>
          <w:p w14:paraId="1369B3C0" w14:textId="77777777" w:rsidR="009C6940" w:rsidRPr="007440B4" w:rsidRDefault="009C6940" w:rsidP="009C6940">
            <w:pPr>
              <w:pStyle w:val="BoxHeading1"/>
              <w:tabs>
                <w:tab w:val="left" w:pos="1127"/>
              </w:tabs>
              <w:rPr>
                <w:b w:val="0"/>
                <w:sz w:val="24"/>
              </w:rPr>
            </w:pPr>
            <w:r>
              <w:rPr>
                <w:sz w:val="24"/>
                <w:szCs w:val="24"/>
              </w:rPr>
              <w:t>Action</w:t>
            </w:r>
            <w:r>
              <w:rPr>
                <w:sz w:val="24"/>
              </w:rPr>
              <w:tab/>
            </w:r>
            <w:r w:rsidRPr="008F039A">
              <w:rPr>
                <w:sz w:val="24"/>
              </w:rPr>
              <w:t>Improving acc</w:t>
            </w:r>
            <w:r>
              <w:rPr>
                <w:sz w:val="24"/>
              </w:rPr>
              <w:t>ess to court diversion programs</w:t>
            </w:r>
            <w:r w:rsidRPr="00A7274B">
              <w:rPr>
                <w:rStyle w:val="Continuedintitle"/>
              </w:rPr>
              <w:t xml:space="preserve"> (continued)</w:t>
            </w:r>
          </w:p>
        </w:tc>
      </w:tr>
      <w:tr w:rsidR="009C6940" w14:paraId="38544CF2" w14:textId="77777777" w:rsidTr="009C6940">
        <w:tc>
          <w:tcPr>
            <w:tcW w:w="5000" w:type="pct"/>
            <w:tcBorders>
              <w:top w:val="nil"/>
              <w:left w:val="nil"/>
              <w:bottom w:val="nil"/>
              <w:right w:val="nil"/>
            </w:tcBorders>
            <w:shd w:val="clear" w:color="auto" w:fill="F2F2F2"/>
          </w:tcPr>
          <w:p w14:paraId="75CDDC67" w14:textId="77777777" w:rsidR="009C6940" w:rsidRDefault="009C6940" w:rsidP="009C6940">
            <w:pPr>
              <w:pStyle w:val="BoxHeading1"/>
              <w:spacing w:before="120"/>
            </w:pPr>
            <w:r>
              <w:t>Additional considerations</w:t>
            </w:r>
          </w:p>
          <w:p w14:paraId="758D510D" w14:textId="77777777" w:rsidR="009C6940" w:rsidRDefault="009C6940" w:rsidP="009C6940">
            <w:pPr>
              <w:pStyle w:val="BoxListBullet"/>
              <w:numPr>
                <w:ilvl w:val="0"/>
                <w:numId w:val="3"/>
              </w:numPr>
              <w:tabs>
                <w:tab w:val="num" w:pos="284"/>
              </w:tabs>
              <w:ind w:left="284" w:hanging="284"/>
            </w:pPr>
            <w:r>
              <w:t xml:space="preserve">This cost estimate aims to provide some indication of how much current expenditure would need to increase in order to expand the court diversion program by a certain amount. It does not estimate the additional expenditure required to meet unmet demand for court diversion programs owing to data limitations. Although anecdotal evidence suggests there is unmet demand for these programs </w:t>
            </w:r>
            <w:r w:rsidRPr="00D80781">
              <w:rPr>
                <w:rFonts w:cs="Arial"/>
                <w:szCs w:val="24"/>
              </w:rPr>
              <w:t>(NSW MHC 2017; Soon et al. 2018; Victoria Legal Aid, sub. 818)</w:t>
            </w:r>
            <w:r>
              <w:t>, reliable data to quantify this was unavailable.</w:t>
            </w:r>
          </w:p>
          <w:p w14:paraId="496B66D1" w14:textId="77777777" w:rsidR="009C6940" w:rsidRDefault="009C6940" w:rsidP="009C6940">
            <w:pPr>
              <w:pStyle w:val="BoxListBullet"/>
              <w:numPr>
                <w:ilvl w:val="0"/>
                <w:numId w:val="3"/>
              </w:numPr>
              <w:tabs>
                <w:tab w:val="num" w:pos="284"/>
              </w:tabs>
              <w:ind w:left="284" w:hanging="284"/>
            </w:pPr>
            <w:r>
              <w:t xml:space="preserve">The cost of expanding court liaison services coverage to all courts is likely to be an overestimate. While the physical presence of court liaison services in courts is beneficial, these services </w:t>
            </w:r>
            <w:r w:rsidRPr="00516B9A">
              <w:t>do not need to be based in every court</w:t>
            </w:r>
            <w:r>
              <w:t xml:space="preserve"> — services can be provided on request if needed</w:t>
            </w:r>
            <w:r w:rsidRPr="00516B9A">
              <w:t xml:space="preserve"> </w:t>
            </w:r>
            <w:r w:rsidRPr="00D80781">
              <w:rPr>
                <w:rFonts w:cs="Arial"/>
                <w:szCs w:val="24"/>
              </w:rPr>
              <w:t>(Davidson 2018)</w:t>
            </w:r>
            <w:r w:rsidRPr="00516B9A">
              <w:t>.</w:t>
            </w:r>
          </w:p>
        </w:tc>
      </w:tr>
      <w:tr w:rsidR="009C6940" w14:paraId="72417FC5" w14:textId="77777777" w:rsidTr="009C6940">
        <w:tc>
          <w:tcPr>
            <w:tcW w:w="5000" w:type="pct"/>
            <w:tcBorders>
              <w:top w:val="nil"/>
              <w:left w:val="nil"/>
              <w:bottom w:val="single" w:sz="6" w:space="0" w:color="78A22F"/>
              <w:right w:val="nil"/>
            </w:tcBorders>
            <w:shd w:val="clear" w:color="auto" w:fill="F2F2F2"/>
          </w:tcPr>
          <w:p w14:paraId="1518C4C5" w14:textId="77777777" w:rsidR="009C6940" w:rsidRDefault="009C6940" w:rsidP="009C6940">
            <w:pPr>
              <w:pStyle w:val="Box"/>
              <w:spacing w:before="0" w:line="120" w:lineRule="exact"/>
            </w:pPr>
          </w:p>
        </w:tc>
      </w:tr>
      <w:tr w:rsidR="009C6940" w:rsidRPr="000863A5" w14:paraId="1BACB22E" w14:textId="77777777" w:rsidTr="009C6940">
        <w:tc>
          <w:tcPr>
            <w:tcW w:w="5000" w:type="pct"/>
            <w:tcBorders>
              <w:top w:val="single" w:sz="6" w:space="0" w:color="78A22F"/>
              <w:left w:val="nil"/>
              <w:bottom w:val="nil"/>
              <w:right w:val="nil"/>
            </w:tcBorders>
          </w:tcPr>
          <w:p w14:paraId="55CFB056" w14:textId="77777777" w:rsidR="009C6940" w:rsidRPr="00626D32" w:rsidRDefault="009C6940" w:rsidP="009C6940">
            <w:pPr>
              <w:pStyle w:val="BoxSpaceBelow"/>
            </w:pPr>
          </w:p>
        </w:tc>
      </w:tr>
    </w:tbl>
    <w:p w14:paraId="4B3C478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9CA44F0" w14:textId="77777777" w:rsidTr="009C6940">
        <w:trPr>
          <w:tblHeader/>
        </w:trPr>
        <w:tc>
          <w:tcPr>
            <w:tcW w:w="5000" w:type="pct"/>
            <w:tcBorders>
              <w:top w:val="single" w:sz="6" w:space="0" w:color="78A22F"/>
              <w:left w:val="nil"/>
              <w:bottom w:val="nil"/>
              <w:right w:val="nil"/>
            </w:tcBorders>
            <w:shd w:val="clear" w:color="auto" w:fill="F2F2F2"/>
          </w:tcPr>
          <w:p w14:paraId="629013ED" w14:textId="77777777" w:rsidR="009C6940" w:rsidRPr="00DD49C2" w:rsidRDefault="009C6940" w:rsidP="009C6940">
            <w:pPr>
              <w:pStyle w:val="BoxHeading1"/>
              <w:tabs>
                <w:tab w:val="left" w:pos="1134"/>
              </w:tabs>
              <w:rPr>
                <w:sz w:val="24"/>
                <w:szCs w:val="24"/>
              </w:rPr>
            </w:pPr>
            <w:r>
              <w:rPr>
                <w:sz w:val="24"/>
                <w:szCs w:val="24"/>
              </w:rPr>
              <w:t>Action</w:t>
            </w:r>
            <w:r>
              <w:rPr>
                <w:sz w:val="24"/>
                <w:szCs w:val="24"/>
              </w:rPr>
              <w:tab/>
            </w:r>
            <w:r w:rsidRPr="00DD49C2">
              <w:rPr>
                <w:sz w:val="24"/>
                <w:szCs w:val="24"/>
              </w:rPr>
              <w:t>Increased support for police</w:t>
            </w:r>
          </w:p>
          <w:p w14:paraId="4C5952CC" w14:textId="77777777" w:rsidR="009C6940" w:rsidRPr="000C6859" w:rsidRDefault="009C6940" w:rsidP="009C6940">
            <w:pPr>
              <w:pStyle w:val="Box"/>
            </w:pPr>
            <w:r>
              <w:t>A</w:t>
            </w:r>
            <w:r w:rsidRPr="00BA3340">
              <w:t xml:space="preserve"> systematic approach</w:t>
            </w:r>
            <w:r>
              <w:t>, where mental health expertise is incorporated at multiple stages of police response,</w:t>
            </w:r>
            <w:r w:rsidRPr="00BA3340">
              <w:t xml:space="preserve"> should be implemented to support police respond</w:t>
            </w:r>
            <w:r>
              <w:t>ing</w:t>
            </w:r>
            <w:r w:rsidRPr="00BA3340">
              <w:t xml:space="preserve"> to mental health </w:t>
            </w:r>
            <w:r>
              <w:t>related incidents</w:t>
            </w:r>
            <w:r w:rsidRPr="00BA3340">
              <w:t>.</w:t>
            </w:r>
            <w:r>
              <w:t xml:space="preserve"> </w:t>
            </w:r>
            <w:r w:rsidRPr="00EF0DC3">
              <w:t>State and Territory Governments should implement initiatives that enable police, mental health and ambulance services to collectively respond to m</w:t>
            </w:r>
            <w:r>
              <w:t>ental health related incidents.</w:t>
            </w:r>
          </w:p>
        </w:tc>
      </w:tr>
      <w:tr w:rsidR="009C6940" w14:paraId="19830A27" w14:textId="77777777" w:rsidTr="009C6940">
        <w:tc>
          <w:tcPr>
            <w:tcW w:w="5000" w:type="pct"/>
            <w:tcBorders>
              <w:top w:val="nil"/>
              <w:left w:val="nil"/>
              <w:bottom w:val="nil"/>
              <w:right w:val="nil"/>
            </w:tcBorders>
            <w:shd w:val="clear" w:color="auto" w:fill="F2F2F2"/>
          </w:tcPr>
          <w:p w14:paraId="7FC36315" w14:textId="77777777" w:rsidR="009C6940" w:rsidRPr="006340A8" w:rsidRDefault="009C6940" w:rsidP="009C6940">
            <w:pPr>
              <w:pStyle w:val="BoxHeading1"/>
              <w:spacing w:before="120"/>
            </w:pPr>
            <w:r w:rsidRPr="006340A8">
              <w:t>Population</w:t>
            </w:r>
          </w:p>
          <w:p w14:paraId="05BD09CE" w14:textId="77777777" w:rsidR="009C6940" w:rsidRDefault="009C6940" w:rsidP="009C6940">
            <w:pPr>
              <w:pStyle w:val="BoxListBullet"/>
              <w:numPr>
                <w:ilvl w:val="0"/>
                <w:numId w:val="3"/>
              </w:numPr>
            </w:pPr>
            <w:r>
              <w:t>It is assumed that PACER</w:t>
            </w:r>
            <w:r>
              <w:noBreakHyphen/>
              <w:t>style programs are rolled out nationally.</w:t>
            </w:r>
          </w:p>
          <w:p w14:paraId="402DC9FA" w14:textId="77777777" w:rsidR="009C6940" w:rsidRDefault="009C6940" w:rsidP="009C6940">
            <w:pPr>
              <w:pStyle w:val="BoxListBullet"/>
              <w:numPr>
                <w:ilvl w:val="0"/>
                <w:numId w:val="3"/>
              </w:numPr>
            </w:pPr>
            <w:r>
              <w:t>In 2017</w:t>
            </w:r>
            <w:r>
              <w:noBreakHyphen/>
              <w:t>18 there were 20 372 mental health</w:t>
            </w:r>
            <w:r>
              <w:noBreakHyphen/>
              <w:t xml:space="preserve">related ED attendances via police or a correctional services vehicle </w:t>
            </w:r>
            <w:r w:rsidRPr="00D80781">
              <w:rPr>
                <w:rFonts w:cs="Arial"/>
                <w:szCs w:val="24"/>
              </w:rPr>
              <w:t>(AIHW 2019b)</w:t>
            </w:r>
            <w:r>
              <w:t xml:space="preserve">. But this number is an underestimate of the number of cases which involve police, as some of these cases may be recorded as arriving by ambulance. </w:t>
            </w:r>
          </w:p>
          <w:p w14:paraId="37AA40C1" w14:textId="77777777" w:rsidR="009C6940" w:rsidRPr="00EC0A97" w:rsidRDefault="009C6940" w:rsidP="009C6940">
            <w:pPr>
              <w:pStyle w:val="BoxListBullet"/>
              <w:numPr>
                <w:ilvl w:val="0"/>
                <w:numId w:val="3"/>
              </w:numPr>
            </w:pPr>
            <w:r>
              <w:t>Using data on the number of police interactions for states where data is available and imputing for states where data is not available, it is estimated that police deal with 44 300 mental health</w:t>
            </w:r>
            <w:r>
              <w:noBreakHyphen/>
              <w:t xml:space="preserve">related cases per year </w:t>
            </w:r>
            <w:r w:rsidRPr="00D80781">
              <w:rPr>
                <w:rFonts w:cs="Arial"/>
                <w:szCs w:val="24"/>
              </w:rPr>
              <w:t>(Henry and Rajakaruna 2018; Meehan and Stedman 2012; Victoria Police 2019; State and Territory Governments Survey)</w:t>
            </w:r>
            <w:r>
              <w:t>.</w:t>
            </w:r>
          </w:p>
        </w:tc>
      </w:tr>
      <w:tr w:rsidR="009C6940" w14:paraId="433084B9" w14:textId="77777777" w:rsidTr="009C6940">
        <w:tc>
          <w:tcPr>
            <w:tcW w:w="5000" w:type="pct"/>
            <w:tcBorders>
              <w:top w:val="nil"/>
              <w:left w:val="nil"/>
              <w:bottom w:val="nil"/>
              <w:right w:val="nil"/>
            </w:tcBorders>
            <w:shd w:val="clear" w:color="auto" w:fill="F2F2F2"/>
          </w:tcPr>
          <w:p w14:paraId="53292C12" w14:textId="77777777" w:rsidR="009C6940" w:rsidRDefault="009C6940" w:rsidP="009C6940">
            <w:pPr>
              <w:pStyle w:val="BoxHeading1"/>
              <w:spacing w:before="120"/>
            </w:pPr>
            <w:r>
              <w:t>Effect</w:t>
            </w:r>
          </w:p>
          <w:p w14:paraId="6D8C8754" w14:textId="77777777" w:rsidR="009C6940" w:rsidRPr="000C6859" w:rsidRDefault="009C6940" w:rsidP="009C6940">
            <w:pPr>
              <w:pStyle w:val="Box"/>
            </w:pPr>
            <w:r>
              <w:t>Increased support for police is expected to reduce the number of cases sent to an emergency department, with some evidence that ED attendances could be reduced between 27</w:t>
            </w:r>
            <w:r>
              <w:noBreakHyphen/>
              <w:t xml:space="preserve">63% </w:t>
            </w:r>
            <w:r w:rsidRPr="00D80781">
              <w:rPr>
                <w:rFonts w:cs="Arial"/>
                <w:szCs w:val="24"/>
              </w:rPr>
              <w:t>(Allen Consulting 2012; Scott 2000)</w:t>
            </w:r>
            <w:r>
              <w:t>. This will result in cost savings that are detailed below.</w:t>
            </w:r>
          </w:p>
        </w:tc>
      </w:tr>
      <w:tr w:rsidR="009C6940" w14:paraId="5331D770" w14:textId="77777777" w:rsidTr="009C6940">
        <w:tc>
          <w:tcPr>
            <w:tcW w:w="5000" w:type="pct"/>
            <w:tcBorders>
              <w:top w:val="nil"/>
              <w:left w:val="nil"/>
              <w:bottom w:val="nil"/>
              <w:right w:val="nil"/>
            </w:tcBorders>
            <w:shd w:val="clear" w:color="auto" w:fill="F2F2F2"/>
          </w:tcPr>
          <w:p w14:paraId="37607391" w14:textId="77777777" w:rsidR="009C6940" w:rsidRPr="000C6859" w:rsidRDefault="009C6940" w:rsidP="009C6940">
            <w:pPr>
              <w:pStyle w:val="BoxHeading1"/>
              <w:spacing w:before="120"/>
            </w:pPr>
            <w:r>
              <w:t>Costs</w:t>
            </w:r>
          </w:p>
          <w:p w14:paraId="0A3E4AA9" w14:textId="77777777" w:rsidR="009C6940" w:rsidRDefault="009C6940" w:rsidP="009C6940">
            <w:pPr>
              <w:pStyle w:val="BoxListBullet"/>
              <w:numPr>
                <w:ilvl w:val="0"/>
                <w:numId w:val="3"/>
              </w:numPr>
            </w:pPr>
            <w:r>
              <w:t>Costs associated with rolling out systematic co</w:t>
            </w:r>
            <w:r>
              <w:noBreakHyphen/>
              <w:t>response programs are calculated on the basis of cost data from Western Australia ($727 per case), and PACER ($478</w:t>
            </w:r>
            <w:r>
              <w:noBreakHyphen/>
              <w:t xml:space="preserve">673 per case) </w:t>
            </w:r>
            <w:r w:rsidRPr="00D80781">
              <w:rPr>
                <w:rFonts w:cs="Arial"/>
                <w:szCs w:val="24"/>
              </w:rPr>
              <w:t>(Allen Consulting 2012; Henry and Rajakaruna 2018; WA Mental Health Commission, unpublished data)</w:t>
            </w:r>
            <w:r>
              <w:t>. This includes the estimated costs of having mental health expertise located in police call centres and in co</w:t>
            </w:r>
            <w:r>
              <w:noBreakHyphen/>
              <w:t>response teams responding to mental health incidents on the ground.</w:t>
            </w:r>
          </w:p>
          <w:p w14:paraId="12C2E5BA" w14:textId="77777777" w:rsidR="009C6940" w:rsidRDefault="009C6940" w:rsidP="009C6940">
            <w:pPr>
              <w:pStyle w:val="BoxListBullet"/>
              <w:numPr>
                <w:ilvl w:val="0"/>
                <w:numId w:val="0"/>
              </w:numPr>
              <w:tabs>
                <w:tab w:val="num" w:pos="340"/>
              </w:tabs>
              <w:ind w:left="340"/>
            </w:pPr>
            <w:r>
              <w:t>Based on estimates of police interactions (44 </w:t>
            </w:r>
            <w:r w:rsidDel="004E6823">
              <w:t>300</w:t>
            </w:r>
            <w:r>
              <w:t> cases per year), it is estimated that the cost of increasing support programs for states which do not already have these programs is between $15</w:t>
            </w:r>
            <w:r>
              <w:noBreakHyphen/>
            </w:r>
            <w:r w:rsidDel="00405545">
              <w:t>23</w:t>
            </w:r>
            <w:r>
              <w:t> million (</w:t>
            </w:r>
            <w:r w:rsidDel="004E6823">
              <w:t>2019</w:t>
            </w:r>
            <w:r>
              <w:t> dollars).</w:t>
            </w:r>
          </w:p>
          <w:p w14:paraId="59F3CA1D" w14:textId="77777777" w:rsidR="009C6940" w:rsidRDefault="009C6940" w:rsidP="009C6940">
            <w:pPr>
              <w:pStyle w:val="BoxListBullet"/>
              <w:numPr>
                <w:ilvl w:val="0"/>
                <w:numId w:val="3"/>
              </w:numPr>
            </w:pPr>
            <w:r>
              <w:t xml:space="preserve">Reduced ED attendances are likely to result in cost savings — ED attendances for a serious mental illness cost on average $760 (2017 dollars) per attendance </w:t>
            </w:r>
            <w:r w:rsidRPr="00D80781">
              <w:rPr>
                <w:rFonts w:cs="Arial"/>
                <w:szCs w:val="24"/>
              </w:rPr>
              <w:t>(IHPA 2017)</w:t>
            </w:r>
            <w:r>
              <w:t>. Using the lower bound on the number of mental health</w:t>
            </w:r>
            <w:r>
              <w:noBreakHyphen/>
              <w:t>related ED attendances, this suggests cost savings between $4.4</w:t>
            </w:r>
            <w:r>
              <w:noBreakHyphen/>
              <w:t>10.3 million (2019 dollars).</w:t>
            </w:r>
          </w:p>
          <w:p w14:paraId="789DA78D" w14:textId="77777777" w:rsidR="009C6940" w:rsidRPr="000C6859" w:rsidRDefault="009C6940" w:rsidP="009C6940">
            <w:pPr>
              <w:pStyle w:val="BoxListBullet"/>
              <w:numPr>
                <w:ilvl w:val="0"/>
                <w:numId w:val="3"/>
              </w:numPr>
            </w:pPr>
            <w:r>
              <w:t>Reducing the time that police spend on mental health</w:t>
            </w:r>
            <w:r>
              <w:noBreakHyphen/>
              <w:t xml:space="preserve">related cases is expected to result in cost savings. The </w:t>
            </w:r>
            <w:r w:rsidRPr="00537D21">
              <w:t>Allen Consulting Group</w:t>
            </w:r>
            <w:r>
              <w:t xml:space="preserve"> </w:t>
            </w:r>
            <w:r w:rsidRPr="00D80781">
              <w:rPr>
                <w:rFonts w:cs="Arial"/>
              </w:rPr>
              <w:t>(2012)</w:t>
            </w:r>
            <w:r>
              <w:t xml:space="preserve"> estimated that police spent 2.8 hours per case on average and that this could be reduced to 0.7 hours per case. They also estimated that the cost of police time as $65.37 per hour (2012 dollars). Based on estimates of police interactions (44 300 cases per year), the total cost savings are estimated to be $7.4 million (2019 dollars).</w:t>
            </w:r>
          </w:p>
        </w:tc>
      </w:tr>
      <w:tr w:rsidR="009C6940" w14:paraId="64A2151F" w14:textId="77777777" w:rsidTr="009C6940">
        <w:tc>
          <w:tcPr>
            <w:tcW w:w="5000" w:type="pct"/>
            <w:tcBorders>
              <w:top w:val="nil"/>
              <w:left w:val="nil"/>
              <w:bottom w:val="nil"/>
              <w:right w:val="nil"/>
            </w:tcBorders>
            <w:shd w:val="clear" w:color="auto" w:fill="F2F2F2"/>
          </w:tcPr>
          <w:p w14:paraId="3A22D069"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66505A55" w14:textId="77777777" w:rsidTr="009C6940">
        <w:tc>
          <w:tcPr>
            <w:tcW w:w="5000" w:type="pct"/>
            <w:tcBorders>
              <w:top w:val="nil"/>
              <w:left w:val="nil"/>
              <w:bottom w:val="single" w:sz="6" w:space="0" w:color="78A22F"/>
              <w:right w:val="nil"/>
            </w:tcBorders>
            <w:shd w:val="clear" w:color="auto" w:fill="F2F2F2"/>
          </w:tcPr>
          <w:p w14:paraId="39114351" w14:textId="77777777" w:rsidR="009C6940" w:rsidRDefault="009C6940" w:rsidP="009C6940">
            <w:pPr>
              <w:pStyle w:val="Box"/>
              <w:spacing w:before="0" w:line="120" w:lineRule="exact"/>
            </w:pPr>
          </w:p>
        </w:tc>
      </w:tr>
      <w:tr w:rsidR="009C6940" w:rsidRPr="000863A5" w14:paraId="10206B69" w14:textId="77777777" w:rsidTr="009C6940">
        <w:tc>
          <w:tcPr>
            <w:tcW w:w="5000" w:type="pct"/>
            <w:tcBorders>
              <w:top w:val="single" w:sz="6" w:space="0" w:color="78A22F"/>
              <w:left w:val="nil"/>
              <w:bottom w:val="nil"/>
              <w:right w:val="nil"/>
            </w:tcBorders>
          </w:tcPr>
          <w:p w14:paraId="33A65BE7" w14:textId="77777777" w:rsidR="009C6940" w:rsidRPr="00626D32" w:rsidRDefault="009C6940" w:rsidP="009C6940">
            <w:pPr>
              <w:pStyle w:val="BoxSpaceBelow"/>
            </w:pPr>
          </w:p>
        </w:tc>
      </w:tr>
    </w:tbl>
    <w:p w14:paraId="46C5615A"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62F1362" w14:textId="77777777" w:rsidTr="009C6940">
        <w:trPr>
          <w:tblHeader/>
        </w:trPr>
        <w:tc>
          <w:tcPr>
            <w:tcW w:w="5000" w:type="pct"/>
            <w:tcBorders>
              <w:top w:val="single" w:sz="6" w:space="0" w:color="78A22F"/>
              <w:left w:val="nil"/>
              <w:bottom w:val="nil"/>
              <w:right w:val="nil"/>
            </w:tcBorders>
            <w:shd w:val="clear" w:color="auto" w:fill="F2F2F2"/>
          </w:tcPr>
          <w:p w14:paraId="1D349B1B" w14:textId="77777777" w:rsidR="009C6940" w:rsidRPr="00DD49C2" w:rsidRDefault="009C6940" w:rsidP="009C6940">
            <w:pPr>
              <w:pStyle w:val="BoxHeading1"/>
              <w:tabs>
                <w:tab w:val="left" w:pos="1092"/>
              </w:tabs>
              <w:rPr>
                <w:sz w:val="24"/>
                <w:szCs w:val="24"/>
              </w:rPr>
            </w:pPr>
            <w:r>
              <w:rPr>
                <w:sz w:val="24"/>
                <w:szCs w:val="24"/>
              </w:rPr>
              <w:t>Action</w:t>
            </w:r>
            <w:r>
              <w:rPr>
                <w:sz w:val="24"/>
                <w:szCs w:val="24"/>
              </w:rPr>
              <w:tab/>
            </w:r>
            <w:r w:rsidRPr="00DD49C2">
              <w:rPr>
                <w:sz w:val="24"/>
                <w:szCs w:val="24"/>
              </w:rPr>
              <w:t xml:space="preserve">Increased support for police </w:t>
            </w:r>
            <w:r w:rsidRPr="00A7274B">
              <w:rPr>
                <w:rStyle w:val="Continuedintitle"/>
              </w:rPr>
              <w:t>(continued)</w:t>
            </w:r>
          </w:p>
        </w:tc>
      </w:tr>
      <w:tr w:rsidR="009C6940" w14:paraId="1F31903A" w14:textId="77777777" w:rsidTr="009C6940">
        <w:tc>
          <w:tcPr>
            <w:tcW w:w="5000" w:type="pct"/>
            <w:tcBorders>
              <w:top w:val="nil"/>
              <w:left w:val="nil"/>
              <w:bottom w:val="nil"/>
              <w:right w:val="nil"/>
            </w:tcBorders>
            <w:shd w:val="clear" w:color="auto" w:fill="F2F2F2"/>
          </w:tcPr>
          <w:p w14:paraId="57074F65" w14:textId="77777777" w:rsidR="009C6940" w:rsidRDefault="009C6940" w:rsidP="009C6940">
            <w:pPr>
              <w:pStyle w:val="BoxHeading1"/>
              <w:spacing w:before="120"/>
            </w:pPr>
            <w:r>
              <w:t>Additional considerations</w:t>
            </w:r>
          </w:p>
          <w:p w14:paraId="4E7DC9C1" w14:textId="77777777" w:rsidR="009C6940" w:rsidRDefault="009C6940" w:rsidP="009C6940">
            <w:pPr>
              <w:pStyle w:val="BoxListBullet"/>
              <w:numPr>
                <w:ilvl w:val="0"/>
                <w:numId w:val="3"/>
              </w:numPr>
            </w:pPr>
            <w:r>
              <w:t>These cost estimates do not account for cost</w:t>
            </w:r>
            <w:r>
              <w:noBreakHyphen/>
              <w:t xml:space="preserve">savings from replacing existing programs, and so are likely to overestimate the true cost. </w:t>
            </w:r>
          </w:p>
          <w:p w14:paraId="4AB1D8D0" w14:textId="77777777" w:rsidR="009C6940" w:rsidRDefault="009C6940" w:rsidP="009C6940">
            <w:pPr>
              <w:pStyle w:val="BoxListBullet"/>
              <w:numPr>
                <w:ilvl w:val="0"/>
                <w:numId w:val="3"/>
              </w:numPr>
            </w:pPr>
            <w:r>
              <w:t xml:space="preserve">Use of Western Australia numbers as a benchmark may also lead to overstating of costs, as coverage in Western Australia was expanded recently to obtain greater geographical coverage. </w:t>
            </w:r>
          </w:p>
          <w:p w14:paraId="23D78C64" w14:textId="77777777" w:rsidR="009C6940" w:rsidRPr="000C6859" w:rsidRDefault="009C6940" w:rsidP="009C6940">
            <w:pPr>
              <w:pStyle w:val="BoxListBullet"/>
              <w:numPr>
                <w:ilvl w:val="0"/>
                <w:numId w:val="3"/>
              </w:numPr>
            </w:pPr>
            <w:r>
              <w:t>Data on the number of police interactions (with people experiencing a mental health-related incident) was not available for all jurisdictions. For states with missing data, the number of cases per year were imputed.</w:t>
            </w:r>
          </w:p>
        </w:tc>
      </w:tr>
      <w:tr w:rsidR="009C6940" w14:paraId="26DECF2B" w14:textId="77777777" w:rsidTr="009C6940">
        <w:tc>
          <w:tcPr>
            <w:tcW w:w="5000" w:type="pct"/>
            <w:tcBorders>
              <w:top w:val="nil"/>
              <w:left w:val="nil"/>
              <w:bottom w:val="single" w:sz="6" w:space="0" w:color="78A22F"/>
              <w:right w:val="nil"/>
            </w:tcBorders>
            <w:shd w:val="clear" w:color="auto" w:fill="F2F2F2"/>
          </w:tcPr>
          <w:p w14:paraId="4B76C7E1" w14:textId="77777777" w:rsidR="009C6940" w:rsidRDefault="009C6940" w:rsidP="009C6940">
            <w:pPr>
              <w:pStyle w:val="Box"/>
              <w:spacing w:before="0" w:line="120" w:lineRule="exact"/>
            </w:pPr>
          </w:p>
        </w:tc>
      </w:tr>
      <w:tr w:rsidR="009C6940" w:rsidRPr="000863A5" w14:paraId="3ED8F6A6" w14:textId="77777777" w:rsidTr="009C6940">
        <w:tc>
          <w:tcPr>
            <w:tcW w:w="5000" w:type="pct"/>
            <w:tcBorders>
              <w:top w:val="single" w:sz="6" w:space="0" w:color="78A22F"/>
              <w:left w:val="nil"/>
              <w:bottom w:val="nil"/>
              <w:right w:val="nil"/>
            </w:tcBorders>
          </w:tcPr>
          <w:p w14:paraId="4CBE6296" w14:textId="77777777" w:rsidR="009C6940" w:rsidRPr="00626D32" w:rsidRDefault="009C6940" w:rsidP="009C6940">
            <w:pPr>
              <w:pStyle w:val="BoxSpaceBelow"/>
            </w:pPr>
          </w:p>
        </w:tc>
      </w:tr>
    </w:tbl>
    <w:p w14:paraId="247B1633"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244B4D3" w14:textId="77777777" w:rsidTr="009C6940">
        <w:trPr>
          <w:tblHeader/>
        </w:trPr>
        <w:tc>
          <w:tcPr>
            <w:tcW w:w="5000" w:type="pct"/>
            <w:tcBorders>
              <w:top w:val="single" w:sz="6" w:space="0" w:color="78A22F"/>
              <w:left w:val="nil"/>
              <w:bottom w:val="nil"/>
              <w:right w:val="nil"/>
            </w:tcBorders>
            <w:shd w:val="clear" w:color="auto" w:fill="F2F2F2"/>
          </w:tcPr>
          <w:p w14:paraId="210F587A" w14:textId="77777777" w:rsidR="009C6940" w:rsidRPr="0024194C" w:rsidRDefault="009C6940" w:rsidP="009C6940">
            <w:pPr>
              <w:pStyle w:val="BoxHeading1"/>
              <w:tabs>
                <w:tab w:val="left" w:pos="1126"/>
              </w:tabs>
              <w:rPr>
                <w:sz w:val="24"/>
                <w:szCs w:val="24"/>
              </w:rPr>
            </w:pPr>
            <w:r>
              <w:rPr>
                <w:sz w:val="24"/>
                <w:szCs w:val="24"/>
              </w:rPr>
              <w:t>Action</w:t>
            </w:r>
            <w:r>
              <w:rPr>
                <w:sz w:val="24"/>
                <w:szCs w:val="24"/>
              </w:rPr>
              <w:tab/>
            </w:r>
            <w:r w:rsidRPr="0024194C">
              <w:rPr>
                <w:sz w:val="24"/>
                <w:szCs w:val="24"/>
              </w:rPr>
              <w:t>Additional mental health expenditure on prisoners</w:t>
            </w:r>
          </w:p>
          <w:p w14:paraId="64C211C4" w14:textId="77777777" w:rsidR="009C6940" w:rsidRDefault="009C6940" w:rsidP="009C6940">
            <w:pPr>
              <w:pStyle w:val="Box"/>
            </w:pPr>
            <w:r w:rsidRPr="00C93BE6">
              <w:t>Mental healthcare in correctional facilities should be equivalent to that in the community and mental healthcare should be continued seamlessly as people enter and leave correctional facilities.</w:t>
            </w:r>
          </w:p>
          <w:p w14:paraId="0430770E" w14:textId="77777777" w:rsidR="009C6940" w:rsidRDefault="009C6940" w:rsidP="009C6940">
            <w:pPr>
              <w:pStyle w:val="Box"/>
            </w:pPr>
            <w:r>
              <w:t xml:space="preserve">State and Territory Governments should ensure that: </w:t>
            </w:r>
          </w:p>
          <w:p w14:paraId="5254084F" w14:textId="77777777" w:rsidR="009C6940" w:rsidRDefault="009C6940" w:rsidP="009C6940">
            <w:pPr>
              <w:pStyle w:val="BoxListBullet"/>
              <w:numPr>
                <w:ilvl w:val="0"/>
                <w:numId w:val="3"/>
              </w:numPr>
            </w:pPr>
            <w:r>
              <w:t>there is mental health screening and assessment of all individuals (sentenced or un</w:t>
            </w:r>
            <w:r>
              <w:noBreakHyphen/>
              <w:t>sentenced) by a mental health professional on admission to correctional facilities, and on an ongoing basis where appropriate</w:t>
            </w:r>
          </w:p>
          <w:p w14:paraId="7CCFAFB0" w14:textId="77777777" w:rsidR="009C6940" w:rsidRDefault="009C6940" w:rsidP="009C6940">
            <w:pPr>
              <w:pStyle w:val="BoxListBullet"/>
              <w:numPr>
                <w:ilvl w:val="0"/>
                <w:numId w:val="3"/>
              </w:numPr>
            </w:pPr>
            <w:r>
              <w:t>mental health information obtained from screening and assessment is comprehensive enough to inform resourcing of mental health services in correctional facilities</w:t>
            </w:r>
          </w:p>
          <w:p w14:paraId="4693EFD8" w14:textId="77777777" w:rsidR="009C6940" w:rsidRDefault="009C6940" w:rsidP="009C6940">
            <w:pPr>
              <w:pStyle w:val="BoxListBullet"/>
              <w:numPr>
                <w:ilvl w:val="0"/>
                <w:numId w:val="3"/>
              </w:numPr>
            </w:pPr>
            <w:r>
              <w:t>with consent from the individual, there is communication with any of their community based mental health providers to further inform mental health needs</w:t>
            </w:r>
          </w:p>
          <w:p w14:paraId="34650384" w14:textId="77777777" w:rsidR="009C6940" w:rsidRPr="000C6859" w:rsidRDefault="009C6940" w:rsidP="009C6940">
            <w:pPr>
              <w:pStyle w:val="BoxListBullet"/>
              <w:numPr>
                <w:ilvl w:val="0"/>
                <w:numId w:val="3"/>
              </w:numPr>
            </w:pPr>
            <w:r>
              <w:t>individuals in correctional facilities are able to access timely and appropriate mental healthcare, that is equivalent to that in the community</w:t>
            </w:r>
          </w:p>
        </w:tc>
      </w:tr>
      <w:tr w:rsidR="009C6940" w14:paraId="5667D4D1" w14:textId="77777777" w:rsidTr="009C6940">
        <w:tc>
          <w:tcPr>
            <w:tcW w:w="5000" w:type="pct"/>
            <w:tcBorders>
              <w:top w:val="nil"/>
              <w:left w:val="nil"/>
              <w:bottom w:val="nil"/>
              <w:right w:val="nil"/>
            </w:tcBorders>
            <w:shd w:val="clear" w:color="auto" w:fill="F2F2F2"/>
          </w:tcPr>
          <w:p w14:paraId="40D9BC46" w14:textId="77777777" w:rsidR="009C6940" w:rsidRDefault="009C6940" w:rsidP="009C6940">
            <w:pPr>
              <w:pStyle w:val="BoxHeading1"/>
              <w:spacing w:before="120"/>
            </w:pPr>
            <w:r>
              <w:t>Population</w:t>
            </w:r>
          </w:p>
          <w:p w14:paraId="7C18970D" w14:textId="77777777" w:rsidR="009C6940" w:rsidRPr="00EC0A97" w:rsidRDefault="009C6940" w:rsidP="009C6940">
            <w:pPr>
              <w:pStyle w:val="Box"/>
            </w:pPr>
            <w:r>
              <w:t xml:space="preserve">The number of people in prison with mental illness was estimated using prisoner population data </w:t>
            </w:r>
            <w:r w:rsidRPr="00D80781">
              <w:rPr>
                <w:rFonts w:cs="Arial"/>
                <w:szCs w:val="24"/>
              </w:rPr>
              <w:t>(SCRGSP 2019)</w:t>
            </w:r>
            <w:r>
              <w:t xml:space="preserve"> and prevalence (of mental illness) data from State and Territory Governments and the AIHW prisoner health survey in table 16.1 </w:t>
            </w:r>
            <w:r w:rsidRPr="00D80781">
              <w:rPr>
                <w:rFonts w:cs="Arial"/>
                <w:szCs w:val="24"/>
              </w:rPr>
              <w:t>(AIHW 2019d; JHFMHN 2019; State and Territory Survey; Victorian Government, sub. 483)</w:t>
            </w:r>
            <w:r>
              <w:t>. It is estimated that there are about 17 200 people with mental illness in prisons, nationally.</w:t>
            </w:r>
          </w:p>
        </w:tc>
      </w:tr>
      <w:tr w:rsidR="009C6940" w14:paraId="593719ED" w14:textId="77777777" w:rsidTr="009C6940">
        <w:tc>
          <w:tcPr>
            <w:tcW w:w="5000" w:type="pct"/>
            <w:tcBorders>
              <w:top w:val="nil"/>
              <w:left w:val="nil"/>
              <w:bottom w:val="nil"/>
              <w:right w:val="nil"/>
            </w:tcBorders>
            <w:shd w:val="clear" w:color="auto" w:fill="F2F2F2"/>
          </w:tcPr>
          <w:p w14:paraId="685C42F2" w14:textId="77777777" w:rsidR="009C6940" w:rsidRDefault="009C6940" w:rsidP="009C6940">
            <w:pPr>
              <w:pStyle w:val="BoxHeading1"/>
              <w:spacing w:before="120"/>
            </w:pPr>
            <w:r>
              <w:t>Costs</w:t>
            </w:r>
          </w:p>
          <w:p w14:paraId="368122C5" w14:textId="77777777" w:rsidR="009C6940" w:rsidRDefault="009C6940" w:rsidP="009C6940">
            <w:pPr>
              <w:pStyle w:val="BoxListBullet"/>
              <w:numPr>
                <w:ilvl w:val="0"/>
                <w:numId w:val="3"/>
              </w:numPr>
            </w:pPr>
            <w:r>
              <w:t>Additional expenditure required to provide adequate care to people with mental illness in prison is calculated based on the Sainsbury Centre for Mental Health’s estimate that</w:t>
            </w:r>
            <w:r w:rsidRPr="00AA142B">
              <w:t xml:space="preserve"> 11</w:t>
            </w:r>
            <w:r>
              <w:t> </w:t>
            </w:r>
            <w:r w:rsidRPr="00AA142B">
              <w:t>FTE mental health workers per 550</w:t>
            </w:r>
            <w:r>
              <w:t> </w:t>
            </w:r>
            <w:r w:rsidRPr="00AA142B">
              <w:t>male prisoners</w:t>
            </w:r>
            <w:r>
              <w:t xml:space="preserve"> are required to provide prison mental healthcare that is equivalent to community services</w:t>
            </w:r>
            <w:r w:rsidDel="00E55010">
              <w:t xml:space="preserve"> </w:t>
            </w:r>
            <w:r w:rsidRPr="00D80781">
              <w:rPr>
                <w:rFonts w:cs="Arial"/>
                <w:szCs w:val="24"/>
              </w:rPr>
              <w:t>(Davidson et al. 2019)</w:t>
            </w:r>
            <w:r>
              <w:t>.</w:t>
            </w:r>
          </w:p>
          <w:p w14:paraId="131FA5C7" w14:textId="77777777" w:rsidR="009C6940" w:rsidRPr="006C0120" w:rsidRDefault="009C6940" w:rsidP="009C6940">
            <w:pPr>
              <w:pStyle w:val="BoxListBullet"/>
              <w:numPr>
                <w:ilvl w:val="0"/>
                <w:numId w:val="3"/>
              </w:numPr>
            </w:pPr>
            <w:r>
              <w:t>Funding required to meet this benchmark is based on information about the number of fully funded FTEs for mental health services currently in prisons by state from Davidson et al </w:t>
            </w:r>
            <w:r w:rsidRPr="00D80781">
              <w:rPr>
                <w:rFonts w:cs="Arial"/>
              </w:rPr>
              <w:t>(2019)</w:t>
            </w:r>
            <w:r>
              <w:t xml:space="preserve">, share of mental health expenditure as a proportion of total health expenditure </w:t>
            </w:r>
            <w:r w:rsidRPr="00D80781">
              <w:rPr>
                <w:rFonts w:cs="Arial"/>
                <w:szCs w:val="24"/>
              </w:rPr>
              <w:t>(AIHW 2020a)</w:t>
            </w:r>
            <w:r>
              <w:t xml:space="preserve">, and total health expenditure in prisons from </w:t>
            </w:r>
            <w:r w:rsidRPr="00D80781">
              <w:rPr>
                <w:rFonts w:cs="Arial"/>
                <w:szCs w:val="24"/>
              </w:rPr>
              <w:t>(SCRGSP 2019)</w:t>
            </w:r>
            <w:r>
              <w:t>.</w:t>
            </w:r>
          </w:p>
          <w:p w14:paraId="40277E56" w14:textId="77777777" w:rsidR="009C6940" w:rsidRDefault="009C6940">
            <w:pPr>
              <w:pStyle w:val="BoxListBullet"/>
              <w:numPr>
                <w:ilvl w:val="0"/>
                <w:numId w:val="3"/>
              </w:numPr>
            </w:pPr>
            <w:r>
              <w:t>Mental health expenditures on prisoners nationally should be about</w:t>
            </w:r>
            <w:r w:rsidRPr="00710CD5">
              <w:t xml:space="preserve"> </w:t>
            </w:r>
            <w:r>
              <w:t>five times greater (from $707 per prisoner to $3479) in order to meet this benchmark.</w:t>
            </w:r>
          </w:p>
          <w:p w14:paraId="4626882D" w14:textId="77777777" w:rsidR="009C6940" w:rsidRDefault="009C6940" w:rsidP="009C6940">
            <w:pPr>
              <w:pStyle w:val="BoxListBullet"/>
              <w:numPr>
                <w:ilvl w:val="0"/>
                <w:numId w:val="3"/>
              </w:numPr>
            </w:pPr>
            <w:r>
              <w:t>This implies additional expenditure of $47.8 million (2019 dollars).</w:t>
            </w:r>
          </w:p>
          <w:p w14:paraId="4F430582" w14:textId="77777777" w:rsidR="009C6940" w:rsidRPr="000C6859" w:rsidRDefault="009C6940" w:rsidP="009C6940">
            <w:pPr>
              <w:pStyle w:val="BoxListBullet"/>
              <w:numPr>
                <w:ilvl w:val="0"/>
                <w:numId w:val="3"/>
              </w:numPr>
            </w:pPr>
            <w:r>
              <w:t>However, when analysing at a state level and aggregating up, the estimate for additional expenditure is higher, at about</w:t>
            </w:r>
            <w:r w:rsidRPr="00710CD5">
              <w:t xml:space="preserve"> </w:t>
            </w:r>
            <w:r>
              <w:t>$109.8 million (2019 dollars). This is because, at a state level, the required increase to meet the FTE benchmark can be much higher than the national average estimate (five times greater). For example, in New South Wales, the estimated increase required is over 10 times.</w:t>
            </w:r>
          </w:p>
        </w:tc>
      </w:tr>
      <w:tr w:rsidR="009C6940" w14:paraId="0C5BFAF0" w14:textId="77777777" w:rsidTr="009C6940">
        <w:tc>
          <w:tcPr>
            <w:tcW w:w="5000" w:type="pct"/>
            <w:tcBorders>
              <w:top w:val="nil"/>
              <w:left w:val="nil"/>
              <w:bottom w:val="nil"/>
              <w:right w:val="nil"/>
            </w:tcBorders>
            <w:shd w:val="clear" w:color="auto" w:fill="F2F2F2"/>
          </w:tcPr>
          <w:p w14:paraId="31EA80CD"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5782EFCC" w14:textId="77777777" w:rsidTr="009C6940">
        <w:tc>
          <w:tcPr>
            <w:tcW w:w="5000" w:type="pct"/>
            <w:tcBorders>
              <w:top w:val="nil"/>
              <w:left w:val="nil"/>
              <w:bottom w:val="single" w:sz="6" w:space="0" w:color="78A22F"/>
              <w:right w:val="nil"/>
            </w:tcBorders>
            <w:shd w:val="clear" w:color="auto" w:fill="F2F2F2"/>
          </w:tcPr>
          <w:p w14:paraId="3FB68116" w14:textId="77777777" w:rsidR="009C6940" w:rsidRDefault="009C6940" w:rsidP="009C6940">
            <w:pPr>
              <w:pStyle w:val="Box"/>
              <w:spacing w:before="0" w:line="120" w:lineRule="exact"/>
            </w:pPr>
          </w:p>
        </w:tc>
      </w:tr>
      <w:tr w:rsidR="009C6940" w:rsidRPr="000863A5" w14:paraId="20D6F6E3" w14:textId="77777777" w:rsidTr="009C6940">
        <w:tc>
          <w:tcPr>
            <w:tcW w:w="5000" w:type="pct"/>
            <w:tcBorders>
              <w:top w:val="single" w:sz="6" w:space="0" w:color="78A22F"/>
              <w:left w:val="nil"/>
              <w:bottom w:val="nil"/>
              <w:right w:val="nil"/>
            </w:tcBorders>
          </w:tcPr>
          <w:p w14:paraId="553657E6" w14:textId="77777777" w:rsidR="009C6940" w:rsidRPr="00626D32" w:rsidRDefault="009C6940" w:rsidP="009C6940">
            <w:pPr>
              <w:pStyle w:val="BoxSpaceBelow"/>
            </w:pPr>
          </w:p>
        </w:tc>
      </w:tr>
    </w:tbl>
    <w:p w14:paraId="71CA1E41" w14:textId="77777777" w:rsidR="009C6940" w:rsidRDefault="009C6940" w:rsidP="009C6940"/>
    <w:p w14:paraId="71F7A1DD"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00097C3" w14:textId="77777777" w:rsidTr="009C6940">
        <w:trPr>
          <w:tblHeader/>
        </w:trPr>
        <w:tc>
          <w:tcPr>
            <w:tcW w:w="5000" w:type="pct"/>
            <w:tcBorders>
              <w:top w:val="single" w:sz="6" w:space="0" w:color="78A22F"/>
              <w:left w:val="nil"/>
              <w:bottom w:val="nil"/>
              <w:right w:val="nil"/>
            </w:tcBorders>
            <w:shd w:val="clear" w:color="auto" w:fill="F2F2F2"/>
          </w:tcPr>
          <w:p w14:paraId="44099E09" w14:textId="77777777" w:rsidR="009C6940" w:rsidRPr="0024194C" w:rsidRDefault="009C6940" w:rsidP="009C6940">
            <w:pPr>
              <w:pStyle w:val="BoxHeading1"/>
              <w:tabs>
                <w:tab w:val="left" w:pos="1144"/>
              </w:tabs>
              <w:rPr>
                <w:sz w:val="24"/>
                <w:szCs w:val="24"/>
              </w:rPr>
            </w:pPr>
            <w:r>
              <w:rPr>
                <w:sz w:val="24"/>
                <w:szCs w:val="24"/>
              </w:rPr>
              <w:t>Action</w:t>
            </w:r>
            <w:r>
              <w:rPr>
                <w:sz w:val="24"/>
                <w:szCs w:val="24"/>
              </w:rPr>
              <w:tab/>
            </w:r>
            <w:r w:rsidRPr="0024194C">
              <w:rPr>
                <w:sz w:val="24"/>
                <w:szCs w:val="24"/>
              </w:rPr>
              <w:t xml:space="preserve">Additional mental health expenditure on prisoners </w:t>
            </w:r>
            <w:r w:rsidRPr="00A7274B">
              <w:rPr>
                <w:rStyle w:val="Continuedintitle"/>
              </w:rPr>
              <w:t>(continued)</w:t>
            </w:r>
          </w:p>
        </w:tc>
      </w:tr>
      <w:tr w:rsidR="009C6940" w14:paraId="1277F981" w14:textId="77777777" w:rsidTr="009C6940">
        <w:tc>
          <w:tcPr>
            <w:tcW w:w="5000" w:type="pct"/>
            <w:tcBorders>
              <w:top w:val="nil"/>
              <w:left w:val="nil"/>
              <w:bottom w:val="nil"/>
              <w:right w:val="nil"/>
            </w:tcBorders>
            <w:shd w:val="clear" w:color="auto" w:fill="F2F2F2"/>
          </w:tcPr>
          <w:p w14:paraId="71CADB2B" w14:textId="77777777" w:rsidR="009C6940" w:rsidRDefault="009C6940" w:rsidP="009C6940">
            <w:pPr>
              <w:pStyle w:val="BoxHeading1"/>
              <w:spacing w:before="120"/>
            </w:pPr>
            <w:r>
              <w:t>Additional considerations</w:t>
            </w:r>
          </w:p>
          <w:p w14:paraId="0E46FDD4" w14:textId="77777777" w:rsidR="009C6940" w:rsidRDefault="009C6940" w:rsidP="009C6940">
            <w:pPr>
              <w:pStyle w:val="BoxListBullet"/>
              <w:numPr>
                <w:ilvl w:val="0"/>
                <w:numId w:val="3"/>
              </w:numPr>
            </w:pPr>
            <w:r>
              <w:t xml:space="preserve">State data on the number of fully funded FTEs for mental healthcare in prisons has several limitations. First, data had to be imputed for Victoria and South Australia. Second, the data is not directly comparable across states owing to different services delivery models. Third, data for some jurisdictions underestimate the number of FTEs. For example, in New South Wales psychology services are provided by Corrective Services (not Justice Health services), which was not included in the FTE count </w:t>
            </w:r>
            <w:r w:rsidRPr="00D80781">
              <w:rPr>
                <w:rFonts w:cs="Arial"/>
                <w:szCs w:val="24"/>
              </w:rPr>
              <w:t>(Davidson et al. 2019)</w:t>
            </w:r>
            <w:r>
              <w:t>. Additionally, in South Australia, visiting consultants provide mental healthcare are not included in the FTE count.</w:t>
            </w:r>
          </w:p>
          <w:p w14:paraId="54847592" w14:textId="77777777" w:rsidR="009C6940" w:rsidRPr="00896B5F" w:rsidRDefault="009C6940" w:rsidP="009C6940">
            <w:pPr>
              <w:pStyle w:val="BoxListBullet"/>
              <w:numPr>
                <w:ilvl w:val="0"/>
                <w:numId w:val="3"/>
              </w:numPr>
              <w:rPr>
                <w:spacing w:val="-2"/>
              </w:rPr>
            </w:pPr>
            <w:r w:rsidRPr="00896B5F">
              <w:rPr>
                <w:spacing w:val="-2"/>
              </w:rPr>
              <w:t xml:space="preserve">Current mental health expenditure in prisons is estimated on the basis of reported health expenditure in prisons and the assumption that 7.6% of health expenditure is on mental health (as is the case in the community) </w:t>
            </w:r>
            <w:r w:rsidRPr="00896B5F">
              <w:rPr>
                <w:rFonts w:cs="Arial"/>
                <w:spacing w:val="-2"/>
                <w:szCs w:val="24"/>
              </w:rPr>
              <w:t>(AIHW 2020a)</w:t>
            </w:r>
            <w:r w:rsidRPr="00896B5F">
              <w:rPr>
                <w:spacing w:val="-2"/>
              </w:rPr>
              <w:t xml:space="preserve">. This might not be the case in practice and may differ across states and territories. Where mental health expenditure is less than 7.6% of all health expenditure, the amount of funding required to meet the FTE benchmark will be higher. </w:t>
            </w:r>
          </w:p>
          <w:p w14:paraId="789F4DC8" w14:textId="77777777" w:rsidR="009C6940" w:rsidRPr="000C6859" w:rsidRDefault="009C6940" w:rsidP="009C6940">
            <w:pPr>
              <w:pStyle w:val="BoxListBullet"/>
              <w:numPr>
                <w:ilvl w:val="0"/>
                <w:numId w:val="3"/>
              </w:numPr>
            </w:pPr>
            <w:r>
              <w:t>Prevalence data had to be imputed for Tasmania, the Northern Territory and the ACT.</w:t>
            </w:r>
          </w:p>
        </w:tc>
      </w:tr>
      <w:tr w:rsidR="009C6940" w14:paraId="12C5EF54" w14:textId="77777777" w:rsidTr="009C6940">
        <w:tc>
          <w:tcPr>
            <w:tcW w:w="5000" w:type="pct"/>
            <w:tcBorders>
              <w:top w:val="nil"/>
              <w:left w:val="nil"/>
              <w:bottom w:val="single" w:sz="6" w:space="0" w:color="78A22F"/>
              <w:right w:val="nil"/>
            </w:tcBorders>
            <w:shd w:val="clear" w:color="auto" w:fill="F2F2F2"/>
          </w:tcPr>
          <w:p w14:paraId="1FAB897B" w14:textId="77777777" w:rsidR="009C6940" w:rsidRDefault="009C6940" w:rsidP="009C6940">
            <w:pPr>
              <w:pStyle w:val="Box"/>
              <w:spacing w:before="0" w:line="120" w:lineRule="exact"/>
            </w:pPr>
          </w:p>
        </w:tc>
      </w:tr>
      <w:tr w:rsidR="009C6940" w:rsidRPr="000863A5" w14:paraId="67726725" w14:textId="77777777" w:rsidTr="009C6940">
        <w:tc>
          <w:tcPr>
            <w:tcW w:w="5000" w:type="pct"/>
            <w:tcBorders>
              <w:top w:val="single" w:sz="6" w:space="0" w:color="78A22F"/>
              <w:left w:val="nil"/>
              <w:bottom w:val="nil"/>
              <w:right w:val="nil"/>
            </w:tcBorders>
          </w:tcPr>
          <w:p w14:paraId="4E7B3378" w14:textId="77777777" w:rsidR="009C6940" w:rsidRPr="00626D32" w:rsidRDefault="009C6940" w:rsidP="009C6940">
            <w:pPr>
              <w:pStyle w:val="BoxSpaceBelow"/>
            </w:pPr>
          </w:p>
        </w:tc>
      </w:tr>
    </w:tbl>
    <w:p w14:paraId="2AEBED81" w14:textId="77777777" w:rsidR="009C6940" w:rsidRDefault="009C6940" w:rsidP="009C6940">
      <w:pPr>
        <w:pStyle w:val="BoxSpaceAbove"/>
        <w:pageBreakBefor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91ABC15" w14:textId="77777777" w:rsidTr="009C6940">
        <w:trPr>
          <w:tblHeader/>
        </w:trPr>
        <w:tc>
          <w:tcPr>
            <w:tcW w:w="5000" w:type="pct"/>
            <w:tcBorders>
              <w:top w:val="single" w:sz="6" w:space="0" w:color="78A22F"/>
              <w:left w:val="nil"/>
              <w:bottom w:val="nil"/>
              <w:right w:val="nil"/>
            </w:tcBorders>
            <w:shd w:val="clear" w:color="auto" w:fill="F2F2F2"/>
          </w:tcPr>
          <w:p w14:paraId="38033964" w14:textId="77777777" w:rsidR="009C6940" w:rsidRPr="0024194C" w:rsidRDefault="009C6940" w:rsidP="009C6940">
            <w:pPr>
              <w:pStyle w:val="BoxHeading1"/>
              <w:tabs>
                <w:tab w:val="left" w:pos="1109"/>
              </w:tabs>
              <w:rPr>
                <w:sz w:val="24"/>
                <w:szCs w:val="24"/>
              </w:rPr>
            </w:pPr>
            <w:r>
              <w:rPr>
                <w:sz w:val="24"/>
                <w:szCs w:val="24"/>
              </w:rPr>
              <w:t>Action</w:t>
            </w:r>
            <w:r>
              <w:rPr>
                <w:sz w:val="24"/>
                <w:szCs w:val="24"/>
              </w:rPr>
              <w:tab/>
            </w:r>
            <w:r w:rsidRPr="0024194C">
              <w:rPr>
                <w:sz w:val="24"/>
                <w:szCs w:val="24"/>
              </w:rPr>
              <w:t>Aboriginal and Torres Strait Islander prisoner expenditure</w:t>
            </w:r>
          </w:p>
          <w:p w14:paraId="6EBD8EC3" w14:textId="77777777" w:rsidR="009C6940" w:rsidRPr="00896B5F" w:rsidRDefault="009C6940" w:rsidP="009C6940">
            <w:pPr>
              <w:pStyle w:val="Box"/>
              <w:rPr>
                <w:spacing w:val="-4"/>
              </w:rPr>
            </w:pPr>
            <w:r w:rsidRPr="00896B5F">
              <w:rPr>
                <w:spacing w:val="-4"/>
              </w:rPr>
              <w:t xml:space="preserve">State and Territory Governments should ensure Aboriginal and Torres Strait Islander people in correctional facilities have access to mental health supports and services that are culturally appropriate. </w:t>
            </w:r>
          </w:p>
        </w:tc>
      </w:tr>
      <w:tr w:rsidR="009C6940" w14:paraId="69A94F2A" w14:textId="77777777" w:rsidTr="009C6940">
        <w:tc>
          <w:tcPr>
            <w:tcW w:w="5000" w:type="pct"/>
            <w:tcBorders>
              <w:top w:val="nil"/>
              <w:left w:val="nil"/>
              <w:bottom w:val="nil"/>
              <w:right w:val="nil"/>
            </w:tcBorders>
            <w:shd w:val="clear" w:color="auto" w:fill="F2F2F2"/>
          </w:tcPr>
          <w:p w14:paraId="11AE6B8A" w14:textId="77777777" w:rsidR="009C6940" w:rsidRDefault="009C6940" w:rsidP="009C6940">
            <w:pPr>
              <w:pStyle w:val="BoxHeading1"/>
              <w:spacing w:before="120"/>
            </w:pPr>
            <w:r>
              <w:t>Population</w:t>
            </w:r>
          </w:p>
          <w:p w14:paraId="6B6054FD" w14:textId="77777777" w:rsidR="009C6940" w:rsidRPr="00EC0A97" w:rsidRDefault="009C6940" w:rsidP="009C6940">
            <w:pPr>
              <w:pStyle w:val="Box"/>
            </w:pPr>
            <w:r>
              <w:t xml:space="preserve">The number of Aboriginal and Torres Strait Islander people in prison is about 12 000 nationally </w:t>
            </w:r>
            <w:r w:rsidRPr="00D80781">
              <w:rPr>
                <w:rFonts w:cs="Arial"/>
                <w:szCs w:val="24"/>
              </w:rPr>
              <w:t>(SCRGSP 2019)</w:t>
            </w:r>
            <w:r>
              <w:t xml:space="preserve">. The number of Aboriginal and Torres Strait Islander people in prison with mental illness was not estimated, as the Winnunga Model of Care aims to address health and mental health needs for all Aboriginal and Torres Strait Islander people detained in the ACT’s Alexander Maconochie Centre </w:t>
            </w:r>
            <w:r w:rsidRPr="00D80781">
              <w:rPr>
                <w:rFonts w:cs="Arial"/>
                <w:szCs w:val="24"/>
              </w:rPr>
              <w:t>(Winnunga AHCS 2016)</w:t>
            </w:r>
            <w:r>
              <w:t xml:space="preserve">. </w:t>
            </w:r>
          </w:p>
        </w:tc>
      </w:tr>
      <w:tr w:rsidR="009C6940" w14:paraId="6E320C62" w14:textId="77777777" w:rsidTr="009C6940">
        <w:tc>
          <w:tcPr>
            <w:tcW w:w="5000" w:type="pct"/>
            <w:tcBorders>
              <w:top w:val="nil"/>
              <w:left w:val="nil"/>
              <w:bottom w:val="nil"/>
              <w:right w:val="nil"/>
            </w:tcBorders>
            <w:shd w:val="clear" w:color="auto" w:fill="F2F2F2"/>
          </w:tcPr>
          <w:p w14:paraId="1F4EF5C5" w14:textId="77777777" w:rsidR="009C6940" w:rsidRPr="000C6859" w:rsidRDefault="009C6940" w:rsidP="009C6940">
            <w:pPr>
              <w:pStyle w:val="BoxHeading1"/>
              <w:spacing w:before="120"/>
            </w:pPr>
            <w:r>
              <w:t>Costs</w:t>
            </w:r>
          </w:p>
          <w:p w14:paraId="3337558B" w14:textId="77777777" w:rsidR="009C6940" w:rsidRDefault="009C6940" w:rsidP="009C6940">
            <w:pPr>
              <w:pStyle w:val="BoxListBullet"/>
              <w:numPr>
                <w:ilvl w:val="0"/>
                <w:numId w:val="3"/>
              </w:numPr>
            </w:pPr>
            <w:r>
              <w:t xml:space="preserve">The cost of the ACT’s Winnunga Model of Care at the Alexander Maconochie Centre </w:t>
            </w:r>
            <w:r w:rsidRPr="00D80781">
              <w:rPr>
                <w:rFonts w:cs="Arial"/>
                <w:szCs w:val="24"/>
              </w:rPr>
              <w:t>(Winnunga AHCS 2016)</w:t>
            </w:r>
            <w:r>
              <w:t xml:space="preserve"> is estimated to be about $1.5 million (2017</w:t>
            </w:r>
            <w:r>
              <w:noBreakHyphen/>
              <w:t>18 dollars) per year, for about 110 Indigenous prisoners in 2018</w:t>
            </w:r>
            <w:r>
              <w:noBreakHyphen/>
              <w:t xml:space="preserve">19 </w:t>
            </w:r>
            <w:r w:rsidRPr="00D80781">
              <w:rPr>
                <w:rFonts w:cs="Arial"/>
                <w:szCs w:val="24"/>
              </w:rPr>
              <w:t>(SCRGSP 2019)</w:t>
            </w:r>
            <w:r>
              <w:t>. This implies an estimated cost per Indigenous prisoner of $14 332 (2019 dollars).</w:t>
            </w:r>
          </w:p>
          <w:p w14:paraId="6CD97A34" w14:textId="77777777" w:rsidR="009C6940" w:rsidRPr="000C6859" w:rsidRDefault="009C6940" w:rsidP="009C6940">
            <w:pPr>
              <w:pStyle w:val="BoxListBullet"/>
              <w:numPr>
                <w:ilvl w:val="0"/>
                <w:numId w:val="3"/>
              </w:numPr>
            </w:pPr>
            <w:r>
              <w:t>Across Australia, there are about</w:t>
            </w:r>
            <w:r w:rsidRPr="00710CD5">
              <w:t xml:space="preserve"> </w:t>
            </w:r>
            <w:r>
              <w:t xml:space="preserve">12 000 Indigenous prisoners </w:t>
            </w:r>
            <w:r w:rsidRPr="00D80781">
              <w:rPr>
                <w:rFonts w:cs="Arial"/>
                <w:szCs w:val="24"/>
              </w:rPr>
              <w:t>(SCRGSP 2019)</w:t>
            </w:r>
            <w:r>
              <w:t>, implying a total additional cost of about</w:t>
            </w:r>
            <w:r w:rsidRPr="00710CD5">
              <w:t xml:space="preserve"> </w:t>
            </w:r>
            <w:r>
              <w:t>$170.2 million (2019 dollars) if rolled out nationally.</w:t>
            </w:r>
          </w:p>
        </w:tc>
      </w:tr>
      <w:tr w:rsidR="009C6940" w14:paraId="5F338FB9" w14:textId="77777777" w:rsidTr="009C6940">
        <w:tc>
          <w:tcPr>
            <w:tcW w:w="5000" w:type="pct"/>
            <w:tcBorders>
              <w:top w:val="nil"/>
              <w:left w:val="nil"/>
              <w:bottom w:val="nil"/>
              <w:right w:val="nil"/>
            </w:tcBorders>
            <w:shd w:val="clear" w:color="auto" w:fill="F2F2F2"/>
          </w:tcPr>
          <w:p w14:paraId="1111F03C" w14:textId="77777777" w:rsidR="009C6940" w:rsidRDefault="009C6940" w:rsidP="009C6940">
            <w:pPr>
              <w:pStyle w:val="BoxHeading1"/>
              <w:spacing w:before="120"/>
            </w:pPr>
            <w:r>
              <w:t>Additional considerations</w:t>
            </w:r>
          </w:p>
          <w:p w14:paraId="7839DF2C" w14:textId="77777777" w:rsidR="009C6940" w:rsidRPr="00896B5F" w:rsidRDefault="009C6940" w:rsidP="009C6940">
            <w:pPr>
              <w:pStyle w:val="Box"/>
              <w:rPr>
                <w:spacing w:val="2"/>
              </w:rPr>
            </w:pPr>
            <w:r w:rsidRPr="00896B5F">
              <w:rPr>
                <w:spacing w:val="2"/>
              </w:rPr>
              <w:t xml:space="preserve">This recommended action is about ensuring Aboriginal and Torres Strait Islander people in correctional facilities have access to mental health supports that are culturally appropriate. However, the estimated cost is based on just one type of model that could be implemented. There are other models of care, such as South Australia’s Model of Care for Aboriginal Prisoner Health and Wellbeing </w:t>
            </w:r>
            <w:r w:rsidRPr="00896B5F">
              <w:rPr>
                <w:rFonts w:cs="Arial"/>
                <w:spacing w:val="2"/>
                <w:szCs w:val="24"/>
              </w:rPr>
              <w:t>(Sivak et al. 2017)</w:t>
            </w:r>
            <w:r w:rsidRPr="00896B5F">
              <w:rPr>
                <w:spacing w:val="2"/>
              </w:rPr>
              <w:t>. Costs would differ based on the model of care implemented in each state.</w:t>
            </w:r>
          </w:p>
        </w:tc>
      </w:tr>
      <w:tr w:rsidR="009C6940" w14:paraId="7FAC4C07" w14:textId="77777777" w:rsidTr="009C6940">
        <w:tc>
          <w:tcPr>
            <w:tcW w:w="5000" w:type="pct"/>
            <w:tcBorders>
              <w:top w:val="nil"/>
              <w:left w:val="nil"/>
              <w:bottom w:val="single" w:sz="6" w:space="0" w:color="78A22F"/>
              <w:right w:val="nil"/>
            </w:tcBorders>
            <w:shd w:val="clear" w:color="auto" w:fill="F2F2F2"/>
          </w:tcPr>
          <w:p w14:paraId="581D860B" w14:textId="77777777" w:rsidR="009C6940" w:rsidRDefault="009C6940" w:rsidP="009C6940">
            <w:pPr>
              <w:pStyle w:val="Box"/>
              <w:spacing w:before="0" w:line="120" w:lineRule="exact"/>
            </w:pPr>
          </w:p>
        </w:tc>
      </w:tr>
      <w:tr w:rsidR="009C6940" w:rsidRPr="000863A5" w14:paraId="2B5E39E9" w14:textId="77777777" w:rsidTr="009C6940">
        <w:tc>
          <w:tcPr>
            <w:tcW w:w="5000" w:type="pct"/>
            <w:tcBorders>
              <w:top w:val="single" w:sz="6" w:space="0" w:color="78A22F"/>
              <w:left w:val="nil"/>
              <w:bottom w:val="nil"/>
              <w:right w:val="nil"/>
            </w:tcBorders>
          </w:tcPr>
          <w:p w14:paraId="0FEDA84D" w14:textId="77777777" w:rsidR="009C6940" w:rsidRPr="00626D32" w:rsidRDefault="009C6940" w:rsidP="009C6940">
            <w:pPr>
              <w:pStyle w:val="BoxSpaceBelow"/>
            </w:pPr>
          </w:p>
        </w:tc>
      </w:tr>
    </w:tbl>
    <w:p w14:paraId="58E0725D"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C528D16" w14:textId="77777777" w:rsidTr="009C6940">
        <w:trPr>
          <w:tblHeader/>
        </w:trPr>
        <w:tc>
          <w:tcPr>
            <w:tcW w:w="5000" w:type="pct"/>
            <w:tcBorders>
              <w:top w:val="single" w:sz="6" w:space="0" w:color="78A22F"/>
              <w:left w:val="nil"/>
              <w:bottom w:val="nil"/>
              <w:right w:val="nil"/>
            </w:tcBorders>
            <w:shd w:val="clear" w:color="auto" w:fill="F2F2F2"/>
          </w:tcPr>
          <w:p w14:paraId="35904801" w14:textId="77777777" w:rsidR="009C6940" w:rsidRPr="0024194C" w:rsidRDefault="009C6940" w:rsidP="009C6940">
            <w:pPr>
              <w:pStyle w:val="BoxHeading1"/>
              <w:tabs>
                <w:tab w:val="left" w:pos="1092"/>
              </w:tabs>
              <w:rPr>
                <w:sz w:val="24"/>
                <w:szCs w:val="24"/>
              </w:rPr>
            </w:pPr>
            <w:r>
              <w:rPr>
                <w:sz w:val="24"/>
                <w:szCs w:val="24"/>
              </w:rPr>
              <w:t>Action</w:t>
            </w:r>
            <w:r>
              <w:rPr>
                <w:sz w:val="24"/>
                <w:szCs w:val="24"/>
              </w:rPr>
              <w:tab/>
            </w:r>
            <w:r w:rsidRPr="0024194C">
              <w:rPr>
                <w:sz w:val="24"/>
                <w:szCs w:val="24"/>
              </w:rPr>
              <w:t>Health justice partnerships</w:t>
            </w:r>
          </w:p>
          <w:p w14:paraId="7B272F9E" w14:textId="77777777" w:rsidR="009C6940" w:rsidRPr="00C93BE6" w:rsidRDefault="009C6940" w:rsidP="009C6940">
            <w:pPr>
              <w:pStyle w:val="Box"/>
            </w:pPr>
            <w:r w:rsidRPr="00C93BE6">
              <w:t>State and Territory Governments should fund pilot programs of multi</w:t>
            </w:r>
            <w:r>
              <w:noBreakHyphen/>
            </w:r>
            <w:r w:rsidRPr="00C93BE6">
              <w:t>site (rather than just single</w:t>
            </w:r>
            <w:r>
              <w:noBreakHyphen/>
            </w:r>
            <w:r w:rsidRPr="00C93BE6">
              <w:t>site) health justice partnerships to:</w:t>
            </w:r>
          </w:p>
          <w:p w14:paraId="295AB7C3" w14:textId="77777777" w:rsidR="009C6940" w:rsidRPr="00C93BE6" w:rsidRDefault="009C6940" w:rsidP="009C6940">
            <w:pPr>
              <w:pStyle w:val="BoxListBullet"/>
              <w:numPr>
                <w:ilvl w:val="0"/>
                <w:numId w:val="3"/>
              </w:numPr>
            </w:pPr>
            <w:r w:rsidRPr="00C93BE6">
              <w:t>improve access to legal services for people with mental illness</w:t>
            </w:r>
          </w:p>
          <w:p w14:paraId="184874F5" w14:textId="77777777" w:rsidR="009C6940" w:rsidRPr="00C93BE6" w:rsidRDefault="009C6940" w:rsidP="009C6940">
            <w:pPr>
              <w:pStyle w:val="BoxListBullet"/>
              <w:numPr>
                <w:ilvl w:val="0"/>
                <w:numId w:val="3"/>
              </w:numPr>
            </w:pPr>
            <w:r w:rsidRPr="00C93BE6">
              <w:t>enable larger volumes of data to be collected, for more rigorous evaluation, to build the evidence base</w:t>
            </w:r>
          </w:p>
          <w:p w14:paraId="2EBB8890" w14:textId="77777777" w:rsidR="009C6940" w:rsidRPr="00C93BE6" w:rsidRDefault="009C6940" w:rsidP="009C6940">
            <w:pPr>
              <w:pStyle w:val="BoxListBullet"/>
              <w:numPr>
                <w:ilvl w:val="0"/>
                <w:numId w:val="3"/>
              </w:numPr>
            </w:pPr>
            <w:r w:rsidRPr="00C93BE6">
              <w:t xml:space="preserve">inform future policy and program development in this area. </w:t>
            </w:r>
          </w:p>
          <w:p w14:paraId="6B72C092" w14:textId="77777777" w:rsidR="009C6940" w:rsidRPr="000C6859" w:rsidRDefault="009C6940" w:rsidP="009C6940">
            <w:pPr>
              <w:pStyle w:val="Box"/>
            </w:pPr>
            <w:r w:rsidRPr="00C93BE6">
              <w:t>State and Territory Governments should consult with relevant stakeholders to ensure a coordinated approach.</w:t>
            </w:r>
          </w:p>
        </w:tc>
      </w:tr>
      <w:tr w:rsidR="009C6940" w14:paraId="3505F634" w14:textId="77777777" w:rsidTr="009C6940">
        <w:tc>
          <w:tcPr>
            <w:tcW w:w="5000" w:type="pct"/>
            <w:tcBorders>
              <w:top w:val="nil"/>
              <w:left w:val="nil"/>
              <w:bottom w:val="nil"/>
              <w:right w:val="nil"/>
            </w:tcBorders>
            <w:shd w:val="clear" w:color="auto" w:fill="F2F2F2"/>
          </w:tcPr>
          <w:p w14:paraId="75FB5C21" w14:textId="77777777" w:rsidR="009C6940" w:rsidRPr="000C6859" w:rsidRDefault="009C6940" w:rsidP="009C6940">
            <w:pPr>
              <w:pStyle w:val="BoxHeading1"/>
              <w:spacing w:before="120"/>
            </w:pPr>
            <w:r>
              <w:t>Costs</w:t>
            </w:r>
          </w:p>
          <w:p w14:paraId="470A67B5" w14:textId="77777777" w:rsidR="009C6940" w:rsidRDefault="009C6940" w:rsidP="009C6940">
            <w:pPr>
              <w:pStyle w:val="BoxListBullet"/>
              <w:numPr>
                <w:ilvl w:val="0"/>
                <w:numId w:val="3"/>
              </w:numPr>
            </w:pPr>
            <w:r>
              <w:t xml:space="preserve">Estimated using the cost of Mind Australia’s pilot in Victoria, which was $430 000 </w:t>
            </w:r>
            <w:r w:rsidRPr="00EA05C6">
              <w:t>over two and a half years</w:t>
            </w:r>
            <w:r>
              <w:t xml:space="preserve"> (2018 dollars) </w:t>
            </w:r>
            <w:r w:rsidRPr="00D80781">
              <w:rPr>
                <w:rFonts w:cs="Arial"/>
                <w:szCs w:val="24"/>
              </w:rPr>
              <w:t>(LSBC 2019)</w:t>
            </w:r>
            <w:r>
              <w:t>.</w:t>
            </w:r>
          </w:p>
          <w:p w14:paraId="75395F32" w14:textId="77777777" w:rsidR="009C6940" w:rsidRPr="000C6859" w:rsidRDefault="009C6940" w:rsidP="009C6940">
            <w:pPr>
              <w:pStyle w:val="BoxListBullet"/>
              <w:numPr>
                <w:ilvl w:val="0"/>
                <w:numId w:val="3"/>
              </w:numPr>
            </w:pPr>
            <w:r>
              <w:t>Assuming that this can be scaled up across all other states and territories, the cost is about</w:t>
            </w:r>
            <w:r w:rsidRPr="00710CD5">
              <w:t xml:space="preserve"> </w:t>
            </w:r>
            <w:r>
              <w:t>$1.2 </w:t>
            </w:r>
            <w:r w:rsidRPr="00EA05C6">
              <w:t>million</w:t>
            </w:r>
            <w:r>
              <w:t xml:space="preserve"> per year (2019 dollars).</w:t>
            </w:r>
          </w:p>
        </w:tc>
      </w:tr>
      <w:tr w:rsidR="009C6940" w14:paraId="09F8D802" w14:textId="77777777" w:rsidTr="009C6940">
        <w:tc>
          <w:tcPr>
            <w:tcW w:w="5000" w:type="pct"/>
            <w:tcBorders>
              <w:top w:val="nil"/>
              <w:left w:val="nil"/>
              <w:bottom w:val="nil"/>
              <w:right w:val="nil"/>
            </w:tcBorders>
            <w:shd w:val="clear" w:color="auto" w:fill="F2F2F2"/>
          </w:tcPr>
          <w:p w14:paraId="40C2F83D" w14:textId="77777777" w:rsidR="009C6940" w:rsidRDefault="009C6940" w:rsidP="009C6940">
            <w:pPr>
              <w:pStyle w:val="BoxHeading1"/>
              <w:spacing w:before="120"/>
            </w:pPr>
            <w:r>
              <w:t>Additional considerations</w:t>
            </w:r>
          </w:p>
          <w:p w14:paraId="12BA23B7" w14:textId="77777777" w:rsidR="009C6940" w:rsidRPr="000C6859" w:rsidRDefault="009C6940" w:rsidP="009C6940">
            <w:pPr>
              <w:pStyle w:val="Box"/>
            </w:pPr>
            <w:r>
              <w:t>The cost of establishing pilot programs in other states and territories may differ from Mind Australia’s pilot in Victoria, which is funding a multi</w:t>
            </w:r>
            <w:r>
              <w:noBreakHyphen/>
              <w:t xml:space="preserve">site partnership between Mind Australia’s mental health services and about six community legal services </w:t>
            </w:r>
            <w:r w:rsidRPr="00D80781">
              <w:rPr>
                <w:rFonts w:cs="Arial"/>
                <w:szCs w:val="24"/>
              </w:rPr>
              <w:t>(Mind Australia 2018; sub. 380)</w:t>
            </w:r>
            <w:r>
              <w:t>.</w:t>
            </w:r>
          </w:p>
        </w:tc>
      </w:tr>
      <w:tr w:rsidR="009C6940" w14:paraId="128CFEB6" w14:textId="77777777" w:rsidTr="009C6940">
        <w:tc>
          <w:tcPr>
            <w:tcW w:w="5000" w:type="pct"/>
            <w:tcBorders>
              <w:top w:val="nil"/>
              <w:left w:val="nil"/>
              <w:bottom w:val="single" w:sz="6" w:space="0" w:color="78A22F"/>
              <w:right w:val="nil"/>
            </w:tcBorders>
            <w:shd w:val="clear" w:color="auto" w:fill="F2F2F2"/>
          </w:tcPr>
          <w:p w14:paraId="2A8384DE" w14:textId="77777777" w:rsidR="009C6940" w:rsidRDefault="009C6940" w:rsidP="009C6940">
            <w:pPr>
              <w:pStyle w:val="Box"/>
              <w:spacing w:before="0" w:line="120" w:lineRule="exact"/>
            </w:pPr>
          </w:p>
        </w:tc>
      </w:tr>
      <w:tr w:rsidR="009C6940" w:rsidRPr="000863A5" w14:paraId="10E426E3" w14:textId="77777777" w:rsidTr="009C6940">
        <w:tc>
          <w:tcPr>
            <w:tcW w:w="5000" w:type="pct"/>
            <w:tcBorders>
              <w:top w:val="single" w:sz="6" w:space="0" w:color="78A22F"/>
              <w:left w:val="nil"/>
              <w:bottom w:val="nil"/>
              <w:right w:val="nil"/>
            </w:tcBorders>
          </w:tcPr>
          <w:p w14:paraId="46143939" w14:textId="77777777" w:rsidR="009C6940" w:rsidRPr="00626D32" w:rsidRDefault="009C6940" w:rsidP="009C6940">
            <w:pPr>
              <w:pStyle w:val="BoxSpaceBelow"/>
            </w:pPr>
          </w:p>
        </w:tc>
      </w:tr>
    </w:tbl>
    <w:p w14:paraId="1BB48A84"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42A3DD3" w14:textId="77777777" w:rsidTr="009C6940">
        <w:trPr>
          <w:tblHeader/>
        </w:trPr>
        <w:tc>
          <w:tcPr>
            <w:tcW w:w="5000" w:type="pct"/>
            <w:tcBorders>
              <w:top w:val="single" w:sz="6" w:space="0" w:color="78A22F"/>
              <w:left w:val="nil"/>
              <w:bottom w:val="nil"/>
              <w:right w:val="nil"/>
            </w:tcBorders>
            <w:shd w:val="clear" w:color="auto" w:fill="F2F2F2"/>
          </w:tcPr>
          <w:p w14:paraId="78329855" w14:textId="77777777" w:rsidR="009C6940" w:rsidRPr="0024194C" w:rsidRDefault="009C6940" w:rsidP="009C6940">
            <w:pPr>
              <w:pStyle w:val="BoxHeading1"/>
              <w:tabs>
                <w:tab w:val="left" w:pos="1134"/>
              </w:tabs>
              <w:rPr>
                <w:sz w:val="24"/>
                <w:szCs w:val="24"/>
              </w:rPr>
            </w:pPr>
            <w:r>
              <w:rPr>
                <w:sz w:val="24"/>
                <w:szCs w:val="24"/>
              </w:rPr>
              <w:t>Action</w:t>
            </w:r>
            <w:r>
              <w:rPr>
                <w:sz w:val="24"/>
                <w:szCs w:val="24"/>
              </w:rPr>
              <w:tab/>
            </w:r>
            <w:r w:rsidRPr="0024194C">
              <w:rPr>
                <w:sz w:val="24"/>
                <w:szCs w:val="24"/>
              </w:rPr>
              <w:t>Legal representation</w:t>
            </w:r>
            <w:r>
              <w:rPr>
                <w:sz w:val="24"/>
                <w:szCs w:val="24"/>
              </w:rPr>
              <w:t xml:space="preserve"> at mental health tribunals</w:t>
            </w:r>
          </w:p>
          <w:p w14:paraId="480ADF6D" w14:textId="77777777" w:rsidR="009C6940" w:rsidRPr="000C6859" w:rsidRDefault="009C6940" w:rsidP="009C6940">
            <w:pPr>
              <w:pStyle w:val="Box"/>
            </w:pPr>
            <w:r w:rsidRPr="00C93BE6">
              <w:t xml:space="preserve">State and Territory Governments should ensure people appearing before mental health tribunals and other tribunals that hear matters arising from mental health legislation have a right to access legal representation. To ensure this, State and Territory Governments should adequately resource legal assistance services for this purpose </w:t>
            </w:r>
            <w:r>
              <w:t xml:space="preserve">— for example, </w:t>
            </w:r>
            <w:r w:rsidRPr="00C93BE6">
              <w:t>through broader legal assistance funding or a specific legal assistance grant.</w:t>
            </w:r>
          </w:p>
        </w:tc>
      </w:tr>
      <w:tr w:rsidR="009C6940" w14:paraId="0A07569D" w14:textId="77777777" w:rsidTr="009C6940">
        <w:tc>
          <w:tcPr>
            <w:tcW w:w="5000" w:type="pct"/>
            <w:tcBorders>
              <w:top w:val="nil"/>
              <w:left w:val="nil"/>
              <w:bottom w:val="nil"/>
              <w:right w:val="nil"/>
            </w:tcBorders>
            <w:shd w:val="clear" w:color="auto" w:fill="F2F2F2"/>
          </w:tcPr>
          <w:p w14:paraId="4392B0B4" w14:textId="77777777" w:rsidR="009C6940" w:rsidRDefault="009C6940" w:rsidP="009C6940">
            <w:pPr>
              <w:pStyle w:val="BoxHeading1"/>
              <w:spacing w:before="120"/>
            </w:pPr>
            <w:r>
              <w:t>Population</w:t>
            </w:r>
          </w:p>
          <w:p w14:paraId="6D91B631" w14:textId="77777777" w:rsidR="009C6940" w:rsidRPr="00EC0A97" w:rsidRDefault="009C6940" w:rsidP="009C6940">
            <w:pPr>
              <w:pStyle w:val="Box"/>
            </w:pPr>
            <w:r>
              <w:t>Individuals who are or may be subject to compulsory mental health treatment, and expected to appear before mental health tribunals. However, the demand for legal assistance and representation would depend on the number of cases/hearings, not the number of individuals. There were about 52 000 mental health tribunal hearings conducted nationally in 2018</w:t>
            </w:r>
            <w:r>
              <w:noBreakHyphen/>
              <w:t>19.</w:t>
            </w:r>
          </w:p>
        </w:tc>
      </w:tr>
      <w:tr w:rsidR="009C6940" w14:paraId="173B6E22" w14:textId="77777777" w:rsidTr="009C6940">
        <w:tc>
          <w:tcPr>
            <w:tcW w:w="5000" w:type="pct"/>
            <w:tcBorders>
              <w:top w:val="nil"/>
              <w:left w:val="nil"/>
              <w:bottom w:val="nil"/>
              <w:right w:val="nil"/>
            </w:tcBorders>
            <w:shd w:val="clear" w:color="auto" w:fill="F2F2F2"/>
          </w:tcPr>
          <w:p w14:paraId="56926C39" w14:textId="77777777" w:rsidR="009C6940" w:rsidRPr="000C6859" w:rsidRDefault="009C6940" w:rsidP="009C6940">
            <w:pPr>
              <w:pStyle w:val="BoxHeading1"/>
              <w:spacing w:before="120"/>
            </w:pPr>
            <w:r>
              <w:t>Costs</w:t>
            </w:r>
          </w:p>
          <w:p w14:paraId="4A4EA079" w14:textId="77777777" w:rsidR="009C6940" w:rsidRDefault="009C6940" w:rsidP="009C6940">
            <w:pPr>
              <w:pStyle w:val="BoxListBullet"/>
              <w:numPr>
                <w:ilvl w:val="0"/>
                <w:numId w:val="3"/>
              </w:numPr>
            </w:pPr>
            <w:r>
              <w:t xml:space="preserve">Legal representation costs were estimated using grant information provided by Victoria Legal Aid (to estimate a cost per case), and data on the number of hearings conducted by state and territory mental health tribunals (and other tribunals dealing with matters arising from mental health legislations), which were sourced from annual reports </w:t>
            </w:r>
            <w:r w:rsidRPr="000734AE">
              <w:rPr>
                <w:rFonts w:cs="Arial"/>
                <w:szCs w:val="24"/>
              </w:rPr>
              <w:t>(ACAT 2019; NSW MHRT 2019; NT MHRT 2019; QLD MHRT 2019; SA DHW 2019; TAS MHT 2019; VIC MHT 2019; WA MHT 2019)</w:t>
            </w:r>
            <w:r>
              <w:t>.</w:t>
            </w:r>
          </w:p>
          <w:p w14:paraId="456F0CA9" w14:textId="77777777" w:rsidR="009C6940" w:rsidRDefault="009C6940" w:rsidP="009C6940">
            <w:pPr>
              <w:pStyle w:val="BoxListBullet"/>
              <w:numPr>
                <w:ilvl w:val="0"/>
                <w:numId w:val="3"/>
              </w:numPr>
            </w:pPr>
            <w:r>
              <w:t xml:space="preserve">In Victoria, a grant of legal aid is a set amount of funding per case that a legal practitioner can receive from Victoria Legal Aid on application. Under Victoria Legal Aid 2019 guidelines a grant of aid comprised: $752 (2019 dollars) for preparation, and $376 (2019 dollars) for appearance </w:t>
            </w:r>
            <w:r w:rsidRPr="00D80781">
              <w:rPr>
                <w:rFonts w:cs="Arial"/>
                <w:szCs w:val="24"/>
              </w:rPr>
              <w:t>(VLA 2019)</w:t>
            </w:r>
            <w:r>
              <w:t>. This sums to a total cost per case of $1128 (2019 dollars).</w:t>
            </w:r>
          </w:p>
          <w:p w14:paraId="50458CE8" w14:textId="77777777" w:rsidR="009C6940" w:rsidRPr="000C6859" w:rsidRDefault="009C6940" w:rsidP="009C6940">
            <w:pPr>
              <w:pStyle w:val="BoxListBullet"/>
              <w:numPr>
                <w:ilvl w:val="0"/>
                <w:numId w:val="3"/>
              </w:numPr>
            </w:pPr>
            <w:r>
              <w:t xml:space="preserve">Scaling this up across Australia, and assuming that </w:t>
            </w:r>
            <w:r w:rsidRPr="00677F6C">
              <w:t xml:space="preserve">83% </w:t>
            </w:r>
            <w:r>
              <w:t xml:space="preserve">of people want legal representation </w:t>
            </w:r>
            <w:r w:rsidRPr="00D80781">
              <w:rPr>
                <w:rFonts w:cs="Arial"/>
                <w:szCs w:val="24"/>
              </w:rPr>
              <w:t>(NSW MHRT 2019)</w:t>
            </w:r>
            <w:r>
              <w:t>, the total cost is $48.6 million (2019 dollars).</w:t>
            </w:r>
            <w:r w:rsidRPr="00C228F3">
              <w:rPr>
                <w:rStyle w:val="FootnoteReference"/>
              </w:rPr>
              <w:footnoteReference w:id="24"/>
            </w:r>
          </w:p>
        </w:tc>
      </w:tr>
      <w:tr w:rsidR="009C6940" w14:paraId="7CFE0C8E" w14:textId="77777777" w:rsidTr="009C6940">
        <w:tc>
          <w:tcPr>
            <w:tcW w:w="5000" w:type="pct"/>
            <w:tcBorders>
              <w:top w:val="nil"/>
              <w:left w:val="nil"/>
              <w:bottom w:val="nil"/>
              <w:right w:val="nil"/>
            </w:tcBorders>
            <w:shd w:val="clear" w:color="auto" w:fill="F2F2F2"/>
          </w:tcPr>
          <w:p w14:paraId="5DFCDDA0" w14:textId="77777777" w:rsidR="009C6940" w:rsidRDefault="009C6940" w:rsidP="009C6940">
            <w:pPr>
              <w:pStyle w:val="BoxHeading1"/>
              <w:spacing w:before="120"/>
            </w:pPr>
            <w:r>
              <w:t>Additional considerations</w:t>
            </w:r>
          </w:p>
          <w:p w14:paraId="48CF23B5" w14:textId="77777777" w:rsidR="009C6940" w:rsidRDefault="009C6940" w:rsidP="009C6940">
            <w:pPr>
              <w:pStyle w:val="BoxListBullet"/>
              <w:numPr>
                <w:ilvl w:val="0"/>
                <w:numId w:val="3"/>
              </w:numPr>
            </w:pPr>
            <w:r>
              <w:t>This is an overestimate as it d</w:t>
            </w:r>
            <w:r w:rsidRPr="002E6294">
              <w:t xml:space="preserve">oes not account for existing </w:t>
            </w:r>
            <w:r>
              <w:t>expenditure on legal representation (for mental health tribunal hearings) by states and territories. The ‘gap’ in legal representation, across states and territories, could not be estimated from available data.</w:t>
            </w:r>
          </w:p>
          <w:p w14:paraId="4D99B5C3" w14:textId="77777777" w:rsidR="009C6940" w:rsidRDefault="009C6940" w:rsidP="009C6940">
            <w:pPr>
              <w:pStyle w:val="BoxListBullet"/>
              <w:numPr>
                <w:ilvl w:val="0"/>
                <w:numId w:val="3"/>
              </w:numPr>
            </w:pPr>
            <w:r>
              <w:t>The proportion of people who would want legal representation may differ across jurisdictions. The cost estimates presented here are based on the proportion of cases that involve legal representation in New South Wales which averaged about 80%, over the past five years.</w:t>
            </w:r>
          </w:p>
          <w:p w14:paraId="1CDEDFF8" w14:textId="77777777" w:rsidR="009C6940" w:rsidRDefault="009C6940" w:rsidP="009C6940">
            <w:pPr>
              <w:pStyle w:val="BoxListBullet"/>
              <w:numPr>
                <w:ilvl w:val="0"/>
                <w:numId w:val="3"/>
              </w:numPr>
            </w:pPr>
            <w:r>
              <w:t>Data on the number of hearings could not be located for South Australia. The number of mental health orders was used as a proxy, which is an underestimate.</w:t>
            </w:r>
          </w:p>
          <w:p w14:paraId="2D42F6AD" w14:textId="77777777" w:rsidR="009C6940" w:rsidRPr="000C6859" w:rsidRDefault="009C6940" w:rsidP="009C6940">
            <w:pPr>
              <w:pStyle w:val="BoxListBullet"/>
              <w:numPr>
                <w:ilvl w:val="0"/>
                <w:numId w:val="3"/>
              </w:numPr>
            </w:pPr>
            <w:r>
              <w:t xml:space="preserve">Estimating costs based on a </w:t>
            </w:r>
            <w:r w:rsidRPr="00EC729E">
              <w:rPr>
                <w:i/>
              </w:rPr>
              <w:t>cost per case</w:t>
            </w:r>
            <w:r>
              <w:t xml:space="preserve"> method has limitations, and Victoria Legal Aid advised it is not the most reliable approach (VLA, pers. comm., 8 May 2020). Instead, Victoria Legal Aid advised that a </w:t>
            </w:r>
            <w:r w:rsidRPr="00EC729E">
              <w:rPr>
                <w:i/>
              </w:rPr>
              <w:t xml:space="preserve">cost per Tribunal </w:t>
            </w:r>
            <w:r>
              <w:rPr>
                <w:i/>
              </w:rPr>
              <w:t>sitting day</w:t>
            </w:r>
            <w:r>
              <w:t xml:space="preserve"> would be more reliable, as it reflects how resources are committed in practice. However, data on the number of Tribunal sitting days could not be located for all states. As a result, a </w:t>
            </w:r>
            <w:r w:rsidRPr="00EC729E">
              <w:rPr>
                <w:i/>
              </w:rPr>
              <w:t>cost per case</w:t>
            </w:r>
            <w:r>
              <w:t xml:space="preserve"> method was used</w:t>
            </w:r>
            <w:r w:rsidRPr="00965E7C">
              <w:t>.</w:t>
            </w:r>
            <w:r w:rsidRPr="00EC729E">
              <w:t xml:space="preserve"> A cost per Tribunal sitting day method</w:t>
            </w:r>
            <w:r w:rsidRPr="00965E7C">
              <w:t xml:space="preserve"> led to </w:t>
            </w:r>
            <w:r w:rsidRPr="00EC729E">
              <w:t xml:space="preserve">cost estimates that were much lower for Victoria (where data on the number of sitting days was available) — less than half of what was estimated under a cost per case method. Therefore, </w:t>
            </w:r>
            <w:r>
              <w:t>the use of</w:t>
            </w:r>
            <w:r w:rsidRPr="00EC729E">
              <w:t xml:space="preserve"> a cost per case method may </w:t>
            </w:r>
            <w:r>
              <w:t>overstate the actual cost.</w:t>
            </w:r>
          </w:p>
        </w:tc>
      </w:tr>
      <w:tr w:rsidR="009C6940" w14:paraId="35341A45" w14:textId="77777777" w:rsidTr="009C6940">
        <w:tc>
          <w:tcPr>
            <w:tcW w:w="5000" w:type="pct"/>
            <w:tcBorders>
              <w:top w:val="nil"/>
              <w:left w:val="nil"/>
              <w:bottom w:val="single" w:sz="6" w:space="0" w:color="78A22F"/>
              <w:right w:val="nil"/>
            </w:tcBorders>
            <w:shd w:val="clear" w:color="auto" w:fill="F2F2F2"/>
          </w:tcPr>
          <w:p w14:paraId="3934AF41" w14:textId="77777777" w:rsidR="009C6940" w:rsidRDefault="009C6940" w:rsidP="009C6940">
            <w:pPr>
              <w:pStyle w:val="Box"/>
              <w:spacing w:before="0" w:line="120" w:lineRule="exact"/>
            </w:pPr>
          </w:p>
        </w:tc>
      </w:tr>
      <w:tr w:rsidR="009C6940" w:rsidRPr="000863A5" w14:paraId="04442D93" w14:textId="77777777" w:rsidTr="009C6940">
        <w:tc>
          <w:tcPr>
            <w:tcW w:w="5000" w:type="pct"/>
            <w:tcBorders>
              <w:top w:val="single" w:sz="6" w:space="0" w:color="78A22F"/>
              <w:left w:val="nil"/>
              <w:bottom w:val="nil"/>
              <w:right w:val="nil"/>
            </w:tcBorders>
          </w:tcPr>
          <w:p w14:paraId="2AE091C0" w14:textId="77777777" w:rsidR="009C6940" w:rsidRPr="00626D32" w:rsidRDefault="009C6940" w:rsidP="009C6940">
            <w:pPr>
              <w:pStyle w:val="BoxSpaceBelow"/>
            </w:pPr>
          </w:p>
        </w:tc>
      </w:tr>
    </w:tbl>
    <w:p w14:paraId="46950411"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0E1B717" w14:textId="77777777" w:rsidTr="009C6940">
        <w:trPr>
          <w:tblHeader/>
        </w:trPr>
        <w:tc>
          <w:tcPr>
            <w:tcW w:w="5000" w:type="pct"/>
            <w:tcBorders>
              <w:top w:val="single" w:sz="6" w:space="0" w:color="78A22F"/>
              <w:left w:val="nil"/>
              <w:bottom w:val="nil"/>
              <w:right w:val="nil"/>
            </w:tcBorders>
            <w:shd w:val="clear" w:color="auto" w:fill="F2F2F2"/>
          </w:tcPr>
          <w:p w14:paraId="5DC9EBB2" w14:textId="77777777" w:rsidR="009C6940" w:rsidRPr="0024194C" w:rsidRDefault="009C6940" w:rsidP="009C6940">
            <w:pPr>
              <w:pStyle w:val="BoxHeading1"/>
              <w:tabs>
                <w:tab w:val="left" w:pos="1127"/>
              </w:tabs>
              <w:rPr>
                <w:sz w:val="24"/>
                <w:szCs w:val="24"/>
              </w:rPr>
            </w:pPr>
            <w:r>
              <w:rPr>
                <w:sz w:val="24"/>
                <w:szCs w:val="24"/>
              </w:rPr>
              <w:t>Action</w:t>
            </w:r>
            <w:r>
              <w:rPr>
                <w:sz w:val="24"/>
                <w:szCs w:val="24"/>
              </w:rPr>
              <w:tab/>
              <w:t>I</w:t>
            </w:r>
            <w:r w:rsidRPr="0024194C">
              <w:rPr>
                <w:sz w:val="24"/>
                <w:szCs w:val="24"/>
              </w:rPr>
              <w:t xml:space="preserve">ndividual </w:t>
            </w:r>
            <w:r>
              <w:rPr>
                <w:sz w:val="24"/>
                <w:szCs w:val="24"/>
              </w:rPr>
              <w:t>n</w:t>
            </w:r>
            <w:r w:rsidRPr="0024194C">
              <w:rPr>
                <w:sz w:val="24"/>
                <w:szCs w:val="24"/>
              </w:rPr>
              <w:t>on</w:t>
            </w:r>
            <w:r>
              <w:rPr>
                <w:sz w:val="24"/>
                <w:szCs w:val="24"/>
              </w:rPr>
              <w:noBreakHyphen/>
            </w:r>
            <w:r w:rsidRPr="0024194C">
              <w:rPr>
                <w:sz w:val="24"/>
                <w:szCs w:val="24"/>
              </w:rPr>
              <w:t>legal advocacy services</w:t>
            </w:r>
          </w:p>
          <w:p w14:paraId="2663FE9B" w14:textId="77777777" w:rsidR="009C6940" w:rsidRPr="00C93BE6" w:rsidRDefault="009C6940" w:rsidP="009C6940">
            <w:pPr>
              <w:pStyle w:val="Box"/>
            </w:pPr>
            <w:r w:rsidRPr="00C93BE6">
              <w:t>State and Territory Governments should ensure individual non</w:t>
            </w:r>
            <w:r>
              <w:noBreakHyphen/>
            </w:r>
            <w:r w:rsidRPr="00C93BE6">
              <w:t>legal advocacy services are available for any individual detained under mental health legislation. In particular, services should:</w:t>
            </w:r>
          </w:p>
          <w:p w14:paraId="652B4C36" w14:textId="77777777" w:rsidR="009C6940" w:rsidRPr="00C93BE6" w:rsidRDefault="009C6940" w:rsidP="009C6940">
            <w:pPr>
              <w:pStyle w:val="BoxListBullet"/>
              <w:numPr>
                <w:ilvl w:val="0"/>
                <w:numId w:val="3"/>
              </w:numPr>
            </w:pPr>
            <w:r w:rsidRPr="00C93BE6">
              <w:t>focus on facilitating supported decision making by individuals</w:t>
            </w:r>
          </w:p>
          <w:p w14:paraId="49178D88" w14:textId="77777777" w:rsidR="009C6940" w:rsidRPr="00C93BE6" w:rsidRDefault="009C6940" w:rsidP="009C6940">
            <w:pPr>
              <w:pStyle w:val="BoxListBullet"/>
              <w:numPr>
                <w:ilvl w:val="0"/>
                <w:numId w:val="3"/>
              </w:numPr>
            </w:pPr>
            <w:r w:rsidRPr="00C93BE6">
              <w:t>be adequately resourced to provide assistance to individuals who require it</w:t>
            </w:r>
          </w:p>
          <w:p w14:paraId="279D730C" w14:textId="77777777" w:rsidR="009C6940" w:rsidRDefault="009C6940" w:rsidP="009C6940">
            <w:pPr>
              <w:pStyle w:val="BoxListBullet"/>
              <w:numPr>
                <w:ilvl w:val="0"/>
                <w:numId w:val="3"/>
              </w:numPr>
            </w:pPr>
            <w:r w:rsidRPr="00C93BE6">
              <w:t>not replace legal advocacy services.</w:t>
            </w:r>
          </w:p>
          <w:p w14:paraId="5E5368A0" w14:textId="77777777" w:rsidR="009C6940" w:rsidRPr="000C6859" w:rsidRDefault="009C6940" w:rsidP="009C6940">
            <w:pPr>
              <w:pStyle w:val="Box"/>
            </w:pPr>
            <w:r w:rsidRPr="009C1438">
              <w:t>Where an individual is detained under mental health legislation, or agrees to mental health treatment in lieu of being detained under mental health legislation, the trea</w:t>
            </w:r>
            <w:r>
              <w:t>ting facility should notify non</w:t>
            </w:r>
            <w:r>
              <w:noBreakHyphen/>
            </w:r>
            <w:r w:rsidRPr="009C1438">
              <w:t>legal advocacy services and the individual’s family or carer.</w:t>
            </w:r>
          </w:p>
        </w:tc>
      </w:tr>
      <w:tr w:rsidR="009C6940" w14:paraId="26ECA8D4" w14:textId="77777777" w:rsidTr="009C6940">
        <w:tc>
          <w:tcPr>
            <w:tcW w:w="5000" w:type="pct"/>
            <w:tcBorders>
              <w:top w:val="nil"/>
              <w:left w:val="nil"/>
              <w:bottom w:val="nil"/>
              <w:right w:val="nil"/>
            </w:tcBorders>
            <w:shd w:val="clear" w:color="auto" w:fill="F2F2F2"/>
          </w:tcPr>
          <w:p w14:paraId="2E39B596" w14:textId="77777777" w:rsidR="009C6940" w:rsidRDefault="009C6940" w:rsidP="009C6940">
            <w:pPr>
              <w:pStyle w:val="BoxHeading1"/>
              <w:spacing w:before="120"/>
            </w:pPr>
            <w:r>
              <w:t>Population</w:t>
            </w:r>
          </w:p>
          <w:p w14:paraId="76F81939" w14:textId="77777777" w:rsidR="009C6940" w:rsidRPr="00EC0A97" w:rsidRDefault="009C6940" w:rsidP="009C6940">
            <w:pPr>
              <w:pStyle w:val="Box"/>
            </w:pPr>
            <w:r>
              <w:t>People who are subject to mental health orders (both inpatient and community orders), by state and territory. The demand for individual non</w:t>
            </w:r>
            <w:r>
              <w:noBreakHyphen/>
              <w:t>legal advocacy services will depend on the number of mental health orders made per year, not the number of individuals subject to them per year, as people can be subject to multiple mental health orders. There were about 29 900 mental health orders made nationally in 2018</w:t>
            </w:r>
            <w:r>
              <w:noBreakHyphen/>
              <w:t>19.</w:t>
            </w:r>
          </w:p>
        </w:tc>
      </w:tr>
      <w:tr w:rsidR="009C6940" w14:paraId="3A03E451" w14:textId="77777777" w:rsidTr="009C6940">
        <w:tc>
          <w:tcPr>
            <w:tcW w:w="5000" w:type="pct"/>
            <w:tcBorders>
              <w:top w:val="nil"/>
              <w:left w:val="nil"/>
              <w:bottom w:val="nil"/>
              <w:right w:val="nil"/>
            </w:tcBorders>
            <w:shd w:val="clear" w:color="auto" w:fill="F2F2F2"/>
          </w:tcPr>
          <w:p w14:paraId="60159013" w14:textId="77777777" w:rsidR="009C6940" w:rsidRPr="000C6859" w:rsidRDefault="009C6940" w:rsidP="009C6940">
            <w:pPr>
              <w:pStyle w:val="BoxHeading1"/>
              <w:spacing w:before="120"/>
            </w:pPr>
            <w:r>
              <w:t>Costs</w:t>
            </w:r>
          </w:p>
          <w:p w14:paraId="3645188C" w14:textId="77777777" w:rsidR="009C6940" w:rsidRDefault="009C6940" w:rsidP="009C6940">
            <w:pPr>
              <w:pStyle w:val="BoxListBullet"/>
              <w:numPr>
                <w:ilvl w:val="0"/>
                <w:numId w:val="3"/>
              </w:numPr>
            </w:pPr>
            <w:r>
              <w:t xml:space="preserve">The total cost of this action is estimated using expenditure data from Western Australia Mental Health Advocacy Service </w:t>
            </w:r>
            <w:r w:rsidRPr="00D80781">
              <w:rPr>
                <w:rFonts w:cs="Arial"/>
              </w:rPr>
              <w:t>(2018)</w:t>
            </w:r>
            <w:r>
              <w:t xml:space="preserve"> and the number of mental health orders in each state and territory sourced from various annual reports </w:t>
            </w:r>
            <w:r w:rsidRPr="000734AE">
              <w:rPr>
                <w:rFonts w:cs="Arial"/>
                <w:szCs w:val="24"/>
              </w:rPr>
              <w:t>(ACAT 2019; NSW MHRT 2019; NT MHRT 2019; Queensland Health 2019; SA DHW 2019; TAS MHT 2019; VIC MHT 2019; WA MHAS 2019)</w:t>
            </w:r>
            <w:r>
              <w:rPr>
                <w:color w:val="FF0000"/>
              </w:rPr>
              <w:t>.</w:t>
            </w:r>
          </w:p>
          <w:p w14:paraId="13CB7F11" w14:textId="77777777" w:rsidR="009C6940" w:rsidRDefault="009C6940" w:rsidP="009C6940">
            <w:pPr>
              <w:pStyle w:val="BoxListBullet"/>
              <w:numPr>
                <w:ilvl w:val="0"/>
                <w:numId w:val="3"/>
              </w:numPr>
            </w:pPr>
            <w:r>
              <w:t>About 66% of the Western Australia Mental Health Advocacy Service expenditure ($2.7 million) is on the cost of advocates and the chief advocate. Combining this with the number of involuntary treatment orders in Western Australia (4116), suggests an average cost of $446 per order (2019 dollars).</w:t>
            </w:r>
          </w:p>
          <w:p w14:paraId="00D6583E" w14:textId="77777777" w:rsidR="009C6940" w:rsidRPr="000C6859" w:rsidRDefault="009C6940" w:rsidP="009C6940">
            <w:pPr>
              <w:pStyle w:val="BoxListBullet"/>
              <w:numPr>
                <w:ilvl w:val="0"/>
                <w:numId w:val="3"/>
              </w:numPr>
            </w:pPr>
            <w:r>
              <w:t>Scaling this nationally, give a total cost is estimate of $13.3 million (2019 dollars).</w:t>
            </w:r>
          </w:p>
        </w:tc>
      </w:tr>
      <w:tr w:rsidR="009C6940" w14:paraId="2158E2E3" w14:textId="77777777" w:rsidTr="009C6940">
        <w:tc>
          <w:tcPr>
            <w:tcW w:w="5000" w:type="pct"/>
            <w:tcBorders>
              <w:top w:val="nil"/>
              <w:left w:val="nil"/>
              <w:bottom w:val="nil"/>
              <w:right w:val="nil"/>
            </w:tcBorders>
            <w:shd w:val="clear" w:color="auto" w:fill="F2F2F2"/>
          </w:tcPr>
          <w:p w14:paraId="425ACE32" w14:textId="77777777" w:rsidR="009C6940" w:rsidRDefault="009C6940" w:rsidP="009C6940">
            <w:pPr>
              <w:pStyle w:val="BoxHeading1"/>
              <w:spacing w:before="120"/>
            </w:pPr>
            <w:r>
              <w:t>Additional considerations</w:t>
            </w:r>
          </w:p>
          <w:p w14:paraId="30A52025" w14:textId="77777777" w:rsidR="009C6940" w:rsidRDefault="009C6940" w:rsidP="009C6940">
            <w:pPr>
              <w:pStyle w:val="BoxListBullet"/>
              <w:numPr>
                <w:ilvl w:val="0"/>
                <w:numId w:val="3"/>
              </w:numPr>
            </w:pPr>
            <w:r>
              <w:t>This may overestimate actual cost as it assumes that all individuals subject to a mental health order would want individual non</w:t>
            </w:r>
            <w:r>
              <w:noBreakHyphen/>
              <w:t>legal advocacy services which may not be the case in practice. However, data are unavailable to establish the extent to which this may be the case.</w:t>
            </w:r>
          </w:p>
          <w:p w14:paraId="49CEE5F6" w14:textId="77777777" w:rsidR="009C6940" w:rsidRPr="000C6859" w:rsidRDefault="009C6940" w:rsidP="009C6940">
            <w:pPr>
              <w:pStyle w:val="BoxListBullet"/>
              <w:numPr>
                <w:ilvl w:val="0"/>
                <w:numId w:val="3"/>
              </w:numPr>
            </w:pPr>
            <w:r>
              <w:t>The cost of providing individual non</w:t>
            </w:r>
            <w:r>
              <w:noBreakHyphen/>
              <w:t>legal advocacy services may differ across states and territories, as they have different models of service delivery. For example, in New South Wales and Victoria, these services are delivered through parts of their state legal aid commissions. Whereas, in Western Australia, the service is provided through the Chief Mental Health Advocate, which is a statutory office.</w:t>
            </w:r>
          </w:p>
        </w:tc>
      </w:tr>
      <w:tr w:rsidR="009C6940" w14:paraId="5B15A140" w14:textId="77777777" w:rsidTr="009C6940">
        <w:tc>
          <w:tcPr>
            <w:tcW w:w="5000" w:type="pct"/>
            <w:tcBorders>
              <w:top w:val="nil"/>
              <w:left w:val="nil"/>
              <w:bottom w:val="single" w:sz="6" w:space="0" w:color="78A22F"/>
              <w:right w:val="nil"/>
            </w:tcBorders>
            <w:shd w:val="clear" w:color="auto" w:fill="F2F2F2"/>
          </w:tcPr>
          <w:p w14:paraId="6A04F41B" w14:textId="77777777" w:rsidR="009C6940" w:rsidRDefault="009C6940" w:rsidP="009C6940">
            <w:pPr>
              <w:pStyle w:val="Box"/>
              <w:spacing w:before="0" w:line="120" w:lineRule="exact"/>
            </w:pPr>
          </w:p>
        </w:tc>
      </w:tr>
      <w:tr w:rsidR="009C6940" w:rsidRPr="000863A5" w14:paraId="61DB79C4" w14:textId="77777777" w:rsidTr="009C6940">
        <w:tc>
          <w:tcPr>
            <w:tcW w:w="5000" w:type="pct"/>
            <w:tcBorders>
              <w:top w:val="single" w:sz="6" w:space="0" w:color="78A22F"/>
              <w:left w:val="nil"/>
              <w:bottom w:val="nil"/>
              <w:right w:val="nil"/>
            </w:tcBorders>
          </w:tcPr>
          <w:p w14:paraId="67D7EE3D" w14:textId="77777777" w:rsidR="009C6940" w:rsidRPr="00626D32" w:rsidRDefault="009C6940" w:rsidP="009C6940">
            <w:pPr>
              <w:pStyle w:val="BoxSpaceBelow"/>
            </w:pPr>
          </w:p>
        </w:tc>
      </w:tr>
    </w:tbl>
    <w:p w14:paraId="3BDB4BB7"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4E8ACA1C" w14:textId="77777777" w:rsidTr="009C6940">
        <w:trPr>
          <w:tblHeader/>
        </w:trPr>
        <w:tc>
          <w:tcPr>
            <w:tcW w:w="5000" w:type="pct"/>
            <w:tcBorders>
              <w:top w:val="single" w:sz="6" w:space="0" w:color="78A22F"/>
              <w:left w:val="nil"/>
              <w:bottom w:val="nil"/>
              <w:right w:val="nil"/>
            </w:tcBorders>
            <w:shd w:val="clear" w:color="auto" w:fill="F2F2F2"/>
          </w:tcPr>
          <w:p w14:paraId="66F47A74" w14:textId="77777777" w:rsidR="009C6940" w:rsidRPr="0024194C" w:rsidRDefault="009C6940" w:rsidP="009C6940">
            <w:pPr>
              <w:pStyle w:val="BoxHeading1"/>
              <w:tabs>
                <w:tab w:val="left" w:pos="1126"/>
              </w:tabs>
              <w:rPr>
                <w:sz w:val="24"/>
                <w:szCs w:val="24"/>
              </w:rPr>
            </w:pPr>
            <w:r>
              <w:rPr>
                <w:sz w:val="24"/>
                <w:szCs w:val="24"/>
              </w:rPr>
              <w:t>Action</w:t>
            </w:r>
            <w:r>
              <w:rPr>
                <w:sz w:val="24"/>
                <w:szCs w:val="24"/>
              </w:rPr>
              <w:tab/>
            </w:r>
            <w:r w:rsidRPr="0024194C">
              <w:rPr>
                <w:sz w:val="24"/>
                <w:szCs w:val="24"/>
              </w:rPr>
              <w:t>Advance directives</w:t>
            </w:r>
            <w:r>
              <w:rPr>
                <w:sz w:val="24"/>
                <w:szCs w:val="24"/>
              </w:rPr>
              <w:t>, statements or agreements</w:t>
            </w:r>
          </w:p>
          <w:p w14:paraId="4C0A9F36" w14:textId="77777777" w:rsidR="009C6940" w:rsidRPr="000C6859" w:rsidRDefault="009C6940" w:rsidP="009C6940">
            <w:pPr>
              <w:pStyle w:val="Box"/>
            </w:pPr>
            <w:r w:rsidRPr="00C93BE6">
              <w:t>Advance directives, statements or agreements enable consumers to state their preferences regarding future treatment and their recovery. This can include identifying preferred medications, or nominating carers and specifying the types of information to be shared with carers.</w:t>
            </w:r>
          </w:p>
        </w:tc>
      </w:tr>
      <w:tr w:rsidR="009C6940" w14:paraId="2D73B47C" w14:textId="77777777" w:rsidTr="009C6940">
        <w:tc>
          <w:tcPr>
            <w:tcW w:w="5000" w:type="pct"/>
            <w:tcBorders>
              <w:top w:val="nil"/>
              <w:left w:val="nil"/>
              <w:bottom w:val="nil"/>
              <w:right w:val="nil"/>
            </w:tcBorders>
            <w:shd w:val="clear" w:color="auto" w:fill="F2F2F2"/>
          </w:tcPr>
          <w:p w14:paraId="3D7878CD" w14:textId="77777777" w:rsidR="009C6940" w:rsidRDefault="009C6940" w:rsidP="009C6940">
            <w:pPr>
              <w:pStyle w:val="BoxHeading1"/>
              <w:spacing w:before="120"/>
            </w:pPr>
            <w:r>
              <w:t>Population</w:t>
            </w:r>
          </w:p>
          <w:p w14:paraId="51BF2823" w14:textId="77777777" w:rsidR="009C6940" w:rsidRPr="00EC0A97" w:rsidRDefault="009C6940" w:rsidP="009C6940">
            <w:pPr>
              <w:pStyle w:val="Box"/>
            </w:pPr>
            <w:r>
              <w:t xml:space="preserve">There is limited data on the number of people who want or need an advance directive. The number of mental health orders from various state and territory annual reports is used as a proxy of how many people may need an advance directive </w:t>
            </w:r>
            <w:r w:rsidRPr="000734AE">
              <w:rPr>
                <w:rFonts w:cs="Arial"/>
                <w:szCs w:val="24"/>
              </w:rPr>
              <w:t>(ACAT 2019; NSW MHRT 2019; NT MHRT 2019; Queensland Health 2019; SA DHW 2019; TAS MHT 2019; VIC MHT 2019; WA MHAS 2019)</w:t>
            </w:r>
            <w:r>
              <w:t>. This is because advance directives are often prepared by individuals who anticipate becoming subject to compulsory mental health treatment in the future. This suggests that about</w:t>
            </w:r>
            <w:r w:rsidRPr="00710CD5">
              <w:t xml:space="preserve"> </w:t>
            </w:r>
            <w:r>
              <w:t>29 900 people could need an advance directive.</w:t>
            </w:r>
          </w:p>
        </w:tc>
      </w:tr>
      <w:tr w:rsidR="009C6940" w14:paraId="4D334CC8" w14:textId="77777777" w:rsidTr="009C6940">
        <w:tc>
          <w:tcPr>
            <w:tcW w:w="5000" w:type="pct"/>
            <w:tcBorders>
              <w:top w:val="nil"/>
              <w:left w:val="nil"/>
              <w:bottom w:val="nil"/>
              <w:right w:val="nil"/>
            </w:tcBorders>
            <w:shd w:val="clear" w:color="auto" w:fill="F2F2F2"/>
          </w:tcPr>
          <w:p w14:paraId="4ADFD6DB" w14:textId="77777777" w:rsidR="009C6940" w:rsidRPr="000C6859" w:rsidRDefault="009C6940" w:rsidP="009C6940">
            <w:pPr>
              <w:pStyle w:val="BoxHeading1"/>
              <w:spacing w:before="120"/>
            </w:pPr>
            <w:r>
              <w:t>Costs</w:t>
            </w:r>
          </w:p>
          <w:p w14:paraId="08427949" w14:textId="77777777" w:rsidR="009C6940" w:rsidRDefault="009C6940" w:rsidP="009C6940">
            <w:pPr>
              <w:pStyle w:val="BoxListBullet"/>
            </w:pPr>
            <w:r w:rsidRPr="00A618E0">
              <w:t xml:space="preserve">The </w:t>
            </w:r>
            <w:r>
              <w:t xml:space="preserve">Productivity </w:t>
            </w:r>
            <w:r w:rsidRPr="00A618E0">
              <w:t xml:space="preserve">Commission was advised by </w:t>
            </w:r>
            <w:r>
              <w:t xml:space="preserve">the </w:t>
            </w:r>
            <w:r w:rsidRPr="00A618E0">
              <w:t>M</w:t>
            </w:r>
            <w:r>
              <w:t xml:space="preserve">ental </w:t>
            </w:r>
            <w:r w:rsidRPr="00A618E0">
              <w:t>H</w:t>
            </w:r>
            <w:r>
              <w:t xml:space="preserve">ealth </w:t>
            </w:r>
            <w:r w:rsidRPr="00A618E0">
              <w:t>L</w:t>
            </w:r>
            <w:r>
              <w:t xml:space="preserve">egal </w:t>
            </w:r>
            <w:r w:rsidRPr="00A618E0">
              <w:t>C</w:t>
            </w:r>
            <w:r>
              <w:t>entre (MHLC, pers. comm., 11 March 2020)</w:t>
            </w:r>
            <w:r w:rsidRPr="00A618E0">
              <w:t xml:space="preserve"> that the cost per advance statement</w:t>
            </w:r>
            <w:r>
              <w:t xml:space="preserve"> (as they are called in Victoria)</w:t>
            </w:r>
            <w:r w:rsidRPr="00A618E0">
              <w:t xml:space="preserve"> was about $750 (2019 dollars</w:t>
            </w:r>
            <w:r>
              <w:t xml:space="preserve">) under its </w:t>
            </w:r>
            <w:r w:rsidRPr="00BB3BEC">
              <w:rPr>
                <w:i/>
              </w:rPr>
              <w:t>MHLC</w:t>
            </w:r>
            <w:r>
              <w:t xml:space="preserve"> </w:t>
            </w:r>
            <w:r w:rsidRPr="00BB3BEC">
              <w:rPr>
                <w:i/>
              </w:rPr>
              <w:t>Advance Statement Project</w:t>
            </w:r>
            <w:r>
              <w:t xml:space="preserve"> — which was delivered by its lawyers through outreach services located at mental health facilities </w:t>
            </w:r>
            <w:r w:rsidRPr="00D80781">
              <w:rPr>
                <w:rFonts w:cs="Arial"/>
                <w:szCs w:val="24"/>
              </w:rPr>
              <w:t>(MHLC 2019)</w:t>
            </w:r>
            <w:r>
              <w:t>.</w:t>
            </w:r>
          </w:p>
          <w:p w14:paraId="7933A44E" w14:textId="77777777" w:rsidR="009C6940" w:rsidRPr="000C6859" w:rsidRDefault="009C6940" w:rsidP="009C6940">
            <w:pPr>
              <w:pStyle w:val="BoxListBullet"/>
            </w:pPr>
            <w:r w:rsidRPr="00A618E0">
              <w:t>This suggests a total cost of $22.4 million (2019</w:t>
            </w:r>
            <w:r>
              <w:t> </w:t>
            </w:r>
            <w:r w:rsidRPr="00A618E0">
              <w:t>dollars)</w:t>
            </w:r>
            <w:r>
              <w:t>, to provide support services nationally</w:t>
            </w:r>
            <w:r w:rsidRPr="00A618E0">
              <w:t>.</w:t>
            </w:r>
          </w:p>
        </w:tc>
      </w:tr>
      <w:tr w:rsidR="009C6940" w14:paraId="6A6BA427" w14:textId="77777777" w:rsidTr="009C6940">
        <w:tc>
          <w:tcPr>
            <w:tcW w:w="5000" w:type="pct"/>
            <w:tcBorders>
              <w:top w:val="nil"/>
              <w:left w:val="nil"/>
              <w:bottom w:val="nil"/>
              <w:right w:val="nil"/>
            </w:tcBorders>
            <w:shd w:val="clear" w:color="auto" w:fill="F2F2F2"/>
          </w:tcPr>
          <w:p w14:paraId="441565A7" w14:textId="77777777" w:rsidR="009C6940" w:rsidRDefault="009C6940" w:rsidP="009C6940">
            <w:pPr>
              <w:pStyle w:val="BoxHeading1"/>
              <w:spacing w:before="120"/>
            </w:pPr>
            <w:r>
              <w:t>Additional considerations</w:t>
            </w:r>
          </w:p>
          <w:p w14:paraId="03E99F13" w14:textId="77777777" w:rsidR="009C6940" w:rsidRPr="009A5600" w:rsidRDefault="009C6940" w:rsidP="009C6940">
            <w:pPr>
              <w:pStyle w:val="BoxListBullet"/>
              <w:numPr>
                <w:ilvl w:val="0"/>
                <w:numId w:val="3"/>
              </w:numPr>
            </w:pPr>
            <w:r w:rsidRPr="009A5600">
              <w:t>There are people who already have an advance directive, hence the costs presented here will be an overestimate.</w:t>
            </w:r>
          </w:p>
          <w:p w14:paraId="3488427E" w14:textId="77777777" w:rsidR="009C6940" w:rsidRPr="000C6859" w:rsidRDefault="009C6940" w:rsidP="009C6940">
            <w:pPr>
              <w:pStyle w:val="BoxListBullet"/>
              <w:numPr>
                <w:ilvl w:val="0"/>
                <w:numId w:val="3"/>
              </w:numPr>
            </w:pPr>
            <w:r>
              <w:t>Cost estimates would vary depending on the type of support service provided (to help individuals complete advance directives). T</w:t>
            </w:r>
            <w:r w:rsidRPr="005148EC">
              <w:t>here are different ways to support consumers</w:t>
            </w:r>
            <w:r>
              <w:t xml:space="preserve"> to complete advance directives</w:t>
            </w:r>
            <w:r w:rsidRPr="005148EC">
              <w:t>, and the cost</w:t>
            </w:r>
            <w:r>
              <w:t>s</w:t>
            </w:r>
            <w:r w:rsidRPr="005148EC">
              <w:t xml:space="preserve"> would </w:t>
            </w:r>
            <w:r>
              <w:t xml:space="preserve">differ </w:t>
            </w:r>
            <w:r w:rsidRPr="005148EC">
              <w:t>depend</w:t>
            </w:r>
            <w:r>
              <w:t>ing</w:t>
            </w:r>
            <w:r w:rsidRPr="005148EC">
              <w:t xml:space="preserve"> on the approach. For example, </w:t>
            </w:r>
            <w:r>
              <w:t xml:space="preserve">support could also be provided through </w:t>
            </w:r>
            <w:r w:rsidRPr="005148EC">
              <w:t>online resources and supporting workshops</w:t>
            </w:r>
            <w:r>
              <w:t>, as is the case in the ACT, which is likely to cost less than $750 per advance directive.</w:t>
            </w:r>
          </w:p>
        </w:tc>
      </w:tr>
      <w:tr w:rsidR="009C6940" w14:paraId="1C87AD9F" w14:textId="77777777" w:rsidTr="009C6940">
        <w:tc>
          <w:tcPr>
            <w:tcW w:w="5000" w:type="pct"/>
            <w:tcBorders>
              <w:top w:val="nil"/>
              <w:left w:val="nil"/>
              <w:bottom w:val="single" w:sz="6" w:space="0" w:color="78A22F"/>
              <w:right w:val="nil"/>
            </w:tcBorders>
            <w:shd w:val="clear" w:color="auto" w:fill="F2F2F2"/>
          </w:tcPr>
          <w:p w14:paraId="3E8557D7" w14:textId="77777777" w:rsidR="009C6940" w:rsidRDefault="009C6940" w:rsidP="009C6940">
            <w:pPr>
              <w:pStyle w:val="Box"/>
              <w:spacing w:before="0" w:line="120" w:lineRule="exact"/>
            </w:pPr>
          </w:p>
        </w:tc>
      </w:tr>
      <w:tr w:rsidR="009C6940" w:rsidRPr="000863A5" w14:paraId="0A11B9E7" w14:textId="77777777" w:rsidTr="009C6940">
        <w:tc>
          <w:tcPr>
            <w:tcW w:w="5000" w:type="pct"/>
            <w:tcBorders>
              <w:top w:val="single" w:sz="6" w:space="0" w:color="78A22F"/>
              <w:left w:val="nil"/>
              <w:bottom w:val="nil"/>
              <w:right w:val="nil"/>
            </w:tcBorders>
          </w:tcPr>
          <w:p w14:paraId="1C1C706D" w14:textId="77777777" w:rsidR="009C6940" w:rsidRPr="00626D32" w:rsidRDefault="009C6940" w:rsidP="009C6940">
            <w:pPr>
              <w:pStyle w:val="BoxSpaceBelow"/>
            </w:pPr>
          </w:p>
        </w:tc>
      </w:tr>
    </w:tbl>
    <w:p w14:paraId="65157E26" w14:textId="77777777" w:rsidR="009C6940" w:rsidRDefault="009C6940" w:rsidP="009C6940">
      <w:pPr>
        <w:pStyle w:val="Heading2"/>
      </w:pPr>
      <w:r>
        <w:lastRenderedPageBreak/>
        <w:t>K.</w:t>
      </w:r>
      <w:r>
        <w:rPr>
          <w:noProof/>
        </w:rPr>
        <w:t>7</w:t>
      </w:r>
      <w:r>
        <w:tab/>
        <w:t>Early childhood and school</w:t>
      </w:r>
    </w:p>
    <w:p w14:paraId="04957098"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DFD1FB6" w14:textId="77777777" w:rsidTr="009C6940">
        <w:trPr>
          <w:tblHeader/>
        </w:trPr>
        <w:tc>
          <w:tcPr>
            <w:tcW w:w="5000" w:type="pct"/>
            <w:tcBorders>
              <w:top w:val="single" w:sz="6" w:space="0" w:color="78A22F"/>
              <w:left w:val="nil"/>
              <w:bottom w:val="nil"/>
              <w:right w:val="nil"/>
            </w:tcBorders>
            <w:shd w:val="clear" w:color="auto" w:fill="F2F2F2"/>
          </w:tcPr>
          <w:p w14:paraId="740D2333" w14:textId="77777777" w:rsidR="009C6940" w:rsidRPr="00620D5C" w:rsidRDefault="009C6940" w:rsidP="009C6940">
            <w:pPr>
              <w:pStyle w:val="BoxHeading1"/>
              <w:tabs>
                <w:tab w:val="left" w:pos="1134"/>
              </w:tabs>
              <w:rPr>
                <w:sz w:val="24"/>
                <w:szCs w:val="24"/>
              </w:rPr>
            </w:pPr>
            <w:r>
              <w:rPr>
                <w:sz w:val="24"/>
                <w:szCs w:val="24"/>
              </w:rPr>
              <w:t>Action</w:t>
            </w:r>
            <w:r>
              <w:rPr>
                <w:sz w:val="24"/>
                <w:szCs w:val="24"/>
              </w:rPr>
              <w:tab/>
              <w:t>Perinatal mental health</w:t>
            </w:r>
          </w:p>
          <w:p w14:paraId="370C4D45" w14:textId="77777777" w:rsidR="009C6940" w:rsidRPr="006D5ABC" w:rsidRDefault="009C6940" w:rsidP="009C6940">
            <w:pPr>
              <w:pStyle w:val="Box"/>
            </w:pPr>
            <w:r>
              <w:t xml:space="preserve">Increased availability of </w:t>
            </w:r>
            <w:r w:rsidRPr="00D41518">
              <w:t>screening for perinatal mental illness</w:t>
            </w:r>
            <w:r>
              <w:t xml:space="preserve"> for all parents of newborn children is expected to improve their mental health.</w:t>
            </w:r>
          </w:p>
        </w:tc>
      </w:tr>
      <w:tr w:rsidR="009C6940" w14:paraId="6E8F714B" w14:textId="77777777" w:rsidTr="009C6940">
        <w:tc>
          <w:tcPr>
            <w:tcW w:w="5000" w:type="pct"/>
            <w:tcBorders>
              <w:top w:val="nil"/>
              <w:left w:val="nil"/>
              <w:bottom w:val="nil"/>
              <w:right w:val="nil"/>
            </w:tcBorders>
            <w:shd w:val="clear" w:color="auto" w:fill="F2F2F2"/>
          </w:tcPr>
          <w:p w14:paraId="22B68C8B" w14:textId="77777777" w:rsidR="009C6940" w:rsidRDefault="009C6940" w:rsidP="009C6940">
            <w:pPr>
              <w:pStyle w:val="BoxHeading1"/>
            </w:pPr>
            <w:r>
              <w:t>Population</w:t>
            </w:r>
          </w:p>
          <w:p w14:paraId="503A7B0D" w14:textId="77777777" w:rsidR="009C6940" w:rsidRPr="00EC0A97" w:rsidRDefault="009C6940" w:rsidP="009C6940">
            <w:pPr>
              <w:pStyle w:val="Box"/>
            </w:pPr>
            <w:r>
              <w:t xml:space="preserve">Screening for perinatal mental illness is offered for 315 000 fathers and partners of new mothers </w:t>
            </w:r>
            <w:r w:rsidRPr="00D80781">
              <w:rPr>
                <w:rFonts w:cs="Arial"/>
                <w:szCs w:val="24"/>
              </w:rPr>
              <w:t>(ABS 2019c)</w:t>
            </w:r>
            <w:r>
              <w:t xml:space="preserve">. It is assumed that of these fathers and partners, 75% will engage in screening, and that 10% of those have perinatal mental illness </w:t>
            </w:r>
            <w:r w:rsidRPr="00D80781">
              <w:rPr>
                <w:rFonts w:cs="Arial"/>
                <w:szCs w:val="24"/>
              </w:rPr>
              <w:t>(Paulson and Bazemore 2010)</w:t>
            </w:r>
            <w:r>
              <w:t>. Of those who are identified as requiring treatment, it is assumed that half will seek and receive treatment.</w:t>
            </w:r>
          </w:p>
        </w:tc>
      </w:tr>
      <w:tr w:rsidR="009C6940" w14:paraId="67619B69" w14:textId="77777777" w:rsidTr="009C6940">
        <w:tc>
          <w:tcPr>
            <w:tcW w:w="5000" w:type="pct"/>
            <w:tcBorders>
              <w:top w:val="nil"/>
              <w:left w:val="nil"/>
              <w:bottom w:val="nil"/>
              <w:right w:val="nil"/>
            </w:tcBorders>
            <w:shd w:val="clear" w:color="auto" w:fill="F2F2F2"/>
          </w:tcPr>
          <w:p w14:paraId="0FFA46B5" w14:textId="77777777" w:rsidR="009C6940" w:rsidRDefault="009C6940" w:rsidP="009C6940">
            <w:pPr>
              <w:pStyle w:val="BoxHeading1"/>
              <w:spacing w:before="120"/>
            </w:pPr>
            <w:r>
              <w:t>Effect</w:t>
            </w:r>
          </w:p>
          <w:p w14:paraId="0F7735FE" w14:textId="77777777" w:rsidR="009C6940" w:rsidRDefault="009C6940" w:rsidP="009C6940">
            <w:pPr>
              <w:pStyle w:val="BoxListBullet"/>
            </w:pPr>
            <w:r>
              <w:t>The 12 000</w:t>
            </w:r>
            <w:r w:rsidRPr="00873BF1">
              <w:t xml:space="preserve"> </w:t>
            </w:r>
            <w:r>
              <w:t xml:space="preserve">fathers and </w:t>
            </w:r>
            <w:r w:rsidRPr="00873BF1">
              <w:t>partners of new mothers</w:t>
            </w:r>
            <w:r>
              <w:t xml:space="preserve"> who receive help experience a mental health benefit (instead of having a deterioration in mental health).</w:t>
            </w:r>
          </w:p>
          <w:p w14:paraId="6B5F1981" w14:textId="77777777" w:rsidR="009C6940" w:rsidRPr="0053534F" w:rsidRDefault="009C6940" w:rsidP="009C6940">
            <w:pPr>
              <w:pStyle w:val="BoxListBullet"/>
              <w:rPr>
                <w:lang w:val="en-US"/>
              </w:rPr>
            </w:pPr>
            <w:r>
              <w:t>It is assumed that an even mix of face</w:t>
            </w:r>
            <w:r>
              <w:noBreakHyphen/>
              <w:t>to</w:t>
            </w:r>
            <w:r>
              <w:noBreakHyphen/>
              <w:t xml:space="preserve">face and online supported treatment is used, with an effect size of 0.9 </w:t>
            </w:r>
            <w:r w:rsidRPr="00D80781">
              <w:rPr>
                <w:rFonts w:cs="Arial"/>
                <w:szCs w:val="24"/>
              </w:rPr>
              <w:t>(Burlingame et al. 2016; Cuijpers et al. 2019)</w:t>
            </w:r>
            <w:r w:rsidRPr="0053534F">
              <w:rPr>
                <w:lang w:val="en-US"/>
              </w:rPr>
              <w:t xml:space="preserve"> and 0.8 </w:t>
            </w:r>
            <w:r w:rsidRPr="00D80781">
              <w:rPr>
                <w:rFonts w:cs="Arial"/>
                <w:szCs w:val="24"/>
              </w:rPr>
              <w:t>(Andrews et al. 2018)</w:t>
            </w:r>
            <w:r w:rsidRPr="0053534F">
              <w:rPr>
                <w:lang w:val="en-US"/>
              </w:rPr>
              <w:t xml:space="preserve"> respectively.</w:t>
            </w:r>
          </w:p>
          <w:p w14:paraId="3A624799" w14:textId="77777777" w:rsidR="009C6940" w:rsidRPr="000C6859" w:rsidRDefault="009C6940" w:rsidP="009C6940">
            <w:pPr>
              <w:pStyle w:val="BoxListBullet"/>
            </w:pPr>
            <w:r>
              <w:t xml:space="preserve">This is estimated to result in an additional </w:t>
            </w:r>
            <w:r w:rsidRPr="001D03A9">
              <w:t>505</w:t>
            </w:r>
            <w:r w:rsidRPr="001D03A9">
              <w:noBreakHyphen/>
              <w:t>91</w:t>
            </w:r>
            <w:r>
              <w:t>9 QALYs and $</w:t>
            </w:r>
            <w:r w:rsidRPr="001D03A9">
              <w:t>46</w:t>
            </w:r>
            <w:r>
              <w:noBreakHyphen/>
            </w:r>
            <w:r w:rsidRPr="001D03A9">
              <w:t>86</w:t>
            </w:r>
            <w:r>
              <w:t xml:space="preserve"> million in labour market income.</w:t>
            </w:r>
          </w:p>
        </w:tc>
      </w:tr>
      <w:tr w:rsidR="009C6940" w14:paraId="5F282753" w14:textId="77777777" w:rsidTr="009C6940">
        <w:tc>
          <w:tcPr>
            <w:tcW w:w="5000" w:type="pct"/>
            <w:tcBorders>
              <w:top w:val="nil"/>
              <w:left w:val="nil"/>
              <w:bottom w:val="nil"/>
              <w:right w:val="nil"/>
            </w:tcBorders>
            <w:shd w:val="clear" w:color="auto" w:fill="F2F2F2"/>
          </w:tcPr>
          <w:p w14:paraId="2693FB64" w14:textId="77777777" w:rsidR="009C6940" w:rsidRDefault="009C6940" w:rsidP="009C6940">
            <w:pPr>
              <w:pStyle w:val="BoxHeading1"/>
            </w:pPr>
            <w:r>
              <w:t>Costs</w:t>
            </w:r>
          </w:p>
          <w:p w14:paraId="161FE28E" w14:textId="77777777" w:rsidR="009C6940" w:rsidRDefault="009C6940" w:rsidP="009C6940">
            <w:pPr>
              <w:pStyle w:val="Box"/>
            </w:pPr>
            <w:r>
              <w:t>Improving perinatal mental health is expected to result in an additional $18</w:t>
            </w:r>
            <w:r>
              <w:noBreakHyphen/>
              <w:t>23 million in direct expenditure, including:</w:t>
            </w:r>
          </w:p>
          <w:p w14:paraId="6043100A" w14:textId="77777777" w:rsidR="009C6940" w:rsidRDefault="009C6940" w:rsidP="009C6940">
            <w:pPr>
              <w:pStyle w:val="BoxListBullet"/>
              <w:numPr>
                <w:ilvl w:val="0"/>
                <w:numId w:val="3"/>
              </w:numPr>
            </w:pPr>
            <w:r>
              <w:t>a campaign to raise awareness about screening</w:t>
            </w:r>
          </w:p>
          <w:p w14:paraId="07CB4127" w14:textId="77777777" w:rsidR="009C6940" w:rsidRDefault="009C6940" w:rsidP="009C6940">
            <w:pPr>
              <w:pStyle w:val="BoxListBullet"/>
              <w:numPr>
                <w:ilvl w:val="0"/>
                <w:numId w:val="3"/>
              </w:numPr>
            </w:pPr>
            <w:r>
              <w:t>costs associated with implementing screening</w:t>
            </w:r>
          </w:p>
          <w:p w14:paraId="1B8F2FC4" w14:textId="77777777" w:rsidR="009C6940" w:rsidRPr="000C6859" w:rsidRDefault="009C6940" w:rsidP="009C6940">
            <w:pPr>
              <w:pStyle w:val="BoxListBullet"/>
              <w:numPr>
                <w:ilvl w:val="0"/>
                <w:numId w:val="3"/>
              </w:numPr>
            </w:pPr>
            <w:r>
              <w:t>the cost of providing care, assuming that a mix of online supported and face</w:t>
            </w:r>
            <w:r>
              <w:noBreakHyphen/>
              <w:t>to</w:t>
            </w:r>
            <w:r>
              <w:noBreakHyphen/>
              <w:t>face treatments are used.</w:t>
            </w:r>
          </w:p>
        </w:tc>
      </w:tr>
      <w:tr w:rsidR="009C6940" w14:paraId="65D695DE" w14:textId="77777777" w:rsidTr="009C6940">
        <w:tc>
          <w:tcPr>
            <w:tcW w:w="5000" w:type="pct"/>
            <w:tcBorders>
              <w:top w:val="nil"/>
              <w:left w:val="nil"/>
              <w:bottom w:val="nil"/>
              <w:right w:val="nil"/>
            </w:tcBorders>
            <w:shd w:val="clear" w:color="auto" w:fill="F2F2F2"/>
          </w:tcPr>
          <w:p w14:paraId="2279930A" w14:textId="77777777" w:rsidR="009C6940" w:rsidRDefault="009C6940" w:rsidP="009C6940">
            <w:pPr>
              <w:pStyle w:val="BoxHeading1"/>
            </w:pPr>
            <w:r>
              <w:t>Additional considerations</w:t>
            </w:r>
          </w:p>
          <w:p w14:paraId="2D0AB216" w14:textId="77777777" w:rsidR="009C6940" w:rsidRDefault="009C6940" w:rsidP="009C6940">
            <w:pPr>
              <w:pStyle w:val="BoxListBullet"/>
              <w:numPr>
                <w:ilvl w:val="0"/>
                <w:numId w:val="3"/>
              </w:numPr>
            </w:pPr>
            <w:r>
              <w:t>There is an implicit assumption that all fathers and partners of new mothers experiencing perinatal mental illness do not currently seek and receive help. Where they do seek treatment, the costs of that treatment should be deducted from the costs above so as to avoid double counting.</w:t>
            </w:r>
          </w:p>
          <w:p w14:paraId="0E5ECC76" w14:textId="77777777" w:rsidR="009C6940" w:rsidRPr="009F19C4" w:rsidRDefault="009C6940" w:rsidP="009C6940">
            <w:pPr>
              <w:pStyle w:val="BoxListBullet"/>
              <w:numPr>
                <w:ilvl w:val="0"/>
                <w:numId w:val="3"/>
              </w:numPr>
            </w:pPr>
            <w:r>
              <w:t xml:space="preserve">There is limited literature regarding treatments and their effectiveness that is specific to new fathers </w:t>
            </w:r>
            <w:r w:rsidRPr="00D80781">
              <w:rPr>
                <w:rFonts w:cs="Arial"/>
                <w:szCs w:val="24"/>
              </w:rPr>
              <w:t>(O’Brien et al. 2017)</w:t>
            </w:r>
            <w:r>
              <w:t>. As a result, effect sizes are drawn from non</w:t>
            </w:r>
            <w:r>
              <w:noBreakHyphen/>
              <w:t>perinatal studies for general populations experiencing a mix of anxiety and depression. It is not clear in which direction this will bias results.</w:t>
            </w:r>
          </w:p>
        </w:tc>
      </w:tr>
      <w:tr w:rsidR="009C6940" w14:paraId="648A99A2" w14:textId="77777777" w:rsidTr="009C6940">
        <w:tc>
          <w:tcPr>
            <w:tcW w:w="5000" w:type="pct"/>
            <w:tcBorders>
              <w:top w:val="nil"/>
              <w:left w:val="nil"/>
              <w:bottom w:val="single" w:sz="6" w:space="0" w:color="78A22F"/>
              <w:right w:val="nil"/>
            </w:tcBorders>
            <w:shd w:val="clear" w:color="auto" w:fill="F2F2F2"/>
          </w:tcPr>
          <w:p w14:paraId="74405F08" w14:textId="77777777" w:rsidR="009C6940" w:rsidRDefault="009C6940" w:rsidP="009C6940">
            <w:pPr>
              <w:pStyle w:val="Box"/>
              <w:spacing w:before="0" w:line="120" w:lineRule="exact"/>
            </w:pPr>
          </w:p>
        </w:tc>
      </w:tr>
      <w:tr w:rsidR="009C6940" w:rsidRPr="000863A5" w14:paraId="6991E646" w14:textId="77777777" w:rsidTr="009C6940">
        <w:tc>
          <w:tcPr>
            <w:tcW w:w="5000" w:type="pct"/>
            <w:tcBorders>
              <w:top w:val="single" w:sz="6" w:space="0" w:color="78A22F"/>
              <w:left w:val="nil"/>
              <w:bottom w:val="nil"/>
              <w:right w:val="nil"/>
            </w:tcBorders>
          </w:tcPr>
          <w:p w14:paraId="3434D310" w14:textId="77777777" w:rsidR="009C6940" w:rsidRPr="00626D32" w:rsidRDefault="009C6940" w:rsidP="009C6940">
            <w:pPr>
              <w:pStyle w:val="BoxSpaceBelow"/>
            </w:pPr>
          </w:p>
        </w:tc>
      </w:tr>
    </w:tbl>
    <w:p w14:paraId="1D3C06FD" w14:textId="77777777" w:rsidR="009C6940" w:rsidRPr="000E0FBF"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337A9932" w14:textId="77777777" w:rsidTr="009C6940">
        <w:trPr>
          <w:tblHeader/>
        </w:trPr>
        <w:tc>
          <w:tcPr>
            <w:tcW w:w="5000" w:type="pct"/>
            <w:tcBorders>
              <w:top w:val="single" w:sz="6" w:space="0" w:color="78A22F"/>
              <w:left w:val="nil"/>
              <w:bottom w:val="nil"/>
              <w:right w:val="nil"/>
            </w:tcBorders>
            <w:shd w:val="clear" w:color="auto" w:fill="F2F2F2"/>
          </w:tcPr>
          <w:p w14:paraId="22E4DF8B" w14:textId="77777777" w:rsidR="009C6940" w:rsidRDefault="009C6940" w:rsidP="009C6940">
            <w:pPr>
              <w:pStyle w:val="BoxHeading1"/>
              <w:tabs>
                <w:tab w:val="left" w:pos="1134"/>
              </w:tabs>
              <w:rPr>
                <w:sz w:val="24"/>
                <w:szCs w:val="24"/>
              </w:rPr>
            </w:pPr>
            <w:r>
              <w:rPr>
                <w:sz w:val="24"/>
                <w:szCs w:val="24"/>
              </w:rPr>
              <w:t>Action</w:t>
            </w:r>
            <w:r>
              <w:rPr>
                <w:sz w:val="24"/>
                <w:szCs w:val="24"/>
              </w:rPr>
              <w:tab/>
              <w:t>Expanded provision of parent supports</w:t>
            </w:r>
          </w:p>
          <w:p w14:paraId="4160A3D9" w14:textId="77777777" w:rsidR="009C6940" w:rsidRPr="001C5A49" w:rsidRDefault="009C6940" w:rsidP="009C6940">
            <w:pPr>
              <w:pStyle w:val="Box"/>
              <w:rPr>
                <w:spacing w:val="-2"/>
              </w:rPr>
            </w:pPr>
            <w:r w:rsidRPr="001C5A49">
              <w:rPr>
                <w:spacing w:val="-2"/>
              </w:rPr>
              <w:t>Parent education programs are part of a suite of measures recommended to improve the social and emotional development of preschool children. The expanded provision of parent education programs through a range of channels (including online platforms and child and family health centres) is expected to result in a range of mental health benefits for children. The intervention here indicates possible benefits and costs associated with the rollout of an indicated parent education program designed to prevent anxiety disorders in children. The anxiety program is an example of additional parenting supports that are recommended in action 5.2. It is expected that these results are indicative of benefits of additional parenting supports that may be expected more broadly.</w:t>
            </w:r>
          </w:p>
        </w:tc>
      </w:tr>
      <w:tr w:rsidR="009C6940" w14:paraId="558D5A3E" w14:textId="77777777" w:rsidTr="009C6940">
        <w:tc>
          <w:tcPr>
            <w:tcW w:w="5000" w:type="pct"/>
            <w:tcBorders>
              <w:top w:val="nil"/>
              <w:left w:val="nil"/>
              <w:bottom w:val="nil"/>
              <w:right w:val="nil"/>
            </w:tcBorders>
            <w:shd w:val="clear" w:color="auto" w:fill="F2F2F2"/>
          </w:tcPr>
          <w:p w14:paraId="0153D315" w14:textId="77777777" w:rsidR="009C6940" w:rsidRDefault="009C6940" w:rsidP="009C6940">
            <w:pPr>
              <w:pStyle w:val="BoxHeading1"/>
              <w:spacing w:before="120"/>
            </w:pPr>
            <w:r>
              <w:t>Population</w:t>
            </w:r>
          </w:p>
          <w:p w14:paraId="07D57DC9" w14:textId="77777777" w:rsidR="009C6940" w:rsidRDefault="009C6940" w:rsidP="009C6940">
            <w:pPr>
              <w:pStyle w:val="Box"/>
            </w:pPr>
            <w:r>
              <w:t>The intervention presented targets parents of pre</w:t>
            </w:r>
            <w:r>
              <w:noBreakHyphen/>
              <w:t xml:space="preserve">school children at risk of developing anxiety. The initial population includes the 649 000 children aged 3 or 4 in 2019 (ABS Cat no. 3101.0). On the basis of an existing study </w:t>
            </w:r>
            <w:r w:rsidRPr="00D80781">
              <w:rPr>
                <w:rFonts w:cs="Arial"/>
                <w:szCs w:val="24"/>
              </w:rPr>
              <w:t>(Mihalopoulos et al. 2015)</w:t>
            </w:r>
            <w:r>
              <w:t>, it is assumed that:</w:t>
            </w:r>
          </w:p>
          <w:p w14:paraId="2447417E" w14:textId="77777777" w:rsidR="009C6940" w:rsidRPr="001978FD" w:rsidRDefault="009C6940" w:rsidP="009C6940">
            <w:pPr>
              <w:pStyle w:val="BoxListBullet"/>
              <w:numPr>
                <w:ilvl w:val="0"/>
                <w:numId w:val="3"/>
              </w:numPr>
            </w:pPr>
            <w:r w:rsidRPr="001978FD">
              <w:t>95% of these children attend preschool</w:t>
            </w:r>
          </w:p>
          <w:p w14:paraId="5CA849F6" w14:textId="77777777" w:rsidR="009C6940" w:rsidRPr="001978FD" w:rsidRDefault="009C6940" w:rsidP="009C6940">
            <w:pPr>
              <w:pStyle w:val="BoxListBullet"/>
              <w:numPr>
                <w:ilvl w:val="0"/>
                <w:numId w:val="3"/>
              </w:numPr>
            </w:pPr>
            <w:r w:rsidRPr="001978FD">
              <w:t>75% of preschools take part in screening</w:t>
            </w:r>
          </w:p>
          <w:p w14:paraId="3F2A59FE" w14:textId="77777777" w:rsidR="009C6940" w:rsidRPr="001978FD" w:rsidRDefault="009C6940" w:rsidP="009C6940">
            <w:pPr>
              <w:pStyle w:val="BoxListBullet"/>
              <w:numPr>
                <w:ilvl w:val="0"/>
                <w:numId w:val="3"/>
              </w:numPr>
            </w:pPr>
            <w:r w:rsidRPr="001978FD">
              <w:t>29% of parents return screening questionnaires</w:t>
            </w:r>
          </w:p>
          <w:p w14:paraId="56CB2B8E" w14:textId="77777777" w:rsidR="009C6940" w:rsidRDefault="009C6940" w:rsidP="009C6940">
            <w:pPr>
              <w:pStyle w:val="BoxListBullet"/>
              <w:numPr>
                <w:ilvl w:val="0"/>
                <w:numId w:val="3"/>
              </w:numPr>
            </w:pPr>
            <w:r w:rsidRPr="001978FD">
              <w:t>63% of parents agree to participate in the intervention</w:t>
            </w:r>
          </w:p>
          <w:p w14:paraId="4B52CEF6" w14:textId="77777777" w:rsidR="009C6940" w:rsidRDefault="009C6940" w:rsidP="009C6940">
            <w:pPr>
              <w:pStyle w:val="BoxListBullet"/>
              <w:numPr>
                <w:ilvl w:val="0"/>
                <w:numId w:val="3"/>
              </w:numPr>
            </w:pPr>
            <w:r w:rsidRPr="001978FD">
              <w:t>16% of children</w:t>
            </w:r>
            <w:r>
              <w:t xml:space="preserve"> meet screening criteria.</w:t>
            </w:r>
          </w:p>
          <w:p w14:paraId="42DA8E2E" w14:textId="77777777" w:rsidR="009C6940" w:rsidRPr="00EC0A97" w:rsidRDefault="009C6940" w:rsidP="009C6940">
            <w:pPr>
              <w:pStyle w:val="BoxListBullet1"/>
            </w:pPr>
            <w:r>
              <w:t>It is estimated that about</w:t>
            </w:r>
            <w:r w:rsidRPr="00710CD5">
              <w:t xml:space="preserve"> </w:t>
            </w:r>
            <w:r>
              <w:t xml:space="preserve">11 100 children receive the intervention. </w:t>
            </w:r>
          </w:p>
        </w:tc>
      </w:tr>
      <w:tr w:rsidR="009C6940" w14:paraId="5D9B00DA" w14:textId="77777777" w:rsidTr="009C6940">
        <w:tc>
          <w:tcPr>
            <w:tcW w:w="5000" w:type="pct"/>
            <w:tcBorders>
              <w:top w:val="nil"/>
              <w:left w:val="nil"/>
              <w:bottom w:val="nil"/>
              <w:right w:val="nil"/>
            </w:tcBorders>
            <w:shd w:val="clear" w:color="auto" w:fill="F2F2F2"/>
          </w:tcPr>
          <w:p w14:paraId="2ACBED11" w14:textId="77777777" w:rsidR="009C6940" w:rsidRDefault="009C6940" w:rsidP="009C6940">
            <w:pPr>
              <w:pStyle w:val="BoxHeading1"/>
              <w:spacing w:before="120"/>
            </w:pPr>
            <w:r>
              <w:t>Effect</w:t>
            </w:r>
          </w:p>
          <w:p w14:paraId="6C527845" w14:textId="77777777" w:rsidR="009C6940" w:rsidRDefault="009C6940" w:rsidP="009C6940">
            <w:pPr>
              <w:pStyle w:val="Box"/>
            </w:pPr>
            <w:r>
              <w:t xml:space="preserve">The intervention is expected to reduce anxiety among children, with the effectiveness results sourced from Rapee et al. </w:t>
            </w:r>
            <w:r w:rsidRPr="00D80781">
              <w:rPr>
                <w:rFonts w:cs="Arial"/>
              </w:rPr>
              <w:t>(2005)</w:t>
            </w:r>
            <w:r>
              <w:t>.</w:t>
            </w:r>
          </w:p>
          <w:p w14:paraId="32DCD9C4" w14:textId="77777777" w:rsidR="009C6940" w:rsidRPr="00147929" w:rsidRDefault="009C6940" w:rsidP="009C6940">
            <w:pPr>
              <w:pStyle w:val="BoxHeading1"/>
              <w:spacing w:before="120"/>
            </w:pPr>
            <w:r>
              <w:t>Percentage of children with at least one anxiety diagnosis</w:t>
            </w:r>
          </w:p>
        </w:tc>
      </w:tr>
      <w:tr w:rsidR="009C6940" w14:paraId="3DCE3622" w14:textId="77777777" w:rsidTr="009C6940">
        <w:tc>
          <w:tcPr>
            <w:tcW w:w="5000" w:type="pct"/>
            <w:tcBorders>
              <w:top w:val="nil"/>
              <w:left w:val="nil"/>
              <w:bottom w:val="nil"/>
              <w:right w:val="nil"/>
            </w:tcBorders>
            <w:shd w:val="clear" w:color="auto" w:fill="F2F2F2"/>
          </w:tcPr>
          <w:tbl>
            <w:tblPr>
              <w:tblW w:w="5000" w:type="pct"/>
              <w:tblCellMar>
                <w:top w:w="28" w:type="dxa"/>
                <w:left w:w="0" w:type="dxa"/>
                <w:right w:w="0" w:type="dxa"/>
              </w:tblCellMar>
              <w:tblLook w:val="0000" w:firstRow="0" w:lastRow="0" w:firstColumn="0" w:lastColumn="0" w:noHBand="0" w:noVBand="0"/>
            </w:tblPr>
            <w:tblGrid>
              <w:gridCol w:w="4254"/>
              <w:gridCol w:w="2126"/>
              <w:gridCol w:w="2125"/>
            </w:tblGrid>
            <w:tr w:rsidR="009C6940" w14:paraId="2EDD21BD" w14:textId="77777777" w:rsidTr="009C6940">
              <w:trPr>
                <w:tblHeader/>
              </w:trPr>
              <w:tc>
                <w:tcPr>
                  <w:tcW w:w="2501" w:type="pct"/>
                  <w:tcBorders>
                    <w:top w:val="single" w:sz="6" w:space="0" w:color="BFBFBF"/>
                    <w:bottom w:val="single" w:sz="6" w:space="0" w:color="BFBFBF"/>
                  </w:tcBorders>
                  <w:shd w:val="clear" w:color="auto" w:fill="auto"/>
                  <w:tcMar>
                    <w:top w:w="28" w:type="dxa"/>
                  </w:tcMar>
                </w:tcPr>
                <w:p w14:paraId="1E7CA46F" w14:textId="77777777" w:rsidR="009C6940" w:rsidRPr="00CA2AF9" w:rsidRDefault="009C6940" w:rsidP="009C6940">
                  <w:pPr>
                    <w:pStyle w:val="TableColumnHeading"/>
                    <w:jc w:val="left"/>
                  </w:pPr>
                  <w:r w:rsidRPr="00CA2AF9">
                    <w:t>Follow</w:t>
                  </w:r>
                  <w:r w:rsidRPr="00CA2AF9">
                    <w:noBreakHyphen/>
                    <w:t>up time</w:t>
                  </w:r>
                </w:p>
              </w:tc>
              <w:tc>
                <w:tcPr>
                  <w:tcW w:w="1250" w:type="pct"/>
                  <w:tcBorders>
                    <w:top w:val="single" w:sz="6" w:space="0" w:color="BFBFBF"/>
                    <w:bottom w:val="single" w:sz="6" w:space="0" w:color="BFBFBF"/>
                  </w:tcBorders>
                  <w:shd w:val="clear" w:color="auto" w:fill="auto"/>
                  <w:tcMar>
                    <w:top w:w="28" w:type="dxa"/>
                  </w:tcMar>
                </w:tcPr>
                <w:p w14:paraId="2EBCE5C1" w14:textId="77777777" w:rsidR="009C6940" w:rsidRPr="00CA2AF9" w:rsidRDefault="009C6940" w:rsidP="009C6940">
                  <w:pPr>
                    <w:pStyle w:val="TableColumnHeading"/>
                  </w:pPr>
                  <w:r w:rsidRPr="00CA2AF9">
                    <w:t>Intervention</w:t>
                  </w:r>
                </w:p>
              </w:tc>
              <w:tc>
                <w:tcPr>
                  <w:tcW w:w="1249" w:type="pct"/>
                  <w:tcBorders>
                    <w:top w:val="single" w:sz="6" w:space="0" w:color="BFBFBF"/>
                    <w:bottom w:val="single" w:sz="6" w:space="0" w:color="BFBFBF"/>
                  </w:tcBorders>
                  <w:shd w:val="clear" w:color="auto" w:fill="auto"/>
                  <w:tcMar>
                    <w:top w:w="28" w:type="dxa"/>
                  </w:tcMar>
                </w:tcPr>
                <w:p w14:paraId="1FC6F621" w14:textId="77777777" w:rsidR="009C6940" w:rsidRPr="00CA2AF9" w:rsidRDefault="009C6940" w:rsidP="009C6940">
                  <w:pPr>
                    <w:pStyle w:val="TableColumnHeading"/>
                  </w:pPr>
                  <w:r w:rsidRPr="00CA2AF9">
                    <w:t>Control</w:t>
                  </w:r>
                </w:p>
              </w:tc>
            </w:tr>
            <w:tr w:rsidR="009C6940" w14:paraId="175FC4CC" w14:textId="77777777" w:rsidTr="009C6940">
              <w:tc>
                <w:tcPr>
                  <w:tcW w:w="2501" w:type="pct"/>
                  <w:tcBorders>
                    <w:top w:val="single" w:sz="6" w:space="0" w:color="BFBFBF"/>
                  </w:tcBorders>
                </w:tcPr>
                <w:p w14:paraId="746409A7" w14:textId="77777777" w:rsidR="009C6940" w:rsidRDefault="009C6940" w:rsidP="009C6940">
                  <w:pPr>
                    <w:pStyle w:val="TableUnitsRow"/>
                    <w:jc w:val="left"/>
                  </w:pPr>
                  <w:r>
                    <w:t>12 months</w:t>
                  </w:r>
                </w:p>
              </w:tc>
              <w:tc>
                <w:tcPr>
                  <w:tcW w:w="1250" w:type="pct"/>
                  <w:tcBorders>
                    <w:top w:val="single" w:sz="6" w:space="0" w:color="BFBFBF"/>
                  </w:tcBorders>
                </w:tcPr>
                <w:p w14:paraId="3CD33C23" w14:textId="77777777" w:rsidR="009C6940" w:rsidRDefault="009C6940" w:rsidP="009C6940">
                  <w:pPr>
                    <w:pStyle w:val="TableBodyText"/>
                  </w:pPr>
                  <w:r>
                    <w:t>50.8</w:t>
                  </w:r>
                </w:p>
              </w:tc>
              <w:tc>
                <w:tcPr>
                  <w:tcW w:w="1249" w:type="pct"/>
                  <w:tcBorders>
                    <w:top w:val="single" w:sz="6" w:space="0" w:color="BFBFBF"/>
                  </w:tcBorders>
                </w:tcPr>
                <w:p w14:paraId="0EB6D6EC" w14:textId="77777777" w:rsidR="009C6940" w:rsidRDefault="009C6940" w:rsidP="009C6940">
                  <w:pPr>
                    <w:pStyle w:val="TableBodyText"/>
                  </w:pPr>
                  <w:r>
                    <w:t>63.5</w:t>
                  </w:r>
                </w:p>
              </w:tc>
            </w:tr>
            <w:tr w:rsidR="009C6940" w14:paraId="3A56437E" w14:textId="77777777" w:rsidTr="009C6940">
              <w:tc>
                <w:tcPr>
                  <w:tcW w:w="2501" w:type="pct"/>
                </w:tcPr>
                <w:p w14:paraId="500D8E44" w14:textId="77777777" w:rsidR="009C6940" w:rsidRDefault="009C6940" w:rsidP="009C6940">
                  <w:pPr>
                    <w:pStyle w:val="TableUnitsRow"/>
                    <w:jc w:val="left"/>
                  </w:pPr>
                  <w:r>
                    <w:t>24 months</w:t>
                  </w:r>
                </w:p>
              </w:tc>
              <w:tc>
                <w:tcPr>
                  <w:tcW w:w="1250" w:type="pct"/>
                </w:tcPr>
                <w:p w14:paraId="33179D79" w14:textId="77777777" w:rsidR="009C6940" w:rsidRDefault="009C6940" w:rsidP="009C6940">
                  <w:pPr>
                    <w:pStyle w:val="TableBodyText"/>
                  </w:pPr>
                  <w:r>
                    <w:t>37.8</w:t>
                  </w:r>
                </w:p>
              </w:tc>
              <w:tc>
                <w:tcPr>
                  <w:tcW w:w="1249" w:type="pct"/>
                </w:tcPr>
                <w:p w14:paraId="2C00EB79" w14:textId="77777777" w:rsidR="009C6940" w:rsidRDefault="009C6940" w:rsidP="009C6940">
                  <w:pPr>
                    <w:pStyle w:val="TableBodyText"/>
                  </w:pPr>
                  <w:r>
                    <w:t>68.4</w:t>
                  </w:r>
                </w:p>
              </w:tc>
            </w:tr>
            <w:tr w:rsidR="009C6940" w14:paraId="5176DF7C" w14:textId="77777777" w:rsidTr="009C6940">
              <w:tc>
                <w:tcPr>
                  <w:tcW w:w="2501" w:type="pct"/>
                  <w:tcBorders>
                    <w:bottom w:val="single" w:sz="6" w:space="0" w:color="BFBFBF"/>
                  </w:tcBorders>
                  <w:shd w:val="clear" w:color="auto" w:fill="auto"/>
                </w:tcPr>
                <w:p w14:paraId="1A681E01" w14:textId="77777777" w:rsidR="009C6940" w:rsidRDefault="009C6940" w:rsidP="009C6940">
                  <w:pPr>
                    <w:pStyle w:val="TableUnitsRow"/>
                    <w:jc w:val="left"/>
                  </w:pPr>
                  <w:r>
                    <w:t>36 months</w:t>
                  </w:r>
                </w:p>
              </w:tc>
              <w:tc>
                <w:tcPr>
                  <w:tcW w:w="1250" w:type="pct"/>
                  <w:tcBorders>
                    <w:bottom w:val="single" w:sz="6" w:space="0" w:color="BFBFBF"/>
                  </w:tcBorders>
                  <w:shd w:val="clear" w:color="auto" w:fill="auto"/>
                </w:tcPr>
                <w:p w14:paraId="2753CF0D" w14:textId="77777777" w:rsidR="009C6940" w:rsidRDefault="009C6940" w:rsidP="009C6940">
                  <w:pPr>
                    <w:pStyle w:val="TableBodyText"/>
                  </w:pPr>
                  <w:r>
                    <w:t>39.5</w:t>
                  </w:r>
                </w:p>
              </w:tc>
              <w:tc>
                <w:tcPr>
                  <w:tcW w:w="1249" w:type="pct"/>
                  <w:tcBorders>
                    <w:bottom w:val="single" w:sz="6" w:space="0" w:color="BFBFBF"/>
                  </w:tcBorders>
                  <w:shd w:val="clear" w:color="auto" w:fill="auto"/>
                </w:tcPr>
                <w:p w14:paraId="553AF286" w14:textId="77777777" w:rsidR="009C6940" w:rsidRDefault="009C6940" w:rsidP="009C6940">
                  <w:pPr>
                    <w:pStyle w:val="TableBodyText"/>
                  </w:pPr>
                  <w:r>
                    <w:t>68.8</w:t>
                  </w:r>
                </w:p>
              </w:tc>
            </w:tr>
          </w:tbl>
          <w:p w14:paraId="58688BF6" w14:textId="77777777" w:rsidR="009C6940" w:rsidRDefault="009C6940" w:rsidP="009C6940">
            <w:pPr>
              <w:pStyle w:val="BoxHeading1"/>
              <w:spacing w:before="120"/>
            </w:pPr>
          </w:p>
        </w:tc>
      </w:tr>
      <w:tr w:rsidR="009C6940" w14:paraId="2706D399" w14:textId="77777777" w:rsidTr="009C6940">
        <w:tc>
          <w:tcPr>
            <w:tcW w:w="5000" w:type="pct"/>
            <w:tcBorders>
              <w:top w:val="nil"/>
              <w:left w:val="nil"/>
              <w:bottom w:val="nil"/>
              <w:right w:val="nil"/>
            </w:tcBorders>
            <w:shd w:val="clear" w:color="auto" w:fill="F2F2F2"/>
          </w:tcPr>
          <w:p w14:paraId="2AFF810F" w14:textId="77777777" w:rsidR="009C6940" w:rsidRDefault="009C6940" w:rsidP="009C6940">
            <w:pPr>
              <w:pStyle w:val="Box"/>
            </w:pPr>
            <w:r>
              <w:t>In terms of health</w:t>
            </w:r>
            <w:r>
              <w:noBreakHyphen/>
              <w:t>related quality of life, improved social and emotional development for preschool children is estimated to result in between 385</w:t>
            </w:r>
            <w:r>
              <w:noBreakHyphen/>
              <w:t>703 disability</w:t>
            </w:r>
            <w:r>
              <w:noBreakHyphen/>
              <w:t>adjusted life years (DALYs) averted. Other health benefits included in this appendix are specified in terms quality</w:t>
            </w:r>
            <w:r>
              <w:noBreakHyphen/>
              <w:t>adjusted</w:t>
            </w:r>
            <w:r>
              <w:noBreakHyphen/>
              <w:t>life</w:t>
            </w:r>
            <w:r>
              <w:noBreakHyphen/>
              <w:t>years. Disability</w:t>
            </w:r>
            <w:r>
              <w:noBreakHyphen/>
              <w:t>adjusted are conceptually similar to QALYs, but are typically disease</w:t>
            </w:r>
            <w:r>
              <w:noBreakHyphen/>
              <w:t>specific and do not take into account comorbidities.</w:t>
            </w:r>
          </w:p>
        </w:tc>
      </w:tr>
      <w:tr w:rsidR="009C6940" w14:paraId="09B2CD2B" w14:textId="77777777" w:rsidTr="009C6940">
        <w:tc>
          <w:tcPr>
            <w:tcW w:w="5000" w:type="pct"/>
            <w:tcBorders>
              <w:top w:val="nil"/>
              <w:left w:val="nil"/>
              <w:bottom w:val="nil"/>
              <w:right w:val="nil"/>
            </w:tcBorders>
            <w:shd w:val="clear" w:color="auto" w:fill="F2F2F2"/>
          </w:tcPr>
          <w:p w14:paraId="4BF0626F" w14:textId="77777777" w:rsidR="009C6940" w:rsidRDefault="009C6940" w:rsidP="009C6940">
            <w:pPr>
              <w:pStyle w:val="BoxHeading1"/>
              <w:spacing w:before="120"/>
            </w:pPr>
            <w:r>
              <w:t>Costs</w:t>
            </w:r>
          </w:p>
          <w:p w14:paraId="5FFD0B99" w14:textId="77777777" w:rsidR="009C6940" w:rsidRPr="00573F35" w:rsidRDefault="009C6940" w:rsidP="009C6940">
            <w:pPr>
              <w:pStyle w:val="Box"/>
            </w:pPr>
            <w:r>
              <w:t xml:space="preserve">Costs of the intervention are taken from Mihalopoulos et al. </w:t>
            </w:r>
            <w:r w:rsidRPr="00D80781">
              <w:rPr>
                <w:rFonts w:cs="Arial"/>
              </w:rPr>
              <w:t>(2015)</w:t>
            </w:r>
            <w:r>
              <w:t>, and adjusted for inflation and change in population. Screening costs included one hour of preschool teachers time, costs of training teachers, and the processing of screening questionnaires. Intervention costs include up to six 1.5 hour group sessions. The costs of time and travel for parents are also included. The total cost is estimated to be about $6.8 million. Cost savings included the healthcare costs associated with treating anxiety and are estimated to be about $2.2 million.</w:t>
            </w:r>
          </w:p>
        </w:tc>
      </w:tr>
      <w:tr w:rsidR="009C6940" w14:paraId="5B054DD4" w14:textId="77777777" w:rsidTr="009C6940">
        <w:tc>
          <w:tcPr>
            <w:tcW w:w="5000" w:type="pct"/>
            <w:tcBorders>
              <w:top w:val="nil"/>
              <w:left w:val="nil"/>
              <w:bottom w:val="nil"/>
              <w:right w:val="nil"/>
            </w:tcBorders>
            <w:shd w:val="clear" w:color="auto" w:fill="F2F2F2"/>
          </w:tcPr>
          <w:p w14:paraId="2B75A345"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71297814" w14:textId="77777777" w:rsidTr="009C6940">
        <w:tc>
          <w:tcPr>
            <w:tcW w:w="5000" w:type="pct"/>
            <w:tcBorders>
              <w:top w:val="nil"/>
              <w:left w:val="nil"/>
              <w:bottom w:val="single" w:sz="6" w:space="0" w:color="78A22F"/>
              <w:right w:val="nil"/>
            </w:tcBorders>
            <w:shd w:val="clear" w:color="auto" w:fill="F2F2F2"/>
          </w:tcPr>
          <w:p w14:paraId="7587ADF5" w14:textId="77777777" w:rsidR="009C6940" w:rsidRDefault="009C6940" w:rsidP="009C6940">
            <w:pPr>
              <w:pStyle w:val="Box"/>
              <w:spacing w:before="0" w:line="120" w:lineRule="exact"/>
            </w:pPr>
          </w:p>
        </w:tc>
      </w:tr>
      <w:tr w:rsidR="009C6940" w:rsidRPr="000863A5" w14:paraId="4AEA96A4" w14:textId="77777777" w:rsidTr="009C6940">
        <w:trPr>
          <w:trHeight w:val="45"/>
        </w:trPr>
        <w:tc>
          <w:tcPr>
            <w:tcW w:w="5000" w:type="pct"/>
            <w:tcBorders>
              <w:top w:val="single" w:sz="6" w:space="0" w:color="78A22F"/>
              <w:left w:val="nil"/>
              <w:bottom w:val="nil"/>
              <w:right w:val="nil"/>
            </w:tcBorders>
          </w:tcPr>
          <w:p w14:paraId="5EF07CA4" w14:textId="77777777" w:rsidR="009C6940" w:rsidRPr="00626D32" w:rsidRDefault="009C6940" w:rsidP="009C6940">
            <w:pPr>
              <w:pStyle w:val="BoxSpaceBelow"/>
            </w:pPr>
          </w:p>
        </w:tc>
      </w:tr>
    </w:tbl>
    <w:p w14:paraId="24A1DD1C"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91061C6" w14:textId="77777777" w:rsidTr="009C6940">
        <w:trPr>
          <w:tblHeader/>
        </w:trPr>
        <w:tc>
          <w:tcPr>
            <w:tcW w:w="5000" w:type="pct"/>
            <w:tcBorders>
              <w:top w:val="single" w:sz="6" w:space="0" w:color="78A22F"/>
              <w:left w:val="nil"/>
              <w:bottom w:val="nil"/>
              <w:right w:val="nil"/>
            </w:tcBorders>
            <w:shd w:val="clear" w:color="auto" w:fill="F2F2F2"/>
          </w:tcPr>
          <w:p w14:paraId="70AC323E" w14:textId="77777777" w:rsidR="009C6940" w:rsidRPr="009239FB" w:rsidRDefault="009C6940" w:rsidP="009C6940">
            <w:pPr>
              <w:pStyle w:val="BoxHeading1"/>
              <w:tabs>
                <w:tab w:val="left" w:pos="1144"/>
              </w:tabs>
              <w:rPr>
                <w:sz w:val="24"/>
                <w:szCs w:val="24"/>
              </w:rPr>
            </w:pPr>
            <w:r>
              <w:rPr>
                <w:sz w:val="24"/>
                <w:szCs w:val="24"/>
              </w:rPr>
              <w:t>Action</w:t>
            </w:r>
            <w:r>
              <w:rPr>
                <w:sz w:val="24"/>
                <w:szCs w:val="24"/>
              </w:rPr>
              <w:tab/>
              <w:t xml:space="preserve">Expanded provision of parent supports </w:t>
            </w:r>
            <w:r w:rsidRPr="00A7274B">
              <w:rPr>
                <w:rStyle w:val="Continuedintitle"/>
              </w:rPr>
              <w:t>(continued)</w:t>
            </w:r>
          </w:p>
        </w:tc>
      </w:tr>
      <w:tr w:rsidR="009C6940" w14:paraId="139E389A" w14:textId="77777777" w:rsidTr="009C6940">
        <w:tc>
          <w:tcPr>
            <w:tcW w:w="5000" w:type="pct"/>
            <w:tcBorders>
              <w:top w:val="nil"/>
              <w:left w:val="nil"/>
              <w:bottom w:val="nil"/>
              <w:right w:val="nil"/>
            </w:tcBorders>
            <w:shd w:val="clear" w:color="auto" w:fill="F2F2F2"/>
          </w:tcPr>
          <w:p w14:paraId="2483961D" w14:textId="77777777" w:rsidR="009C6940" w:rsidRPr="00920AB1" w:rsidRDefault="009C6940" w:rsidP="009C6940">
            <w:pPr>
              <w:pStyle w:val="BoxHeading1"/>
              <w:spacing w:before="120"/>
            </w:pPr>
            <w:r>
              <w:t>Additional considerations</w:t>
            </w:r>
          </w:p>
          <w:p w14:paraId="67229E50" w14:textId="77777777" w:rsidR="009C6940" w:rsidRDefault="009C6940" w:rsidP="009C6940">
            <w:pPr>
              <w:pStyle w:val="BoxListBullet"/>
              <w:numPr>
                <w:ilvl w:val="0"/>
                <w:numId w:val="3"/>
              </w:numPr>
            </w:pPr>
            <w:r>
              <w:t>Unlike other interventions considered, the benefits calculated include those that accrue over subsequent years. This is due to the fact that benefits appear to increase in the years after the intervention. In the year following the intervention, it is estimated that about</w:t>
            </w:r>
            <w:r w:rsidRPr="00710CD5">
              <w:t xml:space="preserve"> </w:t>
            </w:r>
            <w:r>
              <w:t>95 DALYs are averted.</w:t>
            </w:r>
          </w:p>
          <w:p w14:paraId="362063B7" w14:textId="77777777" w:rsidR="009C6940" w:rsidRPr="000C6859" w:rsidRDefault="009C6940" w:rsidP="009C6940">
            <w:pPr>
              <w:pStyle w:val="BoxListBullet"/>
              <w:numPr>
                <w:ilvl w:val="0"/>
                <w:numId w:val="3"/>
              </w:numPr>
            </w:pPr>
            <w:r>
              <w:t>Benefits are likely to be underestimated, given that costings in Mihalopoulos et al. (2015) include consideration of a number of children who are given access to the course without actually meeting screening criteria. No benefits from these children are included here.</w:t>
            </w:r>
          </w:p>
        </w:tc>
      </w:tr>
      <w:tr w:rsidR="009C6940" w14:paraId="47322D25" w14:textId="77777777" w:rsidTr="009C6940">
        <w:tc>
          <w:tcPr>
            <w:tcW w:w="5000" w:type="pct"/>
            <w:tcBorders>
              <w:top w:val="nil"/>
              <w:left w:val="nil"/>
              <w:bottom w:val="single" w:sz="6" w:space="0" w:color="78A22F"/>
              <w:right w:val="nil"/>
            </w:tcBorders>
            <w:shd w:val="clear" w:color="auto" w:fill="F2F2F2"/>
          </w:tcPr>
          <w:p w14:paraId="37EE2C9C" w14:textId="77777777" w:rsidR="009C6940" w:rsidRDefault="009C6940" w:rsidP="009C6940">
            <w:pPr>
              <w:pStyle w:val="Box"/>
              <w:spacing w:before="0" w:line="120" w:lineRule="exact"/>
            </w:pPr>
          </w:p>
        </w:tc>
      </w:tr>
      <w:tr w:rsidR="009C6940" w:rsidRPr="000863A5" w14:paraId="30DB5C66" w14:textId="77777777" w:rsidTr="009C6940">
        <w:tc>
          <w:tcPr>
            <w:tcW w:w="5000" w:type="pct"/>
            <w:tcBorders>
              <w:top w:val="single" w:sz="6" w:space="0" w:color="78A22F"/>
              <w:left w:val="nil"/>
              <w:bottom w:val="nil"/>
              <w:right w:val="nil"/>
            </w:tcBorders>
          </w:tcPr>
          <w:p w14:paraId="6AFAC16D" w14:textId="77777777" w:rsidR="009C6940" w:rsidRPr="00626D32" w:rsidRDefault="009C6940" w:rsidP="009C6940">
            <w:pPr>
              <w:pStyle w:val="BoxSpaceBelow"/>
            </w:pPr>
          </w:p>
        </w:tc>
      </w:tr>
    </w:tbl>
    <w:p w14:paraId="6A747AD0"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1CFBF4FB" w14:textId="77777777" w:rsidTr="009C6940">
        <w:trPr>
          <w:tblHeader/>
        </w:trPr>
        <w:tc>
          <w:tcPr>
            <w:tcW w:w="5000" w:type="pct"/>
            <w:tcBorders>
              <w:top w:val="single" w:sz="6" w:space="0" w:color="78A22F"/>
              <w:left w:val="nil"/>
              <w:bottom w:val="nil"/>
              <w:right w:val="nil"/>
            </w:tcBorders>
            <w:shd w:val="clear" w:color="auto" w:fill="F2F2F2"/>
          </w:tcPr>
          <w:p w14:paraId="11985B87" w14:textId="77777777" w:rsidR="009C6940" w:rsidRPr="000F66BD" w:rsidRDefault="009C6940" w:rsidP="009C6940">
            <w:pPr>
              <w:pStyle w:val="BoxHeading1"/>
              <w:tabs>
                <w:tab w:val="left" w:pos="1075"/>
              </w:tabs>
              <w:rPr>
                <w:sz w:val="24"/>
                <w:szCs w:val="24"/>
              </w:rPr>
            </w:pPr>
            <w:r>
              <w:rPr>
                <w:sz w:val="24"/>
                <w:szCs w:val="24"/>
              </w:rPr>
              <w:t>Action</w:t>
            </w:r>
            <w:r>
              <w:rPr>
                <w:sz w:val="24"/>
                <w:szCs w:val="24"/>
              </w:rPr>
              <w:tab/>
            </w:r>
            <w:r w:rsidRPr="00620D5C">
              <w:rPr>
                <w:sz w:val="24"/>
                <w:szCs w:val="24"/>
              </w:rPr>
              <w:t xml:space="preserve">Education support for </w:t>
            </w:r>
            <w:r>
              <w:rPr>
                <w:sz w:val="24"/>
                <w:szCs w:val="24"/>
              </w:rPr>
              <w:t>the mental health of school</w:t>
            </w:r>
            <w:r>
              <w:rPr>
                <w:sz w:val="24"/>
                <w:szCs w:val="24"/>
              </w:rPr>
              <w:noBreakHyphen/>
              <w:t xml:space="preserve">aged </w:t>
            </w:r>
            <w:r w:rsidRPr="00620D5C">
              <w:rPr>
                <w:sz w:val="24"/>
                <w:szCs w:val="24"/>
              </w:rPr>
              <w:t>children</w:t>
            </w:r>
          </w:p>
        </w:tc>
      </w:tr>
      <w:tr w:rsidR="009C6940" w14:paraId="45B9A3C4" w14:textId="77777777" w:rsidTr="009C6940">
        <w:tc>
          <w:tcPr>
            <w:tcW w:w="5000" w:type="pct"/>
            <w:tcBorders>
              <w:top w:val="nil"/>
              <w:left w:val="nil"/>
              <w:bottom w:val="nil"/>
              <w:right w:val="nil"/>
            </w:tcBorders>
            <w:shd w:val="clear" w:color="auto" w:fill="F2F2F2"/>
          </w:tcPr>
          <w:p w14:paraId="08F1F7BC" w14:textId="77777777" w:rsidR="009C6940" w:rsidRDefault="009C6940" w:rsidP="009C6940">
            <w:pPr>
              <w:pStyle w:val="Box"/>
            </w:pPr>
            <w:r>
              <w:t>The mental health of school</w:t>
            </w:r>
            <w:r>
              <w:noBreakHyphen/>
              <w:t xml:space="preserve">aged children can be better supported by improving teachers’ knowledge and understanding of </w:t>
            </w:r>
            <w:r w:rsidRPr="00D41518">
              <w:t>child social and emotional development and wellbeing</w:t>
            </w:r>
            <w:r>
              <w:t xml:space="preserve"> via the implementation of accredited programs in schools and improvements in pre</w:t>
            </w:r>
            <w:r>
              <w:noBreakHyphen/>
              <w:t>service education and professional development for teachers.</w:t>
            </w:r>
          </w:p>
        </w:tc>
      </w:tr>
      <w:tr w:rsidR="009C6940" w14:paraId="18AF89E0" w14:textId="77777777" w:rsidTr="009C6940">
        <w:tc>
          <w:tcPr>
            <w:tcW w:w="5000" w:type="pct"/>
            <w:tcBorders>
              <w:top w:val="nil"/>
              <w:left w:val="nil"/>
              <w:bottom w:val="nil"/>
              <w:right w:val="nil"/>
            </w:tcBorders>
            <w:shd w:val="clear" w:color="auto" w:fill="F2F2F2"/>
          </w:tcPr>
          <w:p w14:paraId="7DCC6014" w14:textId="77777777" w:rsidR="009C6940" w:rsidRDefault="009C6940" w:rsidP="009C6940">
            <w:pPr>
              <w:pStyle w:val="BoxHeading1"/>
              <w:spacing w:before="120"/>
            </w:pPr>
            <w:r>
              <w:t>Population</w:t>
            </w:r>
          </w:p>
          <w:p w14:paraId="248EE337" w14:textId="77777777" w:rsidR="009C6940" w:rsidRPr="00481259" w:rsidRDefault="009C6940" w:rsidP="009C6940">
            <w:pPr>
              <w:pStyle w:val="Box"/>
            </w:pPr>
            <w:r>
              <w:t xml:space="preserve">3.9 million students in primary and high schools across Australia </w:t>
            </w:r>
            <w:r w:rsidRPr="00D80781">
              <w:rPr>
                <w:rFonts w:cs="Arial"/>
                <w:szCs w:val="24"/>
              </w:rPr>
              <w:t>(ABS 2020b)</w:t>
            </w:r>
            <w:r>
              <w:t xml:space="preserve"> are expected to experience improved health</w:t>
            </w:r>
            <w:r>
              <w:noBreakHyphen/>
              <w:t>related quality of life from improved social and emotional learning programs within schools.</w:t>
            </w:r>
          </w:p>
        </w:tc>
      </w:tr>
      <w:tr w:rsidR="009C6940" w14:paraId="27E6DFCB" w14:textId="77777777" w:rsidTr="009C6940">
        <w:tc>
          <w:tcPr>
            <w:tcW w:w="5000" w:type="pct"/>
            <w:tcBorders>
              <w:top w:val="nil"/>
              <w:left w:val="nil"/>
              <w:bottom w:val="nil"/>
              <w:right w:val="nil"/>
            </w:tcBorders>
            <w:shd w:val="clear" w:color="auto" w:fill="F2F2F2"/>
          </w:tcPr>
          <w:p w14:paraId="21492880" w14:textId="77777777" w:rsidR="009C6940" w:rsidRDefault="009C6940" w:rsidP="009C6940">
            <w:pPr>
              <w:pStyle w:val="BoxHeading1"/>
              <w:spacing w:before="120"/>
            </w:pPr>
            <w:r>
              <w:t>Effect</w:t>
            </w:r>
          </w:p>
          <w:p w14:paraId="0EA36CFA" w14:textId="77777777" w:rsidR="009C6940" w:rsidRDefault="009C6940" w:rsidP="009C6940">
            <w:pPr>
              <w:pStyle w:val="Box"/>
            </w:pPr>
            <w:r w:rsidRPr="00781137">
              <w:t xml:space="preserve">Sklad et al. </w:t>
            </w:r>
            <w:r w:rsidRPr="00D80781">
              <w:rPr>
                <w:rFonts w:cs="Arial"/>
              </w:rPr>
              <w:t>(2012)</w:t>
            </w:r>
            <w:r w:rsidRPr="00781137">
              <w:t xml:space="preserve"> conducted </w:t>
            </w:r>
            <w:r>
              <w:t>a meta</w:t>
            </w:r>
            <w:r>
              <w:noBreakHyphen/>
              <w:t>analysis on universal, school</w:t>
            </w:r>
            <w:r>
              <w:noBreakHyphen/>
              <w:t xml:space="preserve">based, </w:t>
            </w:r>
            <w:r w:rsidRPr="00781137">
              <w:t xml:space="preserve">social, emotional, and behavioural programs and </w:t>
            </w:r>
            <w:r>
              <w:t>found</w:t>
            </w:r>
            <w:r w:rsidRPr="00781137">
              <w:t xml:space="preserve"> an effect size of 0.1</w:t>
            </w:r>
            <w:r>
              <w:t xml:space="preserve"> (0.04</w:t>
            </w:r>
            <w:r>
              <w:noBreakHyphen/>
              <w:t>0.17)</w:t>
            </w:r>
            <w:r w:rsidRPr="00781137">
              <w:t xml:space="preserve"> on follow</w:t>
            </w:r>
            <w:r>
              <w:noBreakHyphen/>
            </w:r>
            <w:r w:rsidRPr="00781137">
              <w:t>up outcomes for mental disorders.</w:t>
            </w:r>
            <w:r w:rsidRPr="009A6199">
              <w:rPr>
                <w:color w:val="FF0000"/>
              </w:rPr>
              <w:t xml:space="preserve"> </w:t>
            </w:r>
            <w:r>
              <w:t>This is estimated to result in an additional 28 620</w:t>
            </w:r>
            <w:r w:rsidRPr="00BA5367">
              <w:noBreakHyphen/>
            </w:r>
            <w:r>
              <w:t>52 11</w:t>
            </w:r>
            <w:r w:rsidRPr="00712E8C">
              <w:t>0 Q</w:t>
            </w:r>
            <w:r>
              <w:t>ALYs per year.</w:t>
            </w:r>
          </w:p>
          <w:p w14:paraId="2E986852" w14:textId="77777777" w:rsidR="009C6940" w:rsidRPr="000C6859" w:rsidRDefault="009C6940" w:rsidP="009C6940">
            <w:pPr>
              <w:pStyle w:val="Box"/>
            </w:pPr>
            <w:r>
              <w:t xml:space="preserve">These recommended actions are likely to have ongoing positive effects for those benefiting, including improved educational outcomes. For example, using results from a random effects analysis of Longitudinal Study of Australian Children data by Khanam and Nghiem </w:t>
            </w:r>
            <w:r w:rsidRPr="00D80781">
              <w:rPr>
                <w:rFonts w:cs="Arial"/>
              </w:rPr>
              <w:t>(2018)</w:t>
            </w:r>
            <w:r>
              <w:t>, it is estimated that this effect is likely to result in an average improvement in NAPLAN of about</w:t>
            </w:r>
            <w:r w:rsidRPr="00710CD5">
              <w:t xml:space="preserve"> </w:t>
            </w:r>
            <w:r>
              <w:t>0.01 standard deviations for reading and writing and 0.005 standard deviations for spelling and numeracy.</w:t>
            </w:r>
          </w:p>
        </w:tc>
      </w:tr>
      <w:tr w:rsidR="009C6940" w14:paraId="620387D6" w14:textId="77777777" w:rsidTr="009C6940">
        <w:tc>
          <w:tcPr>
            <w:tcW w:w="5000" w:type="pct"/>
            <w:tcBorders>
              <w:top w:val="nil"/>
              <w:left w:val="nil"/>
              <w:bottom w:val="nil"/>
              <w:right w:val="nil"/>
            </w:tcBorders>
            <w:shd w:val="clear" w:color="auto" w:fill="F2F2F2"/>
          </w:tcPr>
          <w:p w14:paraId="5F242598" w14:textId="77777777" w:rsidR="009C6940" w:rsidRDefault="009C6940" w:rsidP="009C6940">
            <w:pPr>
              <w:pStyle w:val="BoxHeading1"/>
              <w:spacing w:before="120"/>
            </w:pPr>
            <w:r>
              <w:t>Costs</w:t>
            </w:r>
          </w:p>
          <w:p w14:paraId="08C31090" w14:textId="77777777" w:rsidR="009C6940" w:rsidRDefault="009C6940" w:rsidP="009C6940">
            <w:pPr>
              <w:pStyle w:val="Box"/>
            </w:pPr>
            <w:r>
              <w:t>Most of the actions for improving education support for the mental health of school</w:t>
            </w:r>
            <w:r>
              <w:noBreakHyphen/>
              <w:t>aged children involve repurposing of existing expenditures.</w:t>
            </w:r>
          </w:p>
          <w:p w14:paraId="3E5F1DB5" w14:textId="77777777" w:rsidR="009C6940" w:rsidRPr="0002772B" w:rsidRDefault="009C6940" w:rsidP="009C6940">
            <w:pPr>
              <w:pStyle w:val="Box"/>
            </w:pPr>
            <w:r>
              <w:t>However, funding arrangements to support schools in identifying and addressing gaps in their ability to support the wellbeing of students will require some additional government expenditure. Based on similar schemes already existing in New South Wales and Western Australian, overall expenditure of $230 million would be required annually. However, all jurisdictions, as well as the Australian Government, already invest in wellbeing programs in schools, so the true figure is likely to be far less.</w:t>
            </w:r>
          </w:p>
        </w:tc>
      </w:tr>
      <w:tr w:rsidR="009C6940" w14:paraId="1577A7B0" w14:textId="77777777" w:rsidTr="009C6940">
        <w:tc>
          <w:tcPr>
            <w:tcW w:w="5000" w:type="pct"/>
            <w:tcBorders>
              <w:top w:val="nil"/>
              <w:left w:val="nil"/>
              <w:bottom w:val="nil"/>
              <w:right w:val="nil"/>
            </w:tcBorders>
            <w:shd w:val="clear" w:color="auto" w:fill="F2F2F2"/>
          </w:tcPr>
          <w:p w14:paraId="3C7F09D7" w14:textId="77777777" w:rsidR="009C6940" w:rsidRDefault="009C6940" w:rsidP="009C6940">
            <w:pPr>
              <w:pStyle w:val="BoxHeading1"/>
              <w:spacing w:before="120"/>
            </w:pPr>
            <w:r>
              <w:t>Additional considerations</w:t>
            </w:r>
          </w:p>
          <w:p w14:paraId="70A94290" w14:textId="77777777" w:rsidR="009C6940" w:rsidRDefault="009C6940" w:rsidP="009C6940">
            <w:pPr>
              <w:pStyle w:val="Box"/>
            </w:pPr>
            <w:r>
              <w:t>There are a number of uncertainties associated with these estimates:</w:t>
            </w:r>
          </w:p>
          <w:p w14:paraId="286B76C4" w14:textId="77777777" w:rsidR="009C6940" w:rsidRDefault="009C6940" w:rsidP="009C6940">
            <w:pPr>
              <w:pStyle w:val="BoxListBullet"/>
              <w:numPr>
                <w:ilvl w:val="0"/>
                <w:numId w:val="3"/>
              </w:numPr>
            </w:pPr>
            <w:r>
              <w:t>The benefits estimated use health utility weights derived using the SF</w:t>
            </w:r>
            <w:r>
              <w:noBreakHyphen/>
              <w:t xml:space="preserve">6D instrument. This is likely to give uncertain results for children and adolescents. Health benefits calculated in this way are indicative only. </w:t>
            </w:r>
          </w:p>
          <w:p w14:paraId="3DB7F8C6" w14:textId="77777777" w:rsidR="009C6940" w:rsidRDefault="009C6940" w:rsidP="009C6940">
            <w:pPr>
              <w:pStyle w:val="BoxListBullet"/>
              <w:numPr>
                <w:ilvl w:val="0"/>
                <w:numId w:val="3"/>
              </w:numPr>
            </w:pPr>
            <w:r>
              <w:t>These actions are likely to result in improvements in domains other than mental disorders (the basis for the health benefits above), including improvements in academic achievement, prosocial behaviours and social</w:t>
            </w:r>
            <w:r>
              <w:noBreakHyphen/>
              <w:t>emotional skillsets, all of which are likely to have ongoing, lifelong economic and health benefits for those affected.</w:t>
            </w:r>
          </w:p>
          <w:p w14:paraId="55CF86EA" w14:textId="77777777" w:rsidR="009C6940" w:rsidRPr="009F19C4" w:rsidRDefault="009C6940" w:rsidP="009C6940">
            <w:pPr>
              <w:pStyle w:val="BoxListBullet"/>
              <w:numPr>
                <w:ilvl w:val="0"/>
                <w:numId w:val="3"/>
              </w:numPr>
            </w:pPr>
            <w:r>
              <w:t>Many of the schools affected by the actions already have (or are required to have) social, emotional and behavioural programs. As a result, the benefits expected might be towards the lower end of the likely range of benefits.</w:t>
            </w:r>
          </w:p>
        </w:tc>
      </w:tr>
      <w:tr w:rsidR="009C6940" w14:paraId="0DF0AA9B" w14:textId="77777777" w:rsidTr="009C6940">
        <w:tc>
          <w:tcPr>
            <w:tcW w:w="5000" w:type="pct"/>
            <w:tcBorders>
              <w:top w:val="nil"/>
              <w:left w:val="nil"/>
              <w:bottom w:val="single" w:sz="6" w:space="0" w:color="78A22F"/>
              <w:right w:val="nil"/>
            </w:tcBorders>
            <w:shd w:val="clear" w:color="auto" w:fill="F2F2F2"/>
          </w:tcPr>
          <w:p w14:paraId="2A68B4E6" w14:textId="77777777" w:rsidR="009C6940" w:rsidRDefault="009C6940" w:rsidP="009C6940">
            <w:pPr>
              <w:pStyle w:val="Box"/>
              <w:spacing w:before="0" w:line="120" w:lineRule="exact"/>
            </w:pPr>
          </w:p>
        </w:tc>
      </w:tr>
      <w:tr w:rsidR="009C6940" w:rsidRPr="000863A5" w14:paraId="457DF9EB" w14:textId="77777777" w:rsidTr="009C6940">
        <w:tc>
          <w:tcPr>
            <w:tcW w:w="5000" w:type="pct"/>
            <w:tcBorders>
              <w:top w:val="single" w:sz="6" w:space="0" w:color="78A22F"/>
              <w:left w:val="nil"/>
              <w:bottom w:val="nil"/>
              <w:right w:val="nil"/>
            </w:tcBorders>
          </w:tcPr>
          <w:p w14:paraId="64CDC7FC" w14:textId="77777777" w:rsidR="009C6940" w:rsidRPr="00626D32" w:rsidRDefault="009C6940" w:rsidP="009C6940">
            <w:pPr>
              <w:pStyle w:val="BoxSpaceBelow"/>
            </w:pPr>
          </w:p>
        </w:tc>
      </w:tr>
    </w:tbl>
    <w:p w14:paraId="0CE99161" w14:textId="77777777" w:rsidR="009C6940" w:rsidRDefault="009C6940" w:rsidP="009C6940">
      <w:pPr>
        <w:pStyle w:val="Heading2"/>
      </w:pPr>
      <w:r>
        <w:lastRenderedPageBreak/>
        <w:t>K.</w:t>
      </w:r>
      <w:r>
        <w:rPr>
          <w:noProof/>
        </w:rPr>
        <w:t>8</w:t>
      </w:r>
      <w:r>
        <w:tab/>
        <w:t>Young adults</w:t>
      </w:r>
    </w:p>
    <w:p w14:paraId="777AE404"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6D5DB481" w14:textId="77777777" w:rsidTr="009C6940">
        <w:trPr>
          <w:tblHeader/>
        </w:trPr>
        <w:tc>
          <w:tcPr>
            <w:tcW w:w="5000" w:type="pct"/>
            <w:tcBorders>
              <w:top w:val="single" w:sz="6" w:space="0" w:color="78A22F"/>
              <w:left w:val="nil"/>
              <w:bottom w:val="nil"/>
              <w:right w:val="nil"/>
            </w:tcBorders>
            <w:shd w:val="clear" w:color="auto" w:fill="F2F2F2"/>
          </w:tcPr>
          <w:p w14:paraId="408A6CFB" w14:textId="77777777" w:rsidR="009C6940" w:rsidRPr="00560338" w:rsidRDefault="009C6940" w:rsidP="009C6940">
            <w:pPr>
              <w:pStyle w:val="BoxHeading1"/>
              <w:tabs>
                <w:tab w:val="left" w:pos="1134"/>
              </w:tabs>
              <w:rPr>
                <w:sz w:val="24"/>
                <w:szCs w:val="24"/>
              </w:rPr>
            </w:pPr>
            <w:r>
              <w:rPr>
                <w:sz w:val="24"/>
                <w:szCs w:val="24"/>
              </w:rPr>
              <w:t>Action</w:t>
            </w:r>
            <w:r>
              <w:rPr>
                <w:sz w:val="24"/>
                <w:szCs w:val="24"/>
              </w:rPr>
              <w:tab/>
            </w:r>
            <w:r w:rsidRPr="00560338">
              <w:rPr>
                <w:sz w:val="24"/>
                <w:szCs w:val="24"/>
              </w:rPr>
              <w:t>Training for educators in tertiary education institutions</w:t>
            </w:r>
          </w:p>
          <w:p w14:paraId="1983B905" w14:textId="77777777" w:rsidR="009C6940" w:rsidRPr="007C2D74" w:rsidRDefault="009C6940" w:rsidP="009C6940">
            <w:pPr>
              <w:pStyle w:val="Box"/>
            </w:pPr>
            <w:r w:rsidRPr="007C2D74">
              <w:t>Staff who have direct contact with students are to undertake training on student mental health and wellbeing.</w:t>
            </w:r>
          </w:p>
        </w:tc>
      </w:tr>
      <w:tr w:rsidR="009C6940" w14:paraId="77E70DFC" w14:textId="77777777" w:rsidTr="009C6940">
        <w:tc>
          <w:tcPr>
            <w:tcW w:w="5000" w:type="pct"/>
            <w:tcBorders>
              <w:top w:val="nil"/>
              <w:left w:val="nil"/>
              <w:bottom w:val="nil"/>
              <w:right w:val="nil"/>
            </w:tcBorders>
            <w:shd w:val="clear" w:color="auto" w:fill="F2F2F2"/>
          </w:tcPr>
          <w:p w14:paraId="3EE2A1D7" w14:textId="77777777" w:rsidR="009C6940" w:rsidRDefault="009C6940" w:rsidP="009C6940">
            <w:pPr>
              <w:pStyle w:val="BoxHeading1"/>
              <w:spacing w:before="120"/>
            </w:pPr>
            <w:r>
              <w:t>Population</w:t>
            </w:r>
          </w:p>
          <w:p w14:paraId="17677B04" w14:textId="77777777" w:rsidR="009C6940" w:rsidRPr="007C2D74" w:rsidRDefault="009C6940" w:rsidP="009C6940">
            <w:pPr>
              <w:pStyle w:val="Box"/>
            </w:pPr>
            <w:r w:rsidRPr="007C2D74">
              <w:t>There are about 1.1 million people aged between 15</w:t>
            </w:r>
            <w:r w:rsidRPr="007C2D74">
              <w:noBreakHyphen/>
              <w:t xml:space="preserve">24 currently studying for a Certificate level III or above </w:t>
            </w:r>
            <w:r w:rsidRPr="00F56330">
              <w:rPr>
                <w:rFonts w:cs="Arial"/>
                <w:szCs w:val="24"/>
              </w:rPr>
              <w:t>(ABS 2019e, Education and Work, table 22)</w:t>
            </w:r>
            <w:r w:rsidRPr="007C2D74">
              <w:t>. For people aged between 15</w:t>
            </w:r>
            <w:r w:rsidRPr="007C2D74">
              <w:noBreakHyphen/>
              <w:t>24, it is estimated that about 24% experience some form of mental illness each year (IHME 2019). This suggests there are about 271 100</w:t>
            </w:r>
            <w:r>
              <w:t> </w:t>
            </w:r>
            <w:r w:rsidRPr="007C2D74">
              <w:t>young adults who could benefit from teaching staff at TAFE and universities having improved access to adequate mental health training.</w:t>
            </w:r>
          </w:p>
        </w:tc>
      </w:tr>
      <w:tr w:rsidR="009C6940" w14:paraId="0A867811" w14:textId="77777777" w:rsidTr="009C6940">
        <w:tc>
          <w:tcPr>
            <w:tcW w:w="5000" w:type="pct"/>
            <w:tcBorders>
              <w:top w:val="nil"/>
              <w:left w:val="nil"/>
              <w:bottom w:val="nil"/>
              <w:right w:val="nil"/>
            </w:tcBorders>
            <w:shd w:val="clear" w:color="auto" w:fill="F2F2F2"/>
          </w:tcPr>
          <w:p w14:paraId="76106BF6" w14:textId="77777777" w:rsidR="009C6940" w:rsidRPr="0000636F" w:rsidRDefault="009C6940" w:rsidP="009C6940">
            <w:pPr>
              <w:pStyle w:val="BoxHeading1"/>
              <w:spacing w:before="120"/>
            </w:pPr>
            <w:r w:rsidRPr="0000636F">
              <w:t>Effect</w:t>
            </w:r>
          </w:p>
          <w:p w14:paraId="6F0AC077" w14:textId="77777777" w:rsidR="009C6940" w:rsidRPr="0000636F" w:rsidRDefault="009C6940" w:rsidP="009C6940">
            <w:pPr>
              <w:pStyle w:val="Box"/>
              <w:tabs>
                <w:tab w:val="left" w:pos="1680"/>
              </w:tabs>
            </w:pPr>
            <w:r w:rsidRPr="0000636F">
              <w:t>There is an absence of evidence about the direct mental health benefits that are likely to accrue to students as a result of training university staff. However, a meta</w:t>
            </w:r>
            <w:r>
              <w:noBreakHyphen/>
            </w:r>
            <w:r w:rsidRPr="0000636F">
              <w:t xml:space="preserve">analysis of the effects of workplace health promotions by Martin, Sanderson and Cocker </w:t>
            </w:r>
            <w:r w:rsidRPr="007266CD">
              <w:rPr>
                <w:rFonts w:cs="Arial"/>
                <w:szCs w:val="24"/>
              </w:rPr>
              <w:t>(2009)</w:t>
            </w:r>
            <w:r w:rsidRPr="0000636F">
              <w:t xml:space="preserve"> suggest that they may achieve a standardised mean difference of 0.05 in composite mental health measures. If a similar effect was to be achieved for students in tertiary institutions, this would result in an increase of between 982 and 1789</w:t>
            </w:r>
            <w:r>
              <w:t> </w:t>
            </w:r>
            <w:r w:rsidRPr="0000636F">
              <w:t>QALYs per year.</w:t>
            </w:r>
          </w:p>
        </w:tc>
      </w:tr>
      <w:tr w:rsidR="009C6940" w14:paraId="73ACD671" w14:textId="77777777" w:rsidTr="009C6940">
        <w:tc>
          <w:tcPr>
            <w:tcW w:w="5000" w:type="pct"/>
            <w:tcBorders>
              <w:top w:val="nil"/>
              <w:left w:val="nil"/>
              <w:bottom w:val="nil"/>
              <w:right w:val="nil"/>
            </w:tcBorders>
            <w:shd w:val="clear" w:color="auto" w:fill="F2F2F2"/>
          </w:tcPr>
          <w:p w14:paraId="63B8C7C4" w14:textId="77777777" w:rsidR="009C6940" w:rsidRDefault="009C6940" w:rsidP="009C6940">
            <w:pPr>
              <w:pStyle w:val="BoxHeading1"/>
              <w:spacing w:before="120"/>
            </w:pPr>
            <w:r>
              <w:t>Costs</w:t>
            </w:r>
          </w:p>
          <w:p w14:paraId="42D48EC2" w14:textId="77777777" w:rsidR="009C6940" w:rsidRPr="00690B4A" w:rsidRDefault="009C6940" w:rsidP="009C6940">
            <w:pPr>
              <w:pStyle w:val="BoxListBullet"/>
              <w:numPr>
                <w:ilvl w:val="0"/>
                <w:numId w:val="3"/>
              </w:numPr>
            </w:pPr>
            <w:r w:rsidRPr="00690B4A">
              <w:t>Nationally, there are 33 600 Vocational Education and Training (VET) teachers in 2019, and there were 134 112</w:t>
            </w:r>
            <w:r>
              <w:t> </w:t>
            </w:r>
            <w:r w:rsidRPr="00690B4A">
              <w:t>teachers and student facing staff in 2018 (AISC 2020; DESE 2018).</w:t>
            </w:r>
          </w:p>
          <w:p w14:paraId="6F75792C" w14:textId="77777777" w:rsidR="009C6940" w:rsidRDefault="009C6940" w:rsidP="009C6940">
            <w:pPr>
              <w:pStyle w:val="BoxListBullet"/>
              <w:numPr>
                <w:ilvl w:val="0"/>
                <w:numId w:val="3"/>
              </w:numPr>
            </w:pPr>
            <w:r>
              <w:t xml:space="preserve">Gulliver et al. </w:t>
            </w:r>
            <w:r w:rsidRPr="00D80781">
              <w:rPr>
                <w:rFonts w:cs="Arial"/>
              </w:rPr>
              <w:t>(2018)</w:t>
            </w:r>
            <w:r>
              <w:t xml:space="preserve"> estimated that </w:t>
            </w:r>
            <w:r w:rsidRPr="00595196">
              <w:t>50</w:t>
            </w:r>
            <w:r>
              <w:t>%</w:t>
            </w:r>
            <w:r w:rsidRPr="00595196">
              <w:t xml:space="preserve"> of teaching staff at universities and TAFE </w:t>
            </w:r>
            <w:r>
              <w:t>did</w:t>
            </w:r>
            <w:r w:rsidRPr="00595196">
              <w:t xml:space="preserve"> not have a</w:t>
            </w:r>
            <w:r>
              <w:t>ccess to adequate training. This number of staff requiring training is increased by 10% to allow for student</w:t>
            </w:r>
            <w:r>
              <w:noBreakHyphen/>
              <w:t>facing non</w:t>
            </w:r>
            <w:r>
              <w:noBreakHyphen/>
              <w:t>teaching staff who may also require training, suggesting that there are about</w:t>
            </w:r>
            <w:r w:rsidRPr="00710CD5">
              <w:t xml:space="preserve"> </w:t>
            </w:r>
            <w:r>
              <w:t xml:space="preserve">92 000 people who should undergo training. The average cost for a mental health first aid training course is estimated to be $262 (ranging between $150 to $440 per person) </w:t>
            </w:r>
            <w:r w:rsidRPr="00D80781">
              <w:rPr>
                <w:rFonts w:cs="Arial"/>
                <w:szCs w:val="24"/>
              </w:rPr>
              <w:t>(MHFA Australia 2020)</w:t>
            </w:r>
            <w:r>
              <w:t>. This gives a total cost of $26 million, ranging from between $14</w:t>
            </w:r>
            <w:r>
              <w:noBreakHyphen/>
              <w:t>41 million.</w:t>
            </w:r>
          </w:p>
          <w:p w14:paraId="08B67EE1" w14:textId="77777777" w:rsidR="009C6940" w:rsidRDefault="009C6940" w:rsidP="009C6940">
            <w:pPr>
              <w:pStyle w:val="BoxListBullet"/>
              <w:numPr>
                <w:ilvl w:val="0"/>
                <w:numId w:val="3"/>
              </w:numPr>
            </w:pPr>
            <w:r>
              <w:t xml:space="preserve">There is also an opportunity in undertaking this training, as the time spent — 12 hours </w:t>
            </w:r>
            <w:r w:rsidRPr="002734F9">
              <w:t>for the standard in</w:t>
            </w:r>
            <w:r w:rsidRPr="002734F9">
              <w:noBreakHyphen/>
              <w:t>person mental health first aid training session — comes at the expense of other purposes</w:t>
            </w:r>
            <w:r>
              <w:t xml:space="preserve">. Wages for vocational education teachers and university lecturers and tutors </w:t>
            </w:r>
            <w:r w:rsidRPr="00D80781">
              <w:rPr>
                <w:rFonts w:cs="Arial"/>
                <w:szCs w:val="24"/>
              </w:rPr>
              <w:t>(ABS 2019f, Employee Earnings and Hours, Data Cube 11)</w:t>
            </w:r>
            <w:r>
              <w:t xml:space="preserve"> are used to calculate the opportunity cost of staff time spent training ($46.5 million).</w:t>
            </w:r>
          </w:p>
          <w:p w14:paraId="5C2E34CF" w14:textId="77777777" w:rsidR="009C6940" w:rsidRDefault="009C6940" w:rsidP="009C6940">
            <w:pPr>
              <w:pStyle w:val="BoxListBullet"/>
              <w:numPr>
                <w:ilvl w:val="0"/>
                <w:numId w:val="3"/>
              </w:numPr>
            </w:pPr>
            <w:r>
              <w:t>The total costs are estimated to be between $60</w:t>
            </w:r>
            <w:r>
              <w:noBreakHyphen/>
              <w:t>87 million (2019 dollars).</w:t>
            </w:r>
          </w:p>
        </w:tc>
      </w:tr>
      <w:tr w:rsidR="009C6940" w14:paraId="0C18DE53" w14:textId="77777777" w:rsidTr="009C6940">
        <w:tc>
          <w:tcPr>
            <w:tcW w:w="5000" w:type="pct"/>
            <w:tcBorders>
              <w:top w:val="nil"/>
              <w:left w:val="nil"/>
              <w:bottom w:val="nil"/>
              <w:right w:val="nil"/>
            </w:tcBorders>
            <w:shd w:val="clear" w:color="auto" w:fill="F2F2F2"/>
          </w:tcPr>
          <w:p w14:paraId="48ABA6CF" w14:textId="77777777" w:rsidR="009C6940" w:rsidRDefault="009C6940" w:rsidP="009C6940">
            <w:pPr>
              <w:pStyle w:val="BoxHeading1"/>
              <w:spacing w:before="120"/>
            </w:pPr>
            <w:r>
              <w:t>Additional considerations</w:t>
            </w:r>
          </w:p>
          <w:p w14:paraId="7C2B337B" w14:textId="77777777" w:rsidR="009C6940" w:rsidRDefault="009C6940" w:rsidP="009C6940">
            <w:pPr>
              <w:pStyle w:val="BoxListBullet"/>
              <w:numPr>
                <w:ilvl w:val="0"/>
                <w:numId w:val="3"/>
              </w:numPr>
            </w:pPr>
            <w:r>
              <w:t>Expenditure on training VET and university staff is likely to yield benefits to students beyond the initial cohort considered here.</w:t>
            </w:r>
          </w:p>
          <w:p w14:paraId="2062DF2F" w14:textId="77777777" w:rsidR="009C6940" w:rsidRDefault="009C6940" w:rsidP="009C6940">
            <w:pPr>
              <w:pStyle w:val="BoxListBullet"/>
              <w:numPr>
                <w:ilvl w:val="0"/>
                <w:numId w:val="3"/>
              </w:numPr>
            </w:pPr>
            <w:r>
              <w:t xml:space="preserve">The effect size above, although relatively small, is drawn from a workplace health promotion, and can only be considered as indicating possible outcomes. </w:t>
            </w:r>
          </w:p>
        </w:tc>
      </w:tr>
      <w:tr w:rsidR="009C6940" w14:paraId="2EFB7399" w14:textId="77777777" w:rsidTr="009C6940">
        <w:tc>
          <w:tcPr>
            <w:tcW w:w="5000" w:type="pct"/>
            <w:tcBorders>
              <w:top w:val="nil"/>
              <w:left w:val="nil"/>
              <w:bottom w:val="single" w:sz="6" w:space="0" w:color="78A22F"/>
              <w:right w:val="nil"/>
            </w:tcBorders>
            <w:shd w:val="clear" w:color="auto" w:fill="F2F2F2"/>
          </w:tcPr>
          <w:p w14:paraId="3115DE3C" w14:textId="77777777" w:rsidR="009C6940" w:rsidRDefault="009C6940" w:rsidP="009C6940">
            <w:pPr>
              <w:pStyle w:val="Box"/>
              <w:spacing w:before="0" w:line="120" w:lineRule="exact"/>
            </w:pPr>
          </w:p>
        </w:tc>
      </w:tr>
      <w:tr w:rsidR="009C6940" w:rsidRPr="000863A5" w14:paraId="17CD1B82" w14:textId="77777777" w:rsidTr="009C6940">
        <w:tc>
          <w:tcPr>
            <w:tcW w:w="5000" w:type="pct"/>
            <w:tcBorders>
              <w:top w:val="single" w:sz="6" w:space="0" w:color="78A22F"/>
              <w:left w:val="nil"/>
              <w:bottom w:val="nil"/>
              <w:right w:val="nil"/>
            </w:tcBorders>
          </w:tcPr>
          <w:p w14:paraId="7F8E7936" w14:textId="77777777" w:rsidR="009C6940" w:rsidRPr="00626D32" w:rsidRDefault="009C6940" w:rsidP="009C6940">
            <w:pPr>
              <w:pStyle w:val="BoxSpaceBelow"/>
            </w:pPr>
          </w:p>
        </w:tc>
      </w:tr>
    </w:tbl>
    <w:p w14:paraId="32A50CB0" w14:textId="77777777" w:rsidR="009C6940" w:rsidRDefault="009C6940" w:rsidP="009C6940">
      <w:pPr>
        <w:pStyle w:val="Heading2"/>
      </w:pPr>
      <w:r>
        <w:lastRenderedPageBreak/>
        <w:t>K.</w:t>
      </w:r>
      <w:r>
        <w:rPr>
          <w:noProof/>
        </w:rPr>
        <w:t>9</w:t>
      </w:r>
      <w:r>
        <w:tab/>
        <w:t>Workplaces</w:t>
      </w:r>
    </w:p>
    <w:p w14:paraId="00E49A34" w14:textId="77777777" w:rsidR="009C6940" w:rsidRDefault="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794327E9" w14:textId="77777777" w:rsidTr="009C6940">
        <w:trPr>
          <w:tblHeader/>
        </w:trPr>
        <w:tc>
          <w:tcPr>
            <w:tcW w:w="5000" w:type="pct"/>
            <w:tcBorders>
              <w:top w:val="single" w:sz="6" w:space="0" w:color="78A22F"/>
              <w:left w:val="nil"/>
              <w:bottom w:val="nil"/>
              <w:right w:val="nil"/>
            </w:tcBorders>
            <w:shd w:val="clear" w:color="auto" w:fill="F2F2F2"/>
          </w:tcPr>
          <w:p w14:paraId="5CFC5D55" w14:textId="77777777" w:rsidR="009C6940" w:rsidRDefault="009C6940" w:rsidP="009C6940">
            <w:pPr>
              <w:pStyle w:val="BoxHeading1"/>
              <w:tabs>
                <w:tab w:val="left" w:pos="1144"/>
              </w:tabs>
              <w:rPr>
                <w:sz w:val="24"/>
                <w:szCs w:val="24"/>
              </w:rPr>
            </w:pPr>
            <w:r>
              <w:rPr>
                <w:sz w:val="24"/>
                <w:szCs w:val="24"/>
              </w:rPr>
              <w:t>Action</w:t>
            </w:r>
            <w:r>
              <w:rPr>
                <w:sz w:val="24"/>
                <w:szCs w:val="24"/>
              </w:rPr>
              <w:tab/>
            </w:r>
            <w:r w:rsidRPr="0041315D">
              <w:rPr>
                <w:sz w:val="24"/>
                <w:szCs w:val="24"/>
              </w:rPr>
              <w:t>Prioritising</w:t>
            </w:r>
            <w:r>
              <w:rPr>
                <w:sz w:val="24"/>
                <w:szCs w:val="24"/>
              </w:rPr>
              <w:t xml:space="preserve"> mental health in the workplace</w:t>
            </w:r>
          </w:p>
          <w:p w14:paraId="589578AB" w14:textId="77777777" w:rsidR="009C6940" w:rsidRPr="006135A0" w:rsidRDefault="009C6940" w:rsidP="009C6940">
            <w:pPr>
              <w:pStyle w:val="Box"/>
            </w:pPr>
            <w:r w:rsidRPr="00E833E4">
              <w:t>The mental health of employees is to be improved by changes that make mental health as important as physical health in terms of Workplace Health and Safety legislation, and through the</w:t>
            </w:r>
            <w:r w:rsidRPr="00E833E4" w:rsidDel="000915F4">
              <w:t xml:space="preserve"> </w:t>
            </w:r>
            <w:r w:rsidRPr="00E833E4">
              <w:t>development of employer codes of practice to assist employers in meeting their duty of care in providing a mentally healthy workplace.</w:t>
            </w:r>
          </w:p>
        </w:tc>
      </w:tr>
      <w:tr w:rsidR="009C6940" w14:paraId="36A170B0" w14:textId="77777777" w:rsidTr="009C6940">
        <w:tc>
          <w:tcPr>
            <w:tcW w:w="5000" w:type="pct"/>
            <w:tcBorders>
              <w:top w:val="nil"/>
              <w:left w:val="nil"/>
              <w:bottom w:val="nil"/>
              <w:right w:val="nil"/>
            </w:tcBorders>
            <w:shd w:val="clear" w:color="auto" w:fill="F2F2F2"/>
          </w:tcPr>
          <w:p w14:paraId="205F1626" w14:textId="77777777" w:rsidR="009C6940" w:rsidRDefault="009C6940" w:rsidP="009C6940">
            <w:pPr>
              <w:pStyle w:val="BoxHeading1"/>
              <w:spacing w:before="120"/>
            </w:pPr>
            <w:r>
              <w:t>Implementation</w:t>
            </w:r>
          </w:p>
          <w:p w14:paraId="7AE1770F" w14:textId="77777777" w:rsidR="009C6940" w:rsidRDefault="009C6940" w:rsidP="009C6940">
            <w:pPr>
              <w:pStyle w:val="Box"/>
            </w:pPr>
            <w:r>
              <w:t>The actions of each employer required to achieve a mentally healthy workplace are specific to their workforce, and would likely involve a mix of interventions including job</w:t>
            </w:r>
            <w:r>
              <w:noBreakHyphen/>
              <w:t>redesign and in</w:t>
            </w:r>
            <w:r>
              <w:noBreakHyphen/>
              <w:t>person training. Given this, a number of assumption about how employers will act in order to achieve a mentally healthy workplace are required. For the purposes of estimating costs and benefits, it is assumed that select employers provide support for their employees to complete a universal, self</w:t>
            </w:r>
            <w:r>
              <w:noBreakHyphen/>
              <w:t xml:space="preserve">directed online mental health course (including time allocated during work hours). </w:t>
            </w:r>
          </w:p>
        </w:tc>
      </w:tr>
      <w:tr w:rsidR="009C6940" w14:paraId="0F4DCDB8" w14:textId="77777777" w:rsidTr="009C6940">
        <w:tc>
          <w:tcPr>
            <w:tcW w:w="5000" w:type="pct"/>
            <w:tcBorders>
              <w:top w:val="nil"/>
              <w:left w:val="nil"/>
              <w:bottom w:val="nil"/>
              <w:right w:val="nil"/>
            </w:tcBorders>
            <w:shd w:val="clear" w:color="auto" w:fill="F2F2F2"/>
          </w:tcPr>
          <w:p w14:paraId="6A6CDBB0" w14:textId="77777777" w:rsidR="009C6940" w:rsidRDefault="009C6940" w:rsidP="009C6940">
            <w:pPr>
              <w:pStyle w:val="BoxHeading1"/>
              <w:spacing w:before="120"/>
            </w:pPr>
            <w:r>
              <w:t>Population</w:t>
            </w:r>
          </w:p>
          <w:p w14:paraId="6D34E147" w14:textId="77777777" w:rsidR="009C6940" w:rsidRDefault="009C6940" w:rsidP="009C6940">
            <w:pPr>
              <w:pStyle w:val="Box"/>
            </w:pPr>
            <w:r>
              <w:t>M</w:t>
            </w:r>
            <w:r w:rsidRPr="00317E9E">
              <w:t>edium</w:t>
            </w:r>
            <w:r>
              <w:noBreakHyphen/>
            </w:r>
            <w:r w:rsidRPr="00317E9E">
              <w:t>large firms (20 or more employees) that do not provide a mentally health workplace are the target of this intervention</w:t>
            </w:r>
            <w:r>
              <w:t>:</w:t>
            </w:r>
          </w:p>
          <w:p w14:paraId="20B341AD" w14:textId="77777777" w:rsidR="009C6940" w:rsidRDefault="009C6940" w:rsidP="009C6940">
            <w:pPr>
              <w:pStyle w:val="BoxListBullet"/>
            </w:pPr>
            <w:r w:rsidRPr="00CB65E4">
              <w:t xml:space="preserve">Bailey, Dollard and Richards </w:t>
            </w:r>
            <w:r w:rsidRPr="00D80781">
              <w:rPr>
                <w:rFonts w:cs="Arial"/>
              </w:rPr>
              <w:t>(2015)</w:t>
            </w:r>
            <w:r w:rsidRPr="00CB65E4">
              <w:t xml:space="preserve"> estimate that </w:t>
            </w:r>
            <w:r>
              <w:t>about</w:t>
            </w:r>
            <w:r w:rsidRPr="00710CD5">
              <w:t xml:space="preserve"> </w:t>
            </w:r>
            <w:r w:rsidRPr="00CB65E4">
              <w:t xml:space="preserve">35% of employees work in a low ‘psychosocial safety climate’ (PSC). </w:t>
            </w:r>
          </w:p>
          <w:p w14:paraId="17EB5E72" w14:textId="77777777" w:rsidR="009C6940" w:rsidRDefault="009C6940" w:rsidP="009C6940">
            <w:pPr>
              <w:pStyle w:val="BoxListBullet"/>
            </w:pPr>
            <w:r w:rsidRPr="00CB65E4">
              <w:t xml:space="preserve">Given that there are </w:t>
            </w:r>
            <w:r>
              <w:t>about</w:t>
            </w:r>
            <w:r w:rsidRPr="00710CD5">
              <w:t xml:space="preserve"> </w:t>
            </w:r>
            <w:r w:rsidRPr="00CB65E4">
              <w:t>7.2</w:t>
            </w:r>
            <w:r>
              <w:t> </w:t>
            </w:r>
            <w:r w:rsidRPr="00CB65E4">
              <w:t>million people employed in medium</w:t>
            </w:r>
            <w:r>
              <w:noBreakHyphen/>
            </w:r>
            <w:r w:rsidRPr="00CB65E4">
              <w:t xml:space="preserve">large firms, there are </w:t>
            </w:r>
            <w:r>
              <w:t>about</w:t>
            </w:r>
            <w:r w:rsidRPr="00710CD5">
              <w:t xml:space="preserve"> </w:t>
            </w:r>
            <w:r w:rsidRPr="00CB65E4">
              <w:t>2.5</w:t>
            </w:r>
            <w:r>
              <w:t> </w:t>
            </w:r>
            <w:r w:rsidRPr="00CB65E4">
              <w:t xml:space="preserve">million people who may </w:t>
            </w:r>
            <w:r>
              <w:t xml:space="preserve">benefit from this intervention </w:t>
            </w:r>
            <w:r w:rsidRPr="00D80781">
              <w:rPr>
                <w:rFonts w:cs="Arial"/>
                <w:szCs w:val="24"/>
              </w:rPr>
              <w:t>(ABS 2019b)</w:t>
            </w:r>
            <w:r>
              <w:t>.</w:t>
            </w:r>
          </w:p>
          <w:p w14:paraId="3B92F1AA" w14:textId="77777777" w:rsidR="009C6940" w:rsidRDefault="009C6940" w:rsidP="009C6940">
            <w:pPr>
              <w:pStyle w:val="BoxListBullet"/>
            </w:pPr>
            <w:r w:rsidRPr="00CB65E4">
              <w:t xml:space="preserve">It is assumed that </w:t>
            </w:r>
            <w:r>
              <w:t>5</w:t>
            </w:r>
            <w:r w:rsidRPr="00CB65E4">
              <w:t>%</w:t>
            </w:r>
            <w:r>
              <w:t xml:space="preserve"> </w:t>
            </w:r>
            <w:r w:rsidRPr="00CB65E4">
              <w:t>of these people</w:t>
            </w:r>
            <w:r>
              <w:t xml:space="preserve"> (125 000)</w:t>
            </w:r>
            <w:r w:rsidRPr="00CB65E4">
              <w:t xml:space="preserve"> take up the opportunity </w:t>
            </w:r>
            <w:r>
              <w:t>to complete the self</w:t>
            </w:r>
            <w:r>
              <w:noBreakHyphen/>
              <w:t>directed online mental health course.</w:t>
            </w:r>
          </w:p>
        </w:tc>
      </w:tr>
      <w:tr w:rsidR="009C6940" w14:paraId="0526337F" w14:textId="77777777" w:rsidTr="009C6940">
        <w:tc>
          <w:tcPr>
            <w:tcW w:w="5000" w:type="pct"/>
            <w:tcBorders>
              <w:top w:val="nil"/>
              <w:left w:val="nil"/>
              <w:bottom w:val="nil"/>
              <w:right w:val="nil"/>
            </w:tcBorders>
            <w:shd w:val="clear" w:color="auto" w:fill="F2F2F2"/>
          </w:tcPr>
          <w:p w14:paraId="36D9BFD8" w14:textId="77777777" w:rsidR="009C6940" w:rsidRDefault="009C6940" w:rsidP="009C6940">
            <w:pPr>
              <w:pStyle w:val="BoxHeading1"/>
            </w:pPr>
            <w:r>
              <w:t>Effect</w:t>
            </w:r>
          </w:p>
          <w:p w14:paraId="5AA19D8E" w14:textId="77777777" w:rsidR="009C6940" w:rsidRDefault="009C6940" w:rsidP="009C6940">
            <w:pPr>
              <w:pStyle w:val="Box"/>
            </w:pPr>
            <w:r>
              <w:t>Using effects from a meta</w:t>
            </w:r>
            <w:r>
              <w:noBreakHyphen/>
              <w:t xml:space="preserve">analysis of </w:t>
            </w:r>
            <w:r>
              <w:rPr>
                <w:rFonts w:ascii="Helvetica" w:hAnsi="Helvetica" w:cs="Helvetica"/>
                <w:color w:val="000000"/>
              </w:rPr>
              <w:t xml:space="preserve">23 controlled trials of eHealth interventions </w:t>
            </w:r>
            <w:r>
              <w:t>by Stratton et al. </w:t>
            </w:r>
            <w:r w:rsidRPr="00D80781">
              <w:rPr>
                <w:rFonts w:cs="Arial"/>
              </w:rPr>
              <w:t>(2017)</w:t>
            </w:r>
            <w:r>
              <w:t>, it is estimated that about</w:t>
            </w:r>
            <w:r w:rsidRPr="00710CD5">
              <w:t xml:space="preserve"> </w:t>
            </w:r>
            <w:r>
              <w:t xml:space="preserve">8% of people who undertook the online course are likely to avoid depression. </w:t>
            </w:r>
            <w:r>
              <w:rPr>
                <w:rFonts w:ascii="Helvetica" w:hAnsi="Helvetica" w:cs="Helvetica"/>
                <w:color w:val="000000"/>
              </w:rPr>
              <w:t>Interventions considered in the meta</w:t>
            </w:r>
            <w:r>
              <w:rPr>
                <w:rFonts w:ascii="Helvetica" w:hAnsi="Helvetica" w:cs="Helvetica"/>
                <w:color w:val="000000"/>
              </w:rPr>
              <w:noBreakHyphen/>
              <w:t>analysis included web and mobile</w:t>
            </w:r>
            <w:r>
              <w:rPr>
                <w:rFonts w:ascii="Helvetica" w:hAnsi="Helvetica" w:cs="Helvetica"/>
                <w:color w:val="000000"/>
              </w:rPr>
              <w:noBreakHyphen/>
              <w:t>based mindfulness, cognitive be</w:t>
            </w:r>
            <w:r w:rsidRPr="00A404E2">
              <w:t xml:space="preserve">havioural therapy and stress reduction programs. This suggests an increase in QALYs between </w:t>
            </w:r>
            <w:r>
              <w:t>170</w:t>
            </w:r>
            <w:r w:rsidRPr="00A404E2">
              <w:noBreakHyphen/>
            </w:r>
            <w:r>
              <w:t>308 each year.</w:t>
            </w:r>
          </w:p>
        </w:tc>
      </w:tr>
      <w:tr w:rsidR="009C6940" w14:paraId="0DB4986A" w14:textId="77777777" w:rsidTr="009C6940">
        <w:tc>
          <w:tcPr>
            <w:tcW w:w="5000" w:type="pct"/>
            <w:tcBorders>
              <w:top w:val="nil"/>
              <w:left w:val="nil"/>
              <w:bottom w:val="nil"/>
              <w:right w:val="nil"/>
            </w:tcBorders>
            <w:shd w:val="clear" w:color="auto" w:fill="F2F2F2"/>
          </w:tcPr>
          <w:p w14:paraId="2592399F" w14:textId="77777777" w:rsidR="009C6940" w:rsidRPr="001C5A49" w:rsidRDefault="009C6940" w:rsidP="009C6940">
            <w:pPr>
              <w:pStyle w:val="BoxHeading1"/>
              <w:rPr>
                <w:spacing w:val="-2"/>
              </w:rPr>
            </w:pPr>
            <w:r w:rsidRPr="001C5A49">
              <w:rPr>
                <w:spacing w:val="-2"/>
              </w:rPr>
              <w:t>Costs</w:t>
            </w:r>
          </w:p>
          <w:p w14:paraId="75B96239" w14:textId="77777777" w:rsidR="009C6940" w:rsidRPr="001C5A49" w:rsidRDefault="009C6940" w:rsidP="009C6940">
            <w:pPr>
              <w:pStyle w:val="Box"/>
              <w:rPr>
                <w:rFonts w:ascii="Times New Roman" w:hAnsi="Times New Roman"/>
                <w:spacing w:val="-2"/>
                <w:sz w:val="24"/>
                <w:szCs w:val="24"/>
              </w:rPr>
            </w:pPr>
            <w:r w:rsidRPr="001C5A49">
              <w:rPr>
                <w:spacing w:val="-2"/>
              </w:rPr>
              <w:t>The total additional costs associated with increasing the consideration given to mental health in larger workplaces where this is likely to be an issue is estimated to be about $48 million.</w:t>
            </w:r>
          </w:p>
          <w:p w14:paraId="63FA2043" w14:textId="77777777" w:rsidR="009C6940" w:rsidRPr="001C5A49" w:rsidRDefault="009C6940" w:rsidP="009C6940">
            <w:pPr>
              <w:pStyle w:val="Box"/>
              <w:rPr>
                <w:spacing w:val="-2"/>
              </w:rPr>
            </w:pPr>
            <w:r w:rsidRPr="001C5A49">
              <w:rPr>
                <w:spacing w:val="-2"/>
              </w:rPr>
              <w:t>It is assumed that access to eHealth interventions have no marginal cost associated with accessing the course. The main cost to firms is the time required for employees to access the services during work hours. The average time spent on the interventions considered in Stratton et al </w:t>
            </w:r>
            <w:r w:rsidRPr="001C5A49">
              <w:rPr>
                <w:rFonts w:cs="Arial"/>
                <w:spacing w:val="-2"/>
              </w:rPr>
              <w:t>(2017)</w:t>
            </w:r>
            <w:r w:rsidRPr="001C5A49">
              <w:rPr>
                <w:spacing w:val="-2"/>
              </w:rPr>
              <w:t xml:space="preserve"> was 7.5 hours. Given average hourly total cash earnings of $40.9 </w:t>
            </w:r>
            <w:r w:rsidRPr="001C5A49">
              <w:rPr>
                <w:rFonts w:cs="Arial"/>
                <w:spacing w:val="-2"/>
                <w:szCs w:val="24"/>
              </w:rPr>
              <w:t>(ABS 2019f)</w:t>
            </w:r>
            <w:r w:rsidRPr="001C5A49">
              <w:rPr>
                <w:spacing w:val="-2"/>
              </w:rPr>
              <w:t>, this suggests average total costs of $307 per employee and total costs of about $39 million.</w:t>
            </w:r>
          </w:p>
        </w:tc>
      </w:tr>
      <w:tr w:rsidR="009C6940" w14:paraId="30BBF979" w14:textId="77777777" w:rsidTr="009C6940">
        <w:tc>
          <w:tcPr>
            <w:tcW w:w="5000" w:type="pct"/>
            <w:tcBorders>
              <w:top w:val="nil"/>
              <w:left w:val="nil"/>
              <w:bottom w:val="nil"/>
              <w:right w:val="nil"/>
            </w:tcBorders>
            <w:shd w:val="clear" w:color="auto" w:fill="F2F2F2"/>
          </w:tcPr>
          <w:p w14:paraId="6447C777"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5C45DFE1" w14:textId="77777777" w:rsidTr="009C6940">
        <w:tc>
          <w:tcPr>
            <w:tcW w:w="5000" w:type="pct"/>
            <w:tcBorders>
              <w:top w:val="nil"/>
              <w:left w:val="nil"/>
              <w:bottom w:val="single" w:sz="6" w:space="0" w:color="78A22F"/>
              <w:right w:val="nil"/>
            </w:tcBorders>
            <w:shd w:val="clear" w:color="auto" w:fill="F2F2F2"/>
          </w:tcPr>
          <w:p w14:paraId="365E573F" w14:textId="77777777" w:rsidR="009C6940" w:rsidRDefault="009C6940">
            <w:pPr>
              <w:pStyle w:val="Box"/>
              <w:spacing w:before="0" w:line="120" w:lineRule="exact"/>
            </w:pPr>
          </w:p>
        </w:tc>
      </w:tr>
      <w:tr w:rsidR="009C6940" w:rsidRPr="000863A5" w14:paraId="51A1FA71" w14:textId="77777777" w:rsidTr="009C6940">
        <w:tc>
          <w:tcPr>
            <w:tcW w:w="5000" w:type="pct"/>
            <w:tcBorders>
              <w:top w:val="single" w:sz="6" w:space="0" w:color="78A22F"/>
              <w:left w:val="nil"/>
              <w:bottom w:val="nil"/>
              <w:right w:val="nil"/>
            </w:tcBorders>
          </w:tcPr>
          <w:p w14:paraId="7FAAAC53" w14:textId="77777777" w:rsidR="009C6940" w:rsidRPr="00626D32" w:rsidRDefault="009C6940" w:rsidP="009C6940">
            <w:pPr>
              <w:pStyle w:val="BoxSpaceBelow"/>
            </w:pPr>
          </w:p>
        </w:tc>
      </w:tr>
    </w:tbl>
    <w:p w14:paraId="4E11987E" w14:textId="77777777" w:rsidR="009C6940" w:rsidRDefault="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C504163" w14:textId="77777777" w:rsidTr="009C6940">
        <w:trPr>
          <w:tblHeader/>
        </w:trPr>
        <w:tc>
          <w:tcPr>
            <w:tcW w:w="5000" w:type="pct"/>
            <w:tcBorders>
              <w:top w:val="single" w:sz="6" w:space="0" w:color="78A22F"/>
              <w:left w:val="nil"/>
              <w:bottom w:val="nil"/>
              <w:right w:val="nil"/>
            </w:tcBorders>
            <w:shd w:val="clear" w:color="auto" w:fill="F2F2F2"/>
          </w:tcPr>
          <w:p w14:paraId="1413F2A4" w14:textId="77777777" w:rsidR="009C6940" w:rsidRPr="006135A0" w:rsidRDefault="009C6940" w:rsidP="009C6940">
            <w:pPr>
              <w:pStyle w:val="BoxHeading1"/>
              <w:tabs>
                <w:tab w:val="left" w:pos="1110"/>
              </w:tabs>
              <w:rPr>
                <w:sz w:val="24"/>
                <w:szCs w:val="24"/>
              </w:rPr>
            </w:pPr>
            <w:r>
              <w:rPr>
                <w:sz w:val="24"/>
                <w:szCs w:val="24"/>
              </w:rPr>
              <w:t>Action</w:t>
            </w:r>
            <w:r>
              <w:rPr>
                <w:sz w:val="24"/>
                <w:szCs w:val="24"/>
              </w:rPr>
              <w:tab/>
            </w:r>
            <w:r w:rsidRPr="0041315D">
              <w:rPr>
                <w:sz w:val="24"/>
                <w:szCs w:val="24"/>
              </w:rPr>
              <w:t>Prioritising</w:t>
            </w:r>
            <w:r>
              <w:rPr>
                <w:sz w:val="24"/>
                <w:szCs w:val="24"/>
              </w:rPr>
              <w:t xml:space="preserve"> mental health in the workplace </w:t>
            </w:r>
            <w:r w:rsidRPr="00A7274B">
              <w:rPr>
                <w:rStyle w:val="Continuedintitle"/>
              </w:rPr>
              <w:t>(continued)</w:t>
            </w:r>
          </w:p>
        </w:tc>
      </w:tr>
      <w:tr w:rsidR="009C6940" w14:paraId="5F406391" w14:textId="77777777" w:rsidTr="009C6940">
        <w:tc>
          <w:tcPr>
            <w:tcW w:w="5000" w:type="pct"/>
            <w:tcBorders>
              <w:top w:val="nil"/>
              <w:left w:val="nil"/>
              <w:bottom w:val="nil"/>
              <w:right w:val="nil"/>
            </w:tcBorders>
            <w:shd w:val="clear" w:color="auto" w:fill="F2F2F2"/>
          </w:tcPr>
          <w:p w14:paraId="0DE95B91" w14:textId="77777777" w:rsidR="009C6940" w:rsidRDefault="009C6940" w:rsidP="009C6940">
            <w:pPr>
              <w:pStyle w:val="Box"/>
            </w:pPr>
            <w:r>
              <w:t xml:space="preserve">An additional overhead cost of $328 per firm is included to account for administrative requirements. This value was calculated assuming that 8 hours of work (at an average wage rate of $40.9) is required to research and select the eHealth intervention most suited to the organisation and to communicate the roll out of the program to staff. Applying this cost to an estimated 30 000 medium or large size firms </w:t>
            </w:r>
            <w:r w:rsidRPr="00D80781">
              <w:rPr>
                <w:rFonts w:cs="Arial"/>
                <w:szCs w:val="24"/>
              </w:rPr>
              <w:t>(ABS 2019b)</w:t>
            </w:r>
            <w:r>
              <w:t xml:space="preserve"> implies a total overhead cost of $9.9 million.</w:t>
            </w:r>
          </w:p>
          <w:p w14:paraId="4C6A9308" w14:textId="77777777" w:rsidR="009C6940" w:rsidRDefault="009C6940" w:rsidP="009C6940">
            <w:pPr>
              <w:pStyle w:val="Box"/>
            </w:pPr>
            <w:r>
              <w:t>Taking these measures is likely to result in substantial cost savings. The average cost per case of depression avoided in terms of lost productive time is estimated to be about</w:t>
            </w:r>
            <w:r w:rsidRPr="00710CD5">
              <w:t xml:space="preserve"> </w:t>
            </w:r>
            <w:r>
              <w:t>$6578 (2019 dollars). This is calculated on the assumption that an employee with depression is expected to be absent from work between 10 and 12 additional days. A further 7 to 9 days of productive output is lost due to presenteeism (appendix H).</w:t>
            </w:r>
            <w:r w:rsidDel="00B35F66">
              <w:t xml:space="preserve"> </w:t>
            </w:r>
            <w:r>
              <w:t>Part</w:t>
            </w:r>
            <w:r>
              <w:noBreakHyphen/>
              <w:t>time and full</w:t>
            </w:r>
            <w:r>
              <w:noBreakHyphen/>
              <w:t xml:space="preserve">time employees have similar amounts of lost time due to absenteeism and presenteeism </w:t>
            </w:r>
            <w:r w:rsidRPr="00BE72B0">
              <w:rPr>
                <w:rFonts w:cs="Arial"/>
                <w:szCs w:val="24"/>
              </w:rPr>
              <w:t>(ABS 2019g)</w:t>
            </w:r>
            <w:r>
              <w:t xml:space="preserve">. Average hours and wages are sourced from Employee Earnings and Hours </w:t>
            </w:r>
            <w:r w:rsidRPr="00BE72B0">
              <w:rPr>
                <w:rFonts w:cs="Arial"/>
                <w:szCs w:val="24"/>
              </w:rPr>
              <w:t>(ABS 2019f)</w:t>
            </w:r>
            <w:r>
              <w:t>, and inflated to 2019 values.</w:t>
            </w:r>
          </w:p>
          <w:p w14:paraId="2F976D14" w14:textId="77777777" w:rsidR="009C6940" w:rsidRDefault="009C6940" w:rsidP="009C6940">
            <w:pPr>
              <w:pStyle w:val="Box"/>
            </w:pPr>
            <w:r>
              <w:t>Applying an assumed take</w:t>
            </w:r>
            <w:r>
              <w:noBreakHyphen/>
              <w:t>up rate of 5%, this suggests potential cost savings of about</w:t>
            </w:r>
            <w:r w:rsidRPr="00710CD5">
              <w:t xml:space="preserve"> </w:t>
            </w:r>
            <w:r>
              <w:t>$67 million.</w:t>
            </w:r>
          </w:p>
        </w:tc>
      </w:tr>
      <w:tr w:rsidR="009C6940" w14:paraId="6BACB826" w14:textId="77777777" w:rsidTr="00114C25">
        <w:tc>
          <w:tcPr>
            <w:tcW w:w="5000" w:type="pct"/>
            <w:tcBorders>
              <w:top w:val="nil"/>
              <w:left w:val="nil"/>
              <w:bottom w:val="nil"/>
              <w:right w:val="nil"/>
            </w:tcBorders>
            <w:shd w:val="clear" w:color="auto" w:fill="F2F2F2"/>
          </w:tcPr>
          <w:p w14:paraId="4438A092" w14:textId="77777777" w:rsidR="009C6940" w:rsidRDefault="009C6940" w:rsidP="009C6940">
            <w:pPr>
              <w:pStyle w:val="BoxHeading1"/>
            </w:pPr>
            <w:r>
              <w:t>Additional considerations</w:t>
            </w:r>
          </w:p>
          <w:p w14:paraId="4B74D449" w14:textId="77777777" w:rsidR="009C6940" w:rsidRDefault="009C6940" w:rsidP="009C6940">
            <w:pPr>
              <w:pStyle w:val="BoxListBullet"/>
              <w:numPr>
                <w:ilvl w:val="0"/>
                <w:numId w:val="3"/>
              </w:numPr>
            </w:pPr>
            <w:r>
              <w:t>There are a range of interventions aimed at improving mental health in the workplace. As noted above, this modelling exercise is based on the assumption that a universal eHealth intervention is the only response implemented by workplaces.</w:t>
            </w:r>
          </w:p>
          <w:p w14:paraId="5C00C6CA" w14:textId="77777777" w:rsidR="009C6940" w:rsidRPr="009F3AC0" w:rsidRDefault="009C6940" w:rsidP="009C6940">
            <w:pPr>
              <w:pStyle w:val="BoxListBullet"/>
              <w:numPr>
                <w:ilvl w:val="0"/>
                <w:numId w:val="3"/>
              </w:numPr>
            </w:pPr>
            <w:r>
              <w:t xml:space="preserve">The </w:t>
            </w:r>
            <w:r w:rsidRPr="009F3AC0">
              <w:t xml:space="preserve">target population is based on the assumption that the proportion of low PSC workplaces are evenly distributed among small and medium/large firms. </w:t>
            </w:r>
          </w:p>
          <w:p w14:paraId="24D71E28" w14:textId="77777777" w:rsidR="009C6940" w:rsidRDefault="009C6940" w:rsidP="00114C25">
            <w:pPr>
              <w:pStyle w:val="BoxListBullet"/>
              <w:numPr>
                <w:ilvl w:val="0"/>
                <w:numId w:val="3"/>
              </w:numPr>
            </w:pPr>
            <w:r w:rsidRPr="009F3AC0">
              <w:t>Aggregate costs and benefits are highly sensitive to the assumed take up rate. If the take up rate was 10% (rather than 5%), then the additional expenditures ($87</w:t>
            </w:r>
            <w:r>
              <w:t> </w:t>
            </w:r>
            <w:r w:rsidRPr="009F3AC0">
              <w:t>million) and total cost savings ($218</w:t>
            </w:r>
            <w:r>
              <w:t> </w:t>
            </w:r>
            <w:r w:rsidRPr="009F3AC0">
              <w:t>million) would be doubled. The number of QALYs that would be gained would also be higher (340</w:t>
            </w:r>
            <w:r w:rsidRPr="009F3AC0">
              <w:noBreakHyphen/>
              <w:t>615).</w:t>
            </w:r>
            <w:r w:rsidRPr="004223AC">
              <w:t xml:space="preserve"> </w:t>
            </w:r>
          </w:p>
        </w:tc>
      </w:tr>
      <w:tr w:rsidR="00114C25" w14:paraId="0C0ED39E" w14:textId="77777777" w:rsidTr="00AB0E42">
        <w:tc>
          <w:tcPr>
            <w:tcW w:w="5000" w:type="pct"/>
            <w:tcBorders>
              <w:top w:val="nil"/>
              <w:left w:val="nil"/>
              <w:bottom w:val="single" w:sz="6" w:space="0" w:color="78A22F"/>
              <w:right w:val="nil"/>
            </w:tcBorders>
            <w:shd w:val="clear" w:color="auto" w:fill="F2F2F2"/>
          </w:tcPr>
          <w:p w14:paraId="5C217EEB" w14:textId="77777777" w:rsidR="00114C25" w:rsidRDefault="00114C25" w:rsidP="00AB0E42">
            <w:pPr>
              <w:pStyle w:val="Box"/>
              <w:spacing w:before="0" w:line="120" w:lineRule="exact"/>
            </w:pPr>
          </w:p>
        </w:tc>
      </w:tr>
      <w:tr w:rsidR="009C6940" w:rsidRPr="000863A5" w14:paraId="34748985" w14:textId="77777777" w:rsidTr="009C6940">
        <w:tc>
          <w:tcPr>
            <w:tcW w:w="5000" w:type="pct"/>
            <w:tcBorders>
              <w:top w:val="single" w:sz="6" w:space="0" w:color="78A22F"/>
              <w:left w:val="nil"/>
              <w:bottom w:val="nil"/>
              <w:right w:val="nil"/>
            </w:tcBorders>
          </w:tcPr>
          <w:p w14:paraId="2FD90A7F" w14:textId="77777777" w:rsidR="009C6940" w:rsidRPr="00626D32" w:rsidRDefault="009C6940" w:rsidP="009C6940">
            <w:pPr>
              <w:pStyle w:val="BoxSpaceBelow"/>
            </w:pPr>
          </w:p>
        </w:tc>
      </w:tr>
    </w:tbl>
    <w:p w14:paraId="75CC95EB"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B4EC4FA" w14:textId="77777777" w:rsidTr="009C6940">
        <w:trPr>
          <w:tblHeader/>
        </w:trPr>
        <w:tc>
          <w:tcPr>
            <w:tcW w:w="5000" w:type="pct"/>
            <w:tcBorders>
              <w:top w:val="single" w:sz="6" w:space="0" w:color="78A22F"/>
              <w:left w:val="nil"/>
              <w:bottom w:val="nil"/>
              <w:right w:val="nil"/>
            </w:tcBorders>
            <w:shd w:val="clear" w:color="auto" w:fill="F2F2F2"/>
          </w:tcPr>
          <w:p w14:paraId="44A05A12" w14:textId="77777777" w:rsidR="009C6940" w:rsidRPr="001C5A49" w:rsidRDefault="009C6940" w:rsidP="009C6940">
            <w:pPr>
              <w:pStyle w:val="BoxHeading1"/>
              <w:tabs>
                <w:tab w:val="left" w:pos="1134"/>
              </w:tabs>
              <w:ind w:left="1134" w:hanging="1134"/>
              <w:rPr>
                <w:rFonts w:ascii="Arial Bold" w:hAnsi="Arial Bold"/>
                <w:spacing w:val="-4"/>
                <w:sz w:val="24"/>
                <w:szCs w:val="24"/>
              </w:rPr>
            </w:pPr>
            <w:r>
              <w:rPr>
                <w:sz w:val="24"/>
                <w:szCs w:val="24"/>
              </w:rPr>
              <w:t>Action</w:t>
            </w:r>
            <w:r>
              <w:rPr>
                <w:sz w:val="24"/>
                <w:szCs w:val="24"/>
              </w:rPr>
              <w:tab/>
            </w:r>
            <w:r w:rsidRPr="00ED6DF1">
              <w:rPr>
                <w:rFonts w:ascii="Arial Bold" w:hAnsi="Arial Bold"/>
                <w:sz w:val="24"/>
                <w:szCs w:val="24"/>
              </w:rPr>
              <w:t>No liability treatment for mental health</w:t>
            </w:r>
            <w:r w:rsidRPr="00ED6DF1">
              <w:rPr>
                <w:rFonts w:ascii="Arial Bold" w:hAnsi="Arial Bold"/>
                <w:sz w:val="24"/>
                <w:szCs w:val="24"/>
              </w:rPr>
              <w:noBreakHyphen/>
              <w:t>related compensation claims</w:t>
            </w:r>
          </w:p>
          <w:p w14:paraId="56AC4E90" w14:textId="77777777" w:rsidR="009C6940" w:rsidRPr="000C6859" w:rsidRDefault="009C6940" w:rsidP="009C6940">
            <w:pPr>
              <w:pStyle w:val="Box"/>
            </w:pPr>
            <w:r w:rsidRPr="00475791">
              <w:t>Workers compensation schemes should be amended to provide and fund clinical treatment (including any required rehabilitation) for all mental health related workers compensation claims, regardless of liability, until the injured worker returns to work or up to a period of six months following lodgement of the claim. Similar provisions should be required of self</w:t>
            </w:r>
            <w:r>
              <w:noBreakHyphen/>
            </w:r>
            <w:r w:rsidRPr="00475791">
              <w:t>insurers.</w:t>
            </w:r>
          </w:p>
        </w:tc>
      </w:tr>
      <w:tr w:rsidR="009C6940" w14:paraId="5C61FA97" w14:textId="77777777" w:rsidTr="009C6940">
        <w:tc>
          <w:tcPr>
            <w:tcW w:w="5000" w:type="pct"/>
            <w:tcBorders>
              <w:top w:val="nil"/>
              <w:left w:val="nil"/>
              <w:bottom w:val="nil"/>
              <w:right w:val="nil"/>
            </w:tcBorders>
            <w:shd w:val="clear" w:color="auto" w:fill="F2F2F2"/>
          </w:tcPr>
          <w:p w14:paraId="07E77C6C" w14:textId="77777777" w:rsidR="009C6940" w:rsidRDefault="009C6940" w:rsidP="009C6940">
            <w:pPr>
              <w:pStyle w:val="BoxHeading1"/>
              <w:spacing w:before="120"/>
            </w:pPr>
            <w:r>
              <w:t>Population</w:t>
            </w:r>
          </w:p>
          <w:p w14:paraId="569CE74B" w14:textId="77777777" w:rsidR="009C6940" w:rsidRPr="00EC0A97" w:rsidRDefault="009C6940" w:rsidP="009C6940">
            <w:pPr>
              <w:pStyle w:val="Box"/>
            </w:pPr>
            <w:r>
              <w:t>The introduction of n</w:t>
            </w:r>
            <w:r w:rsidRPr="00B112E2">
              <w:t>o</w:t>
            </w:r>
            <w:r>
              <w:noBreakHyphen/>
            </w:r>
            <w:r w:rsidRPr="00B112E2">
              <w:t>liabil</w:t>
            </w:r>
            <w:r>
              <w:t>ity treatment for mental health</w:t>
            </w:r>
            <w:r>
              <w:noBreakHyphen/>
            </w:r>
            <w:r w:rsidRPr="00B112E2">
              <w:t>related workers compensation</w:t>
            </w:r>
            <w:r>
              <w:t>, is expected to result in a total of about</w:t>
            </w:r>
            <w:r w:rsidRPr="00710CD5">
              <w:t xml:space="preserve"> </w:t>
            </w:r>
            <w:r>
              <w:t>8000 </w:t>
            </w:r>
            <w:r w:rsidRPr="00B112E2">
              <w:t>people return</w:t>
            </w:r>
            <w:r>
              <w:t>ing</w:t>
            </w:r>
            <w:r w:rsidRPr="00B112E2">
              <w:t xml:space="preserve"> to work earlier than otherwise</w:t>
            </w:r>
            <w:r>
              <w:t xml:space="preserve"> would have been the case in 2018</w:t>
            </w:r>
            <w:r>
              <w:noBreakHyphen/>
              <w:t>19</w:t>
            </w:r>
            <w:r w:rsidRPr="00B112E2">
              <w:t xml:space="preserve">. This includes </w:t>
            </w:r>
            <w:r>
              <w:t>4700 </w:t>
            </w:r>
            <w:r w:rsidRPr="00B112E2">
              <w:t xml:space="preserve">people who have </w:t>
            </w:r>
            <w:r w:rsidRPr="00F758C2">
              <w:t xml:space="preserve">successful </w:t>
            </w:r>
            <w:r w:rsidRPr="00B112E2">
              <w:t>mental health</w:t>
            </w:r>
            <w:r>
              <w:noBreakHyphen/>
            </w:r>
            <w:r w:rsidRPr="00B112E2">
              <w:t>related claims for workers compensation</w:t>
            </w:r>
            <w:r>
              <w:t>, who had between a week and six months away from work</w:t>
            </w:r>
            <w:r w:rsidRPr="00B112E2">
              <w:t>. Because these claims are related to mental health, it is assumed that people in this group have mental illness.</w:t>
            </w:r>
            <w:r>
              <w:t xml:space="preserve"> The other 3300 claims are for those workers with rejected claims who previously took extended leave (e.g. sick leave). </w:t>
            </w:r>
          </w:p>
        </w:tc>
      </w:tr>
      <w:tr w:rsidR="009C6940" w14:paraId="2C0B21C1" w14:textId="77777777" w:rsidTr="009C6940">
        <w:tc>
          <w:tcPr>
            <w:tcW w:w="5000" w:type="pct"/>
            <w:tcBorders>
              <w:top w:val="nil"/>
              <w:left w:val="nil"/>
              <w:bottom w:val="nil"/>
              <w:right w:val="nil"/>
            </w:tcBorders>
            <w:shd w:val="clear" w:color="auto" w:fill="F2F2F2"/>
          </w:tcPr>
          <w:p w14:paraId="35D76499" w14:textId="77777777" w:rsidR="009C6940" w:rsidRDefault="009C6940" w:rsidP="009C6940">
            <w:pPr>
              <w:pStyle w:val="BoxHeading1"/>
              <w:spacing w:before="120"/>
            </w:pPr>
            <w:r>
              <w:t>Effect</w:t>
            </w:r>
          </w:p>
          <w:p w14:paraId="233B1115" w14:textId="77777777" w:rsidR="009C6940" w:rsidRPr="000C6859" w:rsidRDefault="009C6940" w:rsidP="009C6940">
            <w:pPr>
              <w:pStyle w:val="Box"/>
            </w:pPr>
            <w:r>
              <w:t>For no</w:t>
            </w:r>
            <w:r>
              <w:noBreakHyphen/>
              <w:t>liability treatment for mental health related workers compensation claims, i</w:t>
            </w:r>
            <w:r w:rsidRPr="00B112E2">
              <w:t xml:space="preserve">t is assumed that the time spent on workers compensation is </w:t>
            </w:r>
            <w:r>
              <w:t>reduced by 21%</w:t>
            </w:r>
            <w:r w:rsidRPr="00B112E2">
              <w:t xml:space="preserve"> for people making a mental health claim, as they can be treated earlier and return to work more quickly</w:t>
            </w:r>
            <w:r>
              <w:t xml:space="preserve"> (estimated using data from Safe Work Australia </w:t>
            </w:r>
            <w:r w:rsidRPr="00D80781">
              <w:rPr>
                <w:rFonts w:cs="Arial"/>
              </w:rPr>
              <w:t>(2018)</w:t>
            </w:r>
            <w:r>
              <w:t xml:space="preserve"> and Sampson </w:t>
            </w:r>
            <w:r w:rsidRPr="00D80781">
              <w:rPr>
                <w:rFonts w:cs="Arial"/>
              </w:rPr>
              <w:t>(2015)</w:t>
            </w:r>
            <w:r>
              <w:t>).This is expected to increase aggregate income by about</w:t>
            </w:r>
            <w:r w:rsidRPr="00710CD5">
              <w:t xml:space="preserve"> </w:t>
            </w:r>
            <w:r>
              <w:t>$11.9</w:t>
            </w:r>
            <w:r>
              <w:noBreakHyphen/>
              <w:t>12.2</w:t>
            </w:r>
            <w:r w:rsidRPr="00712E8C">
              <w:t> m</w:t>
            </w:r>
            <w:r>
              <w:t>illion.</w:t>
            </w:r>
          </w:p>
        </w:tc>
      </w:tr>
      <w:tr w:rsidR="009C6940" w14:paraId="06CC89F5" w14:textId="77777777" w:rsidTr="009C6940">
        <w:tc>
          <w:tcPr>
            <w:tcW w:w="5000" w:type="pct"/>
            <w:tcBorders>
              <w:top w:val="nil"/>
              <w:left w:val="nil"/>
              <w:bottom w:val="nil"/>
              <w:right w:val="nil"/>
            </w:tcBorders>
            <w:shd w:val="clear" w:color="auto" w:fill="F2F2F2"/>
          </w:tcPr>
          <w:p w14:paraId="421ABBC2" w14:textId="77777777" w:rsidR="009C6940" w:rsidRDefault="009C6940" w:rsidP="009C6940">
            <w:pPr>
              <w:pStyle w:val="BoxHeading1"/>
              <w:spacing w:before="120"/>
            </w:pPr>
            <w:r>
              <w:t>Costs</w:t>
            </w:r>
          </w:p>
          <w:p w14:paraId="16A1E8BB" w14:textId="77777777" w:rsidR="009C6940" w:rsidRDefault="009C6940" w:rsidP="009C6940">
            <w:pPr>
              <w:pStyle w:val="Box"/>
            </w:pPr>
            <w:r>
              <w:t>Increased expenditure is expected to relate to healthcare costs which would not be incurred under the current workers compensation system, but would be accepted under the proposed system. For example if this policy had been in place for the 2018</w:t>
            </w:r>
            <w:r>
              <w:noBreakHyphen/>
              <w:t>19 financial year, it would have costed about</w:t>
            </w:r>
            <w:r w:rsidRPr="00710CD5">
              <w:t xml:space="preserve"> </w:t>
            </w:r>
            <w:r>
              <w:t>$9 million per year. This estimate was based on information from various workers compensation schemes on the medical cost of accepted claims and involves a number of assumptions:</w:t>
            </w:r>
          </w:p>
          <w:p w14:paraId="5C6A0CF2" w14:textId="77777777" w:rsidR="009C6940" w:rsidRDefault="009C6940" w:rsidP="009C6940">
            <w:pPr>
              <w:pStyle w:val="BoxListBullet"/>
              <w:numPr>
                <w:ilvl w:val="0"/>
                <w:numId w:val="3"/>
              </w:numPr>
            </w:pPr>
            <w:r>
              <w:t>the proportion of claims that result in an absence of work of less than six months is the same for rejected and accepted claims.</w:t>
            </w:r>
          </w:p>
          <w:p w14:paraId="6B7F96E6" w14:textId="77777777" w:rsidR="009C6940" w:rsidRDefault="009C6940" w:rsidP="009C6940">
            <w:pPr>
              <w:pStyle w:val="BoxListBullet"/>
              <w:numPr>
                <w:ilvl w:val="0"/>
                <w:numId w:val="3"/>
              </w:numPr>
            </w:pPr>
            <w:r>
              <w:t>the median healthcare cost is the same for both claims that are accepted and claims that are rejected.</w:t>
            </w:r>
          </w:p>
          <w:p w14:paraId="18CCE07B" w14:textId="77777777" w:rsidR="009C6940" w:rsidRPr="000C6859" w:rsidRDefault="009C6940" w:rsidP="009C6940">
            <w:pPr>
              <w:pStyle w:val="Box"/>
            </w:pPr>
            <w:r>
              <w:t>In the 2018</w:t>
            </w:r>
            <w:r>
              <w:noBreakHyphen/>
              <w:t>19 financial year, this action would have resulted in a total of 3300 previously rejected claims (that resulted in up to six month of time off work) being accepted</w:t>
            </w:r>
            <w:r w:rsidRPr="00805F0A">
              <w:t>,</w:t>
            </w:r>
            <w:r>
              <w:t xml:space="preserve"> and their medical costs being paid. </w:t>
            </w:r>
            <w:r w:rsidRPr="00805F0A">
              <w:t>The total additional cost is the product of the number of new claims and the median cost of a</w:t>
            </w:r>
            <w:r>
              <w:t xml:space="preserve"> serious</w:t>
            </w:r>
            <w:r w:rsidRPr="00805F0A">
              <w:t xml:space="preserve"> accepted claim</w:t>
            </w:r>
            <w:r>
              <w:t xml:space="preserve"> (that resulted in up to six month of time off work). </w:t>
            </w:r>
          </w:p>
        </w:tc>
      </w:tr>
      <w:tr w:rsidR="009C6940" w14:paraId="5EB108B1" w14:textId="77777777" w:rsidTr="009C6940">
        <w:tc>
          <w:tcPr>
            <w:tcW w:w="5000" w:type="pct"/>
            <w:tcBorders>
              <w:top w:val="nil"/>
              <w:left w:val="nil"/>
              <w:bottom w:val="nil"/>
              <w:right w:val="nil"/>
            </w:tcBorders>
            <w:shd w:val="clear" w:color="auto" w:fill="F2F2F2"/>
          </w:tcPr>
          <w:p w14:paraId="6FD5231D" w14:textId="77777777" w:rsidR="009C6940" w:rsidRPr="00114C25" w:rsidRDefault="009C6940" w:rsidP="00114C25">
            <w:pPr>
              <w:pStyle w:val="Box"/>
              <w:spacing w:before="180" w:line="220" w:lineRule="exact"/>
              <w:jc w:val="right"/>
              <w:rPr>
                <w:sz w:val="18"/>
                <w:szCs w:val="18"/>
              </w:rPr>
            </w:pPr>
            <w:r w:rsidRPr="00114C25">
              <w:rPr>
                <w:sz w:val="18"/>
                <w:szCs w:val="18"/>
              </w:rPr>
              <w:t>(continued next page)</w:t>
            </w:r>
          </w:p>
        </w:tc>
      </w:tr>
      <w:tr w:rsidR="009C6940" w14:paraId="58A36F6A" w14:textId="77777777" w:rsidTr="009C6940">
        <w:tc>
          <w:tcPr>
            <w:tcW w:w="5000" w:type="pct"/>
            <w:tcBorders>
              <w:top w:val="nil"/>
              <w:left w:val="nil"/>
              <w:bottom w:val="single" w:sz="6" w:space="0" w:color="78A22F"/>
              <w:right w:val="nil"/>
            </w:tcBorders>
            <w:shd w:val="clear" w:color="auto" w:fill="F2F2F2"/>
          </w:tcPr>
          <w:p w14:paraId="48A76390" w14:textId="77777777" w:rsidR="009C6940" w:rsidRDefault="009C6940" w:rsidP="009C6940">
            <w:pPr>
              <w:pStyle w:val="Box"/>
              <w:spacing w:before="0" w:line="120" w:lineRule="exact"/>
            </w:pPr>
          </w:p>
        </w:tc>
      </w:tr>
      <w:tr w:rsidR="009C6940" w:rsidRPr="000863A5" w14:paraId="4E946E84" w14:textId="77777777" w:rsidTr="009C6940">
        <w:tc>
          <w:tcPr>
            <w:tcW w:w="5000" w:type="pct"/>
            <w:tcBorders>
              <w:top w:val="single" w:sz="6" w:space="0" w:color="78A22F"/>
              <w:left w:val="nil"/>
              <w:bottom w:val="nil"/>
              <w:right w:val="nil"/>
            </w:tcBorders>
          </w:tcPr>
          <w:p w14:paraId="10F62920" w14:textId="77777777" w:rsidR="009C6940" w:rsidRPr="00626D32" w:rsidRDefault="009C6940" w:rsidP="009C6940">
            <w:pPr>
              <w:pStyle w:val="BoxSpaceBelow"/>
            </w:pPr>
          </w:p>
        </w:tc>
      </w:tr>
    </w:tbl>
    <w:p w14:paraId="2F609924"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51250C4B" w14:textId="77777777" w:rsidTr="009C6940">
        <w:trPr>
          <w:tblHeader/>
        </w:trPr>
        <w:tc>
          <w:tcPr>
            <w:tcW w:w="5000" w:type="pct"/>
            <w:tcBorders>
              <w:top w:val="single" w:sz="6" w:space="0" w:color="78A22F"/>
              <w:left w:val="nil"/>
              <w:bottom w:val="nil"/>
              <w:right w:val="nil"/>
            </w:tcBorders>
            <w:shd w:val="clear" w:color="auto" w:fill="F2F2F2"/>
          </w:tcPr>
          <w:p w14:paraId="27DFD618" w14:textId="77777777" w:rsidR="009C6940" w:rsidRPr="00DA686F" w:rsidRDefault="009C6940" w:rsidP="009C6940">
            <w:pPr>
              <w:pStyle w:val="BoxHeading1"/>
              <w:tabs>
                <w:tab w:val="left" w:pos="1134"/>
              </w:tabs>
              <w:ind w:left="1134" w:hanging="1134"/>
              <w:rPr>
                <w:sz w:val="24"/>
                <w:szCs w:val="24"/>
              </w:rPr>
            </w:pPr>
            <w:r>
              <w:rPr>
                <w:sz w:val="24"/>
                <w:szCs w:val="24"/>
              </w:rPr>
              <w:t>Action</w:t>
            </w:r>
            <w:r>
              <w:rPr>
                <w:sz w:val="24"/>
                <w:szCs w:val="24"/>
              </w:rPr>
              <w:tab/>
            </w:r>
            <w:r w:rsidRPr="00ED6DF1">
              <w:rPr>
                <w:rFonts w:ascii="Arial Bold" w:hAnsi="Arial Bold"/>
                <w:sz w:val="24"/>
                <w:szCs w:val="24"/>
              </w:rPr>
              <w:t>No liability treatment for mental</w:t>
            </w:r>
            <w:r w:rsidRPr="00ED6DF1">
              <w:rPr>
                <w:rFonts w:ascii="Arial Bold" w:hAnsi="Arial Bold"/>
                <w:sz w:val="24"/>
                <w:szCs w:val="24"/>
              </w:rPr>
              <w:noBreakHyphen/>
              <w:t>health related compensation claims</w:t>
            </w:r>
            <w:r w:rsidRPr="00DA686F">
              <w:rPr>
                <w:sz w:val="24"/>
                <w:szCs w:val="24"/>
              </w:rPr>
              <w:t xml:space="preserve"> </w:t>
            </w:r>
            <w:r w:rsidRPr="00A7274B">
              <w:rPr>
                <w:rStyle w:val="Continuedintitle"/>
              </w:rPr>
              <w:t>(continued)</w:t>
            </w:r>
          </w:p>
        </w:tc>
      </w:tr>
      <w:tr w:rsidR="009C6940" w14:paraId="3B4E6EC0" w14:textId="77777777" w:rsidTr="009C6940">
        <w:tc>
          <w:tcPr>
            <w:tcW w:w="5000" w:type="pct"/>
            <w:tcBorders>
              <w:top w:val="nil"/>
              <w:left w:val="nil"/>
              <w:bottom w:val="nil"/>
              <w:right w:val="nil"/>
            </w:tcBorders>
            <w:shd w:val="clear" w:color="auto" w:fill="F2F2F2"/>
          </w:tcPr>
          <w:p w14:paraId="15556E38" w14:textId="77777777" w:rsidR="009C6940" w:rsidRDefault="009C6940" w:rsidP="009C6940">
            <w:pPr>
              <w:pStyle w:val="BoxHeading1"/>
              <w:spacing w:before="120"/>
            </w:pPr>
            <w:r>
              <w:t>Additional considerations</w:t>
            </w:r>
          </w:p>
          <w:p w14:paraId="09720D13" w14:textId="77777777" w:rsidR="009C6940" w:rsidRPr="006114DA" w:rsidRDefault="009C6940" w:rsidP="009C6940">
            <w:pPr>
              <w:pStyle w:val="BoxListBullet"/>
              <w:numPr>
                <w:ilvl w:val="0"/>
                <w:numId w:val="3"/>
              </w:numPr>
            </w:pPr>
            <w:r w:rsidRPr="006114DA">
              <w:t>Increased costs associated with no</w:t>
            </w:r>
            <w:r>
              <w:noBreakHyphen/>
            </w:r>
            <w:r w:rsidRPr="006114DA">
              <w:t>fault liability must be regarded as a lower bound, as behaviours will change as policy changes, and people may become more likely to put in mental health claims. The incentive to do so can be argued to be low, as it only covers medical costs, and not income payments.</w:t>
            </w:r>
          </w:p>
          <w:p w14:paraId="776C4440" w14:textId="77777777" w:rsidR="009C6940" w:rsidRPr="004223AC" w:rsidRDefault="009C6940" w:rsidP="009C6940">
            <w:pPr>
              <w:pStyle w:val="BoxListBullet"/>
              <w:numPr>
                <w:ilvl w:val="0"/>
                <w:numId w:val="3"/>
              </w:numPr>
            </w:pPr>
            <w:r>
              <w:t>It is</w:t>
            </w:r>
            <w:r w:rsidRPr="006114DA">
              <w:t xml:space="preserve"> assume</w:t>
            </w:r>
            <w:r>
              <w:t>d</w:t>
            </w:r>
            <w:r w:rsidRPr="006114DA">
              <w:t xml:space="preserve"> that those that those workers who are expected to be off work for </w:t>
            </w:r>
            <w:r>
              <w:t xml:space="preserve">six </w:t>
            </w:r>
            <w:r w:rsidRPr="006114DA">
              <w:t xml:space="preserve">months or longer for mental health reasons will not receive a substantively greater benefit from access to no fault liability relative to the current policy arrangements, and so are excluded from cost and </w:t>
            </w:r>
            <w:r>
              <w:t xml:space="preserve">benefits </w:t>
            </w:r>
            <w:r w:rsidRPr="006114DA">
              <w:t>calculations</w:t>
            </w:r>
            <w:r>
              <w:rPr>
                <w:rFonts w:ascii="Times New Roman" w:hAnsi="Times New Roman"/>
              </w:rPr>
              <w:t xml:space="preserve">. </w:t>
            </w:r>
          </w:p>
          <w:p w14:paraId="0F834DDA" w14:textId="77777777" w:rsidR="009C6940" w:rsidRPr="000C6859" w:rsidRDefault="009C6940" w:rsidP="009C6940">
            <w:pPr>
              <w:pStyle w:val="BoxListBullet"/>
              <w:numPr>
                <w:ilvl w:val="0"/>
                <w:numId w:val="3"/>
              </w:numPr>
            </w:pPr>
            <w:r>
              <w:t xml:space="preserve">The benefit estimates provide a lower bound as it assumes the only benefit from earlier access to medical care is an earlier return to work. The calculation does not include, for example, any increase in workplace productivity arising from better mental health. </w:t>
            </w:r>
          </w:p>
        </w:tc>
      </w:tr>
      <w:tr w:rsidR="009C6940" w14:paraId="2F1CC53F" w14:textId="77777777" w:rsidTr="009C6940">
        <w:tc>
          <w:tcPr>
            <w:tcW w:w="5000" w:type="pct"/>
            <w:tcBorders>
              <w:top w:val="nil"/>
              <w:left w:val="nil"/>
              <w:bottom w:val="single" w:sz="6" w:space="0" w:color="78A22F"/>
              <w:right w:val="nil"/>
            </w:tcBorders>
            <w:shd w:val="clear" w:color="auto" w:fill="F2F2F2"/>
          </w:tcPr>
          <w:p w14:paraId="4AFB8B53" w14:textId="77777777" w:rsidR="009C6940" w:rsidRDefault="009C6940" w:rsidP="009C6940">
            <w:pPr>
              <w:pStyle w:val="Box"/>
              <w:spacing w:before="0" w:line="120" w:lineRule="exact"/>
            </w:pPr>
          </w:p>
        </w:tc>
      </w:tr>
      <w:tr w:rsidR="009C6940" w:rsidRPr="000863A5" w14:paraId="759333C4" w14:textId="77777777" w:rsidTr="009C6940">
        <w:tc>
          <w:tcPr>
            <w:tcW w:w="5000" w:type="pct"/>
            <w:tcBorders>
              <w:top w:val="single" w:sz="6" w:space="0" w:color="78A22F"/>
              <w:left w:val="nil"/>
              <w:bottom w:val="nil"/>
              <w:right w:val="nil"/>
            </w:tcBorders>
          </w:tcPr>
          <w:p w14:paraId="7DC7D068" w14:textId="77777777" w:rsidR="009C6940" w:rsidRPr="00626D32" w:rsidRDefault="009C6940" w:rsidP="009C6940">
            <w:pPr>
              <w:pStyle w:val="BoxSpaceBelow"/>
            </w:pPr>
          </w:p>
        </w:tc>
      </w:tr>
    </w:tbl>
    <w:p w14:paraId="2B35EE80" w14:textId="77777777" w:rsidR="009C6940" w:rsidRDefault="009C6940" w:rsidP="009C6940">
      <w:pPr>
        <w:pStyle w:val="Heading2"/>
      </w:pPr>
      <w:r>
        <w:lastRenderedPageBreak/>
        <w:t>K.</w:t>
      </w:r>
      <w:r>
        <w:rPr>
          <w:noProof/>
        </w:rPr>
        <w:t>10</w:t>
      </w:r>
      <w:r>
        <w:tab/>
        <w:t>Social participation</w:t>
      </w:r>
    </w:p>
    <w:p w14:paraId="4F0B678F"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27306DA9" w14:textId="77777777" w:rsidTr="009C6940">
        <w:trPr>
          <w:tblHeader/>
        </w:trPr>
        <w:tc>
          <w:tcPr>
            <w:tcW w:w="5000" w:type="pct"/>
            <w:tcBorders>
              <w:top w:val="single" w:sz="6" w:space="0" w:color="78A22F"/>
              <w:left w:val="nil"/>
              <w:bottom w:val="nil"/>
              <w:right w:val="nil"/>
            </w:tcBorders>
            <w:shd w:val="clear" w:color="auto" w:fill="F2F2F2"/>
          </w:tcPr>
          <w:p w14:paraId="0390C899" w14:textId="77777777" w:rsidR="009C6940" w:rsidRPr="00A21ED0" w:rsidRDefault="009C6940" w:rsidP="009C6940">
            <w:pPr>
              <w:pStyle w:val="BoxTitle"/>
              <w:tabs>
                <w:tab w:val="left" w:pos="1144"/>
              </w:tabs>
              <w:ind w:left="-57" w:firstLine="0"/>
            </w:pPr>
            <w:r>
              <w:t>Action</w:t>
            </w:r>
            <w:r>
              <w:tab/>
              <w:t>National stigma reduction strategy</w:t>
            </w:r>
          </w:p>
          <w:p w14:paraId="646C3B6B" w14:textId="77777777" w:rsidR="009C6940" w:rsidRPr="00D84CBD" w:rsidRDefault="009C6940" w:rsidP="009C6940">
            <w:pPr>
              <w:pStyle w:val="Box"/>
            </w:pPr>
            <w:r w:rsidRPr="00D84CBD">
              <w:t>A National Stigma Reduction Strategy is modelled as</w:t>
            </w:r>
            <w:r>
              <w:t xml:space="preserve"> a</w:t>
            </w:r>
            <w:r w:rsidRPr="00D84CBD">
              <w:t xml:space="preserve"> national campaign that seeks to reduce stigma towards people with mental illness that is poorly understood in the community.</w:t>
            </w:r>
          </w:p>
        </w:tc>
      </w:tr>
      <w:tr w:rsidR="009C6940" w14:paraId="0927DFCA" w14:textId="77777777" w:rsidTr="009C6940">
        <w:tc>
          <w:tcPr>
            <w:tcW w:w="5000" w:type="pct"/>
            <w:tcBorders>
              <w:top w:val="nil"/>
              <w:left w:val="nil"/>
              <w:bottom w:val="nil"/>
              <w:right w:val="nil"/>
            </w:tcBorders>
            <w:shd w:val="clear" w:color="auto" w:fill="F2F2F2"/>
          </w:tcPr>
          <w:p w14:paraId="07EBB48E" w14:textId="77777777" w:rsidR="009C6940" w:rsidRDefault="009C6940" w:rsidP="009C6940">
            <w:pPr>
              <w:pStyle w:val="BoxHeading1"/>
              <w:spacing w:before="120"/>
            </w:pPr>
            <w:r>
              <w:t>Population</w:t>
            </w:r>
          </w:p>
          <w:p w14:paraId="787A5BFD" w14:textId="77777777" w:rsidR="009C6940" w:rsidRPr="000E4E03" w:rsidRDefault="009C6940" w:rsidP="009C6940">
            <w:pPr>
              <w:pStyle w:val="Box"/>
            </w:pPr>
            <w:r w:rsidRPr="000E4E03">
              <w:t xml:space="preserve">The </w:t>
            </w:r>
            <w:r>
              <w:t>introduction</w:t>
            </w:r>
            <w:r w:rsidRPr="000E4E03">
              <w:t xml:space="preserve"> of a national stigma reduction campaign is expected to </w:t>
            </w:r>
            <w:r>
              <w:t xml:space="preserve">result in a </w:t>
            </w:r>
            <w:r w:rsidRPr="000E4E03">
              <w:t>health</w:t>
            </w:r>
            <w:r>
              <w:noBreakHyphen/>
            </w:r>
            <w:r w:rsidRPr="000E4E03">
              <w:t>related quality of life benefits to 1.2</w:t>
            </w:r>
            <w:r>
              <w:t> </w:t>
            </w:r>
            <w:r w:rsidRPr="000E4E03">
              <w:t xml:space="preserve">million people with a diagnosed mental illness. </w:t>
            </w:r>
            <w:r w:rsidRPr="00C92D9C">
              <w:t>Of those, 850 000 are expected to have labour force benefits</w:t>
            </w:r>
            <w:r>
              <w:t>.</w:t>
            </w:r>
          </w:p>
        </w:tc>
      </w:tr>
      <w:tr w:rsidR="009C6940" w14:paraId="1A500BF9" w14:textId="77777777" w:rsidTr="009C6940">
        <w:tc>
          <w:tcPr>
            <w:tcW w:w="5000" w:type="pct"/>
            <w:tcBorders>
              <w:top w:val="nil"/>
              <w:left w:val="nil"/>
              <w:bottom w:val="nil"/>
              <w:right w:val="nil"/>
            </w:tcBorders>
            <w:shd w:val="clear" w:color="auto" w:fill="F2F2F2"/>
          </w:tcPr>
          <w:p w14:paraId="59C10AFE" w14:textId="77777777" w:rsidR="009C6940" w:rsidRDefault="009C6940" w:rsidP="009C6940">
            <w:pPr>
              <w:pStyle w:val="BoxHeading1"/>
              <w:spacing w:before="120"/>
            </w:pPr>
            <w:r>
              <w:t>Effect</w:t>
            </w:r>
          </w:p>
          <w:p w14:paraId="5DCF9E78" w14:textId="77777777" w:rsidR="009C6940" w:rsidRPr="001C5A49" w:rsidRDefault="009C6940" w:rsidP="009C6940">
            <w:pPr>
              <w:pStyle w:val="Box"/>
              <w:rPr>
                <w:spacing w:val="-2"/>
              </w:rPr>
            </w:pPr>
            <w:r w:rsidRPr="001C5A49">
              <w:rPr>
                <w:spacing w:val="-2"/>
              </w:rPr>
              <w:t xml:space="preserve">Stigma is likely to negatively affect mental illness, with internalised stigma leading to poor adherence to treatment and increased severity of psychiatric symptoms </w:t>
            </w:r>
            <w:r w:rsidRPr="001C5A49">
              <w:rPr>
                <w:rFonts w:cs="Arial"/>
                <w:spacing w:val="-2"/>
                <w:szCs w:val="24"/>
              </w:rPr>
              <w:t>(Livingston and Boyd 2010)</w:t>
            </w:r>
            <w:r w:rsidRPr="001C5A49">
              <w:rPr>
                <w:spacing w:val="-2"/>
              </w:rPr>
              <w:t xml:space="preserve"> and is argued to be a fundamental source of health differences for people with mental illness </w:t>
            </w:r>
            <w:r w:rsidRPr="001C5A49">
              <w:rPr>
                <w:rFonts w:cs="Arial"/>
                <w:spacing w:val="-2"/>
                <w:szCs w:val="24"/>
              </w:rPr>
              <w:t>(Hatzenbuehler, Phelan and Link 2013)</w:t>
            </w:r>
            <w:r w:rsidRPr="001C5A49">
              <w:rPr>
                <w:spacing w:val="-2"/>
              </w:rPr>
              <w:t>. There is a limited evidence about the magnitude of the effect on mental illness due to the endogeneity of mental illness and stigma, meaning that strong assumptions about likely mental health benefits are required. The assumed effect sizes are:</w:t>
            </w:r>
          </w:p>
          <w:p w14:paraId="00FF4687" w14:textId="77777777" w:rsidR="009C6940" w:rsidRDefault="009C6940" w:rsidP="009C6940">
            <w:pPr>
              <w:pStyle w:val="BoxListBullet"/>
              <w:numPr>
                <w:ilvl w:val="0"/>
                <w:numId w:val="3"/>
              </w:numPr>
            </w:pPr>
            <w:r>
              <w:t>0.01 for people with severe mental illness</w:t>
            </w:r>
          </w:p>
          <w:p w14:paraId="5C414FDB" w14:textId="77777777" w:rsidR="009C6940" w:rsidRDefault="009C6940" w:rsidP="009C6940">
            <w:pPr>
              <w:pStyle w:val="BoxListBullet"/>
              <w:numPr>
                <w:ilvl w:val="0"/>
                <w:numId w:val="3"/>
              </w:numPr>
            </w:pPr>
            <w:r>
              <w:t>0.005 for people with moderate mental illness</w:t>
            </w:r>
          </w:p>
          <w:p w14:paraId="50A161D8" w14:textId="77777777" w:rsidR="009C6940" w:rsidRDefault="009C6940" w:rsidP="009C6940">
            <w:pPr>
              <w:pStyle w:val="BoxListBullet"/>
              <w:numPr>
                <w:ilvl w:val="0"/>
                <w:numId w:val="3"/>
              </w:numPr>
            </w:pPr>
            <w:r>
              <w:t>0.001 for people with mild mental illness.</w:t>
            </w:r>
          </w:p>
          <w:p w14:paraId="5A33863E" w14:textId="77777777" w:rsidR="009C6940" w:rsidRDefault="009C6940" w:rsidP="009C6940">
            <w:pPr>
              <w:pStyle w:val="Box"/>
            </w:pPr>
            <w:r>
              <w:t>Across the population, a successful campaign is expected to result in:</w:t>
            </w:r>
          </w:p>
          <w:p w14:paraId="05B1CC26" w14:textId="77777777" w:rsidR="009C6940" w:rsidRDefault="009C6940" w:rsidP="009C6940">
            <w:pPr>
              <w:pStyle w:val="BoxListBullet"/>
              <w:numPr>
                <w:ilvl w:val="0"/>
                <w:numId w:val="3"/>
              </w:numPr>
            </w:pPr>
            <w:r>
              <w:t xml:space="preserve">an additional </w:t>
            </w:r>
            <w:r w:rsidRPr="00BE3D83">
              <w:t>$22</w:t>
            </w:r>
            <w:r>
              <w:noBreakHyphen/>
            </w:r>
            <w:r w:rsidRPr="00BE3D83">
              <w:t xml:space="preserve">44 </w:t>
            </w:r>
            <w:r>
              <w:t>million in labour income</w:t>
            </w:r>
          </w:p>
          <w:p w14:paraId="10F17632" w14:textId="77777777" w:rsidR="009C6940" w:rsidRPr="000C6859" w:rsidRDefault="009C6940" w:rsidP="009C6940">
            <w:pPr>
              <w:pStyle w:val="BoxListBullet"/>
              <w:numPr>
                <w:ilvl w:val="0"/>
                <w:numId w:val="3"/>
              </w:numPr>
            </w:pPr>
            <w:r>
              <w:t>between 419</w:t>
            </w:r>
            <w:r>
              <w:noBreakHyphen/>
            </w:r>
            <w:r w:rsidRPr="00BE3D83">
              <w:t>7</w:t>
            </w:r>
            <w:r>
              <w:t>59 QALYs.</w:t>
            </w:r>
          </w:p>
        </w:tc>
      </w:tr>
      <w:tr w:rsidR="009C6940" w14:paraId="58864FDE" w14:textId="77777777" w:rsidTr="009C6940">
        <w:tc>
          <w:tcPr>
            <w:tcW w:w="5000" w:type="pct"/>
            <w:tcBorders>
              <w:top w:val="nil"/>
              <w:left w:val="nil"/>
              <w:bottom w:val="nil"/>
              <w:right w:val="nil"/>
            </w:tcBorders>
            <w:shd w:val="clear" w:color="auto" w:fill="F2F2F2"/>
          </w:tcPr>
          <w:p w14:paraId="0BE7FE97" w14:textId="77777777" w:rsidR="009C6940" w:rsidRDefault="009C6940" w:rsidP="009C6940">
            <w:pPr>
              <w:pStyle w:val="BoxHeading1"/>
              <w:spacing w:before="120"/>
            </w:pPr>
            <w:r>
              <w:t>Costs</w:t>
            </w:r>
          </w:p>
          <w:p w14:paraId="5E1EA3FF" w14:textId="77777777" w:rsidR="009C6940" w:rsidRPr="000C6859" w:rsidRDefault="009C6940" w:rsidP="009C6940">
            <w:pPr>
              <w:pStyle w:val="Box"/>
            </w:pPr>
            <w:r>
              <w:t>The campaign is expected to cost between $3.8</w:t>
            </w:r>
            <w:r>
              <w:noBreakHyphen/>
              <w:t xml:space="preserve">$6.4 million per year. Expected costs are based on similar campaigns in the United Kingdom </w:t>
            </w:r>
            <w:r w:rsidRPr="000734AE">
              <w:rPr>
                <w:rFonts w:cs="Arial"/>
                <w:szCs w:val="24"/>
              </w:rPr>
              <w:t>(Henderson, Lacko and Thornicroft 2017)</w:t>
            </w:r>
            <w:r>
              <w:t xml:space="preserve"> and Denmark </w:t>
            </w:r>
            <w:r w:rsidRPr="00D80781">
              <w:rPr>
                <w:rFonts w:cs="Arial"/>
                <w:szCs w:val="24"/>
              </w:rPr>
              <w:t>(Bratbo and Vedelsby 2017)</w:t>
            </w:r>
            <w:r>
              <w:t xml:space="preserve"> adjusted for differences in population size.</w:t>
            </w:r>
          </w:p>
        </w:tc>
      </w:tr>
      <w:tr w:rsidR="009C6940" w14:paraId="29D2FE79" w14:textId="77777777" w:rsidTr="009C6940">
        <w:tc>
          <w:tcPr>
            <w:tcW w:w="5000" w:type="pct"/>
            <w:tcBorders>
              <w:top w:val="nil"/>
              <w:left w:val="nil"/>
              <w:bottom w:val="nil"/>
              <w:right w:val="nil"/>
            </w:tcBorders>
            <w:shd w:val="clear" w:color="auto" w:fill="F2F2F2"/>
          </w:tcPr>
          <w:p w14:paraId="33B2D682" w14:textId="77777777" w:rsidR="009C6940" w:rsidRDefault="009C6940" w:rsidP="009C6940">
            <w:pPr>
              <w:pStyle w:val="BoxHeading1"/>
              <w:spacing w:before="120"/>
            </w:pPr>
            <w:r>
              <w:t>Additional considerations</w:t>
            </w:r>
          </w:p>
          <w:p w14:paraId="6EDC116A" w14:textId="77777777" w:rsidR="009C6940" w:rsidRDefault="009C6940" w:rsidP="009C6940">
            <w:pPr>
              <w:pStyle w:val="BoxListBullet"/>
              <w:numPr>
                <w:ilvl w:val="0"/>
                <w:numId w:val="3"/>
              </w:numPr>
            </w:pPr>
            <w:r>
              <w:t xml:space="preserve">The potential benefits of a stigma reduction campaign can be considered indicative only, given that the mental health benefits are based on assumed effect sizes. However, the assumed effect sizes are conservative, meaning that minimal effect is required for a cost effective intervention. </w:t>
            </w:r>
          </w:p>
          <w:p w14:paraId="0B9507B2" w14:textId="77777777" w:rsidR="009C6940" w:rsidRDefault="009C6940" w:rsidP="009C6940">
            <w:pPr>
              <w:pStyle w:val="BoxListBullet"/>
              <w:numPr>
                <w:ilvl w:val="0"/>
                <w:numId w:val="3"/>
              </w:numPr>
            </w:pPr>
            <w:r>
              <w:t>The cost estimates do not include reductions in healthcare expenditure that may result from improved mental health, meaning that actual costs per QALY may be lower than reported.</w:t>
            </w:r>
          </w:p>
          <w:p w14:paraId="6F54F8A0" w14:textId="77777777" w:rsidR="009C6940" w:rsidRPr="0097528A" w:rsidRDefault="009C6940" w:rsidP="009C6940">
            <w:pPr>
              <w:pStyle w:val="BoxListBullet"/>
              <w:numPr>
                <w:ilvl w:val="0"/>
                <w:numId w:val="3"/>
              </w:numPr>
            </w:pPr>
            <w:r>
              <w:t>While there is some evidence about the effectiveness of large</w:t>
            </w:r>
            <w:r>
              <w:noBreakHyphen/>
              <w:t>scale anti</w:t>
            </w:r>
            <w:r>
              <w:noBreakHyphen/>
              <w:t xml:space="preserve">stigma campaigns </w:t>
            </w:r>
            <w:r w:rsidRPr="00D80781">
              <w:rPr>
                <w:rFonts w:cs="Arial"/>
                <w:szCs w:val="24"/>
              </w:rPr>
              <w:t>(Corrigan et al. 2012; Evans-Lacko et al. 2013b, 2013a)</w:t>
            </w:r>
            <w:r>
              <w:t xml:space="preserve">, evidence as to their ability to effect lasting changes in public attitudes is mixed </w:t>
            </w:r>
            <w:r w:rsidRPr="00D80781">
              <w:rPr>
                <w:rFonts w:cs="Arial"/>
                <w:szCs w:val="24"/>
              </w:rPr>
              <w:t>(Smith 2013)</w:t>
            </w:r>
            <w:r>
              <w:t>.</w:t>
            </w:r>
          </w:p>
        </w:tc>
      </w:tr>
      <w:tr w:rsidR="009C6940" w14:paraId="2AE4178B" w14:textId="77777777" w:rsidTr="009C6940">
        <w:tc>
          <w:tcPr>
            <w:tcW w:w="5000" w:type="pct"/>
            <w:tcBorders>
              <w:top w:val="nil"/>
              <w:left w:val="nil"/>
              <w:bottom w:val="single" w:sz="6" w:space="0" w:color="78A22F"/>
              <w:right w:val="nil"/>
            </w:tcBorders>
            <w:shd w:val="clear" w:color="auto" w:fill="F2F2F2"/>
          </w:tcPr>
          <w:p w14:paraId="1E79349C" w14:textId="77777777" w:rsidR="009C6940" w:rsidRDefault="009C6940" w:rsidP="009C6940">
            <w:pPr>
              <w:pStyle w:val="Box"/>
              <w:spacing w:before="0" w:line="120" w:lineRule="exact"/>
            </w:pPr>
          </w:p>
        </w:tc>
      </w:tr>
      <w:tr w:rsidR="009C6940" w:rsidRPr="000863A5" w14:paraId="309FC0E6" w14:textId="77777777" w:rsidTr="009C6940">
        <w:tc>
          <w:tcPr>
            <w:tcW w:w="5000" w:type="pct"/>
            <w:tcBorders>
              <w:top w:val="single" w:sz="6" w:space="0" w:color="78A22F"/>
              <w:left w:val="nil"/>
              <w:bottom w:val="nil"/>
              <w:right w:val="nil"/>
            </w:tcBorders>
          </w:tcPr>
          <w:p w14:paraId="0B68054B" w14:textId="77777777" w:rsidR="009C6940" w:rsidRPr="00626D32" w:rsidRDefault="009C6940" w:rsidP="009C6940">
            <w:pPr>
              <w:pStyle w:val="BoxSpaceBelow"/>
            </w:pPr>
          </w:p>
        </w:tc>
      </w:tr>
    </w:tbl>
    <w:p w14:paraId="7BB8094C" w14:textId="77777777" w:rsidR="009C6940" w:rsidRDefault="009C6940" w:rsidP="009C6940">
      <w:pPr>
        <w:pStyle w:val="BodyText"/>
      </w:pPr>
    </w:p>
    <w:p w14:paraId="5E49AF54" w14:textId="77777777" w:rsidR="009C6940" w:rsidRPr="00A511FF" w:rsidRDefault="009C6940" w:rsidP="009C6940">
      <w:pPr>
        <w:pStyle w:val="Heading2"/>
      </w:pPr>
      <w:r>
        <w:lastRenderedPageBreak/>
        <w:t>K.</w:t>
      </w:r>
      <w:r>
        <w:rPr>
          <w:noProof/>
        </w:rPr>
        <w:t>11</w:t>
      </w:r>
      <w:r>
        <w:tab/>
        <w:t>Suicide prevention</w:t>
      </w:r>
    </w:p>
    <w:p w14:paraId="4BD81A22" w14:textId="77777777" w:rsidR="009C6940" w:rsidRDefault="009C6940" w:rsidP="009C69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C6940" w14:paraId="06A4A206" w14:textId="77777777" w:rsidTr="009C6940">
        <w:trPr>
          <w:tblHeader/>
        </w:trPr>
        <w:tc>
          <w:tcPr>
            <w:tcW w:w="5000" w:type="pct"/>
            <w:tcBorders>
              <w:top w:val="single" w:sz="6" w:space="0" w:color="78A22F"/>
              <w:left w:val="nil"/>
              <w:bottom w:val="nil"/>
              <w:right w:val="nil"/>
            </w:tcBorders>
            <w:shd w:val="clear" w:color="auto" w:fill="F2F2F2"/>
          </w:tcPr>
          <w:p w14:paraId="3C6F646A" w14:textId="77777777" w:rsidR="009C6940" w:rsidRPr="002339F0" w:rsidRDefault="009C6940" w:rsidP="009C6940">
            <w:pPr>
              <w:pStyle w:val="BoxHeading1"/>
              <w:tabs>
                <w:tab w:val="left" w:pos="1144"/>
              </w:tabs>
              <w:rPr>
                <w:sz w:val="24"/>
                <w:szCs w:val="24"/>
              </w:rPr>
            </w:pPr>
            <w:r>
              <w:rPr>
                <w:sz w:val="24"/>
                <w:szCs w:val="24"/>
              </w:rPr>
              <w:t>Action</w:t>
            </w:r>
            <w:r>
              <w:rPr>
                <w:sz w:val="24"/>
                <w:szCs w:val="24"/>
              </w:rPr>
              <w:tab/>
            </w:r>
            <w:r w:rsidRPr="002339F0">
              <w:rPr>
                <w:sz w:val="24"/>
                <w:szCs w:val="24"/>
              </w:rPr>
              <w:t xml:space="preserve"> Universal aftercare after suicide attempts</w:t>
            </w:r>
          </w:p>
          <w:p w14:paraId="186C1D16" w14:textId="77777777" w:rsidR="009C6940" w:rsidRPr="000C6859" w:rsidRDefault="009C6940" w:rsidP="009C6940">
            <w:pPr>
              <w:pStyle w:val="Box"/>
            </w:pPr>
            <w:r>
              <w:t xml:space="preserve">The provision of aftercare following a suicide attempt is likely to reduce subsequent suicide attempts and result in lower rate of suicide across the population. People that have attempted suicide should be provided with, or referred to, aftercare services. They should be provided with </w:t>
            </w:r>
            <w:r w:rsidRPr="00475791">
              <w:t>culturally</w:t>
            </w:r>
            <w:r>
              <w:t>-</w:t>
            </w:r>
            <w:r w:rsidRPr="00475791">
              <w:t>informed support prior to discharge or leaving the service, as well as proactive follow up support within the first day, week</w:t>
            </w:r>
            <w:r>
              <w:t>,</w:t>
            </w:r>
            <w:r w:rsidRPr="00475791">
              <w:t xml:space="preserve"> and three months </w:t>
            </w:r>
            <w:r>
              <w:t>after</w:t>
            </w:r>
            <w:r w:rsidRPr="00475791">
              <w:t xml:space="preserve"> discharge, when the individual is most vulnerable.</w:t>
            </w:r>
          </w:p>
        </w:tc>
      </w:tr>
      <w:tr w:rsidR="009C6940" w14:paraId="01907B3E" w14:textId="77777777" w:rsidTr="009C6940">
        <w:tc>
          <w:tcPr>
            <w:tcW w:w="5000" w:type="pct"/>
            <w:tcBorders>
              <w:top w:val="nil"/>
              <w:left w:val="nil"/>
              <w:bottom w:val="nil"/>
              <w:right w:val="nil"/>
            </w:tcBorders>
            <w:shd w:val="clear" w:color="auto" w:fill="F2F2F2"/>
          </w:tcPr>
          <w:p w14:paraId="74E8692A" w14:textId="77777777" w:rsidR="009C6940" w:rsidRDefault="009C6940" w:rsidP="009C6940">
            <w:pPr>
              <w:pStyle w:val="BoxHeading1"/>
              <w:spacing w:before="120"/>
            </w:pPr>
            <w:r>
              <w:t>Population</w:t>
            </w:r>
          </w:p>
          <w:p w14:paraId="131757D0" w14:textId="77777777" w:rsidR="009C6940" w:rsidRPr="00EC0A97" w:rsidRDefault="009C6940" w:rsidP="009C6940">
            <w:pPr>
              <w:pStyle w:val="Box"/>
            </w:pPr>
            <w:r w:rsidRPr="00740AF0">
              <w:t xml:space="preserve">There were </w:t>
            </w:r>
            <w:r>
              <w:t>3046 deaths due to suicide in 2018, where 2380 were people aged 20</w:t>
            </w:r>
            <w:r>
              <w:noBreakHyphen/>
              <w:t xml:space="preserve">64 years </w:t>
            </w:r>
            <w:r w:rsidRPr="00D80781">
              <w:rPr>
                <w:rFonts w:cs="Arial"/>
                <w:szCs w:val="24"/>
              </w:rPr>
              <w:t>(ABS 2019d)</w:t>
            </w:r>
            <w:r w:rsidRPr="00F20F17">
              <w:t xml:space="preserve"> and </w:t>
            </w:r>
            <w:r>
              <w:t>there were 31 083 </w:t>
            </w:r>
            <w:r w:rsidRPr="00F20F17">
              <w:t>hospitalisations due t</w:t>
            </w:r>
            <w:r>
              <w:t>o self</w:t>
            </w:r>
            <w:r>
              <w:noBreakHyphen/>
            </w:r>
            <w:r w:rsidRPr="00F20F17">
              <w:t>harm in 2</w:t>
            </w:r>
            <w:r>
              <w:t>017</w:t>
            </w:r>
            <w:r>
              <w:noBreakHyphen/>
              <w:t xml:space="preserve">18 </w:t>
            </w:r>
            <w:r w:rsidRPr="00D80781">
              <w:rPr>
                <w:rFonts w:cs="Arial"/>
                <w:szCs w:val="24"/>
              </w:rPr>
              <w:t>(AIHW 2019a)</w:t>
            </w:r>
            <w:r>
              <w:t>.</w:t>
            </w:r>
          </w:p>
        </w:tc>
      </w:tr>
      <w:tr w:rsidR="009C6940" w14:paraId="2A68A8E1" w14:textId="77777777" w:rsidTr="009C6940">
        <w:tc>
          <w:tcPr>
            <w:tcW w:w="5000" w:type="pct"/>
            <w:tcBorders>
              <w:top w:val="nil"/>
              <w:left w:val="nil"/>
              <w:bottom w:val="nil"/>
              <w:right w:val="nil"/>
            </w:tcBorders>
            <w:shd w:val="clear" w:color="auto" w:fill="F2F2F2"/>
          </w:tcPr>
          <w:p w14:paraId="1ED4A13D" w14:textId="77777777" w:rsidR="009C6940" w:rsidRDefault="009C6940" w:rsidP="009C6940">
            <w:pPr>
              <w:pStyle w:val="BoxHeading1"/>
              <w:spacing w:before="120"/>
            </w:pPr>
            <w:r>
              <w:t>Effect</w:t>
            </w:r>
          </w:p>
          <w:p w14:paraId="5E3A5EFA" w14:textId="77777777" w:rsidR="009C6940" w:rsidRDefault="009C6940" w:rsidP="009C6940">
            <w:pPr>
              <w:pStyle w:val="Box"/>
            </w:pPr>
            <w:r>
              <w:t xml:space="preserve">Kinchin and Doran </w:t>
            </w:r>
            <w:r w:rsidRPr="00D80781">
              <w:rPr>
                <w:rFonts w:cs="Arial"/>
              </w:rPr>
              <w:t>(2017)</w:t>
            </w:r>
            <w:r w:rsidRPr="00740AF0">
              <w:t xml:space="preserve"> estimate that </w:t>
            </w:r>
            <w:r>
              <w:t>0.6</w:t>
            </w:r>
            <w:r w:rsidRPr="00740AF0">
              <w:t xml:space="preserve">% of suicide attempts result in full incapacity, and </w:t>
            </w:r>
            <w:r>
              <w:t>99.4</w:t>
            </w:r>
            <w:r w:rsidRPr="00740AF0">
              <w:t>% lea</w:t>
            </w:r>
            <w:r>
              <w:t xml:space="preserve">d to a short absence from work. </w:t>
            </w:r>
            <w:r w:rsidRPr="00740AF0">
              <w:t>Aftercare can lead to a 19.8% reduction in subsequent suicide attempts and a 1.1% reduction in the suicide r</w:t>
            </w:r>
            <w:r>
              <w:t xml:space="preserve">ate </w:t>
            </w:r>
            <w:r w:rsidRPr="00D80781">
              <w:rPr>
                <w:rFonts w:cs="Arial"/>
                <w:szCs w:val="24"/>
              </w:rPr>
              <w:t>(Krysinska et al. 2016)</w:t>
            </w:r>
            <w:r>
              <w:t xml:space="preserve">. </w:t>
            </w:r>
          </w:p>
          <w:p w14:paraId="005A7C8C" w14:textId="77777777" w:rsidR="009C6940" w:rsidRPr="000C6859" w:rsidRDefault="009C6940" w:rsidP="009C6940">
            <w:pPr>
              <w:pStyle w:val="Box"/>
            </w:pPr>
            <w:r>
              <w:t xml:space="preserve">These effectiveness rates for aftercare suggests that about 33 deaths by suicide could be prevented </w:t>
            </w:r>
            <w:r w:rsidRPr="002734F9">
              <w:t xml:space="preserve">by providing those that attempted </w:t>
            </w:r>
            <w:r>
              <w:t>suicide with aftercare services. About 6150 suicide attempts are likely to be prevented including about 37 that would have resulted in permanent incapacity. It is estimated that the annual benefits are an increase in labour force income by about</w:t>
            </w:r>
            <w:r w:rsidRPr="00710CD5">
              <w:t xml:space="preserve"> </w:t>
            </w:r>
            <w:r>
              <w:t xml:space="preserve">$3.2 million and about </w:t>
            </w:r>
            <w:r w:rsidRPr="00FE76E6">
              <w:t>50</w:t>
            </w:r>
            <w:r>
              <w:t> additional QALYs.</w:t>
            </w:r>
          </w:p>
        </w:tc>
      </w:tr>
      <w:tr w:rsidR="009C6940" w14:paraId="19C4E05B" w14:textId="77777777" w:rsidTr="009C6940">
        <w:tc>
          <w:tcPr>
            <w:tcW w:w="5000" w:type="pct"/>
            <w:tcBorders>
              <w:top w:val="nil"/>
              <w:left w:val="nil"/>
              <w:bottom w:val="nil"/>
              <w:right w:val="nil"/>
            </w:tcBorders>
            <w:shd w:val="clear" w:color="auto" w:fill="F2F2F2"/>
          </w:tcPr>
          <w:p w14:paraId="0C23850D" w14:textId="77777777" w:rsidR="009C6940" w:rsidRDefault="009C6940" w:rsidP="009C6940">
            <w:pPr>
              <w:pStyle w:val="BoxHeading1"/>
              <w:spacing w:before="120"/>
            </w:pPr>
            <w:r>
              <w:t>Costs</w:t>
            </w:r>
          </w:p>
          <w:p w14:paraId="49B40642" w14:textId="77777777" w:rsidR="009C6940" w:rsidRPr="009C660E" w:rsidRDefault="009C6940" w:rsidP="009C6940">
            <w:pPr>
              <w:pStyle w:val="Box"/>
            </w:pPr>
            <w:r>
              <w:t>Direct costs incurred involve increases in expenditure associated with the provision of universal aftercare for people who have been hospitalised due to intentional self</w:t>
            </w:r>
            <w:r>
              <w:noBreakHyphen/>
              <w:t xml:space="preserve">harm. Estimates of aftercare costs range from between $2000 to $6000 per person, with </w:t>
            </w:r>
            <w:r w:rsidRPr="00D35D3D">
              <w:t>KPMG and Mental Health Australia</w:t>
            </w:r>
            <w:r>
              <w:t> </w:t>
            </w:r>
            <w:r w:rsidRPr="00D80781">
              <w:rPr>
                <w:rFonts w:cs="Arial"/>
                <w:szCs w:val="24"/>
              </w:rPr>
              <w:t>(2018, p. 50)</w:t>
            </w:r>
            <w:r w:rsidRPr="00D35D3D">
              <w:t xml:space="preserve"> sug</w:t>
            </w:r>
            <w:r>
              <w:t>gesting a cost of $4000 per person.</w:t>
            </w:r>
          </w:p>
          <w:p w14:paraId="1A60F735" w14:textId="77777777" w:rsidR="009C6940" w:rsidRDefault="009C6940" w:rsidP="009C6940">
            <w:pPr>
              <w:pStyle w:val="Box"/>
            </w:pPr>
            <w:r>
              <w:t>Using these estimates as lower and upper bounds, the cost of providing aftercare to all people hospitalised due to intentional self</w:t>
            </w:r>
            <w:r>
              <w:noBreakHyphen/>
              <w:t>harm is between $63</w:t>
            </w:r>
            <w:r>
              <w:noBreakHyphen/>
              <w:t>194 million.</w:t>
            </w:r>
          </w:p>
          <w:p w14:paraId="14F86EF1" w14:textId="77777777" w:rsidR="009C6940" w:rsidRPr="000C6859" w:rsidRDefault="009C6940" w:rsidP="009C6940">
            <w:pPr>
              <w:pStyle w:val="Box"/>
            </w:pPr>
            <w:r>
              <w:t>There are expected to be c</w:t>
            </w:r>
            <w:r w:rsidRPr="00740AF0">
              <w:t xml:space="preserve">ost savings from a reduction in medical, administrative, and other costs from suicide attempts </w:t>
            </w:r>
            <w:r w:rsidRPr="00D80781">
              <w:rPr>
                <w:rFonts w:cs="Arial"/>
                <w:szCs w:val="24"/>
              </w:rPr>
              <w:t>(Kinchin and Doran 2017)</w:t>
            </w:r>
            <w:r>
              <w:t>, as well as indirect and intangible cost savings associated with suicide deaths (appendix H). Total cost savings are estimated to be about</w:t>
            </w:r>
            <w:r w:rsidRPr="00710CD5">
              <w:t xml:space="preserve"> </w:t>
            </w:r>
            <w:r>
              <w:t>$294 million dollars each year.</w:t>
            </w:r>
          </w:p>
        </w:tc>
      </w:tr>
      <w:tr w:rsidR="009C6940" w14:paraId="4C097B46" w14:textId="77777777" w:rsidTr="009C6940">
        <w:tc>
          <w:tcPr>
            <w:tcW w:w="5000" w:type="pct"/>
            <w:tcBorders>
              <w:top w:val="nil"/>
              <w:left w:val="nil"/>
              <w:bottom w:val="nil"/>
              <w:right w:val="nil"/>
            </w:tcBorders>
            <w:shd w:val="clear" w:color="auto" w:fill="F2F2F2"/>
          </w:tcPr>
          <w:p w14:paraId="30DFBD81" w14:textId="77777777" w:rsidR="009C6940" w:rsidRDefault="009C6940" w:rsidP="009C6940">
            <w:pPr>
              <w:pStyle w:val="BoxHeading1"/>
              <w:spacing w:before="120"/>
            </w:pPr>
            <w:r>
              <w:t>Additional considerations</w:t>
            </w:r>
          </w:p>
          <w:p w14:paraId="1275CB6B" w14:textId="77777777" w:rsidR="009C6940" w:rsidRPr="000C6859" w:rsidRDefault="009C6940" w:rsidP="009C6940">
            <w:pPr>
              <w:pStyle w:val="Box"/>
            </w:pPr>
            <w:r>
              <w:t>Intangible cost savings are based on the ‘value of a statistical life’ approach to costing suicide deaths (appendix H).</w:t>
            </w:r>
          </w:p>
        </w:tc>
      </w:tr>
      <w:tr w:rsidR="009C6940" w14:paraId="5F77B0DC" w14:textId="77777777" w:rsidTr="009C6940">
        <w:tc>
          <w:tcPr>
            <w:tcW w:w="5000" w:type="pct"/>
            <w:tcBorders>
              <w:top w:val="nil"/>
              <w:left w:val="nil"/>
              <w:bottom w:val="single" w:sz="6" w:space="0" w:color="78A22F"/>
              <w:right w:val="nil"/>
            </w:tcBorders>
            <w:shd w:val="clear" w:color="auto" w:fill="F2F2F2"/>
          </w:tcPr>
          <w:p w14:paraId="22CAF723" w14:textId="77777777" w:rsidR="009C6940" w:rsidRDefault="009C6940" w:rsidP="009C6940">
            <w:pPr>
              <w:pStyle w:val="Box"/>
              <w:spacing w:before="0" w:line="120" w:lineRule="exact"/>
            </w:pPr>
          </w:p>
        </w:tc>
      </w:tr>
      <w:tr w:rsidR="009C6940" w:rsidRPr="000863A5" w14:paraId="6DB1F9FD" w14:textId="77777777" w:rsidTr="009C6940">
        <w:tc>
          <w:tcPr>
            <w:tcW w:w="5000" w:type="pct"/>
            <w:tcBorders>
              <w:top w:val="single" w:sz="6" w:space="0" w:color="78A22F"/>
              <w:left w:val="nil"/>
              <w:bottom w:val="nil"/>
              <w:right w:val="nil"/>
            </w:tcBorders>
          </w:tcPr>
          <w:p w14:paraId="0DC8DC24" w14:textId="77777777" w:rsidR="009C6940" w:rsidRPr="00626D32" w:rsidRDefault="009C6940" w:rsidP="009C6940">
            <w:pPr>
              <w:pStyle w:val="BoxSpaceBelow"/>
            </w:pPr>
          </w:p>
        </w:tc>
      </w:tr>
    </w:tbl>
    <w:p w14:paraId="5FD03F7E" w14:textId="77777777" w:rsidR="009C6940" w:rsidRPr="00BD51B5" w:rsidRDefault="009C6940" w:rsidP="009C6940">
      <w:pPr>
        <w:rPr>
          <w:szCs w:val="20"/>
        </w:rPr>
      </w:pPr>
    </w:p>
    <w:p w14:paraId="5320A3DB" w14:textId="77777777" w:rsidR="009C6940" w:rsidRDefault="009C6940">
      <w:r>
        <w:br w:type="page"/>
      </w:r>
    </w:p>
    <w:p w14:paraId="263AF5A8" w14:textId="77777777" w:rsidR="009C6940" w:rsidRDefault="009C6940" w:rsidP="009C6940">
      <w:pPr>
        <w:pStyle w:val="Heading1"/>
      </w:pPr>
      <w:r>
        <w:lastRenderedPageBreak/>
        <w:t>References</w:t>
      </w:r>
    </w:p>
    <w:p w14:paraId="3EEEF37D" w14:textId="77777777" w:rsidR="009C6940" w:rsidRPr="001C5A49" w:rsidRDefault="009C6940" w:rsidP="009C6940">
      <w:pPr>
        <w:pStyle w:val="Reference"/>
        <w:spacing w:before="100" w:line="260" w:lineRule="atLeast"/>
        <w:rPr>
          <w:spacing w:val="-4"/>
          <w:sz w:val="20"/>
        </w:rPr>
      </w:pPr>
      <w:r w:rsidRPr="001C5A49">
        <w:rPr>
          <w:spacing w:val="-4"/>
          <w:sz w:val="20"/>
        </w:rPr>
        <w:t xml:space="preserve">ABS (Australian Bureau of Statistics) 2017, </w:t>
      </w:r>
      <w:r w:rsidRPr="001C5A49">
        <w:rPr>
          <w:i/>
          <w:iCs/>
          <w:spacing w:val="-4"/>
          <w:sz w:val="20"/>
        </w:rPr>
        <w:t>Census of Population and Housing 2016</w:t>
      </w:r>
      <w:r w:rsidRPr="001C5A49">
        <w:rPr>
          <w:spacing w:val="-4"/>
          <w:sz w:val="20"/>
        </w:rPr>
        <w:t>, Table Builder, July, Canberra.</w:t>
      </w:r>
    </w:p>
    <w:p w14:paraId="6FFFEADC"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2019a, </w:t>
      </w:r>
      <w:r w:rsidRPr="001C5A49">
        <w:rPr>
          <w:i/>
          <w:iCs/>
          <w:spacing w:val="-4"/>
          <w:sz w:val="20"/>
        </w:rPr>
        <w:t>Australian Demographic Statistics</w:t>
      </w:r>
      <w:r w:rsidRPr="001C5A49">
        <w:rPr>
          <w:spacing w:val="-4"/>
          <w:sz w:val="20"/>
        </w:rPr>
        <w:t>, September, Cat. no. 3101.0, Canberra.</w:t>
      </w:r>
    </w:p>
    <w:p w14:paraId="47E1DBB4"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2019b, </w:t>
      </w:r>
      <w:r w:rsidRPr="001C5A49">
        <w:rPr>
          <w:i/>
          <w:iCs/>
          <w:spacing w:val="-4"/>
          <w:sz w:val="20"/>
        </w:rPr>
        <w:t>Australian Industry, 2017-18</w:t>
      </w:r>
      <w:r w:rsidRPr="001C5A49">
        <w:rPr>
          <w:spacing w:val="-4"/>
          <w:sz w:val="20"/>
        </w:rPr>
        <w:t>, 31 May, Cat. no. 8155.0, Canberra.</w:t>
      </w:r>
    </w:p>
    <w:p w14:paraId="3EB663E1"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2019c, </w:t>
      </w:r>
      <w:r w:rsidRPr="001C5A49">
        <w:rPr>
          <w:i/>
          <w:iCs/>
          <w:spacing w:val="-4"/>
          <w:sz w:val="20"/>
        </w:rPr>
        <w:t>Births, Australia, 2018</w:t>
      </w:r>
      <w:r w:rsidRPr="001C5A49">
        <w:rPr>
          <w:spacing w:val="-4"/>
          <w:sz w:val="20"/>
        </w:rPr>
        <w:t>, December, Cat. no. 3101.0, Canberra.</w:t>
      </w:r>
    </w:p>
    <w:p w14:paraId="76228042"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2019d, </w:t>
      </w:r>
      <w:r w:rsidRPr="001C5A49">
        <w:rPr>
          <w:i/>
          <w:iCs/>
          <w:spacing w:val="-4"/>
          <w:sz w:val="20"/>
        </w:rPr>
        <w:t>Causes of Death Australia 2018</w:t>
      </w:r>
      <w:r w:rsidRPr="001C5A49">
        <w:rPr>
          <w:spacing w:val="-4"/>
          <w:sz w:val="20"/>
        </w:rPr>
        <w:t>, Cat. no. 3303.0, Canberra.</w:t>
      </w:r>
    </w:p>
    <w:p w14:paraId="249F55CB"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2019e, </w:t>
      </w:r>
      <w:r w:rsidRPr="001C5A49">
        <w:rPr>
          <w:i/>
          <w:iCs/>
          <w:spacing w:val="-4"/>
          <w:sz w:val="20"/>
        </w:rPr>
        <w:t>Education and Work, May 2019</w:t>
      </w:r>
      <w:r w:rsidRPr="001C5A49">
        <w:rPr>
          <w:spacing w:val="-4"/>
          <w:sz w:val="20"/>
        </w:rPr>
        <w:t>, November, Cat no. 6227.0, Canberra.</w:t>
      </w:r>
    </w:p>
    <w:p w14:paraId="0FAB234B"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2019f, </w:t>
      </w:r>
      <w:r w:rsidRPr="001C5A49">
        <w:rPr>
          <w:i/>
          <w:iCs/>
          <w:spacing w:val="-4"/>
          <w:sz w:val="20"/>
        </w:rPr>
        <w:t>Employee Earnings and Hours, May 2018</w:t>
      </w:r>
      <w:r w:rsidRPr="001C5A49">
        <w:rPr>
          <w:spacing w:val="-4"/>
          <w:sz w:val="20"/>
        </w:rPr>
        <w:t>, January, Cat. no. 6306.0, Canberra.</w:t>
      </w:r>
    </w:p>
    <w:p w14:paraId="33759FDB"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2019g, </w:t>
      </w:r>
      <w:r w:rsidRPr="001C5A49">
        <w:rPr>
          <w:i/>
          <w:iCs/>
          <w:spacing w:val="-4"/>
          <w:sz w:val="20"/>
        </w:rPr>
        <w:t>National Health Survey 2017-18 TableBuilder</w:t>
      </w:r>
      <w:r w:rsidRPr="001C5A49">
        <w:rPr>
          <w:spacing w:val="-4"/>
          <w:sz w:val="20"/>
        </w:rPr>
        <w:t>, Cat. no. 4324.0.55.001, Canberra.</w:t>
      </w:r>
    </w:p>
    <w:p w14:paraId="42826375"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2020a, </w:t>
      </w:r>
      <w:r w:rsidRPr="001C5A49">
        <w:rPr>
          <w:i/>
          <w:iCs/>
          <w:spacing w:val="-4"/>
          <w:sz w:val="20"/>
        </w:rPr>
        <w:t>Microdata: Disability, Ageing and Carers, Australia, 2018</w:t>
      </w:r>
      <w:r w:rsidRPr="001C5A49">
        <w:rPr>
          <w:spacing w:val="-4"/>
          <w:sz w:val="20"/>
        </w:rPr>
        <w:t>, Cat. no. 4430.0.30.002.</w:t>
      </w:r>
    </w:p>
    <w:p w14:paraId="1F2E639C"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2020b, </w:t>
      </w:r>
      <w:r w:rsidRPr="001C5A49">
        <w:rPr>
          <w:i/>
          <w:iCs/>
          <w:spacing w:val="-4"/>
          <w:sz w:val="20"/>
        </w:rPr>
        <w:t>Schools Australia 2019</w:t>
      </w:r>
      <w:r w:rsidRPr="001C5A49">
        <w:rPr>
          <w:spacing w:val="-4"/>
          <w:sz w:val="20"/>
        </w:rPr>
        <w:t>, Cat. no. 4221.0, Canberra.</w:t>
      </w:r>
    </w:p>
    <w:p w14:paraId="51B024EC" w14:textId="77777777" w:rsidR="009C6940" w:rsidRPr="001C5A49" w:rsidRDefault="009C6940" w:rsidP="009C6940">
      <w:pPr>
        <w:pStyle w:val="Reference"/>
        <w:spacing w:before="100" w:line="260" w:lineRule="atLeast"/>
        <w:rPr>
          <w:spacing w:val="-4"/>
          <w:sz w:val="20"/>
        </w:rPr>
      </w:pPr>
      <w:r w:rsidRPr="001C5A49">
        <w:rPr>
          <w:spacing w:val="-4"/>
          <w:sz w:val="20"/>
        </w:rPr>
        <w:t xml:space="preserve">ACAT (ACT Civil and Administrative Tribunal) 2019, </w:t>
      </w:r>
      <w:r w:rsidRPr="001C5A49">
        <w:rPr>
          <w:i/>
          <w:iCs/>
          <w:spacing w:val="-4"/>
          <w:sz w:val="20"/>
        </w:rPr>
        <w:t>Annual Review 2018-19</w:t>
      </w:r>
      <w:r w:rsidRPr="001C5A49">
        <w:rPr>
          <w:spacing w:val="-4"/>
          <w:sz w:val="20"/>
        </w:rPr>
        <w:t>, Canberra.</w:t>
      </w:r>
    </w:p>
    <w:p w14:paraId="6D8555FC" w14:textId="77777777" w:rsidR="009C6940" w:rsidRPr="001C5A49" w:rsidRDefault="009C6940" w:rsidP="009C6940">
      <w:pPr>
        <w:pStyle w:val="Reference"/>
        <w:spacing w:before="100" w:line="260" w:lineRule="atLeast"/>
        <w:rPr>
          <w:spacing w:val="-4"/>
          <w:sz w:val="20"/>
        </w:rPr>
      </w:pPr>
      <w:r w:rsidRPr="001C5A49">
        <w:rPr>
          <w:spacing w:val="-4"/>
          <w:sz w:val="20"/>
        </w:rPr>
        <w:t xml:space="preserve">AIHW (Australian Institute of Health and Welfare) 2019a, </w:t>
      </w:r>
      <w:r w:rsidRPr="001C5A49">
        <w:rPr>
          <w:i/>
          <w:iCs/>
          <w:spacing w:val="-4"/>
          <w:sz w:val="20"/>
        </w:rPr>
        <w:t>Admitted Patient Care, 2017-18</w:t>
      </w:r>
      <w:r w:rsidRPr="001C5A49">
        <w:rPr>
          <w:spacing w:val="-4"/>
          <w:sz w:val="20"/>
        </w:rPr>
        <w:t>, Cat. no. HSS 225, Canberra.</w:t>
      </w:r>
    </w:p>
    <w:p w14:paraId="2F40A619"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2019b, </w:t>
      </w:r>
      <w:r w:rsidRPr="001C5A49">
        <w:rPr>
          <w:i/>
          <w:iCs/>
          <w:spacing w:val="-4"/>
          <w:sz w:val="20"/>
        </w:rPr>
        <w:t>Mental Health Services in Australia – Hospital Emergency Services</w:t>
      </w:r>
      <w:r w:rsidRPr="001C5A49">
        <w:rPr>
          <w:spacing w:val="-4"/>
          <w:sz w:val="20"/>
        </w:rPr>
        <w:t>, October.</w:t>
      </w:r>
    </w:p>
    <w:p w14:paraId="5E30E92B"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2019c, </w:t>
      </w:r>
      <w:r w:rsidRPr="001C5A49">
        <w:rPr>
          <w:i/>
          <w:iCs/>
          <w:spacing w:val="-4"/>
          <w:sz w:val="20"/>
        </w:rPr>
        <w:t>Mental Health Services in Australia – Specialist homelessness services</w:t>
      </w:r>
      <w:r w:rsidRPr="001C5A49">
        <w:rPr>
          <w:spacing w:val="-4"/>
          <w:sz w:val="20"/>
        </w:rPr>
        <w:t>.</w:t>
      </w:r>
    </w:p>
    <w:p w14:paraId="156DF988"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2019d, </w:t>
      </w:r>
      <w:r w:rsidRPr="001C5A49">
        <w:rPr>
          <w:i/>
          <w:iCs/>
          <w:spacing w:val="-4"/>
          <w:sz w:val="20"/>
        </w:rPr>
        <w:t>The Health of Australia’s Prisoners 2018</w:t>
      </w:r>
      <w:r w:rsidRPr="001C5A49">
        <w:rPr>
          <w:spacing w:val="-4"/>
          <w:sz w:val="20"/>
        </w:rPr>
        <w:t>, Cat. no. PHE 246, Canberra.</w:t>
      </w:r>
    </w:p>
    <w:p w14:paraId="370A80E4" w14:textId="77777777" w:rsidR="009C6940" w:rsidRPr="001C5A49" w:rsidRDefault="009C6940" w:rsidP="009C6940">
      <w:pPr>
        <w:pStyle w:val="Reference"/>
        <w:spacing w:before="100" w:line="260" w:lineRule="atLeast"/>
        <w:rPr>
          <w:spacing w:val="-4"/>
          <w:sz w:val="20"/>
        </w:rPr>
      </w:pPr>
      <w:r w:rsidRPr="001C5A49">
        <w:rPr>
          <w:spacing w:val="-4"/>
          <w:sz w:val="20"/>
        </w:rPr>
        <w:t>—— 2019e, Medicare-Subsidised GP, Allied Health and Specialist Health Care Across Local Areas: 2013–14 to 2017–18, Cat. no. PHE 254, Canberra.</w:t>
      </w:r>
    </w:p>
    <w:p w14:paraId="28FF844B"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2020a, </w:t>
      </w:r>
      <w:r w:rsidRPr="001C5A49">
        <w:rPr>
          <w:i/>
          <w:iCs/>
          <w:spacing w:val="-4"/>
          <w:sz w:val="20"/>
        </w:rPr>
        <w:t>Mental Health Services in Australia – Expenditure on Mental Health Services 2017-18 Tables</w:t>
      </w:r>
      <w:r w:rsidRPr="001C5A49">
        <w:rPr>
          <w:spacing w:val="-4"/>
          <w:sz w:val="20"/>
        </w:rPr>
        <w:t>, Canberra.</w:t>
      </w:r>
    </w:p>
    <w:p w14:paraId="6D830670"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2020b, </w:t>
      </w:r>
      <w:r w:rsidRPr="001C5A49">
        <w:rPr>
          <w:i/>
          <w:iCs/>
          <w:spacing w:val="-4"/>
          <w:sz w:val="20"/>
        </w:rPr>
        <w:t>Mental Health Services in Australia - Overnight Admitted Mental Health-Related Care 2017-18 Tables</w:t>
      </w:r>
      <w:r w:rsidRPr="001C5A49">
        <w:rPr>
          <w:spacing w:val="-4"/>
          <w:sz w:val="20"/>
        </w:rPr>
        <w:t>, Canberra.</w:t>
      </w:r>
    </w:p>
    <w:p w14:paraId="569AE4AE"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2020c, </w:t>
      </w:r>
      <w:r w:rsidRPr="001C5A49">
        <w:rPr>
          <w:i/>
          <w:iCs/>
          <w:spacing w:val="-4"/>
          <w:sz w:val="20"/>
        </w:rPr>
        <w:t>Mental Health Services in Australia - Specialised Mental Health Care Facilities 2017-18 Tables</w:t>
      </w:r>
      <w:r w:rsidRPr="001C5A49">
        <w:rPr>
          <w:spacing w:val="-4"/>
          <w:sz w:val="20"/>
        </w:rPr>
        <w:t>, Canberra.</w:t>
      </w:r>
    </w:p>
    <w:p w14:paraId="0F43D9EE" w14:textId="77777777" w:rsidR="009C6940" w:rsidRPr="001C5A49" w:rsidRDefault="009C6940" w:rsidP="009C6940">
      <w:pPr>
        <w:pStyle w:val="Reference"/>
        <w:spacing w:before="100" w:line="260" w:lineRule="atLeast"/>
        <w:rPr>
          <w:spacing w:val="-4"/>
          <w:sz w:val="20"/>
        </w:rPr>
      </w:pPr>
      <w:r w:rsidRPr="001C5A49">
        <w:rPr>
          <w:spacing w:val="-4"/>
          <w:sz w:val="20"/>
        </w:rPr>
        <w:t xml:space="preserve">AISC (Australian Industry and Skills Committee) 2020, </w:t>
      </w:r>
      <w:r w:rsidRPr="001C5A49">
        <w:rPr>
          <w:i/>
          <w:iCs/>
          <w:spacing w:val="-4"/>
          <w:sz w:val="20"/>
        </w:rPr>
        <w:t>VET Teacher Training</w:t>
      </w:r>
      <w:r w:rsidRPr="001C5A49">
        <w:rPr>
          <w:spacing w:val="-4"/>
          <w:sz w:val="20"/>
        </w:rPr>
        <w:t>, https://nationalindustryinsights.aisc.</w:t>
      </w:r>
      <w:r w:rsidRPr="001C5A49">
        <w:rPr>
          <w:spacing w:val="-4"/>
          <w:sz w:val="20"/>
        </w:rPr>
        <w:br/>
        <w:t>net.au/industries/education/vet-teacher-training (accessed 5 May 2020).</w:t>
      </w:r>
    </w:p>
    <w:p w14:paraId="390C3676" w14:textId="77777777" w:rsidR="009C6940" w:rsidRPr="001C5A49" w:rsidRDefault="009C6940" w:rsidP="009C6940">
      <w:pPr>
        <w:pStyle w:val="Reference"/>
        <w:spacing w:before="100" w:line="260" w:lineRule="atLeast"/>
        <w:rPr>
          <w:spacing w:val="-4"/>
          <w:sz w:val="20"/>
        </w:rPr>
      </w:pPr>
      <w:r w:rsidRPr="001C5A49">
        <w:rPr>
          <w:spacing w:val="-4"/>
          <w:sz w:val="20"/>
        </w:rPr>
        <w:t xml:space="preserve">Aldridge, R.W. 2015, ‘Homelessness and quality adjusted life years: slopes and cliffs in health inequalities a cross-sectional survey.’, </w:t>
      </w:r>
      <w:r w:rsidRPr="001C5A49">
        <w:rPr>
          <w:i/>
          <w:iCs/>
          <w:spacing w:val="-4"/>
          <w:sz w:val="20"/>
        </w:rPr>
        <w:t>International Journal of Epidemiology</w:t>
      </w:r>
      <w:r w:rsidRPr="001C5A49">
        <w:rPr>
          <w:spacing w:val="-4"/>
          <w:sz w:val="20"/>
        </w:rPr>
        <w:t>, vol. 44, suppl_1, pp. i80–i81.</w:t>
      </w:r>
    </w:p>
    <w:p w14:paraId="24920CC8" w14:textId="77777777" w:rsidR="009C6940" w:rsidRPr="001C5A49" w:rsidRDefault="009C6940" w:rsidP="009C6940">
      <w:pPr>
        <w:pStyle w:val="Reference"/>
        <w:spacing w:before="100" w:line="260" w:lineRule="atLeast"/>
        <w:rPr>
          <w:spacing w:val="-4"/>
          <w:sz w:val="20"/>
        </w:rPr>
      </w:pPr>
      <w:r w:rsidRPr="001C5A49">
        <w:rPr>
          <w:spacing w:val="-4"/>
          <w:sz w:val="20"/>
        </w:rPr>
        <w:t xml:space="preserve">Allen Consulting 2012, </w:t>
      </w:r>
      <w:r w:rsidRPr="001C5A49">
        <w:rPr>
          <w:i/>
          <w:iCs/>
          <w:spacing w:val="-4"/>
          <w:sz w:val="20"/>
        </w:rPr>
        <w:t>Police, Ambulance and Clinical Early Response (PACER) Evaluation</w:t>
      </w:r>
      <w:r w:rsidRPr="001C5A49">
        <w:rPr>
          <w:spacing w:val="-4"/>
          <w:sz w:val="20"/>
        </w:rPr>
        <w:t>, Final Report, Melbourne.</w:t>
      </w:r>
    </w:p>
    <w:p w14:paraId="12012C2D" w14:textId="77777777" w:rsidR="009C6940" w:rsidRPr="001C5A49" w:rsidRDefault="009C6940" w:rsidP="009C6940">
      <w:pPr>
        <w:pStyle w:val="Reference"/>
        <w:spacing w:before="100" w:line="260" w:lineRule="atLeast"/>
        <w:rPr>
          <w:spacing w:val="-4"/>
          <w:sz w:val="20"/>
        </w:rPr>
      </w:pPr>
      <w:r w:rsidRPr="001C5A49">
        <w:rPr>
          <w:spacing w:val="-4"/>
          <w:sz w:val="20"/>
        </w:rPr>
        <w:t xml:space="preserve">AMHOCN (Australian Mental Health Outcomes and Classification Network) 2019, </w:t>
      </w:r>
      <w:r w:rsidRPr="001C5A49">
        <w:rPr>
          <w:i/>
          <w:iCs/>
          <w:spacing w:val="-4"/>
          <w:sz w:val="20"/>
        </w:rPr>
        <w:t>NOCC Standard Reports</w:t>
      </w:r>
      <w:r w:rsidRPr="001C5A49">
        <w:rPr>
          <w:spacing w:val="-4"/>
          <w:sz w:val="20"/>
        </w:rPr>
        <w:t>, https://data.amhocn.org/reports/standard/ (accessed 7 August 2019).</w:t>
      </w:r>
    </w:p>
    <w:p w14:paraId="520873D1" w14:textId="77777777" w:rsidR="009C6940" w:rsidRPr="001C5A49" w:rsidRDefault="009C6940" w:rsidP="009C6940">
      <w:pPr>
        <w:pStyle w:val="Reference"/>
        <w:spacing w:before="100" w:line="260" w:lineRule="atLeast"/>
        <w:rPr>
          <w:spacing w:val="-4"/>
          <w:sz w:val="20"/>
        </w:rPr>
      </w:pPr>
      <w:r w:rsidRPr="001C5A49">
        <w:rPr>
          <w:spacing w:val="-4"/>
          <w:sz w:val="20"/>
        </w:rPr>
        <w:t xml:space="preserve">Anderson, R., Wong, N., Newby, J.M. and Andrews, G. 2016, ‘The non-medical out-of-pocket costs to attend a free anxiety disorders treatment clinic in Australia’, </w:t>
      </w:r>
      <w:r w:rsidRPr="001C5A49">
        <w:rPr>
          <w:i/>
          <w:iCs/>
          <w:spacing w:val="-4"/>
          <w:sz w:val="20"/>
        </w:rPr>
        <w:t>Australasian Psychiatry</w:t>
      </w:r>
      <w:r w:rsidRPr="001C5A49">
        <w:rPr>
          <w:spacing w:val="-4"/>
          <w:sz w:val="20"/>
        </w:rPr>
        <w:t>, vol. 24, no. 3, pp. 261–263.</w:t>
      </w:r>
    </w:p>
    <w:p w14:paraId="294FFEFB" w14:textId="77777777" w:rsidR="009C6940" w:rsidRPr="001C5A49" w:rsidRDefault="009C6940" w:rsidP="009C6940">
      <w:pPr>
        <w:pStyle w:val="Reference"/>
        <w:spacing w:before="100" w:line="260" w:lineRule="atLeast"/>
        <w:rPr>
          <w:spacing w:val="-4"/>
          <w:sz w:val="20"/>
        </w:rPr>
      </w:pPr>
      <w:r w:rsidRPr="001C5A49">
        <w:rPr>
          <w:spacing w:val="-4"/>
          <w:sz w:val="20"/>
        </w:rPr>
        <w:lastRenderedPageBreak/>
        <w:t xml:space="preserve">Andrews, G., Basu, A., Cuijpers, P., Craske, M., McEvoy, P., English, C. and Newby, J. 2018, ‘Computer therapy for the anxiety and depression disorder is effective, acceptable and practical health care: An updated meta-analysis’, </w:t>
      </w:r>
      <w:r w:rsidRPr="001C5A49">
        <w:rPr>
          <w:i/>
          <w:iCs/>
          <w:spacing w:val="-4"/>
          <w:sz w:val="20"/>
        </w:rPr>
        <w:t>Journal of Anxiety Disorders</w:t>
      </w:r>
      <w:r w:rsidRPr="001C5A49">
        <w:rPr>
          <w:spacing w:val="-4"/>
          <w:sz w:val="20"/>
        </w:rPr>
        <w:t>, vol. 55, pp. 70–78.</w:t>
      </w:r>
    </w:p>
    <w:p w14:paraId="7CF5A5CB" w14:textId="77777777" w:rsidR="009C6940" w:rsidRPr="001C5A49" w:rsidRDefault="009C6940" w:rsidP="009C6940">
      <w:pPr>
        <w:pStyle w:val="Reference"/>
        <w:spacing w:before="100" w:line="260" w:lineRule="atLeast"/>
        <w:rPr>
          <w:spacing w:val="-4"/>
          <w:sz w:val="20"/>
        </w:rPr>
      </w:pPr>
      <w:r w:rsidRPr="001C5A49">
        <w:rPr>
          <w:spacing w:val="-4"/>
          <w:sz w:val="20"/>
        </w:rPr>
        <w:t xml:space="preserve">Bailey, T.S., Dollard, M.F. and Richards, P.A.M. 2015, ‘A national standard for psychosocial safety climate (PSC): PSC 41 as the benchmark for low risk of job strain and depressive symptoms’, </w:t>
      </w:r>
      <w:r w:rsidRPr="001C5A49">
        <w:rPr>
          <w:i/>
          <w:iCs/>
          <w:spacing w:val="-4"/>
          <w:sz w:val="20"/>
        </w:rPr>
        <w:t>Journal of Occupational Health Psychology</w:t>
      </w:r>
      <w:r w:rsidRPr="001C5A49">
        <w:rPr>
          <w:spacing w:val="-4"/>
          <w:sz w:val="20"/>
        </w:rPr>
        <w:t>, vol. 20, no. 1, pp. 15–26.</w:t>
      </w:r>
    </w:p>
    <w:p w14:paraId="76E648F1" w14:textId="77777777" w:rsidR="009C6940" w:rsidRPr="001C5A49" w:rsidRDefault="009C6940" w:rsidP="009C6940">
      <w:pPr>
        <w:pStyle w:val="Reference"/>
        <w:spacing w:before="100" w:line="260" w:lineRule="atLeast"/>
        <w:rPr>
          <w:spacing w:val="-4"/>
          <w:sz w:val="20"/>
        </w:rPr>
      </w:pPr>
      <w:r w:rsidRPr="001C5A49">
        <w:rPr>
          <w:spacing w:val="-4"/>
          <w:sz w:val="20"/>
        </w:rPr>
        <w:t xml:space="preserve">Barwon Health 2019, </w:t>
      </w:r>
      <w:r w:rsidRPr="001C5A49">
        <w:rPr>
          <w:i/>
          <w:iCs/>
          <w:spacing w:val="-4"/>
          <w:sz w:val="20"/>
        </w:rPr>
        <w:t>Innovative mental health trial extended</w:t>
      </w:r>
      <w:r w:rsidRPr="001C5A49">
        <w:rPr>
          <w:spacing w:val="-4"/>
          <w:sz w:val="20"/>
        </w:rPr>
        <w:t>, https://www.barwonhealth.org.au/news/item/</w:t>
      </w:r>
      <w:r w:rsidRPr="001C5A49">
        <w:rPr>
          <w:spacing w:val="-4"/>
          <w:sz w:val="20"/>
        </w:rPr>
        <w:br/>
        <w:t>prompt-trial-extension (accessed 27 February 2020).</w:t>
      </w:r>
    </w:p>
    <w:p w14:paraId="7B892A7A" w14:textId="77777777" w:rsidR="009C6940" w:rsidRPr="001C5A49" w:rsidRDefault="009C6940" w:rsidP="009C6940">
      <w:pPr>
        <w:pStyle w:val="Reference"/>
        <w:spacing w:before="100" w:line="260" w:lineRule="atLeast"/>
        <w:rPr>
          <w:spacing w:val="-4"/>
          <w:sz w:val="20"/>
        </w:rPr>
      </w:pPr>
      <w:r w:rsidRPr="001C5A49">
        <w:rPr>
          <w:spacing w:val="-4"/>
          <w:sz w:val="20"/>
        </w:rPr>
        <w:t xml:space="preserve">Berryhill, M.B., Culmer, N., Williams, N., Halli-Tierney, A., Betancourt, A., Roberts, H. and King, M. 2019, ‘Videoconferencing psychotherapy and depression: a systematic review’, </w:t>
      </w:r>
      <w:r w:rsidRPr="001C5A49">
        <w:rPr>
          <w:i/>
          <w:iCs/>
          <w:spacing w:val="-4"/>
          <w:sz w:val="20"/>
        </w:rPr>
        <w:t>Telemedicine Journal and E-Health</w:t>
      </w:r>
      <w:r w:rsidRPr="001C5A49">
        <w:rPr>
          <w:spacing w:val="-4"/>
          <w:sz w:val="20"/>
        </w:rPr>
        <w:t>, vol. 25, no. 6, pp. 435–446.</w:t>
      </w:r>
    </w:p>
    <w:p w14:paraId="582F7DEF" w14:textId="77777777" w:rsidR="009C6940" w:rsidRPr="001C5A49" w:rsidRDefault="009C6940" w:rsidP="009C6940">
      <w:pPr>
        <w:pStyle w:val="Reference"/>
        <w:spacing w:before="100" w:line="260" w:lineRule="atLeast"/>
        <w:rPr>
          <w:spacing w:val="-4"/>
          <w:sz w:val="20"/>
        </w:rPr>
      </w:pPr>
      <w:r w:rsidRPr="001C5A49">
        <w:rPr>
          <w:spacing w:val="-4"/>
          <w:sz w:val="20"/>
        </w:rPr>
        <w:t xml:space="preserve">Bird, V., Premkumar, P., Kendall, T., Whittington, C., Mitchell, J. and Kuipers, E. 2010, ‘Early intervention services, cognitive-behavioural therapy and family intervention in early psychosis: systematic review’, </w:t>
      </w:r>
      <w:r w:rsidRPr="001C5A49">
        <w:rPr>
          <w:i/>
          <w:iCs/>
          <w:spacing w:val="-4"/>
          <w:sz w:val="20"/>
        </w:rPr>
        <w:t>The British Journal of Psychiatry: The Journal of Mental Science</w:t>
      </w:r>
      <w:r w:rsidRPr="001C5A49">
        <w:rPr>
          <w:spacing w:val="-4"/>
          <w:sz w:val="20"/>
        </w:rPr>
        <w:t>, vol. 197, no. 5, pp. 350–356.</w:t>
      </w:r>
    </w:p>
    <w:p w14:paraId="30FF1E28" w14:textId="77777777" w:rsidR="009C6940" w:rsidRPr="001C5A49" w:rsidRDefault="009C6940" w:rsidP="009C6940">
      <w:pPr>
        <w:pStyle w:val="Reference"/>
        <w:spacing w:before="100" w:line="260" w:lineRule="atLeast"/>
        <w:rPr>
          <w:spacing w:val="-4"/>
          <w:sz w:val="20"/>
        </w:rPr>
      </w:pPr>
      <w:r w:rsidRPr="001C5A49">
        <w:rPr>
          <w:spacing w:val="-4"/>
          <w:sz w:val="20"/>
        </w:rPr>
        <w:t xml:space="preserve">Blythe, R., Lee, X. and Kularatna, S. 2019, </w:t>
      </w:r>
      <w:r w:rsidRPr="001C5A49">
        <w:rPr>
          <w:i/>
          <w:iCs/>
          <w:spacing w:val="-4"/>
          <w:sz w:val="20"/>
        </w:rPr>
        <w:t>HealthPathways: An Economic Analysis of the Impact of Primary Care Pathways in Mackay Queensland</w:t>
      </w:r>
      <w:r w:rsidRPr="001C5A49">
        <w:rPr>
          <w:spacing w:val="-4"/>
          <w:sz w:val="20"/>
        </w:rPr>
        <w:t>, Australian Centre for Health Services Innovation, Queensland University of Technology, Brisbane.</w:t>
      </w:r>
    </w:p>
    <w:p w14:paraId="4634A053" w14:textId="77777777" w:rsidR="009C6940" w:rsidRPr="001C5A49" w:rsidRDefault="009C6940" w:rsidP="009C6940">
      <w:pPr>
        <w:pStyle w:val="Reference"/>
        <w:spacing w:before="100" w:line="260" w:lineRule="atLeast"/>
        <w:rPr>
          <w:spacing w:val="-4"/>
          <w:sz w:val="20"/>
        </w:rPr>
      </w:pPr>
      <w:r w:rsidRPr="001C5A49">
        <w:rPr>
          <w:spacing w:val="-4"/>
          <w:sz w:val="20"/>
        </w:rPr>
        <w:t xml:space="preserve">Bratbo, J. and Vedelsby, A.K. 2017, ‘ONE OF US: The National Campaign for Anti-Stigma in Denmark’, in Gaebel, W., Rössler, W., Sartorius, N., Gaebel, W., Rössler, W. and Sartorius, N. (eds), </w:t>
      </w:r>
      <w:r w:rsidRPr="001C5A49">
        <w:rPr>
          <w:i/>
          <w:iCs/>
          <w:spacing w:val="-4"/>
          <w:sz w:val="20"/>
        </w:rPr>
        <w:t>The Stigma of Mental Illness - End of the Story?</w:t>
      </w:r>
      <w:r w:rsidRPr="001C5A49">
        <w:rPr>
          <w:spacing w:val="-4"/>
          <w:sz w:val="20"/>
        </w:rPr>
        <w:t>, pp. 317–338.</w:t>
      </w:r>
    </w:p>
    <w:p w14:paraId="6BF7680A" w14:textId="77777777" w:rsidR="009C6940" w:rsidRPr="001C5A49" w:rsidRDefault="009C6940" w:rsidP="009C6940">
      <w:pPr>
        <w:pStyle w:val="Reference"/>
        <w:spacing w:before="100" w:line="260" w:lineRule="atLeast"/>
        <w:rPr>
          <w:spacing w:val="-4"/>
          <w:sz w:val="20"/>
        </w:rPr>
      </w:pPr>
      <w:r w:rsidRPr="001C5A49">
        <w:rPr>
          <w:spacing w:val="-4"/>
          <w:sz w:val="20"/>
        </w:rPr>
        <w:t xml:space="preserve">Bruce, J., McDermott, S., Ramia, I., Bullen, J. and Fisher, K. 2012, </w:t>
      </w:r>
      <w:r w:rsidRPr="001C5A49">
        <w:rPr>
          <w:i/>
          <w:iCs/>
          <w:spacing w:val="-4"/>
          <w:sz w:val="20"/>
        </w:rPr>
        <w:t>Evaluation of the Housing and Accommodation Support Initiative (HASI) Final Report</w:t>
      </w:r>
      <w:r w:rsidRPr="001C5A49">
        <w:rPr>
          <w:spacing w:val="-4"/>
          <w:sz w:val="20"/>
        </w:rPr>
        <w:t>, for NSW Health and Housing NSW, Social Policy Research Centre Report, Sydney.</w:t>
      </w:r>
    </w:p>
    <w:p w14:paraId="0D5F4A50" w14:textId="77777777" w:rsidR="009C6940" w:rsidRPr="001C5A49" w:rsidRDefault="009C6940" w:rsidP="009C6940">
      <w:pPr>
        <w:pStyle w:val="Reference"/>
        <w:spacing w:before="100" w:line="260" w:lineRule="atLeast"/>
        <w:rPr>
          <w:spacing w:val="-4"/>
          <w:sz w:val="20"/>
        </w:rPr>
      </w:pPr>
      <w:r w:rsidRPr="001C5A49">
        <w:rPr>
          <w:spacing w:val="-4"/>
          <w:sz w:val="20"/>
        </w:rPr>
        <w:t xml:space="preserve">Burlingame, G.M., Janis, R.A., Seebeck, J.D. and Whitcomb, K.E. 2016, ‘Outcome differences between individual and group formats when identical and non-identical treatments, patients, and doses are compared: a 25-year meta-analytic perspective’, </w:t>
      </w:r>
      <w:r w:rsidRPr="001C5A49">
        <w:rPr>
          <w:i/>
          <w:iCs/>
          <w:spacing w:val="-4"/>
          <w:sz w:val="20"/>
        </w:rPr>
        <w:t>Psychotherapy</w:t>
      </w:r>
      <w:r w:rsidRPr="001C5A49">
        <w:rPr>
          <w:spacing w:val="-4"/>
          <w:sz w:val="20"/>
        </w:rPr>
        <w:t>, vol. 53, no. 4, pp. 446–461.</w:t>
      </w:r>
    </w:p>
    <w:p w14:paraId="1BB28A26" w14:textId="77777777" w:rsidR="009C6940" w:rsidRPr="001C5A49" w:rsidRDefault="009C6940" w:rsidP="009C6940">
      <w:pPr>
        <w:pStyle w:val="Reference"/>
        <w:spacing w:before="100" w:line="260" w:lineRule="atLeast"/>
        <w:rPr>
          <w:spacing w:val="-4"/>
          <w:sz w:val="20"/>
        </w:rPr>
      </w:pPr>
      <w:r w:rsidRPr="001C5A49">
        <w:rPr>
          <w:spacing w:val="-4"/>
          <w:sz w:val="20"/>
        </w:rPr>
        <w:t xml:space="preserve">Burns, T., Catty, J., Becker, T., Drake, R.E., Fioritti, A., Knapp, M., Lauber, C., Rossler, W., Tomov, T., van Busschbach, J., White, S. and Wiersma, D. 2007, ‘The effectiveness of supported employment for people with severe mental illness: A randomised controlled trial’, </w:t>
      </w:r>
      <w:r w:rsidRPr="001C5A49">
        <w:rPr>
          <w:i/>
          <w:iCs/>
          <w:spacing w:val="-4"/>
          <w:sz w:val="20"/>
        </w:rPr>
        <w:t>The Lancet</w:t>
      </w:r>
      <w:r w:rsidRPr="001C5A49">
        <w:rPr>
          <w:spacing w:val="-4"/>
          <w:sz w:val="20"/>
        </w:rPr>
        <w:t>, vol. 370, pp. 1146–1152.</w:t>
      </w:r>
    </w:p>
    <w:p w14:paraId="2B6A984A" w14:textId="77777777" w:rsidR="009C6940" w:rsidRPr="001C5A49" w:rsidRDefault="009C6940" w:rsidP="009C6940">
      <w:pPr>
        <w:pStyle w:val="Reference"/>
        <w:spacing w:before="100" w:line="260" w:lineRule="atLeast"/>
        <w:rPr>
          <w:spacing w:val="-4"/>
          <w:sz w:val="20"/>
        </w:rPr>
      </w:pPr>
      <w:r w:rsidRPr="001C5A49">
        <w:rPr>
          <w:spacing w:val="-4"/>
          <w:sz w:val="20"/>
        </w:rPr>
        <w:t xml:space="preserve">Burns, T., Catty, J., White, S., Becker, T., Koletsi, M., Fioritti, A., Rössler, W., Tomov, T., van Busschbach, J., Wiersma, D. and Lauber, C. 2009, ‘The Impact of Supported Employment and Working on Clinical and Social Functioning: Results of an International Study of Individual Placement and Support’, </w:t>
      </w:r>
      <w:r w:rsidRPr="001C5A49">
        <w:rPr>
          <w:i/>
          <w:iCs/>
          <w:spacing w:val="-4"/>
          <w:sz w:val="20"/>
        </w:rPr>
        <w:t>Schizophrenia Bulletin</w:t>
      </w:r>
      <w:r w:rsidRPr="001C5A49">
        <w:rPr>
          <w:spacing w:val="-4"/>
          <w:sz w:val="20"/>
        </w:rPr>
        <w:t>, vol. 35, no. 5, pp. 949–958.</w:t>
      </w:r>
    </w:p>
    <w:p w14:paraId="33612979" w14:textId="77777777" w:rsidR="009C6940" w:rsidRPr="001C5A49" w:rsidRDefault="009C6940" w:rsidP="009C6940">
      <w:pPr>
        <w:pStyle w:val="Reference"/>
        <w:spacing w:before="100" w:line="260" w:lineRule="atLeast"/>
        <w:rPr>
          <w:spacing w:val="-4"/>
          <w:sz w:val="20"/>
        </w:rPr>
      </w:pPr>
      <w:r w:rsidRPr="001C5A49">
        <w:rPr>
          <w:spacing w:val="-4"/>
          <w:sz w:val="20"/>
        </w:rPr>
        <w:t xml:space="preserve">Calvo, A., Moreno, M., Ruiz-Sancho, A., Rapado-Castro, M., Moreno, C., Sánchez-Gutiérrez, T., Arango, C. and Mayoral, M. 2014, ‘Intervention for adolescents with early-onset psychosis and their families: a randomized controlled trial’, </w:t>
      </w:r>
      <w:r w:rsidRPr="001C5A49">
        <w:rPr>
          <w:i/>
          <w:iCs/>
          <w:spacing w:val="-4"/>
          <w:sz w:val="20"/>
        </w:rPr>
        <w:t>Journal of the American Academy of Child and Adolescent Psychiatry</w:t>
      </w:r>
      <w:r w:rsidRPr="001C5A49">
        <w:rPr>
          <w:spacing w:val="-4"/>
          <w:sz w:val="20"/>
        </w:rPr>
        <w:t>, vol. 53, no. 6, pp. 688–696.</w:t>
      </w:r>
    </w:p>
    <w:p w14:paraId="3180D196" w14:textId="77777777" w:rsidR="009C6940" w:rsidRPr="001C5A49" w:rsidRDefault="009C6940" w:rsidP="009C6940">
      <w:pPr>
        <w:pStyle w:val="Reference"/>
        <w:spacing w:before="100" w:line="260" w:lineRule="atLeast"/>
        <w:rPr>
          <w:spacing w:val="-4"/>
          <w:sz w:val="20"/>
        </w:rPr>
      </w:pPr>
      <w:r w:rsidRPr="001C5A49">
        <w:rPr>
          <w:spacing w:val="-4"/>
          <w:sz w:val="20"/>
        </w:rPr>
        <w:t xml:space="preserve">Chiocchi, J., Lamph, G., Slevin, P., Debrah, S. and Sampson, M. 2019, ‘Can a carer (peer) led psychoeducation programme improve mental health carers wellbeing, reduce burden and enrich empowerment: a service evaluation study’, </w:t>
      </w:r>
      <w:r w:rsidRPr="001C5A49">
        <w:rPr>
          <w:i/>
          <w:iCs/>
          <w:spacing w:val="-4"/>
          <w:sz w:val="20"/>
        </w:rPr>
        <w:t>Journal of Mental Health Training, Education and Practice</w:t>
      </w:r>
      <w:r w:rsidRPr="001C5A49">
        <w:rPr>
          <w:spacing w:val="-4"/>
          <w:sz w:val="20"/>
        </w:rPr>
        <w:t>, vol. 14, no. 2, pp. 131</w:t>
      </w:r>
      <w:r w:rsidRPr="001C5A49">
        <w:rPr>
          <w:spacing w:val="-4"/>
          <w:sz w:val="20"/>
        </w:rPr>
        <w:noBreakHyphen/>
        <w:t>140.</w:t>
      </w:r>
    </w:p>
    <w:p w14:paraId="35F53E09" w14:textId="77777777" w:rsidR="009C6940" w:rsidRPr="001C5A49" w:rsidRDefault="009C6940" w:rsidP="009C6940">
      <w:pPr>
        <w:pStyle w:val="Reference"/>
        <w:spacing w:before="100" w:line="260" w:lineRule="atLeast"/>
        <w:rPr>
          <w:spacing w:val="-4"/>
          <w:sz w:val="20"/>
        </w:rPr>
      </w:pPr>
      <w:r w:rsidRPr="001C5A49">
        <w:rPr>
          <w:spacing w:val="-4"/>
          <w:sz w:val="20"/>
        </w:rPr>
        <w:t xml:space="preserve">Connelly, L. 2013, </w:t>
      </w:r>
      <w:r w:rsidRPr="001C5A49">
        <w:rPr>
          <w:i/>
          <w:iCs/>
          <w:spacing w:val="-4"/>
          <w:sz w:val="20"/>
        </w:rPr>
        <w:t>An economic evaluation of the homeless to home healthcare after-hours service</w:t>
      </w:r>
      <w:r w:rsidRPr="001C5A49">
        <w:rPr>
          <w:spacing w:val="-4"/>
          <w:sz w:val="20"/>
        </w:rPr>
        <w:t>.</w:t>
      </w:r>
    </w:p>
    <w:p w14:paraId="1C59B13E" w14:textId="77777777" w:rsidR="009C6940" w:rsidRPr="001C5A49" w:rsidRDefault="009C6940" w:rsidP="009C6940">
      <w:pPr>
        <w:pStyle w:val="Reference"/>
        <w:spacing w:before="100" w:line="260" w:lineRule="atLeast"/>
        <w:rPr>
          <w:spacing w:val="-4"/>
          <w:sz w:val="20"/>
        </w:rPr>
      </w:pPr>
      <w:r w:rsidRPr="001C5A49">
        <w:rPr>
          <w:spacing w:val="-4"/>
          <w:sz w:val="20"/>
        </w:rPr>
        <w:t xml:space="preserve">Corrigan, P.W., Morris, S.B., Michaels, P.J., Rafacz, J.D. and Rüsch, N. 2012, ‘Challenging the public stigma of mental illness: a meta-analysis of outcome studies’, </w:t>
      </w:r>
      <w:r w:rsidRPr="001C5A49">
        <w:rPr>
          <w:i/>
          <w:iCs/>
          <w:spacing w:val="-4"/>
          <w:sz w:val="20"/>
        </w:rPr>
        <w:t>Psychiatric services</w:t>
      </w:r>
      <w:r w:rsidRPr="001C5A49">
        <w:rPr>
          <w:spacing w:val="-4"/>
          <w:sz w:val="20"/>
        </w:rPr>
        <w:t>, vol. 63, no. 10, pp. 963–973.</w:t>
      </w:r>
    </w:p>
    <w:p w14:paraId="37F1666C" w14:textId="77777777" w:rsidR="009C6940" w:rsidRPr="001C5A49" w:rsidRDefault="009C6940" w:rsidP="009C6940">
      <w:pPr>
        <w:pStyle w:val="Reference"/>
        <w:spacing w:before="100" w:line="260" w:lineRule="atLeast"/>
        <w:rPr>
          <w:spacing w:val="-4"/>
          <w:sz w:val="20"/>
        </w:rPr>
      </w:pPr>
      <w:r w:rsidRPr="001C5A49">
        <w:rPr>
          <w:spacing w:val="-4"/>
          <w:sz w:val="20"/>
        </w:rPr>
        <w:t xml:space="preserve">Cuijpers, P., Noma, H., Karyotaki, E., Cipriani, A. and Furukawa, T. 2019, ‘Effectiveness and acceptability of cognitive behavior therapy delivery formats in adults with depression: a network meta-analysis’, </w:t>
      </w:r>
      <w:r w:rsidRPr="001C5A49">
        <w:rPr>
          <w:i/>
          <w:iCs/>
          <w:spacing w:val="-4"/>
          <w:sz w:val="20"/>
        </w:rPr>
        <w:t>JAMA Psychiatry</w:t>
      </w:r>
      <w:r w:rsidRPr="001C5A49">
        <w:rPr>
          <w:spacing w:val="-4"/>
          <w:sz w:val="20"/>
        </w:rPr>
        <w:t>, vol. 76, no. 7, pp. 700–707.</w:t>
      </w:r>
    </w:p>
    <w:p w14:paraId="42F32157" w14:textId="77777777" w:rsidR="009C6940" w:rsidRPr="001C5A49" w:rsidRDefault="009C6940" w:rsidP="009C6940">
      <w:pPr>
        <w:pStyle w:val="Reference"/>
        <w:spacing w:before="100" w:line="260" w:lineRule="atLeast"/>
        <w:rPr>
          <w:spacing w:val="-4"/>
          <w:sz w:val="20"/>
        </w:rPr>
      </w:pPr>
      <w:r w:rsidRPr="001C5A49">
        <w:rPr>
          <w:spacing w:val="-4"/>
          <w:sz w:val="20"/>
        </w:rPr>
        <w:lastRenderedPageBreak/>
        <w:t xml:space="preserve">Davidson, F. 2015, </w:t>
      </w:r>
      <w:r w:rsidRPr="001C5A49">
        <w:rPr>
          <w:i/>
          <w:iCs/>
          <w:spacing w:val="-4"/>
          <w:sz w:val="20"/>
        </w:rPr>
        <w:t>Mental Health Liaison and Diversion: Court Liaison Services and Mental Health Court Programs in Australia</w:t>
      </w:r>
      <w:r w:rsidRPr="001C5A49">
        <w:rPr>
          <w:spacing w:val="-4"/>
          <w:sz w:val="20"/>
        </w:rPr>
        <w:t>, The Australian Centre for Research Excellence in Offender Health, Sydney.</w:t>
      </w:r>
    </w:p>
    <w:p w14:paraId="0452D3DC"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2018, </w:t>
      </w:r>
      <w:r w:rsidRPr="001C5A49">
        <w:rPr>
          <w:i/>
          <w:iCs/>
          <w:spacing w:val="-4"/>
          <w:sz w:val="20"/>
        </w:rPr>
        <w:t>Benchmarking for Australian Mental Health Couth Liaison Services</w:t>
      </w:r>
      <w:r w:rsidRPr="001C5A49">
        <w:rPr>
          <w:spacing w:val="-4"/>
          <w:sz w:val="20"/>
        </w:rPr>
        <w:t>, NHRMC Centre for Research Excellence in Offender Health, Sydney.</w:t>
      </w:r>
    </w:p>
    <w:p w14:paraId="78965CCF" w14:textId="77777777" w:rsidR="009C6940" w:rsidRPr="001C5A49" w:rsidRDefault="009C6940" w:rsidP="009C6940">
      <w:pPr>
        <w:pStyle w:val="Reference"/>
        <w:spacing w:before="100" w:line="260" w:lineRule="atLeast"/>
        <w:rPr>
          <w:spacing w:val="-4"/>
          <w:sz w:val="20"/>
        </w:rPr>
      </w:pPr>
      <w:r w:rsidRPr="001C5A49">
        <w:rPr>
          <w:spacing w:val="-4"/>
          <w:sz w:val="20"/>
        </w:rPr>
        <w:t xml:space="preserve">——, Clugston, B., Perrin, M., Williams, M., Heffernan, E. and Kinner, S.A. 2019, ‘Mapping the prison mental health service workforce in Australia’, </w:t>
      </w:r>
      <w:r w:rsidRPr="001C5A49">
        <w:rPr>
          <w:i/>
          <w:iCs/>
          <w:spacing w:val="-4"/>
          <w:sz w:val="20"/>
        </w:rPr>
        <w:t>Australasian Psychiatry</w:t>
      </w:r>
      <w:r w:rsidRPr="001C5A49">
        <w:rPr>
          <w:spacing w:val="-4"/>
          <w:sz w:val="20"/>
        </w:rPr>
        <w:t>, vol. Online First.</w:t>
      </w:r>
    </w:p>
    <w:p w14:paraId="3B7372C0" w14:textId="77777777" w:rsidR="009C6940" w:rsidRPr="001C5A49" w:rsidRDefault="009C6940" w:rsidP="009C6940">
      <w:pPr>
        <w:pStyle w:val="Reference"/>
        <w:spacing w:before="100" w:line="260" w:lineRule="atLeast"/>
        <w:rPr>
          <w:spacing w:val="-4"/>
          <w:sz w:val="20"/>
        </w:rPr>
      </w:pPr>
      <w:r w:rsidRPr="001C5A49">
        <w:rPr>
          <w:spacing w:val="-4"/>
          <w:sz w:val="20"/>
        </w:rPr>
        <w:t xml:space="preserve">DESE (Department of Education, Skills and Employment) 2018, </w:t>
      </w:r>
      <w:r w:rsidRPr="001C5A49">
        <w:rPr>
          <w:i/>
          <w:iCs/>
          <w:spacing w:val="-4"/>
          <w:sz w:val="20"/>
        </w:rPr>
        <w:t>Selected Higher Education Statistics – 2018 Staff data | Department of Education, Skills and Employment, Australian Government</w:t>
      </w:r>
      <w:r w:rsidRPr="001C5A49">
        <w:rPr>
          <w:spacing w:val="-4"/>
          <w:sz w:val="20"/>
        </w:rPr>
        <w:t>, https://www.education.gov.au/selected-higher-education-statistics-2018-staff-data (accessed 5 May 2020).</w:t>
      </w:r>
    </w:p>
    <w:p w14:paraId="57060BD6" w14:textId="77777777" w:rsidR="009C6940" w:rsidRPr="001C5A49" w:rsidRDefault="009C6940" w:rsidP="009C6940">
      <w:pPr>
        <w:pStyle w:val="Reference"/>
        <w:spacing w:before="100" w:line="260" w:lineRule="atLeast"/>
        <w:rPr>
          <w:spacing w:val="-6"/>
          <w:sz w:val="20"/>
        </w:rPr>
      </w:pPr>
      <w:r w:rsidRPr="001C5A49">
        <w:rPr>
          <w:spacing w:val="-6"/>
          <w:sz w:val="20"/>
        </w:rPr>
        <w:t xml:space="preserve">Diminic, S., Gossip, K. and Whiteford, H. 2016, </w:t>
      </w:r>
      <w:r w:rsidRPr="001C5A49">
        <w:rPr>
          <w:i/>
          <w:iCs/>
          <w:spacing w:val="-6"/>
          <w:sz w:val="20"/>
        </w:rPr>
        <w:t>Mental health psychosocial support service needs from the National Mental Health Service Planning Framework (NMHSPF)</w:t>
      </w:r>
      <w:r w:rsidRPr="001C5A49">
        <w:rPr>
          <w:spacing w:val="-6"/>
          <w:sz w:val="20"/>
        </w:rPr>
        <w:t>, Report prepared for the Department of Social Services.</w:t>
      </w:r>
    </w:p>
    <w:p w14:paraId="1E00F3A6" w14:textId="77777777" w:rsidR="009C6940" w:rsidRPr="001C5A49" w:rsidRDefault="009C6940" w:rsidP="009C6940">
      <w:pPr>
        <w:pStyle w:val="Reference"/>
        <w:spacing w:before="100" w:line="260" w:lineRule="atLeast"/>
        <w:rPr>
          <w:spacing w:val="-4"/>
          <w:sz w:val="20"/>
        </w:rPr>
      </w:pPr>
      <w:r w:rsidRPr="001C5A49">
        <w:rPr>
          <w:spacing w:val="-4"/>
          <w:sz w:val="20"/>
        </w:rPr>
        <w:t xml:space="preserve">DoH (Department of Health) 2017, </w:t>
      </w:r>
      <w:r w:rsidRPr="001C5A49">
        <w:rPr>
          <w:i/>
          <w:iCs/>
          <w:spacing w:val="-4"/>
          <w:sz w:val="20"/>
        </w:rPr>
        <w:t>Submission to the Review of National Disability Insurance Scheme (NDIS) Costs Study</w:t>
      </w:r>
      <w:r w:rsidRPr="001C5A49">
        <w:rPr>
          <w:spacing w:val="-4"/>
          <w:sz w:val="20"/>
        </w:rPr>
        <w:t>, Sub. 175, Canberra.</w:t>
      </w:r>
    </w:p>
    <w:p w14:paraId="258FF827"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 </w:t>
      </w:r>
      <w:r w:rsidRPr="001C5A49">
        <w:rPr>
          <w:i/>
          <w:iCs/>
          <w:spacing w:val="-4"/>
          <w:sz w:val="20"/>
        </w:rPr>
        <w:t>Psychosocial support for people with severe mental illness</w:t>
      </w:r>
      <w:r w:rsidRPr="001C5A49">
        <w:rPr>
          <w:spacing w:val="-4"/>
          <w:sz w:val="20"/>
        </w:rPr>
        <w:t>, https://www1.health.gov.au/internet/</w:t>
      </w:r>
      <w:r w:rsidRPr="001C5A49">
        <w:rPr>
          <w:spacing w:val="-4"/>
          <w:sz w:val="20"/>
        </w:rPr>
        <w:br/>
        <w:t>main/publishing.nsf/Content/psychosocial-support-mental-illness (accessed 27 April 2020).</w:t>
      </w:r>
    </w:p>
    <w:p w14:paraId="1F2FC9A2" w14:textId="77777777" w:rsidR="009C6940" w:rsidRPr="001C5A49" w:rsidRDefault="009C6940" w:rsidP="009C6940">
      <w:pPr>
        <w:pStyle w:val="Reference"/>
        <w:spacing w:before="100" w:line="260" w:lineRule="atLeast"/>
        <w:rPr>
          <w:spacing w:val="-4"/>
          <w:sz w:val="20"/>
        </w:rPr>
      </w:pPr>
      <w:r w:rsidRPr="001C5A49">
        <w:rPr>
          <w:spacing w:val="-4"/>
          <w:sz w:val="20"/>
        </w:rPr>
        <w:t xml:space="preserve">Drake, R.E., McHugo, G.J., Bebout, R.R., Becker, D.R., Harris, M., Bond, G.R. and Quimby, E. 1999, ‘A randomized clinical trial of supported employment for inner-city patients with severe mental disorders’, </w:t>
      </w:r>
      <w:r w:rsidRPr="001C5A49">
        <w:rPr>
          <w:i/>
          <w:iCs/>
          <w:spacing w:val="-4"/>
          <w:sz w:val="20"/>
        </w:rPr>
        <w:t>Archives of General Psychiatry</w:t>
      </w:r>
      <w:r w:rsidRPr="001C5A49">
        <w:rPr>
          <w:spacing w:val="-4"/>
          <w:sz w:val="20"/>
        </w:rPr>
        <w:t>, vol. 56, no. 7, pp. 627–633.</w:t>
      </w:r>
    </w:p>
    <w:p w14:paraId="0757210C" w14:textId="77777777" w:rsidR="009C6940" w:rsidRPr="001C5A49" w:rsidRDefault="009C6940" w:rsidP="009C6940">
      <w:pPr>
        <w:pStyle w:val="Reference"/>
        <w:spacing w:before="100" w:line="260" w:lineRule="atLeast"/>
        <w:rPr>
          <w:spacing w:val="-4"/>
          <w:sz w:val="20"/>
        </w:rPr>
      </w:pPr>
      <w:r w:rsidRPr="001C5A49">
        <w:rPr>
          <w:spacing w:val="-4"/>
          <w:sz w:val="20"/>
        </w:rPr>
        <w:t xml:space="preserve">DSS (Department of Social Services) 2019, </w:t>
      </w:r>
      <w:r w:rsidRPr="001C5A49">
        <w:rPr>
          <w:i/>
          <w:iCs/>
          <w:spacing w:val="-4"/>
          <w:sz w:val="20"/>
        </w:rPr>
        <w:t>Budget 2019-20: Social Services Portfolio</w:t>
      </w:r>
      <w:r w:rsidRPr="001C5A49">
        <w:rPr>
          <w:spacing w:val="-4"/>
          <w:sz w:val="20"/>
        </w:rPr>
        <w:t>, Portfolio Budget Statements 2019-20, Budget Related Paper No. 1.15A, Canberra.</w:t>
      </w:r>
    </w:p>
    <w:p w14:paraId="349B90FE" w14:textId="77777777" w:rsidR="009C6940" w:rsidRPr="001C5A49" w:rsidRDefault="009C6940" w:rsidP="009C6940">
      <w:pPr>
        <w:pStyle w:val="Reference"/>
        <w:spacing w:before="100" w:line="260" w:lineRule="atLeast"/>
        <w:rPr>
          <w:spacing w:val="-4"/>
          <w:sz w:val="20"/>
        </w:rPr>
      </w:pPr>
      <w:r w:rsidRPr="001C5A49">
        <w:rPr>
          <w:spacing w:val="-4"/>
          <w:sz w:val="20"/>
        </w:rPr>
        <w:t xml:space="preserve">Evans-Lacko, S., Henderson, C., Thornicroft, G. and McCrone, P. 2013a, ‘Economic evaluation of the anti-stigma social marketing campaign in England 2009-2011’, </w:t>
      </w:r>
      <w:r w:rsidRPr="001C5A49">
        <w:rPr>
          <w:i/>
          <w:iCs/>
          <w:spacing w:val="-4"/>
          <w:sz w:val="20"/>
        </w:rPr>
        <w:t>The British Journal of Psychiatry</w:t>
      </w:r>
      <w:r w:rsidRPr="001C5A49">
        <w:rPr>
          <w:spacing w:val="-4"/>
          <w:sz w:val="20"/>
        </w:rPr>
        <w:t>, vol. 202, no. s55, pp. s95–s101.</w:t>
      </w:r>
    </w:p>
    <w:p w14:paraId="4F162CA0" w14:textId="77777777" w:rsidR="009C6940" w:rsidRPr="001C5A49" w:rsidRDefault="009C6940" w:rsidP="009C6940">
      <w:pPr>
        <w:pStyle w:val="Reference"/>
        <w:spacing w:before="100" w:line="260" w:lineRule="atLeast"/>
        <w:rPr>
          <w:spacing w:val="-4"/>
          <w:sz w:val="20"/>
        </w:rPr>
      </w:pPr>
      <w:r w:rsidRPr="001C5A49">
        <w:rPr>
          <w:spacing w:val="-4"/>
          <w:sz w:val="20"/>
        </w:rPr>
        <w:t xml:space="preserve">——, Malcolm, E., West, K., Rose, D., London, J., Rüsch, N., Little, K., Henderson, C. and Thornicroft, G. 2013b, ‘Influence of Time to Change’s social marketing interventions on stigma in England 2009-2011’, </w:t>
      </w:r>
      <w:r w:rsidRPr="001C5A49">
        <w:rPr>
          <w:i/>
          <w:iCs/>
          <w:spacing w:val="-4"/>
          <w:sz w:val="20"/>
        </w:rPr>
        <w:t>The British Journal of Psychiatry</w:t>
      </w:r>
      <w:r w:rsidRPr="001C5A49">
        <w:rPr>
          <w:spacing w:val="-4"/>
          <w:sz w:val="20"/>
        </w:rPr>
        <w:t>, vol. 202, no. s55, pp. s77–s88.</w:t>
      </w:r>
    </w:p>
    <w:p w14:paraId="20BAD37D" w14:textId="77777777" w:rsidR="009C6940" w:rsidRPr="001C5A49" w:rsidRDefault="009C6940" w:rsidP="009C6940">
      <w:pPr>
        <w:pStyle w:val="Reference"/>
        <w:spacing w:before="100" w:line="260" w:lineRule="atLeast"/>
        <w:rPr>
          <w:spacing w:val="-4"/>
          <w:sz w:val="20"/>
        </w:rPr>
      </w:pPr>
      <w:r w:rsidRPr="001C5A49">
        <w:rPr>
          <w:spacing w:val="-4"/>
          <w:sz w:val="20"/>
        </w:rPr>
        <w:t xml:space="preserve">Farhall, J., Cugnetto, M.L., Mathews, S., Ratcliff, K., Farnan, S., Higgins, K. and Constantine, E. 2020, ‘Outcomes and change processes of an established family education program for carers of adults diagnosed with a serious mental health condition’, </w:t>
      </w:r>
      <w:r w:rsidRPr="001C5A49">
        <w:rPr>
          <w:i/>
          <w:iCs/>
          <w:spacing w:val="-4"/>
          <w:sz w:val="20"/>
        </w:rPr>
        <w:t>Psychological Medicine</w:t>
      </w:r>
      <w:r w:rsidRPr="001C5A49">
        <w:rPr>
          <w:spacing w:val="-4"/>
          <w:sz w:val="20"/>
        </w:rPr>
        <w:t>, vol. 50, no. 7, pp. 1099-1109.</w:t>
      </w:r>
    </w:p>
    <w:p w14:paraId="3A502253" w14:textId="77777777" w:rsidR="009C6940" w:rsidRPr="001C5A49" w:rsidRDefault="009C6940" w:rsidP="009C6940">
      <w:pPr>
        <w:pStyle w:val="Reference"/>
        <w:spacing w:before="100" w:line="260" w:lineRule="atLeast"/>
        <w:rPr>
          <w:spacing w:val="-4"/>
          <w:sz w:val="20"/>
        </w:rPr>
      </w:pPr>
      <w:r w:rsidRPr="001C5A49">
        <w:rPr>
          <w:spacing w:val="-4"/>
          <w:sz w:val="20"/>
        </w:rPr>
        <w:t xml:space="preserve">Flatau, P. 2007, </w:t>
      </w:r>
      <w:r w:rsidRPr="001C5A49">
        <w:rPr>
          <w:i/>
          <w:iCs/>
          <w:spacing w:val="-4"/>
          <w:sz w:val="20"/>
        </w:rPr>
        <w:t>Mental Health Outcomes Among Clients of Homelessness Programs</w:t>
      </w:r>
      <w:r w:rsidRPr="001C5A49">
        <w:rPr>
          <w:spacing w:val="-4"/>
          <w:sz w:val="20"/>
        </w:rPr>
        <w:t>, Psychiatric Disability Services of Victoria and Council to Homeless Persons, Melbourne.</w:t>
      </w:r>
    </w:p>
    <w:p w14:paraId="2F41A1AC" w14:textId="77777777" w:rsidR="009C6940" w:rsidRPr="001C5A49" w:rsidRDefault="009C6940" w:rsidP="009C6940">
      <w:pPr>
        <w:pStyle w:val="Reference"/>
        <w:spacing w:before="100" w:line="260" w:lineRule="atLeast"/>
        <w:rPr>
          <w:spacing w:val="-4"/>
          <w:sz w:val="20"/>
        </w:rPr>
      </w:pPr>
      <w:r w:rsidRPr="001C5A49">
        <w:rPr>
          <w:spacing w:val="-4"/>
          <w:sz w:val="20"/>
        </w:rPr>
        <w:t xml:space="preserve">Gazey, A., Wood, L., Cumming, C., Chapple, N. and Vallesi, S. 2019, </w:t>
      </w:r>
      <w:r w:rsidRPr="001C5A49">
        <w:rPr>
          <w:i/>
          <w:iCs/>
          <w:spacing w:val="-4"/>
          <w:sz w:val="20"/>
        </w:rPr>
        <w:t>Royal Perth Hospital Homeless Team. A Report on the First Two and a Half Years of Operation</w:t>
      </w:r>
      <w:r w:rsidRPr="001C5A49">
        <w:rPr>
          <w:spacing w:val="-4"/>
          <w:sz w:val="20"/>
        </w:rPr>
        <w:t>, School of Population and Global Health: University of Western Australia, Perth.</w:t>
      </w:r>
    </w:p>
    <w:p w14:paraId="03E3FCF5" w14:textId="77777777" w:rsidR="009C6940" w:rsidRPr="001C5A49" w:rsidRDefault="009C6940" w:rsidP="009C6940">
      <w:pPr>
        <w:pStyle w:val="Reference"/>
        <w:spacing w:before="100" w:line="260" w:lineRule="atLeast"/>
        <w:rPr>
          <w:spacing w:val="-4"/>
          <w:sz w:val="20"/>
        </w:rPr>
      </w:pPr>
      <w:r w:rsidRPr="001C5A49">
        <w:rPr>
          <w:spacing w:val="-4"/>
          <w:sz w:val="20"/>
        </w:rPr>
        <w:t xml:space="preserve">Giuntoli, G., Hill, T., Zmudzki, F., Fisher, K., Purcal, C. and O’Shea, P. 2018, </w:t>
      </w:r>
      <w:r w:rsidRPr="001C5A49">
        <w:rPr>
          <w:i/>
          <w:iCs/>
          <w:spacing w:val="-4"/>
          <w:sz w:val="20"/>
        </w:rPr>
        <w:t>Evaluation Plan Community-based Mental Health Programs: Community Living Supports (CLS) and Housing &amp; Accommodation Support Initiative (HASI)</w:t>
      </w:r>
      <w:r w:rsidRPr="001C5A49">
        <w:rPr>
          <w:spacing w:val="-4"/>
          <w:sz w:val="20"/>
        </w:rPr>
        <w:t>, report for NSW Ministry of Health, Social Policy Research Centre, UNSW, Sydney.</w:t>
      </w:r>
    </w:p>
    <w:p w14:paraId="5C6C02B1" w14:textId="77777777" w:rsidR="009C6940" w:rsidRPr="001C5A49" w:rsidRDefault="009C6940" w:rsidP="009C6940">
      <w:pPr>
        <w:pStyle w:val="Reference"/>
        <w:spacing w:before="100" w:line="260" w:lineRule="atLeast"/>
        <w:rPr>
          <w:spacing w:val="-4"/>
          <w:sz w:val="20"/>
        </w:rPr>
      </w:pPr>
      <w:r w:rsidRPr="001C5A49">
        <w:rPr>
          <w:spacing w:val="-4"/>
          <w:sz w:val="20"/>
        </w:rPr>
        <w:t xml:space="preserve">Gulliver, A., Farrer, L., Bennett, K., Ali, K., Hellsing, A., Katruss, N. and Griffiths, K.M. 2018, ‘University staff experiences of students with mental health problems and their perceptions of staff training needs’, </w:t>
      </w:r>
      <w:r w:rsidRPr="001C5A49">
        <w:rPr>
          <w:i/>
          <w:iCs/>
          <w:spacing w:val="-4"/>
          <w:sz w:val="20"/>
        </w:rPr>
        <w:t>Journal of Mental Health</w:t>
      </w:r>
      <w:r w:rsidRPr="001C5A49">
        <w:rPr>
          <w:spacing w:val="-4"/>
          <w:sz w:val="20"/>
        </w:rPr>
        <w:t>, vol. 27, no. 3, pp. 247–256.</w:t>
      </w:r>
    </w:p>
    <w:p w14:paraId="36B02947" w14:textId="77777777" w:rsidR="009C6940" w:rsidRPr="001C5A49" w:rsidRDefault="009C6940" w:rsidP="009C6940">
      <w:pPr>
        <w:pStyle w:val="Reference"/>
        <w:spacing w:before="100" w:line="260" w:lineRule="atLeast"/>
        <w:rPr>
          <w:spacing w:val="-4"/>
          <w:sz w:val="20"/>
        </w:rPr>
      </w:pPr>
      <w:r w:rsidRPr="001C5A49">
        <w:rPr>
          <w:spacing w:val="-4"/>
          <w:sz w:val="20"/>
        </w:rPr>
        <w:t xml:space="preserve">Hatzenbuehler, M.L., Phelan, J.C. and Link, B.G. 2013, ‘Stigma as a fundamental cause of population health inequalities’, </w:t>
      </w:r>
      <w:r w:rsidRPr="001C5A49">
        <w:rPr>
          <w:i/>
          <w:iCs/>
          <w:spacing w:val="-4"/>
          <w:sz w:val="20"/>
        </w:rPr>
        <w:t>American Journal of Public Health</w:t>
      </w:r>
      <w:r w:rsidRPr="001C5A49">
        <w:rPr>
          <w:spacing w:val="-4"/>
          <w:sz w:val="20"/>
        </w:rPr>
        <w:t>, vol. 103, no. 5, pp. 813–821.</w:t>
      </w:r>
    </w:p>
    <w:p w14:paraId="1F2C4EA1" w14:textId="77777777" w:rsidR="009C6940" w:rsidRPr="001C5A49" w:rsidRDefault="009C6940" w:rsidP="009C6940">
      <w:pPr>
        <w:pStyle w:val="Reference"/>
        <w:spacing w:before="100" w:line="260" w:lineRule="atLeast"/>
        <w:rPr>
          <w:spacing w:val="-6"/>
          <w:sz w:val="20"/>
        </w:rPr>
      </w:pPr>
      <w:r w:rsidRPr="001C5A49">
        <w:rPr>
          <w:spacing w:val="-6"/>
          <w:sz w:val="20"/>
        </w:rPr>
        <w:t xml:space="preserve">Henderson, C., Lacko, S.E. and Thornicroft, G. 2017, ‘The Time to Change Programme to Reduce Stigma and Discrimination in England and Its Wider Context’, in Gaebel, W., Rossler, W., Sartorius, N., Gaebel, W., Rössler, W. and Sartorius, N. (eds), </w:t>
      </w:r>
      <w:r w:rsidRPr="001C5A49">
        <w:rPr>
          <w:i/>
          <w:iCs/>
          <w:spacing w:val="-6"/>
          <w:sz w:val="20"/>
        </w:rPr>
        <w:t>The Stigma of Mental Illness - End of the Story?</w:t>
      </w:r>
      <w:r w:rsidRPr="001C5A49">
        <w:rPr>
          <w:spacing w:val="-6"/>
          <w:sz w:val="20"/>
        </w:rPr>
        <w:t>, Springer, Cham, pp. 339–356.</w:t>
      </w:r>
    </w:p>
    <w:p w14:paraId="01D1350F" w14:textId="77777777" w:rsidR="009C6940" w:rsidRPr="001C5A49" w:rsidRDefault="009C6940" w:rsidP="009C6940">
      <w:pPr>
        <w:pStyle w:val="Reference"/>
        <w:spacing w:before="100" w:line="260" w:lineRule="atLeast"/>
        <w:rPr>
          <w:spacing w:val="-4"/>
          <w:sz w:val="20"/>
        </w:rPr>
      </w:pPr>
      <w:r w:rsidRPr="001C5A49">
        <w:rPr>
          <w:spacing w:val="-4"/>
          <w:sz w:val="20"/>
        </w:rPr>
        <w:lastRenderedPageBreak/>
        <w:t xml:space="preserve">Henry, P. and Rajakaruna, N. 2018, </w:t>
      </w:r>
      <w:r w:rsidRPr="001C5A49">
        <w:rPr>
          <w:i/>
          <w:iCs/>
          <w:spacing w:val="-4"/>
          <w:sz w:val="20"/>
        </w:rPr>
        <w:t>WA Police Force Mental Health Co-Response Evaluation Report</w:t>
      </w:r>
      <w:r w:rsidRPr="001C5A49">
        <w:rPr>
          <w:spacing w:val="-4"/>
          <w:sz w:val="20"/>
        </w:rPr>
        <w:t>, The Sellenger Centre for Research in Law, Justice and Social Change, Edith Cowan University, Perth.</w:t>
      </w:r>
    </w:p>
    <w:p w14:paraId="51ED2743" w14:textId="77777777" w:rsidR="009C6940" w:rsidRPr="001C5A49" w:rsidRDefault="009C6940" w:rsidP="009C6940">
      <w:pPr>
        <w:pStyle w:val="Reference"/>
        <w:spacing w:before="100" w:line="260" w:lineRule="atLeast"/>
        <w:rPr>
          <w:spacing w:val="-4"/>
          <w:sz w:val="20"/>
        </w:rPr>
      </w:pPr>
      <w:r w:rsidRPr="001C5A49">
        <w:rPr>
          <w:spacing w:val="-4"/>
          <w:sz w:val="20"/>
        </w:rPr>
        <w:t xml:space="preserve">Heslin, M., Howard, L., Leese, M., McCrone, P., Rice, C., Jarrett, M., Spokes, T., Huxley, P. and Thornicroft, G. 2011, ‘Randomised controlled trial of supported employment in England: 2-year follow-up of the Supported Work and Needs (SWAN) study’, </w:t>
      </w:r>
      <w:r w:rsidRPr="001C5A49">
        <w:rPr>
          <w:i/>
          <w:iCs/>
          <w:spacing w:val="-4"/>
          <w:sz w:val="20"/>
        </w:rPr>
        <w:t>World Psychiatry</w:t>
      </w:r>
      <w:r w:rsidRPr="001C5A49">
        <w:rPr>
          <w:spacing w:val="-4"/>
          <w:sz w:val="20"/>
        </w:rPr>
        <w:t>, vol. 10, no. 2, pp. 132–137.</w:t>
      </w:r>
    </w:p>
    <w:p w14:paraId="120812A2" w14:textId="77777777" w:rsidR="009C6940" w:rsidRPr="001C5A49" w:rsidRDefault="009C6940" w:rsidP="009C6940">
      <w:pPr>
        <w:pStyle w:val="Reference"/>
        <w:spacing w:before="100" w:line="260" w:lineRule="atLeast"/>
        <w:rPr>
          <w:spacing w:val="-4"/>
          <w:sz w:val="20"/>
        </w:rPr>
      </w:pPr>
      <w:r w:rsidRPr="001C5A49">
        <w:rPr>
          <w:spacing w:val="-4"/>
          <w:sz w:val="20"/>
        </w:rPr>
        <w:t xml:space="preserve">Hibbs, R., Rhind, C., Leppanen, J. and Treasure, J. 2015, ‘Interventions for caregivers of someone with an eating disorder: a meta-analysis’, </w:t>
      </w:r>
      <w:r w:rsidRPr="001C5A49">
        <w:rPr>
          <w:i/>
          <w:iCs/>
          <w:spacing w:val="-4"/>
          <w:sz w:val="20"/>
        </w:rPr>
        <w:t>International Journal of Eating Disorders</w:t>
      </w:r>
      <w:r w:rsidRPr="001C5A49">
        <w:rPr>
          <w:spacing w:val="-4"/>
          <w:sz w:val="20"/>
        </w:rPr>
        <w:t>, vol. 48, no. 4, pp. 349–361.</w:t>
      </w:r>
    </w:p>
    <w:p w14:paraId="5ABF7A6F" w14:textId="77777777" w:rsidR="009C6940" w:rsidRPr="001C5A49" w:rsidRDefault="009C6940" w:rsidP="009C6940">
      <w:pPr>
        <w:pStyle w:val="Reference"/>
        <w:spacing w:before="100" w:line="260" w:lineRule="atLeast"/>
        <w:rPr>
          <w:spacing w:val="-4"/>
          <w:sz w:val="20"/>
        </w:rPr>
      </w:pPr>
      <w:r w:rsidRPr="001C5A49">
        <w:rPr>
          <w:spacing w:val="-4"/>
          <w:sz w:val="20"/>
        </w:rPr>
        <w:t xml:space="preserve">Howard, K.I., Kopta, S.M., Krause, M.S. and Orlinsky, D.E. 1986, ‘The dose–effect relationship in psychotherapy’, </w:t>
      </w:r>
      <w:r w:rsidRPr="001C5A49">
        <w:rPr>
          <w:i/>
          <w:iCs/>
          <w:spacing w:val="-4"/>
          <w:sz w:val="20"/>
        </w:rPr>
        <w:t>American Psychologist</w:t>
      </w:r>
      <w:r w:rsidRPr="001C5A49">
        <w:rPr>
          <w:spacing w:val="-4"/>
          <w:sz w:val="20"/>
        </w:rPr>
        <w:t>, vol. 41, no. 2, pp. 159–164.</w:t>
      </w:r>
    </w:p>
    <w:p w14:paraId="7EC8ED41" w14:textId="77777777" w:rsidR="009C6940" w:rsidRPr="001C5A49" w:rsidRDefault="009C6940" w:rsidP="009C6940">
      <w:pPr>
        <w:pStyle w:val="Reference"/>
        <w:spacing w:before="100" w:line="260" w:lineRule="atLeast"/>
        <w:rPr>
          <w:spacing w:val="-4"/>
          <w:sz w:val="20"/>
        </w:rPr>
      </w:pPr>
      <w:r w:rsidRPr="001C5A49">
        <w:rPr>
          <w:spacing w:val="-4"/>
          <w:sz w:val="20"/>
        </w:rPr>
        <w:t xml:space="preserve">Hulse, K. and Saugeres, L. 2008, </w:t>
      </w:r>
      <w:r w:rsidRPr="001C5A49">
        <w:rPr>
          <w:i/>
          <w:iCs/>
          <w:spacing w:val="-4"/>
          <w:sz w:val="20"/>
        </w:rPr>
        <w:t>Housing Insecurity and Precarious Living: An Australian Exploration</w:t>
      </w:r>
      <w:r w:rsidRPr="001C5A49">
        <w:rPr>
          <w:spacing w:val="-4"/>
          <w:sz w:val="20"/>
        </w:rPr>
        <w:t>, AHURI Final Report No. 124, Australian Housing and Urban Research Institute, Melbourne.</w:t>
      </w:r>
    </w:p>
    <w:p w14:paraId="7D42DD42" w14:textId="77777777" w:rsidR="009C6940" w:rsidRPr="001C5A49" w:rsidRDefault="009C6940" w:rsidP="009C6940">
      <w:pPr>
        <w:pStyle w:val="Reference"/>
        <w:spacing w:before="100" w:line="260" w:lineRule="atLeast"/>
        <w:rPr>
          <w:spacing w:val="-4"/>
          <w:sz w:val="20"/>
        </w:rPr>
      </w:pPr>
      <w:r w:rsidRPr="001C5A49">
        <w:rPr>
          <w:spacing w:val="-4"/>
          <w:sz w:val="20"/>
        </w:rPr>
        <w:t xml:space="preserve">IHME (Institute for Health Metrics and Evaluation) 2019, </w:t>
      </w:r>
      <w:r w:rsidRPr="001C5A49">
        <w:rPr>
          <w:i/>
          <w:iCs/>
          <w:spacing w:val="-4"/>
          <w:sz w:val="20"/>
        </w:rPr>
        <w:t>Global Burden of Disease Results Tool</w:t>
      </w:r>
      <w:r w:rsidRPr="001C5A49">
        <w:rPr>
          <w:spacing w:val="-4"/>
          <w:sz w:val="20"/>
        </w:rPr>
        <w:t>, Global Health Data Exchange, University of Washington, Seattle.</w:t>
      </w:r>
    </w:p>
    <w:p w14:paraId="092F168E" w14:textId="77777777" w:rsidR="009C6940" w:rsidRPr="001C5A49" w:rsidRDefault="009C6940" w:rsidP="009C6940">
      <w:pPr>
        <w:pStyle w:val="Reference"/>
        <w:spacing w:before="100" w:line="260" w:lineRule="atLeast"/>
        <w:rPr>
          <w:spacing w:val="-4"/>
          <w:sz w:val="20"/>
        </w:rPr>
      </w:pPr>
      <w:r w:rsidRPr="001C5A49">
        <w:rPr>
          <w:spacing w:val="-4"/>
          <w:sz w:val="20"/>
        </w:rPr>
        <w:t xml:space="preserve">IHPA (Independent Hospital Pricing Authority) 2017, </w:t>
      </w:r>
      <w:r w:rsidRPr="001C5A49">
        <w:rPr>
          <w:i/>
          <w:iCs/>
          <w:spacing w:val="-4"/>
          <w:sz w:val="20"/>
        </w:rPr>
        <w:t>Cost Report: Emergency Care Costing and Classification Project</w:t>
      </w:r>
      <w:r w:rsidRPr="001C5A49">
        <w:rPr>
          <w:spacing w:val="-4"/>
          <w:sz w:val="20"/>
        </w:rPr>
        <w:t>.</w:t>
      </w:r>
    </w:p>
    <w:p w14:paraId="6E80F683" w14:textId="77777777" w:rsidR="009C6940" w:rsidRPr="001C5A49" w:rsidRDefault="009C6940" w:rsidP="009C6940">
      <w:pPr>
        <w:pStyle w:val="Reference"/>
        <w:spacing w:before="100" w:line="260" w:lineRule="atLeast"/>
        <w:rPr>
          <w:spacing w:val="-4"/>
          <w:sz w:val="20"/>
        </w:rPr>
      </w:pPr>
      <w:r w:rsidRPr="001C5A49">
        <w:rPr>
          <w:spacing w:val="-4"/>
          <w:sz w:val="20"/>
        </w:rPr>
        <w:t xml:space="preserve">JHFMHN (Justice Health &amp; Forensic Mental Health Network) 2019, </w:t>
      </w:r>
      <w:r w:rsidRPr="001C5A49">
        <w:rPr>
          <w:i/>
          <w:iCs/>
          <w:spacing w:val="-4"/>
          <w:sz w:val="20"/>
        </w:rPr>
        <w:t>Our Network 2019</w:t>
      </w:r>
      <w:r w:rsidRPr="001C5A49">
        <w:rPr>
          <w:spacing w:val="-4"/>
          <w:sz w:val="20"/>
        </w:rPr>
        <w:t>, Annual Report, Sydney.</w:t>
      </w:r>
    </w:p>
    <w:p w14:paraId="647DF0E1" w14:textId="77777777" w:rsidR="009C6940" w:rsidRPr="001C5A49" w:rsidRDefault="009C6940" w:rsidP="009C6940">
      <w:pPr>
        <w:pStyle w:val="Reference"/>
        <w:spacing w:before="100" w:line="260" w:lineRule="atLeast"/>
        <w:rPr>
          <w:spacing w:val="-4"/>
          <w:sz w:val="20"/>
        </w:rPr>
      </w:pPr>
      <w:r w:rsidRPr="001C5A49">
        <w:rPr>
          <w:spacing w:val="-4"/>
          <w:sz w:val="20"/>
        </w:rPr>
        <w:t xml:space="preserve">Johnson, S., Lawrence, D., Perales, F., Baxter, J. and Zubrick, S.R. 2019, ‘Poverty, Parental Mental Health and Child/Adolescent Mental Disorders: Findings from a National Australian Survey’, </w:t>
      </w:r>
      <w:r w:rsidRPr="001C5A49">
        <w:rPr>
          <w:i/>
          <w:iCs/>
          <w:spacing w:val="-4"/>
          <w:sz w:val="20"/>
        </w:rPr>
        <w:t>Child Indicators Research</w:t>
      </w:r>
      <w:r w:rsidRPr="001C5A49">
        <w:rPr>
          <w:spacing w:val="-4"/>
          <w:sz w:val="20"/>
        </w:rPr>
        <w:t>, vol. 12, pp. 963–988.</w:t>
      </w:r>
    </w:p>
    <w:p w14:paraId="4E8EDA27" w14:textId="77777777" w:rsidR="009C6940" w:rsidRPr="001C5A49" w:rsidRDefault="009C6940" w:rsidP="009C6940">
      <w:pPr>
        <w:pStyle w:val="Reference"/>
        <w:spacing w:before="100" w:line="260" w:lineRule="atLeast"/>
        <w:rPr>
          <w:spacing w:val="-4"/>
          <w:sz w:val="20"/>
        </w:rPr>
      </w:pPr>
      <w:r w:rsidRPr="001C5A49">
        <w:rPr>
          <w:spacing w:val="-4"/>
          <w:sz w:val="20"/>
        </w:rPr>
        <w:t xml:space="preserve">Khanam, R. and Nghiem, S. 2018, ‘Behavioural and emotional problems in children and educational outcomes: a dynamic panel data analysis’, Springer, </w:t>
      </w:r>
      <w:r w:rsidRPr="001C5A49">
        <w:rPr>
          <w:i/>
          <w:iCs/>
          <w:spacing w:val="-4"/>
          <w:sz w:val="20"/>
        </w:rPr>
        <w:t>Administration and Policy in Mental Health and Mental Health Services Research</w:t>
      </w:r>
      <w:r w:rsidRPr="001C5A49">
        <w:rPr>
          <w:spacing w:val="-4"/>
          <w:sz w:val="20"/>
        </w:rPr>
        <w:t>, vol. 45, no. 3, pp. 472–483.</w:t>
      </w:r>
    </w:p>
    <w:p w14:paraId="5953F204" w14:textId="77777777" w:rsidR="009C6940" w:rsidRPr="001C5A49" w:rsidRDefault="009C6940" w:rsidP="009C6940">
      <w:pPr>
        <w:pStyle w:val="Reference"/>
        <w:spacing w:before="100" w:line="260" w:lineRule="atLeast"/>
        <w:rPr>
          <w:spacing w:val="-4"/>
          <w:sz w:val="20"/>
        </w:rPr>
      </w:pPr>
      <w:r w:rsidRPr="001C5A49">
        <w:rPr>
          <w:spacing w:val="-4"/>
          <w:sz w:val="20"/>
        </w:rPr>
        <w:t xml:space="preserve">Kinchin, I. and Doran, C.M. 2017, ‘The economic cost of suicide and non-fatal suicide behavior in the Australian workforce and the potential impact of a Workplace Suicide Prevention Strategy’, </w:t>
      </w:r>
      <w:r w:rsidRPr="001C5A49">
        <w:rPr>
          <w:i/>
          <w:iCs/>
          <w:spacing w:val="-4"/>
          <w:sz w:val="20"/>
        </w:rPr>
        <w:t>International Journal of Environmental Research and Public Health</w:t>
      </w:r>
      <w:r w:rsidRPr="001C5A49">
        <w:rPr>
          <w:spacing w:val="-4"/>
          <w:sz w:val="20"/>
        </w:rPr>
        <w:t>, vol. 14, no. 4, p. 347.</w:t>
      </w:r>
    </w:p>
    <w:p w14:paraId="04787A38" w14:textId="77777777" w:rsidR="009C6940" w:rsidRPr="001C5A49" w:rsidRDefault="009C6940" w:rsidP="009C6940">
      <w:pPr>
        <w:pStyle w:val="Reference"/>
        <w:spacing w:before="100" w:line="260" w:lineRule="atLeast"/>
        <w:rPr>
          <w:spacing w:val="-4"/>
          <w:sz w:val="20"/>
        </w:rPr>
      </w:pPr>
      <w:r w:rsidRPr="001C5A49">
        <w:rPr>
          <w:spacing w:val="-4"/>
          <w:sz w:val="20"/>
        </w:rPr>
        <w:t xml:space="preserve">KPMG 2019, </w:t>
      </w:r>
      <w:r w:rsidRPr="001C5A49">
        <w:rPr>
          <w:i/>
          <w:iCs/>
          <w:spacing w:val="-4"/>
          <w:sz w:val="20"/>
        </w:rPr>
        <w:t>Final Report for the Evaluation of the Individual Placement and Support Trial</w:t>
      </w:r>
      <w:r w:rsidRPr="001C5A49">
        <w:rPr>
          <w:spacing w:val="-4"/>
          <w:sz w:val="20"/>
        </w:rPr>
        <w:t>, Final Report for the Department of Social Services.</w:t>
      </w:r>
    </w:p>
    <w:p w14:paraId="1CF56600" w14:textId="77777777" w:rsidR="009C6940" w:rsidRPr="001C5A49" w:rsidRDefault="009C6940" w:rsidP="009C6940">
      <w:pPr>
        <w:pStyle w:val="Reference"/>
        <w:spacing w:before="100" w:line="260" w:lineRule="atLeast"/>
        <w:rPr>
          <w:spacing w:val="-4"/>
          <w:sz w:val="20"/>
        </w:rPr>
      </w:pPr>
      <w:r w:rsidRPr="001C5A49">
        <w:rPr>
          <w:spacing w:val="-4"/>
          <w:sz w:val="20"/>
        </w:rPr>
        <w:t xml:space="preserve">—— and Mental Health Australia 2018, </w:t>
      </w:r>
      <w:r w:rsidRPr="001C5A49">
        <w:rPr>
          <w:i/>
          <w:iCs/>
          <w:spacing w:val="-4"/>
          <w:sz w:val="20"/>
        </w:rPr>
        <w:t>Investing to Save: The Economic Benefits for Australia of Investment in Mental Health Reform</w:t>
      </w:r>
      <w:r w:rsidRPr="001C5A49">
        <w:rPr>
          <w:spacing w:val="-4"/>
          <w:sz w:val="20"/>
        </w:rPr>
        <w:t>.</w:t>
      </w:r>
    </w:p>
    <w:p w14:paraId="0D56D58F" w14:textId="77777777" w:rsidR="009C6940" w:rsidRPr="001C5A49" w:rsidRDefault="009C6940" w:rsidP="009C6940">
      <w:pPr>
        <w:pStyle w:val="Reference"/>
        <w:spacing w:before="100" w:line="260" w:lineRule="atLeast"/>
        <w:rPr>
          <w:spacing w:val="-4"/>
          <w:sz w:val="20"/>
        </w:rPr>
      </w:pPr>
      <w:r w:rsidRPr="001C5A49">
        <w:rPr>
          <w:spacing w:val="-4"/>
          <w:sz w:val="20"/>
        </w:rPr>
        <w:t xml:space="preserve">Krysinska, K., Batterham, P.J., Tye, M., Shand, F., Calear, A.L., Cockayne, N. and Christensen, H. 2016, ‘Best strategies for reducing the suicide rate in Australia’, </w:t>
      </w:r>
      <w:r w:rsidRPr="001C5A49">
        <w:rPr>
          <w:i/>
          <w:iCs/>
          <w:spacing w:val="-4"/>
          <w:sz w:val="20"/>
        </w:rPr>
        <w:t>Australian and New Zealand Journal of Psychiatry</w:t>
      </w:r>
      <w:r w:rsidRPr="001C5A49">
        <w:rPr>
          <w:spacing w:val="-4"/>
          <w:sz w:val="20"/>
        </w:rPr>
        <w:t>, vol. 50, no. 2, pp. 115–118.</w:t>
      </w:r>
    </w:p>
    <w:p w14:paraId="574B9455" w14:textId="77777777" w:rsidR="009C6940" w:rsidRPr="001C5A49" w:rsidRDefault="009C6940" w:rsidP="009C6940">
      <w:pPr>
        <w:pStyle w:val="Reference"/>
        <w:spacing w:before="100" w:line="260" w:lineRule="atLeast"/>
        <w:rPr>
          <w:spacing w:val="-4"/>
          <w:sz w:val="20"/>
        </w:rPr>
      </w:pPr>
      <w:r w:rsidRPr="001C5A49">
        <w:rPr>
          <w:spacing w:val="-4"/>
          <w:sz w:val="20"/>
        </w:rPr>
        <w:t xml:space="preserve">Kukla, M. and Bond, G.R. 2013, ‘A randomized controlled trial of evidence based supported employment: nonvocational outcomes’, </w:t>
      </w:r>
      <w:r w:rsidRPr="001C5A49">
        <w:rPr>
          <w:i/>
          <w:iCs/>
          <w:spacing w:val="-4"/>
          <w:sz w:val="20"/>
        </w:rPr>
        <w:t>Journal of Vocational Rehabilitation</w:t>
      </w:r>
      <w:r w:rsidRPr="001C5A49">
        <w:rPr>
          <w:spacing w:val="-4"/>
          <w:sz w:val="20"/>
        </w:rPr>
        <w:t>, vol. 38, pp. 91–98.</w:t>
      </w:r>
    </w:p>
    <w:p w14:paraId="0986625D" w14:textId="77777777" w:rsidR="009C6940" w:rsidRPr="001C5A49" w:rsidRDefault="009C6940" w:rsidP="009C6940">
      <w:pPr>
        <w:pStyle w:val="Reference"/>
        <w:spacing w:before="100" w:line="260" w:lineRule="atLeast"/>
        <w:rPr>
          <w:spacing w:val="-4"/>
          <w:sz w:val="20"/>
        </w:rPr>
      </w:pPr>
      <w:r w:rsidRPr="001C5A49">
        <w:rPr>
          <w:spacing w:val="-4"/>
          <w:sz w:val="20"/>
        </w:rPr>
        <w:t xml:space="preserve">Lambert, M.J., Hansen, N.B. and Finch, A.E. 2001, ‘Patient-focused research: Using patient outcome data to enhance treatment effects’, </w:t>
      </w:r>
      <w:r w:rsidRPr="001C5A49">
        <w:rPr>
          <w:i/>
          <w:iCs/>
          <w:spacing w:val="-4"/>
          <w:sz w:val="20"/>
        </w:rPr>
        <w:t>Journal of Consulting and Clinical Psychology</w:t>
      </w:r>
      <w:r w:rsidRPr="001C5A49">
        <w:rPr>
          <w:spacing w:val="-4"/>
          <w:sz w:val="20"/>
        </w:rPr>
        <w:t>, vol. 69, no. 2, pp. 159–172.</w:t>
      </w:r>
    </w:p>
    <w:p w14:paraId="03784954" w14:textId="77777777" w:rsidR="009C6940" w:rsidRPr="001C5A49" w:rsidRDefault="009C6940" w:rsidP="009C6940">
      <w:pPr>
        <w:pStyle w:val="Reference"/>
        <w:spacing w:before="100" w:line="260" w:lineRule="atLeast"/>
        <w:rPr>
          <w:spacing w:val="-4"/>
          <w:sz w:val="20"/>
        </w:rPr>
      </w:pPr>
      <w:r w:rsidRPr="001C5A49">
        <w:rPr>
          <w:spacing w:val="-4"/>
          <w:sz w:val="20"/>
        </w:rPr>
        <w:t xml:space="preserve">Lee, Y.-C., Gao, L., Dear, B.F., Titov, N. and Mihalopoulos, C. 2017, ‘The Cost-effectiveness of the Online MindSpot Clinic for the Treatment of Depression and Anxiety in Australia’, </w:t>
      </w:r>
      <w:r w:rsidRPr="001C5A49">
        <w:rPr>
          <w:i/>
          <w:iCs/>
          <w:spacing w:val="-4"/>
          <w:sz w:val="20"/>
        </w:rPr>
        <w:t>The Journal of Mental Health Policy and Economics</w:t>
      </w:r>
      <w:r w:rsidRPr="001C5A49">
        <w:rPr>
          <w:spacing w:val="-4"/>
          <w:sz w:val="20"/>
        </w:rPr>
        <w:t>, vol. 20, no. 4.</w:t>
      </w:r>
    </w:p>
    <w:p w14:paraId="38A1D031" w14:textId="77777777" w:rsidR="009C6940" w:rsidRPr="001C5A49" w:rsidRDefault="009C6940" w:rsidP="009C6940">
      <w:pPr>
        <w:pStyle w:val="Reference"/>
        <w:spacing w:before="100" w:line="260" w:lineRule="atLeast"/>
        <w:rPr>
          <w:spacing w:val="-6"/>
          <w:sz w:val="20"/>
        </w:rPr>
      </w:pPr>
      <w:r w:rsidRPr="001C5A49">
        <w:rPr>
          <w:spacing w:val="-6"/>
          <w:sz w:val="20"/>
        </w:rPr>
        <w:t xml:space="preserve">Livingston, J.D. and Boyd, J.E. 2010, ‘Correlates and consequences of internalized stigma for people living with mental illness: A systematic review and meta-analysis’, </w:t>
      </w:r>
      <w:r w:rsidRPr="001C5A49">
        <w:rPr>
          <w:i/>
          <w:iCs/>
          <w:spacing w:val="-6"/>
          <w:sz w:val="20"/>
        </w:rPr>
        <w:t>Social Science &amp; Medicine</w:t>
      </w:r>
      <w:r w:rsidRPr="001C5A49">
        <w:rPr>
          <w:spacing w:val="-6"/>
          <w:sz w:val="20"/>
        </w:rPr>
        <w:t>, vol. 71, no. 12, pp. 2150–2161.</w:t>
      </w:r>
    </w:p>
    <w:p w14:paraId="32BCB5E1" w14:textId="77777777" w:rsidR="009C6940" w:rsidRPr="001C5A49" w:rsidRDefault="009C6940" w:rsidP="009C6940">
      <w:pPr>
        <w:pStyle w:val="Reference"/>
        <w:spacing w:before="100" w:line="260" w:lineRule="atLeast"/>
        <w:rPr>
          <w:spacing w:val="-4"/>
          <w:sz w:val="20"/>
        </w:rPr>
      </w:pPr>
      <w:r w:rsidRPr="001C5A49">
        <w:rPr>
          <w:spacing w:val="-4"/>
          <w:sz w:val="20"/>
        </w:rPr>
        <w:t xml:space="preserve">LMIP (Labour Market Information Portal) 2018, </w:t>
      </w:r>
      <w:r w:rsidRPr="001C5A49">
        <w:rPr>
          <w:i/>
          <w:iCs/>
          <w:spacing w:val="-4"/>
          <w:sz w:val="20"/>
        </w:rPr>
        <w:t>DES monthly report - 30 June 2018</w:t>
      </w:r>
      <w:r w:rsidRPr="001C5A49">
        <w:rPr>
          <w:spacing w:val="-4"/>
          <w:sz w:val="20"/>
        </w:rPr>
        <w:t>, http://lmip.gov.au/</w:t>
      </w:r>
      <w:r w:rsidRPr="001C5A49">
        <w:rPr>
          <w:spacing w:val="-4"/>
          <w:sz w:val="20"/>
        </w:rPr>
        <w:br/>
        <w:t>PortalFile.axd?FieldID=3159648&amp;.pdf (accessed 9 October 2019).</w:t>
      </w:r>
    </w:p>
    <w:p w14:paraId="0C9A368F" w14:textId="77777777" w:rsidR="009C6940" w:rsidRPr="001C5A49" w:rsidRDefault="009C6940" w:rsidP="009C6940">
      <w:pPr>
        <w:pStyle w:val="Reference"/>
        <w:spacing w:before="100" w:line="260" w:lineRule="atLeast"/>
        <w:rPr>
          <w:spacing w:val="-4"/>
          <w:sz w:val="20"/>
        </w:rPr>
      </w:pPr>
      <w:r w:rsidRPr="001C5A49">
        <w:rPr>
          <w:spacing w:val="-4"/>
          <w:sz w:val="20"/>
        </w:rPr>
        <w:t xml:space="preserve">LSBC (Victorian Legal Services Board + Commissioner) 2019, </w:t>
      </w:r>
      <w:r w:rsidRPr="001C5A49">
        <w:rPr>
          <w:i/>
          <w:iCs/>
          <w:spacing w:val="-4"/>
          <w:sz w:val="20"/>
        </w:rPr>
        <w:t>Annual Report 2019</w:t>
      </w:r>
      <w:r w:rsidRPr="001C5A49">
        <w:rPr>
          <w:spacing w:val="-4"/>
          <w:sz w:val="20"/>
        </w:rPr>
        <w:t>.</w:t>
      </w:r>
    </w:p>
    <w:p w14:paraId="132BB9CF" w14:textId="77777777" w:rsidR="009C6940" w:rsidRPr="001C5A49" w:rsidRDefault="009C6940" w:rsidP="009C6940">
      <w:pPr>
        <w:pStyle w:val="Reference"/>
        <w:spacing w:before="100" w:line="260" w:lineRule="atLeast"/>
        <w:rPr>
          <w:spacing w:val="-4"/>
          <w:sz w:val="20"/>
        </w:rPr>
      </w:pPr>
      <w:r w:rsidRPr="001C5A49">
        <w:rPr>
          <w:spacing w:val="-4"/>
          <w:sz w:val="20"/>
        </w:rPr>
        <w:lastRenderedPageBreak/>
        <w:t xml:space="preserve">Martin, A., Sanderson, K. and Cocker, F. 2009, ‘Meta-analysis of the effects of health promotion intervention in the workplace on depression and anxiety symptoms’, </w:t>
      </w:r>
      <w:r w:rsidRPr="001C5A49">
        <w:rPr>
          <w:i/>
          <w:iCs/>
          <w:spacing w:val="-4"/>
          <w:sz w:val="20"/>
        </w:rPr>
        <w:t>Scandinavian Journal of Work, Environment &amp; Health</w:t>
      </w:r>
      <w:r w:rsidRPr="001C5A49">
        <w:rPr>
          <w:spacing w:val="-4"/>
          <w:sz w:val="20"/>
        </w:rPr>
        <w:t>, vol. 35, no. 1, pp. 7–18.</w:t>
      </w:r>
    </w:p>
    <w:p w14:paraId="0F83F3F9" w14:textId="77777777" w:rsidR="009C6940" w:rsidRPr="001C5A49" w:rsidRDefault="009C6940" w:rsidP="009C6940">
      <w:pPr>
        <w:pStyle w:val="Reference"/>
        <w:spacing w:before="100" w:line="260" w:lineRule="atLeast"/>
        <w:rPr>
          <w:spacing w:val="-4"/>
          <w:sz w:val="20"/>
        </w:rPr>
      </w:pPr>
      <w:r w:rsidRPr="001C5A49">
        <w:rPr>
          <w:spacing w:val="-4"/>
          <w:sz w:val="20"/>
        </w:rPr>
        <w:t xml:space="preserve">McCann, T.V., Lubman, D.I., Cotton, S.M., Murphy, B., Crisp, K., Catania, L., Marck, C. and Gleeson, J.F. 2013, ‘A randomized controlled trial of bibliotherapy for carers of young people with first-episode psychosis’, </w:t>
      </w:r>
      <w:r w:rsidRPr="001C5A49">
        <w:rPr>
          <w:i/>
          <w:iCs/>
          <w:spacing w:val="-4"/>
          <w:sz w:val="20"/>
        </w:rPr>
        <w:t>Schizophrenia Bulletin</w:t>
      </w:r>
      <w:r w:rsidRPr="001C5A49">
        <w:rPr>
          <w:spacing w:val="-4"/>
          <w:sz w:val="20"/>
        </w:rPr>
        <w:t>, vol. 39, no. 6, pp. 1307–1317.</w:t>
      </w:r>
    </w:p>
    <w:p w14:paraId="54334CA8" w14:textId="77777777" w:rsidR="009C6940" w:rsidRPr="001C5A49" w:rsidRDefault="009C6940" w:rsidP="009C6940">
      <w:pPr>
        <w:pStyle w:val="Reference"/>
        <w:spacing w:before="100" w:line="260" w:lineRule="atLeast"/>
        <w:rPr>
          <w:spacing w:val="-4"/>
          <w:sz w:val="20"/>
        </w:rPr>
      </w:pPr>
      <w:r w:rsidRPr="001C5A49">
        <w:rPr>
          <w:spacing w:val="-4"/>
          <w:sz w:val="20"/>
        </w:rPr>
        <w:t xml:space="preserve">MCV (Magistrates’ Court of Victoria) 2018, </w:t>
      </w:r>
      <w:r w:rsidRPr="001C5A49">
        <w:rPr>
          <w:i/>
          <w:iCs/>
          <w:spacing w:val="-4"/>
          <w:sz w:val="20"/>
        </w:rPr>
        <w:t>2017-18 Annual Report</w:t>
      </w:r>
      <w:r w:rsidRPr="001C5A49">
        <w:rPr>
          <w:spacing w:val="-4"/>
          <w:sz w:val="20"/>
        </w:rPr>
        <w:t>, Melbourne.</w:t>
      </w:r>
    </w:p>
    <w:p w14:paraId="4F10A185" w14:textId="77777777" w:rsidR="009C6940" w:rsidRPr="001C5A49" w:rsidRDefault="009C6940" w:rsidP="009C6940">
      <w:pPr>
        <w:pStyle w:val="Reference"/>
        <w:spacing w:before="100" w:line="260" w:lineRule="atLeast"/>
        <w:rPr>
          <w:spacing w:val="-6"/>
          <w:sz w:val="20"/>
        </w:rPr>
      </w:pPr>
      <w:r w:rsidRPr="001C5A49">
        <w:rPr>
          <w:spacing w:val="-6"/>
          <w:sz w:val="20"/>
        </w:rPr>
        <w:t xml:space="preserve">Meehan, T. and Stedman, T. 2012, ‘Trends in the use of Emergency Examination Orders in Queensland since the implementation of the Mental Health Intervention Project’, </w:t>
      </w:r>
      <w:r w:rsidRPr="001C5A49">
        <w:rPr>
          <w:i/>
          <w:iCs/>
          <w:spacing w:val="-6"/>
          <w:sz w:val="20"/>
        </w:rPr>
        <w:t>Australasian Psychiatry</w:t>
      </w:r>
      <w:r w:rsidRPr="001C5A49">
        <w:rPr>
          <w:spacing w:val="-6"/>
          <w:sz w:val="20"/>
        </w:rPr>
        <w:t>, vol. 20, no. 4, pp. 287–290.</w:t>
      </w:r>
    </w:p>
    <w:p w14:paraId="4C115903" w14:textId="77777777" w:rsidR="009C6940" w:rsidRPr="001C5A49" w:rsidRDefault="009C6940" w:rsidP="009C6940">
      <w:pPr>
        <w:pStyle w:val="Reference"/>
        <w:spacing w:before="100" w:line="260" w:lineRule="atLeast"/>
        <w:rPr>
          <w:spacing w:val="-4"/>
          <w:sz w:val="20"/>
        </w:rPr>
      </w:pPr>
      <w:r w:rsidRPr="001C5A49">
        <w:rPr>
          <w:spacing w:val="-4"/>
          <w:sz w:val="20"/>
        </w:rPr>
        <w:t xml:space="preserve">MHFA Australia (Mental Health First Aid Australia) 2020, </w:t>
      </w:r>
      <w:r w:rsidRPr="001C5A49">
        <w:rPr>
          <w:i/>
          <w:iCs/>
          <w:spacing w:val="-4"/>
          <w:sz w:val="20"/>
        </w:rPr>
        <w:t>Workplace | Mental Health First Aid</w:t>
      </w:r>
      <w:r w:rsidRPr="001C5A49">
        <w:rPr>
          <w:spacing w:val="-4"/>
          <w:sz w:val="20"/>
        </w:rPr>
        <w:t>, https://mhfa.com.au/courses/public/types/blendedworkplace (accessed 5 May 2020).</w:t>
      </w:r>
    </w:p>
    <w:p w14:paraId="50909EEE" w14:textId="77777777" w:rsidR="009C6940" w:rsidRPr="001C5A49" w:rsidRDefault="009C6940" w:rsidP="009C6940">
      <w:pPr>
        <w:pStyle w:val="Reference"/>
        <w:spacing w:before="100" w:line="260" w:lineRule="atLeast"/>
        <w:rPr>
          <w:spacing w:val="-4"/>
          <w:sz w:val="20"/>
        </w:rPr>
      </w:pPr>
      <w:r w:rsidRPr="001C5A49">
        <w:rPr>
          <w:spacing w:val="-4"/>
          <w:sz w:val="20"/>
        </w:rPr>
        <w:t xml:space="preserve">MHLC (Mental Health Legal Centre) 2019, </w:t>
      </w:r>
      <w:r w:rsidRPr="001C5A49">
        <w:rPr>
          <w:i/>
          <w:iCs/>
          <w:spacing w:val="-4"/>
          <w:sz w:val="20"/>
        </w:rPr>
        <w:t>Submission to the Royal Commission into Victoria’s Mental Health System</w:t>
      </w:r>
      <w:r w:rsidRPr="001C5A49">
        <w:rPr>
          <w:spacing w:val="-4"/>
          <w:sz w:val="20"/>
        </w:rPr>
        <w:t>, Submission, SUB.0002.0032.0106, Melbourne.</w:t>
      </w:r>
    </w:p>
    <w:p w14:paraId="572DFE4E" w14:textId="77777777" w:rsidR="009C6940" w:rsidRPr="001C5A49" w:rsidRDefault="009C6940" w:rsidP="009C6940">
      <w:pPr>
        <w:pStyle w:val="Reference"/>
        <w:spacing w:before="100" w:line="260" w:lineRule="atLeast"/>
        <w:rPr>
          <w:spacing w:val="-4"/>
          <w:sz w:val="20"/>
        </w:rPr>
      </w:pPr>
      <w:r w:rsidRPr="001C5A49">
        <w:rPr>
          <w:spacing w:val="-4"/>
          <w:sz w:val="20"/>
        </w:rPr>
        <w:t xml:space="preserve">Michon, H., van Vugt, M.D., van Busschbach, J., Stant, A.D. and van Weeghel, J. 2014, ‘Effectiveness of Individual Placement and Support for people with severe mental illness in the Netherlands: a 30-month randomised controlled trial’, </w:t>
      </w:r>
      <w:r w:rsidRPr="001C5A49">
        <w:rPr>
          <w:i/>
          <w:iCs/>
          <w:spacing w:val="-4"/>
          <w:sz w:val="20"/>
        </w:rPr>
        <w:t>Psychiatric Rehabilitation Journal</w:t>
      </w:r>
      <w:r w:rsidRPr="001C5A49">
        <w:rPr>
          <w:spacing w:val="-4"/>
          <w:sz w:val="20"/>
        </w:rPr>
        <w:t>, vol. 37, no. 2, pp. 129–136.</w:t>
      </w:r>
    </w:p>
    <w:p w14:paraId="1A81DB1E" w14:textId="77777777" w:rsidR="009C6940" w:rsidRPr="001C5A49" w:rsidRDefault="009C6940" w:rsidP="009C6940">
      <w:pPr>
        <w:pStyle w:val="Reference"/>
        <w:spacing w:before="100" w:line="260" w:lineRule="atLeast"/>
        <w:rPr>
          <w:spacing w:val="-4"/>
          <w:sz w:val="20"/>
        </w:rPr>
      </w:pPr>
      <w:r w:rsidRPr="001C5A49">
        <w:rPr>
          <w:spacing w:val="-4"/>
          <w:sz w:val="20"/>
        </w:rPr>
        <w:t xml:space="preserve">Mihalopoulos, C., Vos, T., Rapee, R.M., Pirkis, J., Chatterton, M.L., Lee, Y.-C. and Carter, R. 2015, ‘The population cost-effectiveness of a parenting intervention designed to prevent anxiety disorders in children’, </w:t>
      </w:r>
      <w:r w:rsidRPr="001C5A49">
        <w:rPr>
          <w:i/>
          <w:iCs/>
          <w:spacing w:val="-4"/>
          <w:sz w:val="20"/>
        </w:rPr>
        <w:t>Journal of Child Psychology and Psychiatry</w:t>
      </w:r>
      <w:r w:rsidRPr="001C5A49">
        <w:rPr>
          <w:spacing w:val="-4"/>
          <w:sz w:val="20"/>
        </w:rPr>
        <w:t>, vol. 56, no. 9, pp. 1026–1033.</w:t>
      </w:r>
    </w:p>
    <w:p w14:paraId="02BFCD24" w14:textId="77777777" w:rsidR="009C6940" w:rsidRPr="001C5A49" w:rsidRDefault="009C6940" w:rsidP="009C6940">
      <w:pPr>
        <w:pStyle w:val="Reference"/>
        <w:spacing w:before="100" w:line="260" w:lineRule="atLeast"/>
        <w:rPr>
          <w:spacing w:val="-4"/>
          <w:sz w:val="20"/>
        </w:rPr>
      </w:pPr>
      <w:r w:rsidRPr="001C5A49">
        <w:rPr>
          <w:spacing w:val="-4"/>
          <w:sz w:val="20"/>
        </w:rPr>
        <w:t xml:space="preserve">Mind Australia 2018, </w:t>
      </w:r>
      <w:r w:rsidRPr="001C5A49">
        <w:rPr>
          <w:i/>
          <w:iCs/>
          <w:spacing w:val="-4"/>
          <w:sz w:val="20"/>
        </w:rPr>
        <w:t>Media Release: Funding for Legal Assistance for People with Mental Ill-Health</w:t>
      </w:r>
      <w:r w:rsidRPr="001C5A49">
        <w:rPr>
          <w:spacing w:val="-4"/>
          <w:sz w:val="20"/>
        </w:rPr>
        <w:t>.</w:t>
      </w:r>
    </w:p>
    <w:p w14:paraId="132D9D3F" w14:textId="77777777" w:rsidR="009C6940" w:rsidRPr="001C5A49" w:rsidRDefault="009C6940" w:rsidP="009C6940">
      <w:pPr>
        <w:pStyle w:val="Reference"/>
        <w:spacing w:before="100" w:line="260" w:lineRule="atLeast"/>
        <w:rPr>
          <w:spacing w:val="-4"/>
          <w:sz w:val="20"/>
        </w:rPr>
      </w:pPr>
      <w:r w:rsidRPr="001C5A49">
        <w:rPr>
          <w:spacing w:val="-4"/>
          <w:sz w:val="20"/>
        </w:rPr>
        <w:t xml:space="preserve">Muir, K., Martin, C., Liu, E., Kaleveld, L., Flatau, P., Etuk, L. and Pawson, H. 2018, </w:t>
      </w:r>
      <w:r w:rsidRPr="001C5A49">
        <w:rPr>
          <w:i/>
          <w:iCs/>
          <w:spacing w:val="-4"/>
          <w:sz w:val="20"/>
        </w:rPr>
        <w:t>Amplify Insights: Housing Affordability and Homelessness</w:t>
      </w:r>
      <w:r w:rsidRPr="001C5A49">
        <w:rPr>
          <w:spacing w:val="-4"/>
          <w:sz w:val="20"/>
        </w:rPr>
        <w:t>, Centre for Social Impact, UNSW, Sydney.</w:t>
      </w:r>
    </w:p>
    <w:p w14:paraId="57F63216" w14:textId="77777777" w:rsidR="009C6940" w:rsidRPr="001C5A49" w:rsidRDefault="009C6940" w:rsidP="009C6940">
      <w:pPr>
        <w:pStyle w:val="Reference"/>
        <w:spacing w:before="100" w:line="260" w:lineRule="atLeast"/>
        <w:rPr>
          <w:spacing w:val="-4"/>
          <w:sz w:val="20"/>
        </w:rPr>
      </w:pPr>
      <w:r w:rsidRPr="001C5A49">
        <w:rPr>
          <w:spacing w:val="-4"/>
          <w:sz w:val="20"/>
        </w:rPr>
        <w:t xml:space="preserve">Muir, S., Meyer, D. and Thomas, N. 2016, </w:t>
      </w:r>
      <w:r w:rsidRPr="001C5A49">
        <w:rPr>
          <w:i/>
          <w:iCs/>
          <w:spacing w:val="-4"/>
          <w:sz w:val="20"/>
        </w:rPr>
        <w:t>Evaluation of outcomes for Wellways Australia: Recovery Star and Camberwell Assessment of Needs data analysis</w:t>
      </w:r>
      <w:r w:rsidRPr="001C5A49">
        <w:rPr>
          <w:spacing w:val="-4"/>
          <w:sz w:val="20"/>
        </w:rPr>
        <w:t>.</w:t>
      </w:r>
    </w:p>
    <w:p w14:paraId="1AEC4951" w14:textId="77777777" w:rsidR="009C6940" w:rsidRPr="001C5A49" w:rsidRDefault="009C6940" w:rsidP="009C6940">
      <w:pPr>
        <w:pStyle w:val="Reference"/>
        <w:spacing w:before="100" w:line="260" w:lineRule="atLeast"/>
        <w:rPr>
          <w:spacing w:val="-4"/>
          <w:sz w:val="20"/>
        </w:rPr>
      </w:pPr>
      <w:r w:rsidRPr="001C5A49">
        <w:rPr>
          <w:spacing w:val="-4"/>
          <w:sz w:val="20"/>
        </w:rPr>
        <w:t xml:space="preserve">Nous Group 2014, </w:t>
      </w:r>
      <w:r w:rsidRPr="001C5A49">
        <w:rPr>
          <w:i/>
          <w:iCs/>
          <w:spacing w:val="-4"/>
          <w:sz w:val="20"/>
        </w:rPr>
        <w:t>Doorway – Summative Evaluation – November 2013</w:t>
      </w:r>
      <w:r w:rsidRPr="001C5A49">
        <w:rPr>
          <w:spacing w:val="-4"/>
          <w:sz w:val="20"/>
        </w:rPr>
        <w:t>, Mental Illness Fellowship Victoria, Melbourne.</w:t>
      </w:r>
    </w:p>
    <w:p w14:paraId="75C55B4D" w14:textId="77777777" w:rsidR="009C6940" w:rsidRPr="001C5A49" w:rsidRDefault="009C6940" w:rsidP="009C6940">
      <w:pPr>
        <w:pStyle w:val="Reference"/>
        <w:spacing w:before="100" w:line="260" w:lineRule="atLeast"/>
        <w:rPr>
          <w:spacing w:val="-4"/>
          <w:sz w:val="20"/>
        </w:rPr>
      </w:pPr>
      <w:r w:rsidRPr="001C5A49">
        <w:rPr>
          <w:spacing w:val="-4"/>
          <w:sz w:val="20"/>
        </w:rPr>
        <w:t xml:space="preserve">NSW MHC (Mental Health Commission of New South Wales) 2017, </w:t>
      </w:r>
      <w:r w:rsidRPr="001C5A49">
        <w:rPr>
          <w:i/>
          <w:iCs/>
          <w:spacing w:val="-4"/>
          <w:sz w:val="20"/>
        </w:rPr>
        <w:t>Towards A Just System: Mental Illness and Cognitive Impairment in the Criminal Justice System</w:t>
      </w:r>
      <w:r w:rsidRPr="001C5A49">
        <w:rPr>
          <w:spacing w:val="-4"/>
          <w:sz w:val="20"/>
        </w:rPr>
        <w:t>, Sydney.</w:t>
      </w:r>
    </w:p>
    <w:p w14:paraId="2F4C7FA0" w14:textId="77777777" w:rsidR="009C6940" w:rsidRPr="001C5A49" w:rsidRDefault="009C6940" w:rsidP="009C6940">
      <w:pPr>
        <w:pStyle w:val="Reference"/>
        <w:spacing w:before="100" w:line="260" w:lineRule="atLeast"/>
        <w:rPr>
          <w:spacing w:val="-4"/>
          <w:sz w:val="20"/>
        </w:rPr>
      </w:pPr>
      <w:r w:rsidRPr="001C5A49">
        <w:rPr>
          <w:spacing w:val="-4"/>
          <w:sz w:val="20"/>
        </w:rPr>
        <w:t xml:space="preserve">NSW MHRT (New South Wales Mental Health Review Tribunal) 2019, </w:t>
      </w:r>
      <w:r w:rsidRPr="001C5A49">
        <w:rPr>
          <w:i/>
          <w:iCs/>
          <w:spacing w:val="-4"/>
          <w:sz w:val="20"/>
        </w:rPr>
        <w:t>Annual Report 2018/19</w:t>
      </w:r>
      <w:r w:rsidRPr="001C5A49">
        <w:rPr>
          <w:spacing w:val="-4"/>
          <w:sz w:val="20"/>
        </w:rPr>
        <w:t>, Sydney.</w:t>
      </w:r>
    </w:p>
    <w:p w14:paraId="24C8F145" w14:textId="77777777" w:rsidR="009C6940" w:rsidRPr="001C5A49" w:rsidRDefault="009C6940" w:rsidP="009C6940">
      <w:pPr>
        <w:pStyle w:val="Reference"/>
        <w:spacing w:before="100" w:line="260" w:lineRule="atLeast"/>
        <w:rPr>
          <w:spacing w:val="-4"/>
          <w:sz w:val="20"/>
        </w:rPr>
      </w:pPr>
      <w:r w:rsidRPr="001C5A49">
        <w:rPr>
          <w:spacing w:val="-4"/>
          <w:sz w:val="20"/>
        </w:rPr>
        <w:t xml:space="preserve">NT MHRT (Northern Territory Mental Health Review Tribunal) 2019, </w:t>
      </w:r>
      <w:r w:rsidRPr="001C5A49">
        <w:rPr>
          <w:i/>
          <w:iCs/>
          <w:spacing w:val="-4"/>
          <w:sz w:val="20"/>
        </w:rPr>
        <w:t>Annual Report 2018-19</w:t>
      </w:r>
      <w:r w:rsidRPr="001C5A49">
        <w:rPr>
          <w:spacing w:val="-4"/>
          <w:sz w:val="20"/>
        </w:rPr>
        <w:t>, Darwin.</w:t>
      </w:r>
    </w:p>
    <w:p w14:paraId="4BDCBD3B" w14:textId="77777777" w:rsidR="009C6940" w:rsidRPr="001C5A49" w:rsidRDefault="009C6940" w:rsidP="009C6940">
      <w:pPr>
        <w:pStyle w:val="Reference"/>
        <w:spacing w:before="100" w:line="260" w:lineRule="atLeast"/>
        <w:rPr>
          <w:spacing w:val="-4"/>
          <w:sz w:val="20"/>
        </w:rPr>
      </w:pPr>
      <w:r w:rsidRPr="001C5A49">
        <w:rPr>
          <w:spacing w:val="-4"/>
          <w:sz w:val="20"/>
        </w:rPr>
        <w:t xml:space="preserve">O’Brien, A.P., McNeil, K.A., Fletcher, R., Conrad, A., Wilson, A.J., Jones, D. and Chan, S.W. 2017, ‘New Fathers’ Perinatal Depression and Anxiety—Treatment Options: An Integrative Review’, SAGE Publications Inc, </w:t>
      </w:r>
      <w:r w:rsidRPr="001C5A49">
        <w:rPr>
          <w:i/>
          <w:iCs/>
          <w:spacing w:val="-4"/>
          <w:sz w:val="20"/>
        </w:rPr>
        <w:t>American Journal of Men’s Health</w:t>
      </w:r>
      <w:r w:rsidRPr="001C5A49">
        <w:rPr>
          <w:spacing w:val="-4"/>
          <w:sz w:val="20"/>
        </w:rPr>
        <w:t>, vol. 11, no. 4, pp. 863–876.</w:t>
      </w:r>
    </w:p>
    <w:p w14:paraId="6E54601D" w14:textId="77777777" w:rsidR="009C6940" w:rsidRPr="001C5A49" w:rsidRDefault="009C6940" w:rsidP="009C6940">
      <w:pPr>
        <w:pStyle w:val="Reference"/>
        <w:spacing w:before="100" w:line="260" w:lineRule="atLeast"/>
        <w:rPr>
          <w:spacing w:val="-6"/>
          <w:sz w:val="20"/>
        </w:rPr>
      </w:pPr>
      <w:r w:rsidRPr="001C5A49">
        <w:rPr>
          <w:spacing w:val="-6"/>
          <w:sz w:val="20"/>
        </w:rPr>
        <w:t xml:space="preserve">Paulson, J.F. and Bazemore, S.D. 2010, ‘Prenatal and Postpartum Depression in Fathers and Its Association With Maternal Depression: A Meta-analysis’, American Medical Association, </w:t>
      </w:r>
      <w:r w:rsidRPr="001C5A49">
        <w:rPr>
          <w:i/>
          <w:iCs/>
          <w:spacing w:val="-6"/>
          <w:sz w:val="20"/>
        </w:rPr>
        <w:t>JAMA</w:t>
      </w:r>
      <w:r w:rsidRPr="001C5A49">
        <w:rPr>
          <w:spacing w:val="-6"/>
          <w:sz w:val="20"/>
        </w:rPr>
        <w:t>, vol. 303, no. 19, pp. 1961–1969.</w:t>
      </w:r>
    </w:p>
    <w:p w14:paraId="35F83704" w14:textId="77777777" w:rsidR="009C6940" w:rsidRPr="001C5A49" w:rsidRDefault="009C6940" w:rsidP="009C6940">
      <w:pPr>
        <w:pStyle w:val="Reference"/>
        <w:spacing w:before="100" w:line="260" w:lineRule="atLeast"/>
        <w:rPr>
          <w:spacing w:val="-4"/>
          <w:sz w:val="20"/>
        </w:rPr>
      </w:pPr>
      <w:r w:rsidRPr="001C5A49">
        <w:rPr>
          <w:spacing w:val="-4"/>
          <w:sz w:val="20"/>
        </w:rPr>
        <w:t xml:space="preserve">Pharoah, F., Mari, J.J., Rathbone, J. and Wong, W. 2010, ‘Family intervention for schizophrenia’, </w:t>
      </w:r>
      <w:r w:rsidRPr="001C5A49">
        <w:rPr>
          <w:i/>
          <w:iCs/>
          <w:spacing w:val="-4"/>
          <w:sz w:val="20"/>
        </w:rPr>
        <w:t>Cochrane Database of Systematic Reviews</w:t>
      </w:r>
      <w:r w:rsidRPr="001C5A49">
        <w:rPr>
          <w:spacing w:val="-4"/>
          <w:sz w:val="20"/>
        </w:rPr>
        <w:t>, no. 12, p. Art. CD000088.</w:t>
      </w:r>
    </w:p>
    <w:p w14:paraId="0E635F4F" w14:textId="77777777" w:rsidR="009C6940" w:rsidRPr="001C5A49" w:rsidRDefault="009C6940" w:rsidP="009C6940">
      <w:pPr>
        <w:pStyle w:val="Reference"/>
        <w:spacing w:before="100" w:line="260" w:lineRule="atLeast"/>
        <w:rPr>
          <w:spacing w:val="-4"/>
          <w:sz w:val="20"/>
        </w:rPr>
      </w:pPr>
      <w:r w:rsidRPr="001C5A49">
        <w:rPr>
          <w:spacing w:val="-4"/>
          <w:sz w:val="20"/>
        </w:rPr>
        <w:t xml:space="preserve">Pleace, N., Baptista, I., Benjaminsen, L. and Busch-Geertsema, V. 2013, </w:t>
      </w:r>
      <w:r w:rsidRPr="001C5A49">
        <w:rPr>
          <w:i/>
          <w:iCs/>
          <w:spacing w:val="-4"/>
          <w:sz w:val="20"/>
        </w:rPr>
        <w:t>The Costs of Homelessness in Europe</w:t>
      </w:r>
      <w:r w:rsidRPr="001C5A49">
        <w:rPr>
          <w:spacing w:val="-4"/>
          <w:sz w:val="20"/>
        </w:rPr>
        <w:t>, European Observatory on Homelessness.</w:t>
      </w:r>
    </w:p>
    <w:p w14:paraId="154C1EC9" w14:textId="77777777" w:rsidR="009C6940" w:rsidRPr="001C5A49" w:rsidRDefault="009C6940" w:rsidP="009C6940">
      <w:pPr>
        <w:pStyle w:val="Reference"/>
        <w:spacing w:before="100" w:line="260" w:lineRule="atLeast"/>
        <w:rPr>
          <w:spacing w:val="-4"/>
          <w:sz w:val="20"/>
        </w:rPr>
      </w:pPr>
      <w:r w:rsidRPr="001C5A49">
        <w:rPr>
          <w:spacing w:val="-4"/>
          <w:sz w:val="20"/>
        </w:rPr>
        <w:t xml:space="preserve">PwC (PricewaterhouseCoopers) 2018, </w:t>
      </w:r>
      <w:r w:rsidRPr="001C5A49">
        <w:rPr>
          <w:i/>
          <w:iCs/>
          <w:spacing w:val="-4"/>
          <w:sz w:val="20"/>
        </w:rPr>
        <w:t>Economic impact of the Safe Haven Cafe Melbourne</w:t>
      </w:r>
      <w:r w:rsidRPr="001C5A49">
        <w:rPr>
          <w:spacing w:val="-4"/>
          <w:sz w:val="20"/>
        </w:rPr>
        <w:t>, Melbourne.</w:t>
      </w:r>
    </w:p>
    <w:p w14:paraId="2445CAA1" w14:textId="77777777" w:rsidR="009C6940" w:rsidRPr="001C5A49" w:rsidRDefault="009C6940" w:rsidP="009C6940">
      <w:pPr>
        <w:pStyle w:val="Reference"/>
        <w:spacing w:before="100" w:line="260" w:lineRule="atLeast"/>
        <w:rPr>
          <w:spacing w:val="-4"/>
          <w:sz w:val="20"/>
        </w:rPr>
      </w:pPr>
      <w:r w:rsidRPr="001C5A49">
        <w:rPr>
          <w:spacing w:val="-4"/>
          <w:sz w:val="20"/>
        </w:rPr>
        <w:t xml:space="preserve">QLD MHRT (Queensland Mental Health Review Tribunal) 2019, </w:t>
      </w:r>
      <w:r w:rsidRPr="001C5A49">
        <w:rPr>
          <w:i/>
          <w:iCs/>
          <w:spacing w:val="-4"/>
          <w:sz w:val="20"/>
        </w:rPr>
        <w:t>Annual Report 2018-19</w:t>
      </w:r>
      <w:r w:rsidRPr="001C5A49">
        <w:rPr>
          <w:spacing w:val="-4"/>
          <w:sz w:val="20"/>
        </w:rPr>
        <w:t>, Queensland Government, Brisbane.</w:t>
      </w:r>
    </w:p>
    <w:p w14:paraId="247B5284" w14:textId="77777777" w:rsidR="009C6940" w:rsidRPr="001C5A49" w:rsidRDefault="009C6940" w:rsidP="009C6940">
      <w:pPr>
        <w:pStyle w:val="Reference"/>
        <w:spacing w:before="100" w:line="260" w:lineRule="atLeast"/>
        <w:rPr>
          <w:spacing w:val="-4"/>
          <w:sz w:val="20"/>
        </w:rPr>
      </w:pPr>
      <w:r w:rsidRPr="001C5A49">
        <w:rPr>
          <w:spacing w:val="-4"/>
          <w:sz w:val="20"/>
        </w:rPr>
        <w:t xml:space="preserve">Queensland Health 2019, </w:t>
      </w:r>
      <w:r w:rsidRPr="001C5A49">
        <w:rPr>
          <w:i/>
          <w:iCs/>
          <w:spacing w:val="-4"/>
          <w:sz w:val="20"/>
        </w:rPr>
        <w:t>Chief Psychiatrist Annual Report 2018-19</w:t>
      </w:r>
      <w:r w:rsidRPr="001C5A49">
        <w:rPr>
          <w:spacing w:val="-4"/>
          <w:sz w:val="20"/>
        </w:rPr>
        <w:t>, Queensland Government, Fortitude Valley.</w:t>
      </w:r>
    </w:p>
    <w:p w14:paraId="2A194521" w14:textId="77777777" w:rsidR="009C6940" w:rsidRPr="001C5A49" w:rsidRDefault="009C6940" w:rsidP="009C6940">
      <w:pPr>
        <w:pStyle w:val="Reference"/>
        <w:spacing w:before="100" w:line="260" w:lineRule="atLeast"/>
        <w:rPr>
          <w:spacing w:val="-4"/>
          <w:sz w:val="20"/>
        </w:rPr>
      </w:pPr>
      <w:r w:rsidRPr="001C5A49">
        <w:rPr>
          <w:spacing w:val="-4"/>
          <w:sz w:val="20"/>
        </w:rPr>
        <w:lastRenderedPageBreak/>
        <w:t xml:space="preserve">Rapee, R.M., Kennedy, S., Ingram, M., Edwards, S. and Sweeney, L. 2005, ‘Prevention and early intervention of anxiety disorders in inhibited preschool children.’, </w:t>
      </w:r>
      <w:r w:rsidRPr="001C5A49">
        <w:rPr>
          <w:i/>
          <w:iCs/>
          <w:spacing w:val="-4"/>
          <w:sz w:val="20"/>
        </w:rPr>
        <w:t>Journal of consulting and clinical psychology</w:t>
      </w:r>
      <w:r w:rsidRPr="001C5A49">
        <w:rPr>
          <w:spacing w:val="-4"/>
          <w:sz w:val="20"/>
        </w:rPr>
        <w:t>, vol. 73, no. 3, p. 488.</w:t>
      </w:r>
    </w:p>
    <w:p w14:paraId="267DDF27" w14:textId="77777777" w:rsidR="009C6940" w:rsidRPr="001C5A49" w:rsidRDefault="009C6940" w:rsidP="009C6940">
      <w:pPr>
        <w:pStyle w:val="Reference"/>
        <w:spacing w:before="100" w:line="260" w:lineRule="atLeast"/>
        <w:rPr>
          <w:spacing w:val="-4"/>
          <w:sz w:val="20"/>
        </w:rPr>
      </w:pPr>
      <w:r w:rsidRPr="001C5A49">
        <w:rPr>
          <w:spacing w:val="-4"/>
          <w:sz w:val="20"/>
        </w:rPr>
        <w:t xml:space="preserve">Reupert, A.E., Cuff, R., Drost, L., Foster, K., van Doesum, K.T.M. and van Santvoort, F. 2012, ‘Intervention programs for children whose parents have a mental illness: a review’, </w:t>
      </w:r>
      <w:r w:rsidRPr="001C5A49">
        <w:rPr>
          <w:i/>
          <w:iCs/>
          <w:spacing w:val="-4"/>
          <w:sz w:val="20"/>
        </w:rPr>
        <w:t>MJA Open</w:t>
      </w:r>
      <w:r w:rsidRPr="001C5A49">
        <w:rPr>
          <w:spacing w:val="-4"/>
          <w:sz w:val="20"/>
        </w:rPr>
        <w:t>, vol. 1, no. 1, pp. 18–22.</w:t>
      </w:r>
    </w:p>
    <w:p w14:paraId="45E69EAE" w14:textId="77777777" w:rsidR="009C6940" w:rsidRPr="001C5A49" w:rsidRDefault="009C6940" w:rsidP="009C6940">
      <w:pPr>
        <w:pStyle w:val="Reference"/>
        <w:spacing w:before="100" w:line="260" w:lineRule="atLeast"/>
        <w:rPr>
          <w:spacing w:val="-4"/>
          <w:sz w:val="20"/>
        </w:rPr>
      </w:pPr>
      <w:r w:rsidRPr="001C5A49">
        <w:rPr>
          <w:spacing w:val="-4"/>
          <w:sz w:val="20"/>
        </w:rPr>
        <w:t xml:space="preserve">Rosenheck, R., Frisman, L. and Neale, M. 1994, ‘Estimating the capital component of mental health care costs in the public sector’, </w:t>
      </w:r>
      <w:r w:rsidRPr="001C5A49">
        <w:rPr>
          <w:i/>
          <w:iCs/>
          <w:spacing w:val="-4"/>
          <w:sz w:val="20"/>
        </w:rPr>
        <w:t>Administration and Policy in Mental Health and Mental Health Services Research</w:t>
      </w:r>
      <w:r w:rsidRPr="001C5A49">
        <w:rPr>
          <w:spacing w:val="-4"/>
          <w:sz w:val="20"/>
        </w:rPr>
        <w:t>, vol. 21, no. 6, pp. 493–509.</w:t>
      </w:r>
    </w:p>
    <w:p w14:paraId="3B6245F0" w14:textId="77777777" w:rsidR="009C6940" w:rsidRPr="001C5A49" w:rsidRDefault="009C6940" w:rsidP="009C6940">
      <w:pPr>
        <w:pStyle w:val="Reference"/>
        <w:spacing w:before="100" w:line="260" w:lineRule="atLeast"/>
        <w:rPr>
          <w:spacing w:val="-4"/>
          <w:sz w:val="20"/>
        </w:rPr>
      </w:pPr>
      <w:r w:rsidRPr="001C5A49">
        <w:rPr>
          <w:spacing w:val="-4"/>
          <w:sz w:val="20"/>
        </w:rPr>
        <w:t xml:space="preserve">SA DHW (Department of Health and Wellbeing (South Australia)) 2019, </w:t>
      </w:r>
      <w:r w:rsidRPr="001C5A49">
        <w:rPr>
          <w:i/>
          <w:iCs/>
          <w:spacing w:val="-4"/>
          <w:sz w:val="20"/>
        </w:rPr>
        <w:t>Annual Report of the Chief Psychiatrist of South Australia 2018-19</w:t>
      </w:r>
      <w:r w:rsidRPr="001C5A49">
        <w:rPr>
          <w:spacing w:val="-4"/>
          <w:sz w:val="20"/>
        </w:rPr>
        <w:t>, Adelaide.</w:t>
      </w:r>
    </w:p>
    <w:p w14:paraId="4421E207" w14:textId="77777777" w:rsidR="009C6940" w:rsidRPr="001C5A49" w:rsidRDefault="009C6940" w:rsidP="009C6940">
      <w:pPr>
        <w:pStyle w:val="Reference"/>
        <w:spacing w:before="100" w:line="260" w:lineRule="atLeast"/>
        <w:rPr>
          <w:spacing w:val="-4"/>
          <w:sz w:val="20"/>
        </w:rPr>
      </w:pPr>
      <w:r w:rsidRPr="001C5A49">
        <w:rPr>
          <w:spacing w:val="-4"/>
          <w:sz w:val="20"/>
        </w:rPr>
        <w:t xml:space="preserve">Safe Work Australia 2018, </w:t>
      </w:r>
      <w:r w:rsidRPr="001C5A49">
        <w:rPr>
          <w:i/>
          <w:iCs/>
          <w:spacing w:val="-4"/>
          <w:sz w:val="20"/>
        </w:rPr>
        <w:t>Summary of findings - Return to work in psychological injury claims</w:t>
      </w:r>
      <w:r w:rsidRPr="001C5A49">
        <w:rPr>
          <w:spacing w:val="-4"/>
          <w:sz w:val="20"/>
        </w:rPr>
        <w:t>, 4 July.</w:t>
      </w:r>
    </w:p>
    <w:p w14:paraId="62E8F837" w14:textId="77777777" w:rsidR="009C6940" w:rsidRPr="001C5A49" w:rsidRDefault="009C6940" w:rsidP="009C6940">
      <w:pPr>
        <w:pStyle w:val="Reference"/>
        <w:spacing w:before="100" w:line="260" w:lineRule="atLeast"/>
        <w:rPr>
          <w:spacing w:val="-4"/>
          <w:sz w:val="20"/>
        </w:rPr>
      </w:pPr>
      <w:r w:rsidRPr="001C5A49">
        <w:rPr>
          <w:spacing w:val="-4"/>
          <w:sz w:val="20"/>
        </w:rPr>
        <w:t xml:space="preserve">Sampson, A. 2015, </w:t>
      </w:r>
      <w:r w:rsidRPr="001C5A49">
        <w:rPr>
          <w:i/>
          <w:iCs/>
          <w:spacing w:val="-4"/>
          <w:sz w:val="20"/>
        </w:rPr>
        <w:t>Interventions to improve return to work outcomes in individuals with mental health conditions</w:t>
      </w:r>
      <w:r w:rsidRPr="001C5A49">
        <w:rPr>
          <w:spacing w:val="-4"/>
          <w:sz w:val="20"/>
        </w:rPr>
        <w:t>, Research Report, June, 152-0615-R01.</w:t>
      </w:r>
    </w:p>
    <w:p w14:paraId="1E872F5F" w14:textId="77777777" w:rsidR="009C6940" w:rsidRPr="001C5A49" w:rsidRDefault="009C6940" w:rsidP="009C6940">
      <w:pPr>
        <w:pStyle w:val="Reference"/>
        <w:spacing w:before="100" w:line="260" w:lineRule="atLeast"/>
        <w:rPr>
          <w:spacing w:val="-4"/>
          <w:sz w:val="20"/>
        </w:rPr>
      </w:pPr>
      <w:r w:rsidRPr="001C5A49">
        <w:rPr>
          <w:spacing w:val="-4"/>
          <w:sz w:val="20"/>
        </w:rPr>
        <w:t xml:space="preserve">Scott, R.L. 2000, ‘Evaluation of a mobile crisis program: effectiveness, efficiency, and consumer satisfaction’, </w:t>
      </w:r>
      <w:r w:rsidRPr="001C5A49">
        <w:rPr>
          <w:i/>
          <w:iCs/>
          <w:spacing w:val="-4"/>
          <w:sz w:val="20"/>
        </w:rPr>
        <w:t>Psychiatric Services</w:t>
      </w:r>
      <w:r w:rsidRPr="001C5A49">
        <w:rPr>
          <w:spacing w:val="-4"/>
          <w:sz w:val="20"/>
        </w:rPr>
        <w:t>, vol. 51, no. 9, pp. 1153–1156.</w:t>
      </w:r>
    </w:p>
    <w:p w14:paraId="43311DBD" w14:textId="77777777" w:rsidR="009C6940" w:rsidRPr="001C5A49" w:rsidRDefault="009C6940" w:rsidP="009C6940">
      <w:pPr>
        <w:pStyle w:val="Reference"/>
        <w:spacing w:before="100" w:line="260" w:lineRule="atLeast"/>
        <w:rPr>
          <w:spacing w:val="-4"/>
          <w:sz w:val="20"/>
        </w:rPr>
      </w:pPr>
      <w:r w:rsidRPr="001C5A49">
        <w:rPr>
          <w:spacing w:val="-4"/>
          <w:sz w:val="20"/>
        </w:rPr>
        <w:t xml:space="preserve">SCRGSP (Steering Committee for the Report on Government Services Provision) 2019, </w:t>
      </w:r>
      <w:r w:rsidRPr="001C5A49">
        <w:rPr>
          <w:i/>
          <w:iCs/>
          <w:spacing w:val="-4"/>
          <w:sz w:val="20"/>
        </w:rPr>
        <w:t>Report on Government Services 2019 Part C Chapter 8: Corrective Services</w:t>
      </w:r>
      <w:r w:rsidRPr="001C5A49">
        <w:rPr>
          <w:spacing w:val="-4"/>
          <w:sz w:val="20"/>
        </w:rPr>
        <w:t>, Productivity Commission, Canberra.</w:t>
      </w:r>
    </w:p>
    <w:p w14:paraId="4E4EA76A"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2020a, </w:t>
      </w:r>
      <w:r w:rsidRPr="001C5A49">
        <w:rPr>
          <w:i/>
          <w:iCs/>
          <w:spacing w:val="-4"/>
          <w:sz w:val="20"/>
        </w:rPr>
        <w:t>Report on Government Services 2020 - Part E Health</w:t>
      </w:r>
      <w:r w:rsidRPr="001C5A49">
        <w:rPr>
          <w:spacing w:val="-4"/>
          <w:sz w:val="20"/>
        </w:rPr>
        <w:t>, Productivity Commission, Canberra.</w:t>
      </w:r>
    </w:p>
    <w:p w14:paraId="3A79597C"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2020b, </w:t>
      </w:r>
      <w:r w:rsidRPr="001C5A49">
        <w:rPr>
          <w:i/>
          <w:iCs/>
          <w:spacing w:val="-4"/>
          <w:sz w:val="20"/>
        </w:rPr>
        <w:t>Report on Government Services 2020 - Part G Housing and Homelessness</w:t>
      </w:r>
      <w:r w:rsidRPr="001C5A49">
        <w:rPr>
          <w:spacing w:val="-4"/>
          <w:sz w:val="20"/>
        </w:rPr>
        <w:t>, Productivity Commission, Canberra.</w:t>
      </w:r>
    </w:p>
    <w:p w14:paraId="5C6ACAEE" w14:textId="77777777" w:rsidR="009C6940" w:rsidRPr="001C5A49" w:rsidRDefault="009C6940" w:rsidP="009C6940">
      <w:pPr>
        <w:pStyle w:val="Reference"/>
        <w:spacing w:before="100" w:line="260" w:lineRule="atLeast"/>
        <w:rPr>
          <w:spacing w:val="-4"/>
          <w:sz w:val="20"/>
        </w:rPr>
      </w:pPr>
      <w:r w:rsidRPr="001C5A49">
        <w:rPr>
          <w:spacing w:val="-4"/>
          <w:sz w:val="20"/>
        </w:rPr>
        <w:t xml:space="preserve">—— 2020c, </w:t>
      </w:r>
      <w:r w:rsidRPr="001C5A49">
        <w:rPr>
          <w:i/>
          <w:iCs/>
          <w:spacing w:val="-4"/>
          <w:sz w:val="20"/>
        </w:rPr>
        <w:t>Report on Government Services 2020 Part E Chapter 13: Mental Health Management</w:t>
      </w:r>
      <w:r w:rsidRPr="001C5A49">
        <w:rPr>
          <w:spacing w:val="-4"/>
          <w:sz w:val="20"/>
        </w:rPr>
        <w:t>, Productivity Commission, Canberra.</w:t>
      </w:r>
    </w:p>
    <w:p w14:paraId="07F7E0FC" w14:textId="77777777" w:rsidR="009C6940" w:rsidRPr="001C5A49" w:rsidRDefault="009C6940" w:rsidP="009C6940">
      <w:pPr>
        <w:pStyle w:val="Reference"/>
        <w:spacing w:before="100" w:line="260" w:lineRule="atLeast"/>
        <w:rPr>
          <w:spacing w:val="-4"/>
          <w:sz w:val="20"/>
        </w:rPr>
      </w:pPr>
      <w:r w:rsidRPr="001C5A49">
        <w:rPr>
          <w:spacing w:val="-4"/>
          <w:sz w:val="20"/>
        </w:rPr>
        <w:t>Shi, Y. 2011, ‘Cost effectiveness of the Individual Placement and Support model of supported employment for people with severe mental illness: results from a Canadian randomized trial’, Master of Science (Psychiatry) thesis, McGill University, Montreal.</w:t>
      </w:r>
    </w:p>
    <w:p w14:paraId="4B7ED2D4" w14:textId="77777777" w:rsidR="009C6940" w:rsidRPr="001C5A49" w:rsidRDefault="009C6940" w:rsidP="009C6940">
      <w:pPr>
        <w:pStyle w:val="Reference"/>
        <w:spacing w:before="100" w:line="260" w:lineRule="atLeast"/>
        <w:rPr>
          <w:spacing w:val="-4"/>
          <w:sz w:val="20"/>
        </w:rPr>
      </w:pPr>
      <w:r w:rsidRPr="001C5A49">
        <w:rPr>
          <w:spacing w:val="-4"/>
          <w:sz w:val="20"/>
        </w:rPr>
        <w:t xml:space="preserve">Siskind, D., Harris, M., Buckingham, B., Pirkis, J. and Whiteford, H. 2012, ‘Planning estimates for the mental health community support sector’, </w:t>
      </w:r>
      <w:r w:rsidRPr="001C5A49">
        <w:rPr>
          <w:i/>
          <w:iCs/>
          <w:spacing w:val="-4"/>
          <w:sz w:val="20"/>
        </w:rPr>
        <w:t>Australian and New Zealand Journal of Psychiatry</w:t>
      </w:r>
      <w:r w:rsidRPr="001C5A49">
        <w:rPr>
          <w:spacing w:val="-4"/>
          <w:sz w:val="20"/>
        </w:rPr>
        <w:t>, vol. 46, no. 6, pp. 569–580.</w:t>
      </w:r>
    </w:p>
    <w:p w14:paraId="5B6ADA18" w14:textId="77777777" w:rsidR="009C6940" w:rsidRPr="001C5A49" w:rsidRDefault="009C6940" w:rsidP="009C6940">
      <w:pPr>
        <w:pStyle w:val="Reference"/>
        <w:spacing w:before="100" w:line="260" w:lineRule="atLeast"/>
        <w:rPr>
          <w:spacing w:val="-4"/>
          <w:sz w:val="20"/>
        </w:rPr>
      </w:pPr>
      <w:r w:rsidRPr="001C5A49">
        <w:rPr>
          <w:spacing w:val="-4"/>
          <w:sz w:val="20"/>
        </w:rPr>
        <w:t xml:space="preserve">——, ——, Kisely, S., Siskind, V., Brogan, J., Pirkis, J., Crompton, D. and Whiteford, H. 2014, ‘A retrospective quasi-experimental study of a transitional housing program for patients with severe and persistent mental illness’, </w:t>
      </w:r>
      <w:r w:rsidRPr="001C5A49">
        <w:rPr>
          <w:i/>
          <w:iCs/>
          <w:spacing w:val="-4"/>
          <w:sz w:val="20"/>
        </w:rPr>
        <w:t>Community Mental Health Journal</w:t>
      </w:r>
      <w:r w:rsidRPr="001C5A49">
        <w:rPr>
          <w:spacing w:val="-4"/>
          <w:sz w:val="20"/>
        </w:rPr>
        <w:t>, vol. 50, no. 5, pp. 538–547.</w:t>
      </w:r>
    </w:p>
    <w:p w14:paraId="2D3DA4B6" w14:textId="77777777" w:rsidR="009C6940" w:rsidRPr="001C5A49" w:rsidRDefault="009C6940" w:rsidP="009C6940">
      <w:pPr>
        <w:pStyle w:val="Reference"/>
        <w:spacing w:before="100" w:line="260" w:lineRule="atLeast"/>
        <w:rPr>
          <w:spacing w:val="-4"/>
          <w:sz w:val="20"/>
        </w:rPr>
      </w:pPr>
      <w:r w:rsidRPr="001C5A49">
        <w:rPr>
          <w:spacing w:val="-4"/>
          <w:sz w:val="20"/>
        </w:rPr>
        <w:t xml:space="preserve">Sivak, L., Cantley, L., Kelly, J., Reilly, R., Hawke, K., Mott, K., Stewart, H., Mckivett, A., Rankine, S., Coulthard, A., Miller, W. and Brown, A. 2017, </w:t>
      </w:r>
      <w:r w:rsidRPr="001C5A49">
        <w:rPr>
          <w:i/>
          <w:iCs/>
          <w:spacing w:val="-4"/>
          <w:sz w:val="20"/>
        </w:rPr>
        <w:t>Model of Care for Aboriginal Prisoner Health and Wellbeing for South Australia</w:t>
      </w:r>
      <w:r w:rsidRPr="001C5A49">
        <w:rPr>
          <w:spacing w:val="-4"/>
          <w:sz w:val="20"/>
        </w:rPr>
        <w:t>, Wardliparingga Aboriginal Health Research Unit: SAHMRI, Adelaide.</w:t>
      </w:r>
    </w:p>
    <w:p w14:paraId="30E4935D" w14:textId="77777777" w:rsidR="009C6940" w:rsidRPr="001C5A49" w:rsidRDefault="009C6940" w:rsidP="009C6940">
      <w:pPr>
        <w:pStyle w:val="Reference"/>
        <w:spacing w:before="100" w:line="260" w:lineRule="atLeast"/>
        <w:rPr>
          <w:spacing w:val="-4"/>
          <w:sz w:val="20"/>
        </w:rPr>
      </w:pPr>
      <w:r w:rsidRPr="001C5A49">
        <w:rPr>
          <w:spacing w:val="-4"/>
          <w:sz w:val="20"/>
        </w:rPr>
        <w:t xml:space="preserve">Sklad, M., Diekstra, R., De Ritter, M., Ben, J. and Gravesteijn, C. 2012, ‘Effectiveness of school‐based universal social, emotional, and behavioral programs: Do they enhance students’ development in the area of skill, behavior, and adjustment?’, </w:t>
      </w:r>
      <w:r w:rsidRPr="001C5A49">
        <w:rPr>
          <w:i/>
          <w:iCs/>
          <w:spacing w:val="-4"/>
          <w:sz w:val="20"/>
        </w:rPr>
        <w:t>Psychology in the Schools</w:t>
      </w:r>
      <w:r w:rsidRPr="001C5A49">
        <w:rPr>
          <w:spacing w:val="-4"/>
          <w:sz w:val="20"/>
        </w:rPr>
        <w:t>, vol. 49, no. 9, pp. 892–909.</w:t>
      </w:r>
    </w:p>
    <w:p w14:paraId="4BF627EF" w14:textId="77777777" w:rsidR="009C6940" w:rsidRPr="001C5A49" w:rsidRDefault="009C6940" w:rsidP="009C6940">
      <w:pPr>
        <w:pStyle w:val="Reference"/>
        <w:spacing w:before="100" w:line="260" w:lineRule="atLeast"/>
        <w:rPr>
          <w:spacing w:val="-4"/>
          <w:sz w:val="20"/>
        </w:rPr>
      </w:pPr>
      <w:r w:rsidRPr="001C5A49">
        <w:rPr>
          <w:spacing w:val="-4"/>
          <w:sz w:val="20"/>
        </w:rPr>
        <w:t xml:space="preserve">Smith, M. 2013, ‘Anti-stigma campaigns: time to change’, </w:t>
      </w:r>
      <w:r w:rsidRPr="001C5A49">
        <w:rPr>
          <w:i/>
          <w:iCs/>
          <w:spacing w:val="-4"/>
          <w:sz w:val="20"/>
        </w:rPr>
        <w:t>The British Journal of Psychiatry</w:t>
      </w:r>
      <w:r w:rsidRPr="001C5A49">
        <w:rPr>
          <w:spacing w:val="-4"/>
          <w:sz w:val="20"/>
        </w:rPr>
        <w:t>, vol. 202, no. 55, pp. 49–50.</w:t>
      </w:r>
    </w:p>
    <w:p w14:paraId="3D66CACD" w14:textId="77777777" w:rsidR="009C6940" w:rsidRPr="001C5A49" w:rsidRDefault="009C6940" w:rsidP="009C6940">
      <w:pPr>
        <w:pStyle w:val="Reference"/>
        <w:spacing w:before="100" w:line="260" w:lineRule="atLeast"/>
        <w:rPr>
          <w:spacing w:val="-4"/>
          <w:sz w:val="20"/>
        </w:rPr>
      </w:pPr>
      <w:r w:rsidRPr="001C5A49">
        <w:rPr>
          <w:spacing w:val="-4"/>
          <w:sz w:val="20"/>
        </w:rPr>
        <w:t xml:space="preserve">Solantaus, T., Paavonen, J.E., Toikka, S. and Punamäki, R.-L. 2010, ‘Preventive Interventions in Families with Parental Depression: Children’s Psychosocial Symptoms and Prosocial Behaviour’, </w:t>
      </w:r>
      <w:r w:rsidRPr="001C5A49">
        <w:rPr>
          <w:i/>
          <w:iCs/>
          <w:spacing w:val="-4"/>
          <w:sz w:val="20"/>
        </w:rPr>
        <w:t>European Child and Adolescent Psychiatry</w:t>
      </w:r>
      <w:r w:rsidRPr="001C5A49">
        <w:rPr>
          <w:spacing w:val="-4"/>
          <w:sz w:val="20"/>
        </w:rPr>
        <w:t>, vol. 19, pp. 883–892.</w:t>
      </w:r>
    </w:p>
    <w:p w14:paraId="2B7EDF2F" w14:textId="77777777" w:rsidR="009C6940" w:rsidRPr="001C5A49" w:rsidRDefault="009C6940" w:rsidP="009C6940">
      <w:pPr>
        <w:pStyle w:val="Reference"/>
        <w:spacing w:before="100" w:line="260" w:lineRule="atLeast"/>
        <w:rPr>
          <w:spacing w:val="-4"/>
          <w:sz w:val="20"/>
        </w:rPr>
      </w:pPr>
      <w:r w:rsidRPr="001C5A49">
        <w:rPr>
          <w:spacing w:val="-4"/>
          <w:sz w:val="20"/>
        </w:rPr>
        <w:t xml:space="preserve">Soon, Y.-L., Rae, N., Korobanova, D., Smith, C., Gaskin, C., Dixon, C., Greenberg, D. and Dean, K. 2018, ‘Mentally ill offenders eligible for diversion at local court in New South Wales, Australia: factors associated with initially successful diversion’, </w:t>
      </w:r>
      <w:r w:rsidRPr="001C5A49">
        <w:rPr>
          <w:i/>
          <w:iCs/>
          <w:spacing w:val="-4"/>
          <w:sz w:val="20"/>
        </w:rPr>
        <w:t>Journal of Forensic Psychiatry and Psychology</w:t>
      </w:r>
      <w:r w:rsidRPr="001C5A49">
        <w:rPr>
          <w:spacing w:val="-4"/>
          <w:sz w:val="20"/>
        </w:rPr>
        <w:t>, vol. 29, no. 5, pp. 705–716.</w:t>
      </w:r>
    </w:p>
    <w:p w14:paraId="3D44D734" w14:textId="77777777" w:rsidR="009C6940" w:rsidRPr="001C5A49" w:rsidRDefault="009C6940" w:rsidP="009C6940">
      <w:pPr>
        <w:pStyle w:val="Reference"/>
        <w:spacing w:before="100" w:line="260" w:lineRule="atLeast"/>
        <w:rPr>
          <w:spacing w:val="-4"/>
          <w:sz w:val="20"/>
        </w:rPr>
      </w:pPr>
      <w:r w:rsidRPr="001C5A49">
        <w:rPr>
          <w:spacing w:val="-4"/>
          <w:sz w:val="20"/>
        </w:rPr>
        <w:lastRenderedPageBreak/>
        <w:t xml:space="preserve">South Australian Government 2019, </w:t>
      </w:r>
      <w:r w:rsidRPr="001C5A49">
        <w:rPr>
          <w:i/>
          <w:iCs/>
          <w:spacing w:val="-4"/>
          <w:sz w:val="20"/>
        </w:rPr>
        <w:t>State Budget 2019-20: Agency Statement, Budget Paper 4, Volume 1</w:t>
      </w:r>
      <w:r w:rsidRPr="001C5A49">
        <w:rPr>
          <w:spacing w:val="-4"/>
          <w:sz w:val="20"/>
        </w:rPr>
        <w:t>, Annual Report, Adelaide.</w:t>
      </w:r>
    </w:p>
    <w:p w14:paraId="1500CA86" w14:textId="77777777" w:rsidR="009C6940" w:rsidRPr="001C5A49" w:rsidRDefault="009C6940" w:rsidP="009C6940">
      <w:pPr>
        <w:pStyle w:val="Reference"/>
        <w:spacing w:before="100" w:line="260" w:lineRule="atLeast"/>
        <w:rPr>
          <w:spacing w:val="-4"/>
          <w:sz w:val="20"/>
        </w:rPr>
      </w:pPr>
      <w:r w:rsidRPr="001C5A49">
        <w:rPr>
          <w:spacing w:val="-4"/>
          <w:sz w:val="20"/>
        </w:rPr>
        <w:t xml:space="preserve">Stratton, E., Lampit, A., Choi, I., Calvo, R.A., Harvey, S.B. and Glozier, N. 2017, ‘Effectiveness of eHealth interventions for reducing mental health conditions in employees: A systematic review and meta-analysis’, </w:t>
      </w:r>
      <w:r w:rsidRPr="001C5A49">
        <w:rPr>
          <w:i/>
          <w:iCs/>
          <w:spacing w:val="-4"/>
          <w:sz w:val="20"/>
        </w:rPr>
        <w:t>PLoS One</w:t>
      </w:r>
      <w:r w:rsidRPr="001C5A49">
        <w:rPr>
          <w:spacing w:val="-4"/>
          <w:sz w:val="20"/>
        </w:rPr>
        <w:t>, vol. 12, no. 12, p. e0189904.</w:t>
      </w:r>
    </w:p>
    <w:p w14:paraId="5A6627FB" w14:textId="77777777" w:rsidR="009C6940" w:rsidRPr="001C5A49" w:rsidRDefault="009C6940" w:rsidP="009C6940">
      <w:pPr>
        <w:pStyle w:val="Reference"/>
        <w:spacing w:before="100" w:line="260" w:lineRule="atLeast"/>
        <w:rPr>
          <w:spacing w:val="-4"/>
          <w:sz w:val="20"/>
        </w:rPr>
      </w:pPr>
      <w:r w:rsidRPr="001C5A49">
        <w:rPr>
          <w:spacing w:val="-4"/>
          <w:sz w:val="20"/>
        </w:rPr>
        <w:t xml:space="preserve">TAS MHT (Tasmanian Mental Health Tribunal) 2019, </w:t>
      </w:r>
      <w:r w:rsidRPr="001C5A49">
        <w:rPr>
          <w:i/>
          <w:iCs/>
          <w:spacing w:val="-4"/>
          <w:sz w:val="20"/>
        </w:rPr>
        <w:t>The Mental Health Tribunal Annual Report 2018-19</w:t>
      </w:r>
      <w:r w:rsidRPr="001C5A49">
        <w:rPr>
          <w:spacing w:val="-4"/>
          <w:sz w:val="20"/>
        </w:rPr>
        <w:t>, Hobart.</w:t>
      </w:r>
    </w:p>
    <w:p w14:paraId="1C18B5F5" w14:textId="77777777" w:rsidR="009C6940" w:rsidRPr="001C5A49" w:rsidRDefault="009C6940" w:rsidP="009C6940">
      <w:pPr>
        <w:pStyle w:val="Reference"/>
        <w:spacing w:before="100" w:line="260" w:lineRule="atLeast"/>
        <w:rPr>
          <w:spacing w:val="-4"/>
          <w:sz w:val="20"/>
        </w:rPr>
      </w:pPr>
      <w:r w:rsidRPr="001C5A49">
        <w:rPr>
          <w:spacing w:val="-4"/>
          <w:sz w:val="20"/>
        </w:rPr>
        <w:t>Titov, N. 2020, ‘MindSpot presentation: Summary for Australian Productivity Commission - 14 February 2020’.</w:t>
      </w:r>
    </w:p>
    <w:p w14:paraId="7B092F73" w14:textId="77777777" w:rsidR="009C6940" w:rsidRPr="001C5A49" w:rsidRDefault="009C6940" w:rsidP="009C6940">
      <w:pPr>
        <w:pStyle w:val="Reference"/>
        <w:spacing w:before="100" w:line="260" w:lineRule="atLeast"/>
        <w:rPr>
          <w:spacing w:val="-4"/>
          <w:sz w:val="20"/>
        </w:rPr>
      </w:pPr>
      <w:r w:rsidRPr="001C5A49">
        <w:rPr>
          <w:spacing w:val="-4"/>
          <w:sz w:val="20"/>
        </w:rPr>
        <w:t xml:space="preserve">University of Queensland 2016, </w:t>
      </w:r>
      <w:r w:rsidRPr="001C5A49">
        <w:rPr>
          <w:i/>
          <w:iCs/>
          <w:spacing w:val="-4"/>
          <w:sz w:val="20"/>
        </w:rPr>
        <w:t>The National Mental Health Service Planning Framework – Technical Manual (commissioned by the Australian Government Department of Health)</w:t>
      </w:r>
      <w:r w:rsidRPr="001C5A49">
        <w:rPr>
          <w:spacing w:val="-4"/>
          <w:sz w:val="20"/>
        </w:rPr>
        <w:t>, Brisbane.</w:t>
      </w:r>
    </w:p>
    <w:p w14:paraId="2A6E3881" w14:textId="77777777" w:rsidR="009C6940" w:rsidRPr="001C5A49" w:rsidRDefault="009C6940" w:rsidP="009C6940">
      <w:pPr>
        <w:pStyle w:val="Reference"/>
        <w:spacing w:before="100" w:line="260" w:lineRule="atLeast"/>
        <w:rPr>
          <w:spacing w:val="-4"/>
          <w:sz w:val="20"/>
        </w:rPr>
      </w:pPr>
      <w:r w:rsidRPr="001C5A49">
        <w:rPr>
          <w:spacing w:val="-4"/>
          <w:sz w:val="20"/>
        </w:rPr>
        <w:t>VIC MHT (Victorian Mental Health Tribunal) 2019, Mental Health Tribunal 2018-19 Annual Report, Melbourne.</w:t>
      </w:r>
    </w:p>
    <w:p w14:paraId="617A6BBA" w14:textId="77777777" w:rsidR="009C6940" w:rsidRPr="001C5A49" w:rsidRDefault="009C6940" w:rsidP="009C6940">
      <w:pPr>
        <w:pStyle w:val="Reference"/>
        <w:spacing w:before="100" w:line="260" w:lineRule="atLeast"/>
        <w:rPr>
          <w:spacing w:val="-4"/>
          <w:sz w:val="20"/>
        </w:rPr>
      </w:pPr>
      <w:r w:rsidRPr="001C5A49">
        <w:rPr>
          <w:spacing w:val="-4"/>
          <w:sz w:val="20"/>
        </w:rPr>
        <w:t xml:space="preserve">Victoria Police 2019, </w:t>
      </w:r>
      <w:r w:rsidRPr="001C5A49">
        <w:rPr>
          <w:i/>
          <w:iCs/>
          <w:spacing w:val="-4"/>
          <w:sz w:val="20"/>
        </w:rPr>
        <w:t>Submission to the Royal Commission into Victoria’s mental health system</w:t>
      </w:r>
      <w:r w:rsidRPr="001C5A49">
        <w:rPr>
          <w:spacing w:val="-4"/>
          <w:sz w:val="20"/>
        </w:rPr>
        <w:t>, SUB.0002.0029.0370, Melbourne.</w:t>
      </w:r>
    </w:p>
    <w:p w14:paraId="3083A79F" w14:textId="77777777" w:rsidR="009C6940" w:rsidRPr="001C5A49" w:rsidRDefault="009C6940" w:rsidP="009C6940">
      <w:pPr>
        <w:pStyle w:val="Reference"/>
        <w:spacing w:before="100" w:line="260" w:lineRule="atLeast"/>
        <w:rPr>
          <w:spacing w:val="-4"/>
          <w:sz w:val="20"/>
        </w:rPr>
      </w:pPr>
      <w:r w:rsidRPr="001C5A49">
        <w:rPr>
          <w:spacing w:val="-4"/>
          <w:sz w:val="20"/>
        </w:rPr>
        <w:t xml:space="preserve">VLA (Victoria Legal Aid) 2019, </w:t>
      </w:r>
      <w:r w:rsidRPr="001C5A49">
        <w:rPr>
          <w:i/>
          <w:iCs/>
          <w:spacing w:val="-4"/>
          <w:sz w:val="20"/>
        </w:rPr>
        <w:t>Table O – lump sum fees for hearings before the Mental Health Tribunal, the Forensic Leave Panel and the Victorian Civil and Administrative Tribunal (Guardianship List and Supervised Treatment Order matters)</w:t>
      </w:r>
      <w:r w:rsidRPr="001C5A49">
        <w:rPr>
          <w:spacing w:val="-4"/>
          <w:sz w:val="20"/>
        </w:rPr>
        <w:t>, Victoria Legal Aid, http://handbookarchive.vla.vic.gov.au/dec-2019/table-o-lump-sum-fees-for-hearings-before-mental-health-tribunal-forensic-leave-panel.html (accessed 8 May 2020).</w:t>
      </w:r>
    </w:p>
    <w:p w14:paraId="45C24B90" w14:textId="77777777" w:rsidR="009C6940" w:rsidRPr="001C5A49" w:rsidRDefault="009C6940" w:rsidP="009C6940">
      <w:pPr>
        <w:pStyle w:val="Reference"/>
        <w:spacing w:before="100" w:line="260" w:lineRule="atLeast"/>
        <w:rPr>
          <w:spacing w:val="-4"/>
          <w:sz w:val="20"/>
        </w:rPr>
      </w:pPr>
      <w:r w:rsidRPr="001C5A49">
        <w:rPr>
          <w:spacing w:val="-4"/>
          <w:sz w:val="20"/>
        </w:rPr>
        <w:t xml:space="preserve">WA MHAS (Mental Health Advocacy Service (Western Australia)) 2018, </w:t>
      </w:r>
      <w:r w:rsidRPr="001C5A49">
        <w:rPr>
          <w:i/>
          <w:iCs/>
          <w:spacing w:val="-4"/>
          <w:sz w:val="20"/>
        </w:rPr>
        <w:t>Annual Report 2017-18</w:t>
      </w:r>
      <w:r w:rsidRPr="001C5A49">
        <w:rPr>
          <w:spacing w:val="-4"/>
          <w:sz w:val="20"/>
        </w:rPr>
        <w:t>, Perth.</w:t>
      </w:r>
    </w:p>
    <w:p w14:paraId="49D9B41F" w14:textId="77777777" w:rsidR="009C6940" w:rsidRPr="001C5A49" w:rsidRDefault="009C6940" w:rsidP="009C6940">
      <w:pPr>
        <w:pStyle w:val="Reference"/>
        <w:spacing w:before="100" w:line="260" w:lineRule="atLeast"/>
        <w:rPr>
          <w:spacing w:val="-4"/>
          <w:sz w:val="20"/>
        </w:rPr>
      </w:pPr>
      <w:r w:rsidRPr="001C5A49">
        <w:rPr>
          <w:spacing w:val="-4"/>
          <w:sz w:val="20"/>
        </w:rPr>
        <w:t xml:space="preserve">——2019, </w:t>
      </w:r>
      <w:r w:rsidRPr="001C5A49">
        <w:rPr>
          <w:i/>
          <w:iCs/>
          <w:spacing w:val="-4"/>
          <w:sz w:val="20"/>
        </w:rPr>
        <w:t>Annual Report 2018-19</w:t>
      </w:r>
      <w:r w:rsidRPr="001C5A49">
        <w:rPr>
          <w:spacing w:val="-4"/>
          <w:sz w:val="20"/>
        </w:rPr>
        <w:t>, Western Australian Government, Perth.</w:t>
      </w:r>
    </w:p>
    <w:p w14:paraId="3FDFD6D0" w14:textId="77777777" w:rsidR="009C6940" w:rsidRPr="001C5A49" w:rsidRDefault="009C6940" w:rsidP="009C6940">
      <w:pPr>
        <w:pStyle w:val="Reference"/>
        <w:spacing w:before="100" w:line="260" w:lineRule="atLeast"/>
        <w:rPr>
          <w:spacing w:val="-4"/>
          <w:sz w:val="20"/>
        </w:rPr>
      </w:pPr>
      <w:r w:rsidRPr="001C5A49">
        <w:rPr>
          <w:spacing w:val="-4"/>
          <w:sz w:val="20"/>
        </w:rPr>
        <w:t xml:space="preserve">WA MHT (Western Australia Mental Health Tribunal) 2019, </w:t>
      </w:r>
      <w:r w:rsidRPr="001C5A49">
        <w:rPr>
          <w:i/>
          <w:iCs/>
          <w:spacing w:val="-4"/>
          <w:sz w:val="20"/>
        </w:rPr>
        <w:t>Annual Report 2018-19</w:t>
      </w:r>
      <w:r w:rsidRPr="001C5A49">
        <w:rPr>
          <w:spacing w:val="-4"/>
          <w:sz w:val="20"/>
        </w:rPr>
        <w:t>, Perth.</w:t>
      </w:r>
    </w:p>
    <w:p w14:paraId="0940C355" w14:textId="77777777" w:rsidR="009C6940" w:rsidRPr="001C5A49" w:rsidRDefault="009C6940" w:rsidP="009C6940">
      <w:pPr>
        <w:pStyle w:val="Reference"/>
        <w:spacing w:before="100" w:line="260" w:lineRule="atLeast"/>
        <w:rPr>
          <w:spacing w:val="-4"/>
          <w:sz w:val="20"/>
        </w:rPr>
      </w:pPr>
      <w:r w:rsidRPr="001C5A49">
        <w:rPr>
          <w:spacing w:val="-4"/>
          <w:sz w:val="20"/>
        </w:rPr>
        <w:t xml:space="preserve">Waghorn, G., Dias, S., Gladman, B., Harris, M. and Saha, S. 2014, ‘A multi-site randomised controlled trial of evidence-based supported employment for adults with severe and persistent mental illness’, </w:t>
      </w:r>
      <w:r w:rsidRPr="001C5A49">
        <w:rPr>
          <w:i/>
          <w:iCs/>
          <w:spacing w:val="-4"/>
          <w:sz w:val="20"/>
        </w:rPr>
        <w:t>Australian Occupational Therapy Journal</w:t>
      </w:r>
      <w:r w:rsidRPr="001C5A49">
        <w:rPr>
          <w:spacing w:val="-4"/>
          <w:sz w:val="20"/>
        </w:rPr>
        <w:t>, vol. 61, no. 6, pp. 424–436.</w:t>
      </w:r>
    </w:p>
    <w:p w14:paraId="14923839" w14:textId="77777777" w:rsidR="009C6940" w:rsidRPr="001C5A49" w:rsidRDefault="009C6940" w:rsidP="009C6940">
      <w:pPr>
        <w:pStyle w:val="Reference"/>
        <w:spacing w:before="100" w:line="260" w:lineRule="atLeast"/>
        <w:rPr>
          <w:spacing w:val="-4"/>
          <w:sz w:val="20"/>
        </w:rPr>
      </w:pPr>
      <w:r w:rsidRPr="001C5A49">
        <w:rPr>
          <w:spacing w:val="-4"/>
          <w:sz w:val="20"/>
        </w:rPr>
        <w:t xml:space="preserve">Winnunga AHCS (Winnunga Nimmityjah Aboriginal Health Service) 2016, </w:t>
      </w:r>
      <w:r w:rsidRPr="001C5A49">
        <w:rPr>
          <w:i/>
          <w:iCs/>
          <w:spacing w:val="-4"/>
          <w:sz w:val="20"/>
        </w:rPr>
        <w:t>Planning and Delivering Services to Address Entrenched Disadvantage in the Aboriginal Community</w:t>
      </w:r>
      <w:r w:rsidRPr="001C5A49">
        <w:rPr>
          <w:spacing w:val="-4"/>
          <w:sz w:val="20"/>
        </w:rPr>
        <w:t>, Canberra.</w:t>
      </w:r>
    </w:p>
    <w:p w14:paraId="488399DB" w14:textId="77777777" w:rsidR="009C6940" w:rsidRPr="001C5A49" w:rsidRDefault="009C6940" w:rsidP="009C6940">
      <w:pPr>
        <w:pStyle w:val="Reference"/>
        <w:spacing w:before="100" w:line="260" w:lineRule="atLeast"/>
        <w:rPr>
          <w:spacing w:val="-4"/>
          <w:sz w:val="20"/>
        </w:rPr>
      </w:pPr>
      <w:r w:rsidRPr="001C5A49">
        <w:rPr>
          <w:spacing w:val="-4"/>
          <w:sz w:val="20"/>
        </w:rPr>
        <w:t xml:space="preserve">Wood, L., Flatau, P., Zaretzky, K., Foster, S., Vallesi, S. and Miscenko, D. 2016, </w:t>
      </w:r>
      <w:r w:rsidRPr="001C5A49">
        <w:rPr>
          <w:i/>
          <w:iCs/>
          <w:spacing w:val="-4"/>
          <w:sz w:val="20"/>
        </w:rPr>
        <w:t>What Are the Health, Social and Economic Benefits of Providing Public Housing and Support to Formerly Homeless People?</w:t>
      </w:r>
      <w:r w:rsidRPr="001C5A49">
        <w:rPr>
          <w:spacing w:val="-4"/>
          <w:sz w:val="20"/>
        </w:rPr>
        <w:t>, AHURI Final Report No. 265, Australian Housing and Urban Research Institute Limited, Melbourne.</w:t>
      </w:r>
    </w:p>
    <w:p w14:paraId="7BB23468" w14:textId="77777777" w:rsidR="009C6940" w:rsidRPr="001C5A49" w:rsidRDefault="009C6940" w:rsidP="009C6940">
      <w:pPr>
        <w:pStyle w:val="Reference"/>
        <w:spacing w:before="100" w:line="260" w:lineRule="atLeast"/>
        <w:rPr>
          <w:spacing w:val="-4"/>
          <w:sz w:val="20"/>
        </w:rPr>
      </w:pPr>
      <w:r w:rsidRPr="001C5A49">
        <w:rPr>
          <w:spacing w:val="-4"/>
          <w:sz w:val="20"/>
        </w:rPr>
        <w:t xml:space="preserve">WSLHD (Western Sydney Local Health District) 2017, </w:t>
      </w:r>
      <w:r w:rsidRPr="001C5A49">
        <w:rPr>
          <w:i/>
          <w:iCs/>
          <w:spacing w:val="-4"/>
          <w:sz w:val="20"/>
        </w:rPr>
        <w:t>New mobile unit making in-roads into mental health care</w:t>
      </w:r>
      <w:r w:rsidRPr="001C5A49">
        <w:rPr>
          <w:spacing w:val="-4"/>
          <w:sz w:val="20"/>
        </w:rPr>
        <w:t>, https://www.wslhd.health.nsw.gov.au/News/2017/New-mobile-unit-making-in-roads-into-mental-health-care (accessed 12 July 2019).</w:t>
      </w:r>
    </w:p>
    <w:p w14:paraId="7E916F6A" w14:textId="77777777" w:rsidR="009C6940" w:rsidRPr="001C5A49" w:rsidRDefault="009C6940" w:rsidP="009C6940">
      <w:pPr>
        <w:pStyle w:val="Reference"/>
        <w:spacing w:before="100" w:line="260" w:lineRule="atLeast"/>
        <w:rPr>
          <w:spacing w:val="-4"/>
          <w:sz w:val="20"/>
        </w:rPr>
      </w:pPr>
      <w:r w:rsidRPr="001C5A49">
        <w:rPr>
          <w:spacing w:val="-4"/>
          <w:sz w:val="20"/>
        </w:rPr>
        <w:t xml:space="preserve">Zaretzky, K. and Flatau, P. 2015, </w:t>
      </w:r>
      <w:r w:rsidRPr="001C5A49">
        <w:rPr>
          <w:i/>
          <w:iCs/>
          <w:spacing w:val="-4"/>
          <w:sz w:val="20"/>
        </w:rPr>
        <w:t>The Cost Effectiveness of Australian Tenancy Support Programs for Formerly Homeless People</w:t>
      </w:r>
      <w:r w:rsidRPr="001C5A49">
        <w:rPr>
          <w:spacing w:val="-4"/>
          <w:sz w:val="20"/>
        </w:rPr>
        <w:t>, AHURI Final Report No. 252, Australian Housing and Urban Research Institute Limited, Melbourne.</w:t>
      </w:r>
    </w:p>
    <w:p w14:paraId="2C6C3C9B" w14:textId="77777777" w:rsidR="009C6940" w:rsidRDefault="009C6940" w:rsidP="0085206F">
      <w:pPr>
        <w:pStyle w:val="Reference"/>
        <w:spacing w:before="100" w:line="260" w:lineRule="atLeast"/>
        <w:rPr>
          <w:spacing w:val="-4"/>
          <w:sz w:val="20"/>
        </w:rPr>
      </w:pPr>
      <w:r w:rsidRPr="001C5A49">
        <w:rPr>
          <w:spacing w:val="-4"/>
          <w:sz w:val="20"/>
        </w:rPr>
        <w:t xml:space="preserve">——, ——, Clear, A., Conroy, E., Burns, L. and Spicer, B. 2013, </w:t>
      </w:r>
      <w:r w:rsidRPr="001C5A49">
        <w:rPr>
          <w:i/>
          <w:iCs/>
          <w:spacing w:val="-4"/>
          <w:sz w:val="20"/>
        </w:rPr>
        <w:t>The Cost of Homelessness and the Net Benefit of Homelessness Programs: A National Study – Findings from the Baseline Client Survey</w:t>
      </w:r>
      <w:r w:rsidRPr="001C5A49">
        <w:rPr>
          <w:spacing w:val="-4"/>
          <w:sz w:val="20"/>
        </w:rPr>
        <w:t>, AHURI Final Report No. 205, Australian Housing and Urban Research Institute Limited, Melbourne.</w:t>
      </w:r>
    </w:p>
    <w:p w14:paraId="4F5DCCF7" w14:textId="77777777" w:rsidR="009C6940" w:rsidRPr="009C6940" w:rsidRDefault="009C6940" w:rsidP="0085206F"/>
    <w:sectPr w:rsidR="009C6940" w:rsidRPr="009C6940" w:rsidSect="009C6940">
      <w:headerReference w:type="even" r:id="rId102"/>
      <w:headerReference w:type="default" r:id="rId103"/>
      <w:footerReference w:type="even" r:id="rId104"/>
      <w:footerReference w:type="default" r:id="rId105"/>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5DE41" w14:textId="77777777" w:rsidR="00AB0E42" w:rsidRDefault="00AB0E42">
      <w:r>
        <w:separator/>
      </w:r>
    </w:p>
  </w:endnote>
  <w:endnote w:type="continuationSeparator" w:id="0">
    <w:p w14:paraId="40BCD0F9" w14:textId="77777777" w:rsidR="00AB0E42" w:rsidRDefault="00AB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Com 55 Roman">
    <w:altName w:val="Arial"/>
    <w:panose1 w:val="00000000000000000000"/>
    <w:charset w:val="00"/>
    <w:family w:val="roman"/>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B0E42" w14:paraId="6B987C7D" w14:textId="77777777" w:rsidTr="004E2ABA">
      <w:trPr>
        <w:trHeight w:hRule="exact" w:val="567"/>
      </w:trPr>
      <w:tc>
        <w:tcPr>
          <w:tcW w:w="510" w:type="dxa"/>
        </w:tcPr>
        <w:p w14:paraId="75F0CC26" w14:textId="77777777" w:rsidR="00AB0E42" w:rsidRPr="00A24443" w:rsidRDefault="00AB0E42" w:rsidP="004E2ABA">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vi</w:t>
          </w:r>
          <w:r w:rsidRPr="00A24443">
            <w:rPr>
              <w:rStyle w:val="PageNumber"/>
              <w:caps w:val="0"/>
            </w:rPr>
            <w:fldChar w:fldCharType="end"/>
          </w:r>
        </w:p>
      </w:tc>
      <w:tc>
        <w:tcPr>
          <w:tcW w:w="7767" w:type="dxa"/>
        </w:tcPr>
        <w:p w14:paraId="31D4B954" w14:textId="77777777" w:rsidR="00AB0E42" w:rsidRPr="0013739A" w:rsidRDefault="00AB0E42" w:rsidP="004E2ABA">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Pr>
              <w:rFonts w:cs="Arial"/>
            </w:rPr>
            <w:t>Appendices B to K - Inquiry report - Mental Health</w:t>
          </w:r>
          <w:r w:rsidRPr="00BA5B14">
            <w:rPr>
              <w:rFonts w:cs="Arial"/>
            </w:rPr>
            <w:fldChar w:fldCharType="end"/>
          </w:r>
        </w:p>
      </w:tc>
      <w:tc>
        <w:tcPr>
          <w:tcW w:w="510" w:type="dxa"/>
        </w:tcPr>
        <w:p w14:paraId="48D6982B" w14:textId="77777777" w:rsidR="00AB0E42" w:rsidRDefault="00AB0E42" w:rsidP="004E2ABA">
          <w:pPr>
            <w:pStyle w:val="Footer"/>
          </w:pPr>
        </w:p>
      </w:tc>
    </w:tr>
  </w:tbl>
  <w:p w14:paraId="53ECC391" w14:textId="77777777" w:rsidR="00AB0E42" w:rsidRDefault="00AB0E42" w:rsidP="004E2ABA">
    <w:pPr>
      <w:pStyle w:val="FooterEnd"/>
    </w:pPr>
  </w:p>
  <w:p w14:paraId="3D176AC4" w14:textId="77777777" w:rsidR="00AB0E42" w:rsidRDefault="00AB0E42">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736B5258" w14:textId="77777777" w:rsidTr="009C6940">
      <w:trPr>
        <w:trHeight w:val="567"/>
      </w:trPr>
      <w:tc>
        <w:tcPr>
          <w:tcW w:w="510" w:type="dxa"/>
          <w:tcBorders>
            <w:top w:val="single" w:sz="4" w:space="0" w:color="auto"/>
          </w:tcBorders>
          <w:shd w:val="clear" w:color="auto" w:fill="auto"/>
        </w:tcPr>
        <w:p w14:paraId="518E25EB" w14:textId="77777777" w:rsidR="00AB0E42" w:rsidRDefault="00AB0E42" w:rsidP="009C6940">
          <w:pPr>
            <w:pStyle w:val="Footer"/>
          </w:pPr>
        </w:p>
      </w:tc>
      <w:tc>
        <w:tcPr>
          <w:tcW w:w="7767" w:type="dxa"/>
          <w:tcBorders>
            <w:top w:val="single" w:sz="4" w:space="0" w:color="auto"/>
          </w:tcBorders>
          <w:shd w:val="clear" w:color="auto" w:fill="auto"/>
        </w:tcPr>
        <w:p w14:paraId="55517BFD" w14:textId="77777777" w:rsidR="00AB0E42" w:rsidRDefault="00AB0E42" w:rsidP="009C6940">
          <w:pPr>
            <w:pStyle w:val="Footer"/>
            <w:jc w:val="right"/>
          </w:pPr>
          <w:r>
            <w:t>BULLYING AND MENTAL HEALTH</w:t>
          </w:r>
        </w:p>
      </w:tc>
      <w:tc>
        <w:tcPr>
          <w:tcW w:w="510" w:type="dxa"/>
          <w:tcBorders>
            <w:top w:val="single" w:sz="4" w:space="0" w:color="auto"/>
          </w:tcBorders>
          <w:shd w:val="clear" w:color="auto" w:fill="auto"/>
        </w:tcPr>
        <w:p w14:paraId="320E8E06"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93</w:t>
          </w:r>
          <w:r>
            <w:rPr>
              <w:rStyle w:val="PageNumber"/>
            </w:rPr>
            <w:fldChar w:fldCharType="end"/>
          </w:r>
        </w:p>
      </w:tc>
    </w:tr>
  </w:tbl>
  <w:p w14:paraId="7742F5D2" w14:textId="77777777" w:rsidR="00AB0E42" w:rsidRPr="009C6940" w:rsidRDefault="00AB0E42" w:rsidP="009C6940">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30255AE1" w14:textId="77777777" w:rsidTr="009C6940">
      <w:trPr>
        <w:trHeight w:val="567"/>
      </w:trPr>
      <w:tc>
        <w:tcPr>
          <w:tcW w:w="510" w:type="dxa"/>
          <w:tcBorders>
            <w:top w:val="single" w:sz="4" w:space="0" w:color="auto"/>
          </w:tcBorders>
          <w:shd w:val="clear" w:color="auto" w:fill="auto"/>
        </w:tcPr>
        <w:p w14:paraId="164CADD0"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102</w:t>
          </w:r>
          <w:r>
            <w:rPr>
              <w:rStyle w:val="PageNumber"/>
            </w:rPr>
            <w:fldChar w:fldCharType="end"/>
          </w:r>
        </w:p>
      </w:tc>
      <w:tc>
        <w:tcPr>
          <w:tcW w:w="7767" w:type="dxa"/>
          <w:tcBorders>
            <w:top w:val="single" w:sz="4" w:space="0" w:color="auto"/>
          </w:tcBorders>
          <w:shd w:val="clear" w:color="auto" w:fill="auto"/>
        </w:tcPr>
        <w:p w14:paraId="16B4CC7F" w14:textId="77777777" w:rsidR="00AB0E42" w:rsidRDefault="00AB0E42" w:rsidP="009C6940">
          <w:pPr>
            <w:pStyle w:val="Footer"/>
          </w:pPr>
          <w:r>
            <w:t>MENTAL HEALTH</w:t>
          </w:r>
        </w:p>
      </w:tc>
      <w:tc>
        <w:tcPr>
          <w:tcW w:w="510" w:type="dxa"/>
          <w:tcBorders>
            <w:top w:val="single" w:sz="4" w:space="0" w:color="auto"/>
          </w:tcBorders>
          <w:shd w:val="clear" w:color="auto" w:fill="auto"/>
        </w:tcPr>
        <w:p w14:paraId="3115E600" w14:textId="77777777" w:rsidR="00AB0E42" w:rsidRDefault="00AB0E42" w:rsidP="009C6940">
          <w:pPr>
            <w:pStyle w:val="Footer"/>
          </w:pPr>
        </w:p>
      </w:tc>
    </w:tr>
  </w:tbl>
  <w:p w14:paraId="241C2B27" w14:textId="77777777" w:rsidR="00AB0E42" w:rsidRPr="009C6940" w:rsidRDefault="00AB0E42" w:rsidP="009C6940">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5D8BC143" w14:textId="77777777" w:rsidTr="009C6940">
      <w:trPr>
        <w:trHeight w:val="567"/>
      </w:trPr>
      <w:tc>
        <w:tcPr>
          <w:tcW w:w="510" w:type="dxa"/>
          <w:tcBorders>
            <w:top w:val="single" w:sz="4" w:space="0" w:color="auto"/>
          </w:tcBorders>
          <w:shd w:val="clear" w:color="auto" w:fill="auto"/>
        </w:tcPr>
        <w:p w14:paraId="6FAB07B8" w14:textId="77777777" w:rsidR="00AB0E42" w:rsidRDefault="00AB0E42" w:rsidP="009C6940">
          <w:pPr>
            <w:pStyle w:val="Footer"/>
          </w:pPr>
        </w:p>
      </w:tc>
      <w:tc>
        <w:tcPr>
          <w:tcW w:w="7767" w:type="dxa"/>
          <w:tcBorders>
            <w:top w:val="single" w:sz="4" w:space="0" w:color="auto"/>
          </w:tcBorders>
          <w:shd w:val="clear" w:color="auto" w:fill="auto"/>
        </w:tcPr>
        <w:p w14:paraId="0F540B64" w14:textId="77777777" w:rsidR="00AB0E42" w:rsidRDefault="00AB0E42" w:rsidP="009C6940">
          <w:pPr>
            <w:pStyle w:val="Footer"/>
            <w:jc w:val="right"/>
          </w:pPr>
          <w:r>
            <w:t>MENTAL HEALTH AND THE WORKERS COMPENSATION SYSTEM</w:t>
          </w:r>
        </w:p>
      </w:tc>
      <w:tc>
        <w:tcPr>
          <w:tcW w:w="510" w:type="dxa"/>
          <w:tcBorders>
            <w:top w:val="single" w:sz="4" w:space="0" w:color="auto"/>
          </w:tcBorders>
          <w:shd w:val="clear" w:color="auto" w:fill="auto"/>
        </w:tcPr>
        <w:p w14:paraId="2645C463"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101</w:t>
          </w:r>
          <w:r>
            <w:rPr>
              <w:rStyle w:val="PageNumber"/>
            </w:rPr>
            <w:fldChar w:fldCharType="end"/>
          </w:r>
        </w:p>
      </w:tc>
    </w:tr>
  </w:tbl>
  <w:p w14:paraId="55820320" w14:textId="77777777" w:rsidR="00AB0E42" w:rsidRPr="009C6940" w:rsidRDefault="00AB0E42" w:rsidP="009C6940">
    <w:pPr>
      <w:pStyle w:val="FooterEn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234A5485" w14:textId="77777777" w:rsidTr="009C6940">
      <w:trPr>
        <w:trHeight w:val="567"/>
      </w:trPr>
      <w:tc>
        <w:tcPr>
          <w:tcW w:w="510" w:type="dxa"/>
          <w:tcBorders>
            <w:top w:val="single" w:sz="4" w:space="0" w:color="auto"/>
          </w:tcBorders>
          <w:shd w:val="clear" w:color="auto" w:fill="auto"/>
        </w:tcPr>
        <w:p w14:paraId="5F46CFF0"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148</w:t>
          </w:r>
          <w:r>
            <w:rPr>
              <w:rStyle w:val="PageNumber"/>
            </w:rPr>
            <w:fldChar w:fldCharType="end"/>
          </w:r>
        </w:p>
      </w:tc>
      <w:tc>
        <w:tcPr>
          <w:tcW w:w="7767" w:type="dxa"/>
          <w:tcBorders>
            <w:top w:val="single" w:sz="4" w:space="0" w:color="auto"/>
          </w:tcBorders>
          <w:shd w:val="clear" w:color="auto" w:fill="auto"/>
        </w:tcPr>
        <w:p w14:paraId="3AA413B0" w14:textId="77777777" w:rsidR="00AB0E42" w:rsidRDefault="00AB0E42" w:rsidP="009C6940">
          <w:pPr>
            <w:pStyle w:val="Footer"/>
          </w:pPr>
          <w:r>
            <w:t>MENTAL HEALTH</w:t>
          </w:r>
        </w:p>
      </w:tc>
      <w:tc>
        <w:tcPr>
          <w:tcW w:w="510" w:type="dxa"/>
          <w:tcBorders>
            <w:top w:val="single" w:sz="4" w:space="0" w:color="auto"/>
          </w:tcBorders>
          <w:shd w:val="clear" w:color="auto" w:fill="auto"/>
        </w:tcPr>
        <w:p w14:paraId="43941730" w14:textId="77777777" w:rsidR="00AB0E42" w:rsidRDefault="00AB0E42" w:rsidP="009C6940">
          <w:pPr>
            <w:pStyle w:val="Footer"/>
          </w:pPr>
        </w:p>
      </w:tc>
    </w:tr>
  </w:tbl>
  <w:p w14:paraId="7599421D" w14:textId="77777777" w:rsidR="00AB0E42" w:rsidRPr="009C6940" w:rsidRDefault="00AB0E42" w:rsidP="009C6940">
    <w:pPr>
      <w:pStyle w:val="FooterEn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55DDD092" w14:textId="77777777" w:rsidTr="009C6940">
      <w:trPr>
        <w:trHeight w:val="567"/>
      </w:trPr>
      <w:tc>
        <w:tcPr>
          <w:tcW w:w="510" w:type="dxa"/>
          <w:tcBorders>
            <w:top w:val="single" w:sz="4" w:space="0" w:color="auto"/>
          </w:tcBorders>
          <w:shd w:val="clear" w:color="auto" w:fill="auto"/>
        </w:tcPr>
        <w:p w14:paraId="396772EF" w14:textId="77777777" w:rsidR="00AB0E42" w:rsidRDefault="00AB0E42" w:rsidP="009C6940">
          <w:pPr>
            <w:pStyle w:val="Footer"/>
          </w:pPr>
        </w:p>
      </w:tc>
      <w:tc>
        <w:tcPr>
          <w:tcW w:w="7767" w:type="dxa"/>
          <w:tcBorders>
            <w:top w:val="single" w:sz="4" w:space="0" w:color="auto"/>
          </w:tcBorders>
          <w:shd w:val="clear" w:color="auto" w:fill="auto"/>
        </w:tcPr>
        <w:p w14:paraId="50B0FD36" w14:textId="77777777" w:rsidR="00AB0E42" w:rsidRDefault="00AB0E42" w:rsidP="009C6940">
          <w:pPr>
            <w:pStyle w:val="Footer"/>
            <w:jc w:val="right"/>
          </w:pPr>
          <w:r>
            <w:t>FUNDING AND COMMISSIONING ARRANGEMENTS: SUPPORTING DETAIL</w:t>
          </w:r>
        </w:p>
      </w:tc>
      <w:tc>
        <w:tcPr>
          <w:tcW w:w="510" w:type="dxa"/>
          <w:tcBorders>
            <w:top w:val="single" w:sz="4" w:space="0" w:color="auto"/>
          </w:tcBorders>
          <w:shd w:val="clear" w:color="auto" w:fill="auto"/>
        </w:tcPr>
        <w:p w14:paraId="30EED7E9"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147</w:t>
          </w:r>
          <w:r>
            <w:rPr>
              <w:rStyle w:val="PageNumber"/>
            </w:rPr>
            <w:fldChar w:fldCharType="end"/>
          </w:r>
        </w:p>
      </w:tc>
    </w:tr>
  </w:tbl>
  <w:p w14:paraId="39976375" w14:textId="77777777" w:rsidR="00AB0E42" w:rsidRPr="009C6940" w:rsidRDefault="00AB0E42" w:rsidP="009C6940">
    <w:pPr>
      <w:pStyle w:val="FooterEn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02E512A0" w14:textId="77777777" w:rsidTr="009C6940">
      <w:trPr>
        <w:trHeight w:val="567"/>
      </w:trPr>
      <w:tc>
        <w:tcPr>
          <w:tcW w:w="510" w:type="dxa"/>
          <w:tcBorders>
            <w:top w:val="single" w:sz="4" w:space="0" w:color="auto"/>
          </w:tcBorders>
          <w:shd w:val="clear" w:color="auto" w:fill="auto"/>
        </w:tcPr>
        <w:p w14:paraId="0F5860AE"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170</w:t>
          </w:r>
          <w:r>
            <w:rPr>
              <w:rStyle w:val="PageNumber"/>
            </w:rPr>
            <w:fldChar w:fldCharType="end"/>
          </w:r>
        </w:p>
      </w:tc>
      <w:tc>
        <w:tcPr>
          <w:tcW w:w="7767" w:type="dxa"/>
          <w:tcBorders>
            <w:top w:val="single" w:sz="4" w:space="0" w:color="auto"/>
          </w:tcBorders>
          <w:shd w:val="clear" w:color="auto" w:fill="auto"/>
        </w:tcPr>
        <w:p w14:paraId="4C819D65" w14:textId="77777777" w:rsidR="00AB0E42" w:rsidRDefault="00AB0E42" w:rsidP="009C6940">
          <w:pPr>
            <w:pStyle w:val="Footer"/>
          </w:pPr>
          <w:r>
            <w:t>MENTAL HEALTH</w:t>
          </w:r>
        </w:p>
      </w:tc>
      <w:tc>
        <w:tcPr>
          <w:tcW w:w="510" w:type="dxa"/>
          <w:tcBorders>
            <w:top w:val="single" w:sz="4" w:space="0" w:color="auto"/>
          </w:tcBorders>
          <w:shd w:val="clear" w:color="auto" w:fill="auto"/>
        </w:tcPr>
        <w:p w14:paraId="23800FA6" w14:textId="77777777" w:rsidR="00AB0E42" w:rsidRDefault="00AB0E42" w:rsidP="009C6940">
          <w:pPr>
            <w:pStyle w:val="Footer"/>
          </w:pPr>
        </w:p>
      </w:tc>
    </w:tr>
  </w:tbl>
  <w:p w14:paraId="290823E5" w14:textId="77777777" w:rsidR="00AB0E42" w:rsidRPr="009C6940" w:rsidRDefault="00AB0E42" w:rsidP="009C6940">
    <w:pPr>
      <w:pStyle w:val="FooterEnd"/>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5AEDF86E" w14:textId="77777777" w:rsidTr="009C6940">
      <w:trPr>
        <w:trHeight w:val="567"/>
      </w:trPr>
      <w:tc>
        <w:tcPr>
          <w:tcW w:w="510" w:type="dxa"/>
          <w:tcBorders>
            <w:top w:val="single" w:sz="4" w:space="0" w:color="auto"/>
          </w:tcBorders>
          <w:shd w:val="clear" w:color="auto" w:fill="auto"/>
        </w:tcPr>
        <w:p w14:paraId="51E4348C" w14:textId="77777777" w:rsidR="00AB0E42" w:rsidRDefault="00AB0E42" w:rsidP="009C6940">
          <w:pPr>
            <w:pStyle w:val="Footer"/>
          </w:pPr>
        </w:p>
      </w:tc>
      <w:tc>
        <w:tcPr>
          <w:tcW w:w="7767" w:type="dxa"/>
          <w:tcBorders>
            <w:top w:val="single" w:sz="4" w:space="0" w:color="auto"/>
          </w:tcBorders>
          <w:shd w:val="clear" w:color="auto" w:fill="auto"/>
        </w:tcPr>
        <w:p w14:paraId="3AC0B494" w14:textId="77777777" w:rsidR="00AB0E42" w:rsidRDefault="00AB0E42" w:rsidP="009C6940">
          <w:pPr>
            <w:pStyle w:val="Footer"/>
            <w:jc w:val="right"/>
          </w:pPr>
          <w:r>
            <w:t>CALCULATING THE COST OF MENTAL ILL-HEALTH AND SUICIDE IN AUSTRALIA</w:t>
          </w:r>
        </w:p>
      </w:tc>
      <w:tc>
        <w:tcPr>
          <w:tcW w:w="510" w:type="dxa"/>
          <w:tcBorders>
            <w:top w:val="single" w:sz="4" w:space="0" w:color="auto"/>
          </w:tcBorders>
          <w:shd w:val="clear" w:color="auto" w:fill="auto"/>
        </w:tcPr>
        <w:p w14:paraId="0DDC63D1"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169</w:t>
          </w:r>
          <w:r>
            <w:rPr>
              <w:rStyle w:val="PageNumber"/>
            </w:rPr>
            <w:fldChar w:fldCharType="end"/>
          </w:r>
        </w:p>
      </w:tc>
    </w:tr>
  </w:tbl>
  <w:p w14:paraId="766073F1" w14:textId="77777777" w:rsidR="00AB0E42" w:rsidRPr="009C6940" w:rsidRDefault="00AB0E42" w:rsidP="009C6940">
    <w:pPr>
      <w:pStyle w:val="FooterEnd"/>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6BA49A7D" w14:textId="77777777" w:rsidTr="009C6940">
      <w:trPr>
        <w:trHeight w:val="567"/>
      </w:trPr>
      <w:tc>
        <w:tcPr>
          <w:tcW w:w="510" w:type="dxa"/>
          <w:tcBorders>
            <w:top w:val="single" w:sz="4" w:space="0" w:color="auto"/>
          </w:tcBorders>
          <w:shd w:val="clear" w:color="auto" w:fill="auto"/>
        </w:tcPr>
        <w:p w14:paraId="2FE14360"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172</w:t>
          </w:r>
          <w:r>
            <w:rPr>
              <w:rStyle w:val="PageNumber"/>
            </w:rPr>
            <w:fldChar w:fldCharType="end"/>
          </w:r>
        </w:p>
      </w:tc>
      <w:tc>
        <w:tcPr>
          <w:tcW w:w="7767" w:type="dxa"/>
          <w:tcBorders>
            <w:top w:val="single" w:sz="4" w:space="0" w:color="auto"/>
          </w:tcBorders>
          <w:shd w:val="clear" w:color="auto" w:fill="auto"/>
        </w:tcPr>
        <w:p w14:paraId="6FE29270" w14:textId="77777777" w:rsidR="00AB0E42" w:rsidRDefault="00AB0E42" w:rsidP="009C6940">
          <w:pPr>
            <w:pStyle w:val="Footer"/>
          </w:pPr>
          <w:r>
            <w:t>MENTAL HEALTH</w:t>
          </w:r>
        </w:p>
      </w:tc>
      <w:tc>
        <w:tcPr>
          <w:tcW w:w="510" w:type="dxa"/>
          <w:tcBorders>
            <w:top w:val="single" w:sz="4" w:space="0" w:color="auto"/>
          </w:tcBorders>
          <w:shd w:val="clear" w:color="auto" w:fill="auto"/>
        </w:tcPr>
        <w:p w14:paraId="6218C759" w14:textId="77777777" w:rsidR="00AB0E42" w:rsidRDefault="00AB0E42" w:rsidP="009C6940">
          <w:pPr>
            <w:pStyle w:val="Footer"/>
          </w:pPr>
        </w:p>
      </w:tc>
    </w:tr>
  </w:tbl>
  <w:p w14:paraId="24C7A29A" w14:textId="77777777" w:rsidR="00AB0E42" w:rsidRPr="009C6940" w:rsidRDefault="00AB0E42" w:rsidP="009C6940">
    <w:pPr>
      <w:pStyle w:val="FooterEnd"/>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58B4901B" w14:textId="77777777" w:rsidTr="009C6940">
      <w:trPr>
        <w:trHeight w:val="567"/>
      </w:trPr>
      <w:tc>
        <w:tcPr>
          <w:tcW w:w="510" w:type="dxa"/>
          <w:tcBorders>
            <w:top w:val="single" w:sz="4" w:space="0" w:color="auto"/>
          </w:tcBorders>
          <w:shd w:val="clear" w:color="auto" w:fill="auto"/>
        </w:tcPr>
        <w:p w14:paraId="687CF837" w14:textId="77777777" w:rsidR="00AB0E42" w:rsidRDefault="00AB0E42" w:rsidP="009C6940">
          <w:pPr>
            <w:pStyle w:val="Footer"/>
          </w:pPr>
        </w:p>
      </w:tc>
      <w:tc>
        <w:tcPr>
          <w:tcW w:w="7767" w:type="dxa"/>
          <w:tcBorders>
            <w:top w:val="single" w:sz="4" w:space="0" w:color="auto"/>
          </w:tcBorders>
          <w:shd w:val="clear" w:color="auto" w:fill="auto"/>
        </w:tcPr>
        <w:p w14:paraId="1D4B39DD" w14:textId="77777777" w:rsidR="00AB0E42" w:rsidRDefault="00AB0E42" w:rsidP="009C6940">
          <w:pPr>
            <w:pStyle w:val="Footer"/>
            <w:jc w:val="right"/>
          </w:pPr>
          <w:r>
            <w:t>BENEFITS AND COSTS OF IMPROVED MENTAL HEALTH</w:t>
          </w:r>
        </w:p>
      </w:tc>
      <w:tc>
        <w:tcPr>
          <w:tcW w:w="510" w:type="dxa"/>
          <w:tcBorders>
            <w:top w:val="single" w:sz="4" w:space="0" w:color="auto"/>
          </w:tcBorders>
          <w:shd w:val="clear" w:color="auto" w:fill="auto"/>
        </w:tcPr>
        <w:p w14:paraId="69F78BA1"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171</w:t>
          </w:r>
          <w:r>
            <w:rPr>
              <w:rStyle w:val="PageNumber"/>
            </w:rPr>
            <w:fldChar w:fldCharType="end"/>
          </w:r>
        </w:p>
      </w:tc>
    </w:tr>
  </w:tbl>
  <w:p w14:paraId="220935E0" w14:textId="77777777" w:rsidR="00AB0E42" w:rsidRPr="009C6940" w:rsidRDefault="00AB0E42" w:rsidP="009C6940">
    <w:pPr>
      <w:pStyle w:val="FooterEnd"/>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CFD1"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B0E42" w14:paraId="62B8D125" w14:textId="77777777" w:rsidTr="004E2ABA">
      <w:trPr>
        <w:trHeight w:hRule="exact" w:val="567"/>
      </w:trPr>
      <w:tc>
        <w:tcPr>
          <w:tcW w:w="510" w:type="dxa"/>
        </w:tcPr>
        <w:p w14:paraId="1454489C" w14:textId="77777777" w:rsidR="00AB0E42" w:rsidRDefault="00AB0E42">
          <w:pPr>
            <w:pStyle w:val="Footer"/>
            <w:ind w:right="360" w:firstLine="360"/>
          </w:pPr>
        </w:p>
      </w:tc>
      <w:tc>
        <w:tcPr>
          <w:tcW w:w="7767" w:type="dxa"/>
        </w:tcPr>
        <w:p w14:paraId="00725328" w14:textId="1EA9548C" w:rsidR="00AB0E42" w:rsidRPr="00A90DAF" w:rsidRDefault="00AB0E42" w:rsidP="004E2ABA">
          <w:pPr>
            <w:pStyle w:val="Footer"/>
            <w:jc w:val="right"/>
            <w:rPr>
              <w:rFonts w:cs="Arial"/>
            </w:rPr>
          </w:pPr>
          <w:r w:rsidRPr="00A90DAF">
            <w:rPr>
              <w:noProof/>
            </w:rPr>
            <w:fldChar w:fldCharType="begin"/>
          </w:r>
          <w:r w:rsidRPr="00A90DAF">
            <w:rPr>
              <w:noProof/>
            </w:rPr>
            <w:instrText xml:space="preserve"> STYLEREF "Heading 1" \* MERGEFORMAT </w:instrText>
          </w:r>
          <w:r w:rsidRPr="00A90DAF">
            <w:rPr>
              <w:noProof/>
            </w:rPr>
            <w:fldChar w:fldCharType="separate"/>
          </w:r>
          <w:r w:rsidR="003A09BC" w:rsidRPr="003A09BC">
            <w:rPr>
              <w:bCs/>
              <w:noProof/>
              <w:lang w:val="en-US"/>
            </w:rPr>
            <w:t>Mental</w:t>
          </w:r>
          <w:r w:rsidR="003A09BC">
            <w:rPr>
              <w:noProof/>
            </w:rPr>
            <w:t xml:space="preserve"> Health</w:t>
          </w:r>
          <w:r w:rsidRPr="00A90DAF">
            <w:rPr>
              <w:noProof/>
            </w:rPr>
            <w:fldChar w:fldCharType="end"/>
          </w:r>
        </w:p>
      </w:tc>
      <w:tc>
        <w:tcPr>
          <w:tcW w:w="510" w:type="dxa"/>
        </w:tcPr>
        <w:p w14:paraId="3CECC7C6" w14:textId="77777777" w:rsidR="00AB0E42" w:rsidRPr="00A24443" w:rsidRDefault="00AB0E4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A09BC">
            <w:rPr>
              <w:rStyle w:val="PageNumber"/>
              <w:caps w:val="0"/>
              <w:noProof/>
            </w:rPr>
            <w:t>iii</w:t>
          </w:r>
          <w:r w:rsidRPr="00A24443">
            <w:rPr>
              <w:rStyle w:val="PageNumber"/>
              <w:caps w:val="0"/>
            </w:rPr>
            <w:fldChar w:fldCharType="end"/>
          </w:r>
        </w:p>
      </w:tc>
    </w:tr>
  </w:tbl>
  <w:p w14:paraId="673C520E" w14:textId="77777777" w:rsidR="00AB0E42" w:rsidRDefault="00AB0E42">
    <w:pPr>
      <w:pStyle w:val="FooterEnd"/>
    </w:pPr>
  </w:p>
  <w:p w14:paraId="1024C638" w14:textId="77777777" w:rsidR="00AB0E42" w:rsidRDefault="00AB0E42">
    <w:pPr>
      <w:pStyle w:val="FooterEnd"/>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1A97"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185</w:t>
    </w:r>
    <w:r>
      <w:rPr>
        <w:rStyle w:val="PageNumber"/>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1009FC0C" w14:textId="77777777" w:rsidTr="009C6940">
      <w:trPr>
        <w:trHeight w:val="567"/>
      </w:trPr>
      <w:tc>
        <w:tcPr>
          <w:tcW w:w="510" w:type="dxa"/>
          <w:tcBorders>
            <w:top w:val="single" w:sz="4" w:space="0" w:color="auto"/>
          </w:tcBorders>
          <w:shd w:val="clear" w:color="auto" w:fill="auto"/>
        </w:tcPr>
        <w:p w14:paraId="17F2DF5B"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188</w:t>
          </w:r>
          <w:r>
            <w:rPr>
              <w:rStyle w:val="PageNumber"/>
            </w:rPr>
            <w:fldChar w:fldCharType="end"/>
          </w:r>
        </w:p>
      </w:tc>
      <w:tc>
        <w:tcPr>
          <w:tcW w:w="7767" w:type="dxa"/>
          <w:tcBorders>
            <w:top w:val="single" w:sz="4" w:space="0" w:color="auto"/>
          </w:tcBorders>
          <w:shd w:val="clear" w:color="auto" w:fill="auto"/>
        </w:tcPr>
        <w:p w14:paraId="5B6F6E5D" w14:textId="77777777" w:rsidR="00AB0E42" w:rsidRDefault="00AB0E42" w:rsidP="009C6940">
          <w:pPr>
            <w:pStyle w:val="Footer"/>
            <w:rPr>
              <w:rStyle w:val="PageNumber"/>
              <w:b w:val="0"/>
            </w:rPr>
          </w:pPr>
          <w:r>
            <w:rPr>
              <w:rStyle w:val="PageNumber"/>
              <w:b w:val="0"/>
            </w:rPr>
            <w:t>MENTAL HEALTH</w:t>
          </w:r>
        </w:p>
      </w:tc>
      <w:tc>
        <w:tcPr>
          <w:tcW w:w="510" w:type="dxa"/>
          <w:tcBorders>
            <w:top w:val="single" w:sz="4" w:space="0" w:color="auto"/>
          </w:tcBorders>
          <w:shd w:val="clear" w:color="auto" w:fill="auto"/>
        </w:tcPr>
        <w:p w14:paraId="5CE9CA7D" w14:textId="77777777" w:rsidR="00AB0E42" w:rsidRDefault="00AB0E42" w:rsidP="009C6940">
          <w:pPr>
            <w:pStyle w:val="Footer"/>
            <w:rPr>
              <w:rStyle w:val="PageNumber"/>
              <w:b w:val="0"/>
            </w:rPr>
          </w:pPr>
        </w:p>
      </w:tc>
    </w:tr>
  </w:tbl>
  <w:p w14:paraId="6A171BA5" w14:textId="77777777" w:rsidR="00AB0E42" w:rsidRPr="009C6940" w:rsidRDefault="00AB0E42" w:rsidP="009C6940">
    <w:pPr>
      <w:pStyle w:val="FooterEnd"/>
      <w:rPr>
        <w:rStyle w:val="PageNumber"/>
        <w:b w:val="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0F203789" w14:textId="77777777" w:rsidTr="009C6940">
      <w:trPr>
        <w:trHeight w:val="567"/>
      </w:trPr>
      <w:tc>
        <w:tcPr>
          <w:tcW w:w="510" w:type="dxa"/>
          <w:tcBorders>
            <w:top w:val="single" w:sz="4" w:space="0" w:color="auto"/>
          </w:tcBorders>
          <w:shd w:val="clear" w:color="auto" w:fill="auto"/>
        </w:tcPr>
        <w:p w14:paraId="0C5D1CD5" w14:textId="77777777" w:rsidR="00AB0E42" w:rsidRDefault="00AB0E42" w:rsidP="009C6940">
          <w:pPr>
            <w:pStyle w:val="Footer"/>
            <w:rPr>
              <w:rStyle w:val="PageNumber"/>
              <w:b w:val="0"/>
            </w:rPr>
          </w:pPr>
        </w:p>
      </w:tc>
      <w:tc>
        <w:tcPr>
          <w:tcW w:w="7767" w:type="dxa"/>
          <w:tcBorders>
            <w:top w:val="single" w:sz="4" w:space="0" w:color="auto"/>
          </w:tcBorders>
          <w:shd w:val="clear" w:color="auto" w:fill="auto"/>
        </w:tcPr>
        <w:p w14:paraId="6B27C190" w14:textId="77777777" w:rsidR="00AB0E42" w:rsidRDefault="00AB0E42" w:rsidP="009C6940">
          <w:pPr>
            <w:pStyle w:val="Footer"/>
            <w:jc w:val="right"/>
            <w:rPr>
              <w:rStyle w:val="PageNumber"/>
              <w:b w:val="0"/>
            </w:rPr>
          </w:pPr>
          <w:r>
            <w:rPr>
              <w:rStyle w:val="PageNumber"/>
              <w:b w:val="0"/>
            </w:rPr>
            <w:t>MENTAL HEALTH, LABOUR MARKET OUTCOMES AND HEALTH-RELATED QUALITY OF LIFE</w:t>
          </w:r>
        </w:p>
      </w:tc>
      <w:tc>
        <w:tcPr>
          <w:tcW w:w="510" w:type="dxa"/>
          <w:tcBorders>
            <w:top w:val="single" w:sz="4" w:space="0" w:color="auto"/>
          </w:tcBorders>
          <w:shd w:val="clear" w:color="auto" w:fill="auto"/>
        </w:tcPr>
        <w:p w14:paraId="6F399544"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189</w:t>
          </w:r>
          <w:r>
            <w:rPr>
              <w:rStyle w:val="PageNumber"/>
            </w:rPr>
            <w:fldChar w:fldCharType="end"/>
          </w:r>
        </w:p>
      </w:tc>
    </w:tr>
  </w:tbl>
  <w:p w14:paraId="61FF308D" w14:textId="77777777" w:rsidR="00AB0E42" w:rsidRPr="009C6940" w:rsidRDefault="00AB0E42" w:rsidP="009C6940">
    <w:pPr>
      <w:pStyle w:val="FooterEnd"/>
      <w:rPr>
        <w:rStyle w:val="PageNumber"/>
        <w:b w:val="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6E79AF29" w14:textId="77777777" w:rsidTr="009C6940">
      <w:trPr>
        <w:trHeight w:val="567"/>
      </w:trPr>
      <w:tc>
        <w:tcPr>
          <w:tcW w:w="510" w:type="dxa"/>
          <w:tcBorders>
            <w:top w:val="single" w:sz="4" w:space="0" w:color="auto"/>
          </w:tcBorders>
          <w:shd w:val="clear" w:color="auto" w:fill="auto"/>
        </w:tcPr>
        <w:p w14:paraId="1CB240AE"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208</w:t>
          </w:r>
          <w:r>
            <w:rPr>
              <w:rStyle w:val="PageNumber"/>
            </w:rPr>
            <w:fldChar w:fldCharType="end"/>
          </w:r>
        </w:p>
      </w:tc>
      <w:tc>
        <w:tcPr>
          <w:tcW w:w="7767" w:type="dxa"/>
          <w:tcBorders>
            <w:top w:val="single" w:sz="4" w:space="0" w:color="auto"/>
          </w:tcBorders>
          <w:shd w:val="clear" w:color="auto" w:fill="auto"/>
        </w:tcPr>
        <w:p w14:paraId="7D6820C2" w14:textId="77777777" w:rsidR="00AB0E42" w:rsidRDefault="00AB0E42" w:rsidP="009C6940">
          <w:pPr>
            <w:pStyle w:val="Footer"/>
            <w:rPr>
              <w:rStyle w:val="PageNumber"/>
              <w:b w:val="0"/>
            </w:rPr>
          </w:pPr>
          <w:r>
            <w:rPr>
              <w:rStyle w:val="PageNumber"/>
              <w:b w:val="0"/>
            </w:rPr>
            <w:t>MENTAL HEALTH</w:t>
          </w:r>
        </w:p>
      </w:tc>
      <w:tc>
        <w:tcPr>
          <w:tcW w:w="510" w:type="dxa"/>
          <w:tcBorders>
            <w:top w:val="single" w:sz="4" w:space="0" w:color="auto"/>
          </w:tcBorders>
          <w:shd w:val="clear" w:color="auto" w:fill="auto"/>
        </w:tcPr>
        <w:p w14:paraId="1EBDB29B" w14:textId="77777777" w:rsidR="00AB0E42" w:rsidRDefault="00AB0E42" w:rsidP="009C6940">
          <w:pPr>
            <w:pStyle w:val="Footer"/>
            <w:rPr>
              <w:rStyle w:val="PageNumber"/>
              <w:b w:val="0"/>
            </w:rPr>
          </w:pPr>
        </w:p>
      </w:tc>
    </w:tr>
  </w:tbl>
  <w:p w14:paraId="4D41A357" w14:textId="77777777" w:rsidR="00AB0E42" w:rsidRPr="009C6940" w:rsidRDefault="00AB0E42" w:rsidP="009C6940">
    <w:pPr>
      <w:pStyle w:val="FooterEnd"/>
      <w:rPr>
        <w:rStyle w:val="PageNumber"/>
        <w:b w:val="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56FF09CD" w14:textId="77777777" w:rsidTr="009C6940">
      <w:trPr>
        <w:trHeight w:val="567"/>
      </w:trPr>
      <w:tc>
        <w:tcPr>
          <w:tcW w:w="510" w:type="dxa"/>
          <w:tcBorders>
            <w:top w:val="single" w:sz="4" w:space="0" w:color="auto"/>
          </w:tcBorders>
          <w:shd w:val="clear" w:color="auto" w:fill="auto"/>
        </w:tcPr>
        <w:p w14:paraId="08D4B989" w14:textId="77777777" w:rsidR="00AB0E42" w:rsidRDefault="00AB0E42" w:rsidP="009C6940">
          <w:pPr>
            <w:pStyle w:val="Footer"/>
            <w:rPr>
              <w:rStyle w:val="PageNumber"/>
              <w:b w:val="0"/>
            </w:rPr>
          </w:pPr>
        </w:p>
      </w:tc>
      <w:tc>
        <w:tcPr>
          <w:tcW w:w="7767" w:type="dxa"/>
          <w:tcBorders>
            <w:top w:val="single" w:sz="4" w:space="0" w:color="auto"/>
          </w:tcBorders>
          <w:shd w:val="clear" w:color="auto" w:fill="auto"/>
        </w:tcPr>
        <w:p w14:paraId="63DE67B4" w14:textId="77777777" w:rsidR="00AB0E42" w:rsidRDefault="00AB0E42" w:rsidP="009C6940">
          <w:pPr>
            <w:pStyle w:val="Footer"/>
            <w:jc w:val="right"/>
            <w:rPr>
              <w:rStyle w:val="PageNumber"/>
              <w:b w:val="0"/>
            </w:rPr>
          </w:pPr>
          <w:r>
            <w:rPr>
              <w:rStyle w:val="PageNumber"/>
              <w:b w:val="0"/>
            </w:rPr>
            <w:t>MENTAL HEALTH, LABOUR MARKET OUTCOMES AND HEALTH-RELATED QUALITY OF LIFE</w:t>
          </w:r>
        </w:p>
      </w:tc>
      <w:tc>
        <w:tcPr>
          <w:tcW w:w="510" w:type="dxa"/>
          <w:tcBorders>
            <w:top w:val="single" w:sz="4" w:space="0" w:color="auto"/>
          </w:tcBorders>
          <w:shd w:val="clear" w:color="auto" w:fill="auto"/>
        </w:tcPr>
        <w:p w14:paraId="663D414D"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207</w:t>
          </w:r>
          <w:r>
            <w:rPr>
              <w:rStyle w:val="PageNumber"/>
            </w:rPr>
            <w:fldChar w:fldCharType="end"/>
          </w:r>
        </w:p>
      </w:tc>
    </w:tr>
  </w:tbl>
  <w:p w14:paraId="1127EDB8" w14:textId="77777777" w:rsidR="00AB0E42" w:rsidRPr="009C6940" w:rsidRDefault="00AB0E42" w:rsidP="009C6940">
    <w:pPr>
      <w:pStyle w:val="FooterEnd"/>
      <w:rPr>
        <w:rStyle w:val="PageNumber"/>
        <w:b w:val="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2E439748" w14:textId="77777777" w:rsidTr="009C6940">
      <w:trPr>
        <w:trHeight w:val="567"/>
      </w:trPr>
      <w:tc>
        <w:tcPr>
          <w:tcW w:w="510" w:type="dxa"/>
          <w:tcBorders>
            <w:top w:val="single" w:sz="4" w:space="0" w:color="auto"/>
          </w:tcBorders>
          <w:shd w:val="clear" w:color="auto" w:fill="auto"/>
        </w:tcPr>
        <w:p w14:paraId="6518B238"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268</w:t>
          </w:r>
          <w:r>
            <w:rPr>
              <w:rStyle w:val="PageNumber"/>
            </w:rPr>
            <w:fldChar w:fldCharType="end"/>
          </w:r>
        </w:p>
      </w:tc>
      <w:tc>
        <w:tcPr>
          <w:tcW w:w="7767" w:type="dxa"/>
          <w:tcBorders>
            <w:top w:val="single" w:sz="4" w:space="0" w:color="auto"/>
          </w:tcBorders>
          <w:shd w:val="clear" w:color="auto" w:fill="auto"/>
        </w:tcPr>
        <w:p w14:paraId="7F79F597" w14:textId="77777777" w:rsidR="00AB0E42" w:rsidRDefault="00AB0E42" w:rsidP="009C6940">
          <w:pPr>
            <w:pStyle w:val="Footer"/>
            <w:rPr>
              <w:rStyle w:val="PageNumber"/>
              <w:b w:val="0"/>
            </w:rPr>
          </w:pPr>
          <w:r>
            <w:rPr>
              <w:rStyle w:val="PageNumber"/>
              <w:b w:val="0"/>
            </w:rPr>
            <w:t>MENTAL HEALTH</w:t>
          </w:r>
        </w:p>
      </w:tc>
      <w:tc>
        <w:tcPr>
          <w:tcW w:w="510" w:type="dxa"/>
          <w:tcBorders>
            <w:top w:val="single" w:sz="4" w:space="0" w:color="auto"/>
          </w:tcBorders>
          <w:shd w:val="clear" w:color="auto" w:fill="auto"/>
        </w:tcPr>
        <w:p w14:paraId="04CFAD9A" w14:textId="77777777" w:rsidR="00AB0E42" w:rsidRDefault="00AB0E42" w:rsidP="009C6940">
          <w:pPr>
            <w:pStyle w:val="Footer"/>
            <w:rPr>
              <w:rStyle w:val="PageNumber"/>
              <w:b w:val="0"/>
            </w:rPr>
          </w:pPr>
        </w:p>
      </w:tc>
    </w:tr>
  </w:tbl>
  <w:p w14:paraId="720F70AE" w14:textId="77777777" w:rsidR="00AB0E42" w:rsidRPr="009C6940" w:rsidRDefault="00AB0E42" w:rsidP="009C6940">
    <w:pPr>
      <w:pStyle w:val="FooterEnd"/>
      <w:rPr>
        <w:rStyle w:val="PageNumber"/>
        <w:b w:val="0"/>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664A3026" w14:textId="77777777" w:rsidTr="009C6940">
      <w:trPr>
        <w:trHeight w:val="567"/>
      </w:trPr>
      <w:tc>
        <w:tcPr>
          <w:tcW w:w="510" w:type="dxa"/>
          <w:tcBorders>
            <w:top w:val="single" w:sz="4" w:space="0" w:color="auto"/>
          </w:tcBorders>
          <w:shd w:val="clear" w:color="auto" w:fill="auto"/>
        </w:tcPr>
        <w:p w14:paraId="4979850C" w14:textId="77777777" w:rsidR="00AB0E42" w:rsidRDefault="00AB0E42" w:rsidP="009C6940">
          <w:pPr>
            <w:pStyle w:val="Footer"/>
            <w:rPr>
              <w:rStyle w:val="PageNumber"/>
              <w:b w:val="0"/>
            </w:rPr>
          </w:pPr>
        </w:p>
      </w:tc>
      <w:tc>
        <w:tcPr>
          <w:tcW w:w="7767" w:type="dxa"/>
          <w:tcBorders>
            <w:top w:val="single" w:sz="4" w:space="0" w:color="auto"/>
          </w:tcBorders>
          <w:shd w:val="clear" w:color="auto" w:fill="auto"/>
        </w:tcPr>
        <w:p w14:paraId="55F1F7B9" w14:textId="77777777" w:rsidR="00AB0E42" w:rsidRDefault="00AB0E42" w:rsidP="009C6940">
          <w:pPr>
            <w:pStyle w:val="Footer"/>
            <w:jc w:val="right"/>
            <w:rPr>
              <w:rStyle w:val="PageNumber"/>
              <w:b w:val="0"/>
            </w:rPr>
          </w:pPr>
        </w:p>
      </w:tc>
      <w:tc>
        <w:tcPr>
          <w:tcW w:w="510" w:type="dxa"/>
          <w:tcBorders>
            <w:top w:val="single" w:sz="4" w:space="0" w:color="auto"/>
          </w:tcBorders>
          <w:shd w:val="clear" w:color="auto" w:fill="auto"/>
        </w:tcPr>
        <w:p w14:paraId="3EB9504B"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267</w:t>
          </w:r>
          <w:r>
            <w:rPr>
              <w:rStyle w:val="PageNumber"/>
            </w:rPr>
            <w:fldChar w:fldCharType="end"/>
          </w:r>
        </w:p>
      </w:tc>
    </w:tr>
  </w:tbl>
  <w:p w14:paraId="47261904" w14:textId="77777777" w:rsidR="00AB0E42" w:rsidRPr="009C6940" w:rsidRDefault="00AB0E42" w:rsidP="009C6940">
    <w:pPr>
      <w:pStyle w:val="FooterEnd"/>
      <w:rPr>
        <w:rStyle w:val="PageNumber"/>
        <w:b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77123ADC" w14:textId="77777777" w:rsidTr="009C6940">
      <w:trPr>
        <w:trHeight w:val="567"/>
      </w:trPr>
      <w:tc>
        <w:tcPr>
          <w:tcW w:w="510" w:type="dxa"/>
          <w:tcBorders>
            <w:top w:val="single" w:sz="4" w:space="0" w:color="auto"/>
          </w:tcBorders>
          <w:shd w:val="clear" w:color="auto" w:fill="auto"/>
        </w:tcPr>
        <w:p w14:paraId="67D32E9F"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A09BC">
            <w:rPr>
              <w:rStyle w:val="PageNumber"/>
              <w:noProof/>
            </w:rPr>
            <w:t>30</w:t>
          </w:r>
          <w:r>
            <w:rPr>
              <w:rStyle w:val="PageNumber"/>
            </w:rPr>
            <w:fldChar w:fldCharType="end"/>
          </w:r>
        </w:p>
      </w:tc>
      <w:tc>
        <w:tcPr>
          <w:tcW w:w="7767" w:type="dxa"/>
          <w:tcBorders>
            <w:top w:val="single" w:sz="4" w:space="0" w:color="auto"/>
          </w:tcBorders>
          <w:shd w:val="clear" w:color="auto" w:fill="auto"/>
        </w:tcPr>
        <w:p w14:paraId="2BB0797B" w14:textId="77777777" w:rsidR="00AB0E42" w:rsidRDefault="00AB0E42" w:rsidP="009C6940">
          <w:pPr>
            <w:pStyle w:val="Footer"/>
          </w:pPr>
          <w:r>
            <w:t>MENTAL HEALTH</w:t>
          </w:r>
        </w:p>
      </w:tc>
      <w:tc>
        <w:tcPr>
          <w:tcW w:w="510" w:type="dxa"/>
          <w:tcBorders>
            <w:top w:val="single" w:sz="4" w:space="0" w:color="auto"/>
          </w:tcBorders>
          <w:shd w:val="clear" w:color="auto" w:fill="auto"/>
        </w:tcPr>
        <w:p w14:paraId="2C3136DB" w14:textId="77777777" w:rsidR="00AB0E42" w:rsidRDefault="00AB0E42" w:rsidP="009C6940">
          <w:pPr>
            <w:pStyle w:val="Footer"/>
          </w:pPr>
        </w:p>
      </w:tc>
    </w:tr>
  </w:tbl>
  <w:p w14:paraId="1168F8D2" w14:textId="77777777" w:rsidR="00AB0E42" w:rsidRPr="009C6940" w:rsidRDefault="00AB0E42" w:rsidP="009C6940">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4FF5ED8A" w14:textId="77777777" w:rsidTr="009C6940">
      <w:trPr>
        <w:trHeight w:val="567"/>
      </w:trPr>
      <w:tc>
        <w:tcPr>
          <w:tcW w:w="510" w:type="dxa"/>
          <w:tcBorders>
            <w:top w:val="single" w:sz="4" w:space="0" w:color="auto"/>
          </w:tcBorders>
          <w:shd w:val="clear" w:color="auto" w:fill="auto"/>
        </w:tcPr>
        <w:p w14:paraId="3A1D9342" w14:textId="77777777" w:rsidR="00AB0E42" w:rsidRDefault="00AB0E42" w:rsidP="009C6940">
          <w:pPr>
            <w:pStyle w:val="Footer"/>
          </w:pPr>
        </w:p>
      </w:tc>
      <w:tc>
        <w:tcPr>
          <w:tcW w:w="7767" w:type="dxa"/>
          <w:tcBorders>
            <w:top w:val="single" w:sz="4" w:space="0" w:color="auto"/>
          </w:tcBorders>
          <w:shd w:val="clear" w:color="auto" w:fill="auto"/>
        </w:tcPr>
        <w:p w14:paraId="1BA70F64" w14:textId="77777777" w:rsidR="00AB0E42" w:rsidRDefault="00AB0E42" w:rsidP="009C6940">
          <w:pPr>
            <w:pStyle w:val="Footer"/>
            <w:jc w:val="right"/>
          </w:pPr>
          <w:r>
            <w:t>PUBLIC CONSULTATIONS</w:t>
          </w:r>
        </w:p>
      </w:tc>
      <w:tc>
        <w:tcPr>
          <w:tcW w:w="510" w:type="dxa"/>
          <w:tcBorders>
            <w:top w:val="single" w:sz="4" w:space="0" w:color="auto"/>
          </w:tcBorders>
          <w:shd w:val="clear" w:color="auto" w:fill="auto"/>
        </w:tcPr>
        <w:p w14:paraId="73063396"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A09BC">
            <w:rPr>
              <w:rStyle w:val="PageNumber"/>
              <w:noProof/>
            </w:rPr>
            <w:t>29</w:t>
          </w:r>
          <w:r>
            <w:rPr>
              <w:rStyle w:val="PageNumber"/>
            </w:rPr>
            <w:fldChar w:fldCharType="end"/>
          </w:r>
        </w:p>
      </w:tc>
    </w:tr>
  </w:tbl>
  <w:p w14:paraId="28A69E47" w14:textId="77777777" w:rsidR="00AB0E42" w:rsidRPr="009C6940" w:rsidRDefault="00AB0E42" w:rsidP="009C6940">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53BB900F" w14:textId="77777777" w:rsidTr="009C6940">
      <w:trPr>
        <w:trHeight w:val="567"/>
      </w:trPr>
      <w:tc>
        <w:tcPr>
          <w:tcW w:w="510" w:type="dxa"/>
          <w:tcBorders>
            <w:top w:val="single" w:sz="4" w:space="0" w:color="auto"/>
          </w:tcBorders>
          <w:shd w:val="clear" w:color="auto" w:fill="auto"/>
        </w:tcPr>
        <w:p w14:paraId="4B4D2B9E"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64</w:t>
          </w:r>
          <w:r>
            <w:rPr>
              <w:rStyle w:val="PageNumber"/>
            </w:rPr>
            <w:fldChar w:fldCharType="end"/>
          </w:r>
        </w:p>
      </w:tc>
      <w:tc>
        <w:tcPr>
          <w:tcW w:w="7767" w:type="dxa"/>
          <w:tcBorders>
            <w:top w:val="single" w:sz="4" w:space="0" w:color="auto"/>
          </w:tcBorders>
          <w:shd w:val="clear" w:color="auto" w:fill="auto"/>
        </w:tcPr>
        <w:p w14:paraId="6A8F3BF7" w14:textId="77777777" w:rsidR="00AB0E42" w:rsidRDefault="00AB0E42" w:rsidP="009C6940">
          <w:pPr>
            <w:pStyle w:val="Footer"/>
          </w:pPr>
          <w:r>
            <w:t>MENTAL HEALTH</w:t>
          </w:r>
        </w:p>
      </w:tc>
      <w:tc>
        <w:tcPr>
          <w:tcW w:w="510" w:type="dxa"/>
          <w:tcBorders>
            <w:top w:val="single" w:sz="4" w:space="0" w:color="auto"/>
          </w:tcBorders>
          <w:shd w:val="clear" w:color="auto" w:fill="auto"/>
        </w:tcPr>
        <w:p w14:paraId="13FC5E55" w14:textId="77777777" w:rsidR="00AB0E42" w:rsidRDefault="00AB0E42" w:rsidP="009C6940">
          <w:pPr>
            <w:pStyle w:val="Footer"/>
          </w:pPr>
        </w:p>
      </w:tc>
    </w:tr>
  </w:tbl>
  <w:p w14:paraId="5D927D98" w14:textId="77777777" w:rsidR="00AB0E42" w:rsidRPr="009C6940" w:rsidRDefault="00AB0E42" w:rsidP="009C6940">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01C69A29" w14:textId="77777777" w:rsidTr="009C6940">
      <w:trPr>
        <w:trHeight w:val="567"/>
      </w:trPr>
      <w:tc>
        <w:tcPr>
          <w:tcW w:w="510" w:type="dxa"/>
          <w:tcBorders>
            <w:top w:val="single" w:sz="4" w:space="0" w:color="auto"/>
          </w:tcBorders>
          <w:shd w:val="clear" w:color="auto" w:fill="auto"/>
        </w:tcPr>
        <w:p w14:paraId="2244F259" w14:textId="77777777" w:rsidR="00AB0E42" w:rsidRDefault="00AB0E42" w:rsidP="009C6940">
          <w:pPr>
            <w:pStyle w:val="Footer"/>
          </w:pPr>
        </w:p>
      </w:tc>
      <w:tc>
        <w:tcPr>
          <w:tcW w:w="7767" w:type="dxa"/>
          <w:tcBorders>
            <w:top w:val="single" w:sz="4" w:space="0" w:color="auto"/>
          </w:tcBorders>
          <w:shd w:val="clear" w:color="auto" w:fill="auto"/>
        </w:tcPr>
        <w:p w14:paraId="4A1200FF" w14:textId="77777777" w:rsidR="00AB0E42" w:rsidRDefault="00AB0E42" w:rsidP="009C6940">
          <w:pPr>
            <w:pStyle w:val="Footer"/>
            <w:jc w:val="right"/>
          </w:pPr>
          <w:r>
            <w:t>INCOME AND EMPLOYMENT SUPPORT</w:t>
          </w:r>
        </w:p>
      </w:tc>
      <w:tc>
        <w:tcPr>
          <w:tcW w:w="510" w:type="dxa"/>
          <w:tcBorders>
            <w:top w:val="single" w:sz="4" w:space="0" w:color="auto"/>
          </w:tcBorders>
          <w:shd w:val="clear" w:color="auto" w:fill="auto"/>
        </w:tcPr>
        <w:p w14:paraId="2FBD071C"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63</w:t>
          </w:r>
          <w:r>
            <w:rPr>
              <w:rStyle w:val="PageNumber"/>
            </w:rPr>
            <w:fldChar w:fldCharType="end"/>
          </w:r>
        </w:p>
      </w:tc>
    </w:tr>
  </w:tbl>
  <w:p w14:paraId="3B14DA55" w14:textId="77777777" w:rsidR="00AB0E42" w:rsidRPr="009C6940" w:rsidRDefault="00AB0E42" w:rsidP="009C6940">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5E533F4D" w14:textId="77777777" w:rsidTr="009C6940">
      <w:trPr>
        <w:trHeight w:val="567"/>
      </w:trPr>
      <w:tc>
        <w:tcPr>
          <w:tcW w:w="510" w:type="dxa"/>
          <w:tcBorders>
            <w:top w:val="single" w:sz="4" w:space="0" w:color="auto"/>
          </w:tcBorders>
          <w:shd w:val="clear" w:color="auto" w:fill="auto"/>
        </w:tcPr>
        <w:p w14:paraId="57A999CD"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76</w:t>
          </w:r>
          <w:r>
            <w:rPr>
              <w:rStyle w:val="PageNumber"/>
            </w:rPr>
            <w:fldChar w:fldCharType="end"/>
          </w:r>
        </w:p>
      </w:tc>
      <w:tc>
        <w:tcPr>
          <w:tcW w:w="7767" w:type="dxa"/>
          <w:tcBorders>
            <w:top w:val="single" w:sz="4" w:space="0" w:color="auto"/>
          </w:tcBorders>
          <w:shd w:val="clear" w:color="auto" w:fill="auto"/>
        </w:tcPr>
        <w:p w14:paraId="207E333A" w14:textId="77777777" w:rsidR="00AB0E42" w:rsidRDefault="00AB0E42" w:rsidP="009C6940">
          <w:pPr>
            <w:pStyle w:val="Footer"/>
          </w:pPr>
          <w:r>
            <w:t>MENTAL HEALTH</w:t>
          </w:r>
        </w:p>
      </w:tc>
      <w:tc>
        <w:tcPr>
          <w:tcW w:w="510" w:type="dxa"/>
          <w:tcBorders>
            <w:top w:val="single" w:sz="4" w:space="0" w:color="auto"/>
          </w:tcBorders>
          <w:shd w:val="clear" w:color="auto" w:fill="auto"/>
        </w:tcPr>
        <w:p w14:paraId="2480052C" w14:textId="77777777" w:rsidR="00AB0E42" w:rsidRDefault="00AB0E42" w:rsidP="009C6940">
          <w:pPr>
            <w:pStyle w:val="Footer"/>
          </w:pPr>
        </w:p>
      </w:tc>
    </w:tr>
  </w:tbl>
  <w:p w14:paraId="3AB05067" w14:textId="77777777" w:rsidR="00AB0E42" w:rsidRPr="009C6940" w:rsidRDefault="00AB0E42" w:rsidP="009C6940">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4B0FB7AB" w14:textId="77777777" w:rsidTr="009C6940">
      <w:trPr>
        <w:trHeight w:val="567"/>
      </w:trPr>
      <w:tc>
        <w:tcPr>
          <w:tcW w:w="510" w:type="dxa"/>
          <w:tcBorders>
            <w:top w:val="single" w:sz="4" w:space="0" w:color="auto"/>
          </w:tcBorders>
          <w:shd w:val="clear" w:color="auto" w:fill="auto"/>
        </w:tcPr>
        <w:p w14:paraId="16E8A832" w14:textId="77777777" w:rsidR="00AB0E42" w:rsidRDefault="00AB0E42" w:rsidP="009C6940">
          <w:pPr>
            <w:pStyle w:val="Footer"/>
          </w:pPr>
        </w:p>
      </w:tc>
      <w:tc>
        <w:tcPr>
          <w:tcW w:w="7767" w:type="dxa"/>
          <w:tcBorders>
            <w:top w:val="single" w:sz="4" w:space="0" w:color="auto"/>
          </w:tcBorders>
          <w:shd w:val="clear" w:color="auto" w:fill="auto"/>
        </w:tcPr>
        <w:p w14:paraId="7689379D" w14:textId="77777777" w:rsidR="00AB0E42" w:rsidRDefault="00AB0E42" w:rsidP="009C6940">
          <w:pPr>
            <w:pStyle w:val="Footer"/>
            <w:jc w:val="right"/>
          </w:pPr>
          <w:r>
            <w:t>EMPLOYMENT AND MENTAL HEALTH</w:t>
          </w:r>
        </w:p>
      </w:tc>
      <w:tc>
        <w:tcPr>
          <w:tcW w:w="510" w:type="dxa"/>
          <w:tcBorders>
            <w:top w:val="single" w:sz="4" w:space="0" w:color="auto"/>
          </w:tcBorders>
          <w:shd w:val="clear" w:color="auto" w:fill="auto"/>
        </w:tcPr>
        <w:p w14:paraId="09277DBF" w14:textId="77777777" w:rsidR="00AB0E42" w:rsidRPr="009C6940" w:rsidRDefault="00AB0E42" w:rsidP="009C6940">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77</w:t>
          </w:r>
          <w:r>
            <w:rPr>
              <w:rStyle w:val="PageNumber"/>
            </w:rPr>
            <w:fldChar w:fldCharType="end"/>
          </w:r>
        </w:p>
      </w:tc>
    </w:tr>
  </w:tbl>
  <w:p w14:paraId="3505E633" w14:textId="77777777" w:rsidR="00AB0E42" w:rsidRPr="009C6940" w:rsidRDefault="00AB0E42" w:rsidP="009C6940">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AB0E42" w14:paraId="413E23B9" w14:textId="77777777" w:rsidTr="009C6940">
      <w:trPr>
        <w:trHeight w:val="567"/>
      </w:trPr>
      <w:tc>
        <w:tcPr>
          <w:tcW w:w="510" w:type="dxa"/>
          <w:tcBorders>
            <w:top w:val="single" w:sz="4" w:space="0" w:color="auto"/>
          </w:tcBorders>
          <w:shd w:val="clear" w:color="auto" w:fill="auto"/>
        </w:tcPr>
        <w:p w14:paraId="7749337D" w14:textId="77777777" w:rsidR="00AB0E42" w:rsidRPr="009C6940" w:rsidRDefault="00AB0E42" w:rsidP="009C6940">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92</w:t>
          </w:r>
          <w:r>
            <w:rPr>
              <w:rStyle w:val="PageNumber"/>
            </w:rPr>
            <w:fldChar w:fldCharType="end"/>
          </w:r>
        </w:p>
      </w:tc>
      <w:tc>
        <w:tcPr>
          <w:tcW w:w="7767" w:type="dxa"/>
          <w:tcBorders>
            <w:top w:val="single" w:sz="4" w:space="0" w:color="auto"/>
          </w:tcBorders>
          <w:shd w:val="clear" w:color="auto" w:fill="auto"/>
        </w:tcPr>
        <w:p w14:paraId="4E494396" w14:textId="77777777" w:rsidR="00AB0E42" w:rsidRDefault="00AB0E42" w:rsidP="009C6940">
          <w:pPr>
            <w:pStyle w:val="Footer"/>
          </w:pPr>
          <w:r>
            <w:t>MENTAL HEALTH</w:t>
          </w:r>
        </w:p>
      </w:tc>
      <w:tc>
        <w:tcPr>
          <w:tcW w:w="510" w:type="dxa"/>
          <w:tcBorders>
            <w:top w:val="single" w:sz="4" w:space="0" w:color="auto"/>
          </w:tcBorders>
          <w:shd w:val="clear" w:color="auto" w:fill="auto"/>
        </w:tcPr>
        <w:p w14:paraId="6BB2B106" w14:textId="77777777" w:rsidR="00AB0E42" w:rsidRDefault="00AB0E42" w:rsidP="009C6940">
          <w:pPr>
            <w:pStyle w:val="Footer"/>
          </w:pPr>
        </w:p>
      </w:tc>
    </w:tr>
  </w:tbl>
  <w:p w14:paraId="07ED4375" w14:textId="77777777" w:rsidR="00AB0E42" w:rsidRPr="009C6940" w:rsidRDefault="00AB0E42" w:rsidP="009C694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BCD46" w14:textId="77777777" w:rsidR="00AB0E42" w:rsidRDefault="00AB0E42">
      <w:r>
        <w:separator/>
      </w:r>
    </w:p>
  </w:footnote>
  <w:footnote w:type="continuationSeparator" w:id="0">
    <w:p w14:paraId="28F9DD02" w14:textId="77777777" w:rsidR="00AB0E42" w:rsidRDefault="00AB0E42">
      <w:r>
        <w:continuationSeparator/>
      </w:r>
    </w:p>
  </w:footnote>
  <w:footnote w:id="1">
    <w:p w14:paraId="185DDD4F" w14:textId="77777777" w:rsidR="00AB0E42" w:rsidRDefault="00AB0E42">
      <w:pPr>
        <w:pStyle w:val="FootnoteText"/>
      </w:pPr>
      <w:r>
        <w:rPr>
          <w:rStyle w:val="FootnoteReference"/>
        </w:rPr>
        <w:footnoteRef/>
      </w:r>
      <w:r>
        <w:tab/>
      </w:r>
      <w:r w:rsidRPr="00235CDE">
        <w:t>Not all participants who disclose a medical condition or disability will be asked what the condition is. For example, they will not be asked what the condition is if they do not answer ‘yes’ or ‘don’t know/unsure’ to whether they have a condition that affects the type of work they can do (as opposed to the amount they can work), or to whether their condition will affect their ability to work for less than three months, they will not be asked what the condition is.</w:t>
      </w:r>
    </w:p>
  </w:footnote>
  <w:footnote w:id="2">
    <w:p w14:paraId="63FFEC0D" w14:textId="77777777" w:rsidR="00AB0E42" w:rsidRDefault="00AB0E42">
      <w:pPr>
        <w:pStyle w:val="FootnoteText"/>
      </w:pPr>
      <w:r>
        <w:rPr>
          <w:rStyle w:val="FootnoteReference"/>
        </w:rPr>
        <w:footnoteRef/>
      </w:r>
      <w:r>
        <w:tab/>
        <w:t xml:space="preserve">Some data for the 2018-19 financial year may not have completely matured at time of provision. </w:t>
      </w:r>
    </w:p>
  </w:footnote>
  <w:footnote w:id="3">
    <w:p w14:paraId="6C0F8C15" w14:textId="77777777" w:rsidR="00AB0E42" w:rsidRDefault="00AB0E42">
      <w:pPr>
        <w:pStyle w:val="FootnoteText"/>
      </w:pPr>
      <w:r>
        <w:rPr>
          <w:rStyle w:val="FootnoteReference"/>
        </w:rPr>
        <w:footnoteRef/>
      </w:r>
      <w:r>
        <w:tab/>
        <w:t xml:space="preserve">All jurisdictions provided data on mental health claims. South Australia and Victoria did not provide data on physical claims. </w:t>
      </w:r>
    </w:p>
  </w:footnote>
  <w:footnote w:id="4">
    <w:p w14:paraId="2B7DE7E8" w14:textId="77777777" w:rsidR="00AB0E42" w:rsidRPr="00CE19CB" w:rsidRDefault="00AB0E42">
      <w:pPr>
        <w:pStyle w:val="FootnoteText"/>
        <w:rPr>
          <w:lang w:val="en-GB"/>
        </w:rPr>
      </w:pPr>
      <w:r>
        <w:rPr>
          <w:rStyle w:val="FootnoteReference"/>
        </w:rPr>
        <w:footnoteRef/>
      </w:r>
      <w:r>
        <w:tab/>
        <w:t xml:space="preserve">Consequently, all rejection rates reported below are for those claims which have been decided. </w:t>
      </w:r>
    </w:p>
  </w:footnote>
  <w:footnote w:id="5">
    <w:p w14:paraId="183686E0" w14:textId="77777777" w:rsidR="00AB0E42" w:rsidRDefault="00AB0E42">
      <w:pPr>
        <w:pStyle w:val="FootnoteText"/>
      </w:pPr>
      <w:r>
        <w:rPr>
          <w:rStyle w:val="FootnoteReference"/>
        </w:rPr>
        <w:footnoteRef/>
      </w:r>
      <w:r>
        <w:tab/>
        <w:t>ABS (</w:t>
      </w:r>
      <w:r w:rsidRPr="00252C4C">
        <w:rPr>
          <w:i/>
        </w:rPr>
        <w:t>Labour Force, Australia, Apr 2020</w:t>
      </w:r>
      <w:r w:rsidRPr="005A54F4">
        <w:t xml:space="preserve">, </w:t>
      </w:r>
      <w:r>
        <w:t>Cat. no. </w:t>
      </w:r>
      <w:r w:rsidRPr="005A54F4">
        <w:t>6202.0</w:t>
      </w:r>
      <w:r>
        <w:t>)</w:t>
      </w:r>
    </w:p>
  </w:footnote>
  <w:footnote w:id="6">
    <w:p w14:paraId="7EE0FFCF" w14:textId="77777777" w:rsidR="00AB0E42" w:rsidRDefault="00AB0E42" w:rsidP="009C6940">
      <w:pPr>
        <w:pStyle w:val="FootnoteText"/>
      </w:pPr>
      <w:r>
        <w:rPr>
          <w:rStyle w:val="FootnoteReference"/>
        </w:rPr>
        <w:footnoteRef/>
      </w:r>
      <w:r>
        <w:tab/>
        <w:t xml:space="preserve">The focus on </w:t>
      </w:r>
      <w:r w:rsidRPr="00AB67E1">
        <w:rPr>
          <w:i/>
        </w:rPr>
        <w:t>incentives</w:t>
      </w:r>
      <w:r>
        <w:t xml:space="preserve"> motivates arrangements either to formally pool funding for mental health services (such as by the creation of Regional Commissioning Authorities), or to create administrative or funding arrangements that mimic such pooling of funding (such as improved PHN–LHN cooperation and integration of the accounting of MBS rebates and PHN funds). The focus on </w:t>
      </w:r>
      <w:r w:rsidRPr="00CE57A9">
        <w:rPr>
          <w:i/>
        </w:rPr>
        <w:t>information</w:t>
      </w:r>
      <w:r>
        <w:t xml:space="preserve"> motivates regional decision-making backed by centralised support.</w:t>
      </w:r>
    </w:p>
  </w:footnote>
  <w:footnote w:id="7">
    <w:p w14:paraId="18C2B07F" w14:textId="77777777" w:rsidR="00AB0E42" w:rsidRDefault="00AB0E42" w:rsidP="009C6940">
      <w:pPr>
        <w:pStyle w:val="FootnoteText"/>
      </w:pPr>
      <w:r w:rsidRPr="004B6F30">
        <w:rPr>
          <w:rStyle w:val="FootnoteReference"/>
        </w:rPr>
        <w:footnoteRef/>
      </w:r>
      <w:r>
        <w:tab/>
        <w:t xml:space="preserve">That said, the expansion in access was greater in major cities. Chapter 24 proposes funding mechanisms that should bring about more equitable access to treatment. </w:t>
      </w:r>
    </w:p>
  </w:footnote>
  <w:footnote w:id="8">
    <w:p w14:paraId="7FF9BB32" w14:textId="77777777" w:rsidR="00AB0E42" w:rsidRPr="006E7AC3" w:rsidRDefault="00AB0E42" w:rsidP="009C6940">
      <w:pPr>
        <w:pStyle w:val="FootnoteText"/>
        <w:rPr>
          <w:spacing w:val="-4"/>
        </w:rPr>
      </w:pPr>
      <w:r>
        <w:rPr>
          <w:rStyle w:val="FootnoteReference"/>
        </w:rPr>
        <w:footnoteRef/>
      </w:r>
      <w:r>
        <w:tab/>
      </w:r>
      <w:r w:rsidRPr="006E7AC3">
        <w:rPr>
          <w:spacing w:val="-4"/>
        </w:rPr>
        <w:t>Congress and Aboriginal and Torres Strait Islander Nurses and Midwives (sub. 75), National Aboriginal Community Controlled Health Organisation (sub. 507) and Nunkuwarrin Yunti of South Australia (sub. 798).</w:t>
      </w:r>
    </w:p>
  </w:footnote>
  <w:footnote w:id="9">
    <w:p w14:paraId="2A8F5CCF" w14:textId="77777777" w:rsidR="00AB0E42" w:rsidRDefault="00AB0E42" w:rsidP="009C6940">
      <w:pPr>
        <w:pStyle w:val="FootnoteText"/>
      </w:pPr>
      <w:r w:rsidRPr="004B6F30">
        <w:rPr>
          <w:rStyle w:val="FootnoteReference"/>
        </w:rPr>
        <w:footnoteRef/>
      </w:r>
      <w:r>
        <w:tab/>
        <w:t xml:space="preserve">The scope to shift marginal consumers to </w:t>
      </w:r>
      <w:r w:rsidRPr="007B0BA6">
        <w:t>hospital beds</w:t>
      </w:r>
      <w:r>
        <w:t xml:space="preserve"> is limited as hospital beds</w:t>
      </w:r>
      <w:r w:rsidRPr="007B0BA6">
        <w:t xml:space="preserve"> are often full</w:t>
      </w:r>
      <w:r>
        <w:t xml:space="preserve"> (chapter 13), which moderates the effects of this incentive.</w:t>
      </w:r>
    </w:p>
  </w:footnote>
  <w:footnote w:id="10">
    <w:p w14:paraId="58E83D8D" w14:textId="77777777" w:rsidR="00AB0E42" w:rsidRDefault="00AB0E42" w:rsidP="009C6940">
      <w:pPr>
        <w:pStyle w:val="FootnoteText"/>
      </w:pPr>
      <w:r>
        <w:rPr>
          <w:rStyle w:val="FootnoteReference"/>
        </w:rPr>
        <w:footnoteRef/>
      </w:r>
      <w:r>
        <w:tab/>
        <w:t xml:space="preserve">The </w:t>
      </w:r>
      <w:r w:rsidRPr="0092623E">
        <w:t>Bilateral Agreements on Co-ordinated Care Reforms convey</w:t>
      </w:r>
      <w:r>
        <w:t xml:space="preserve"> similar sentiments to the Fifth Plan approach, as do the amendments to the NHRA that accompany its 2020–25 extension </w:t>
      </w:r>
      <w:r w:rsidRPr="002615A3">
        <w:rPr>
          <w:szCs w:val="24"/>
        </w:rPr>
        <w:t>(Council on Federal Financial Relations 2019)</w:t>
      </w:r>
      <w:r>
        <w:t>.</w:t>
      </w:r>
    </w:p>
  </w:footnote>
  <w:footnote w:id="11">
    <w:p w14:paraId="608E2795" w14:textId="77777777" w:rsidR="00AB0E42" w:rsidRDefault="00AB0E42" w:rsidP="009C6940">
      <w:pPr>
        <w:pStyle w:val="FootnoteText"/>
      </w:pPr>
      <w:r>
        <w:rPr>
          <w:rStyle w:val="FootnoteReference"/>
        </w:rPr>
        <w:footnoteRef/>
      </w:r>
      <w:r>
        <w:tab/>
        <w:t>AFMH, sub. 1195; MHCSA, sub. 794; QUT Faculty of Health, sub. 826; RANZCP, Sydney transcript;</w:t>
      </w:r>
      <w:r w:rsidRPr="00E862E3">
        <w:t xml:space="preserve"> </w:t>
      </w:r>
      <w:r>
        <w:t xml:space="preserve">TAMHSS, sub. 919; The </w:t>
      </w:r>
      <w:r w:rsidRPr="00F7710C">
        <w:t>Mitchell Institute</w:t>
      </w:r>
      <w:r>
        <w:t>,</w:t>
      </w:r>
      <w:r w:rsidRPr="00F7710C">
        <w:t xml:space="preserve"> sub</w:t>
      </w:r>
      <w:r>
        <w:t>.</w:t>
      </w:r>
      <w:r w:rsidRPr="00F7710C">
        <w:t> 744</w:t>
      </w:r>
      <w:r>
        <w:t>.</w:t>
      </w:r>
    </w:p>
  </w:footnote>
  <w:footnote w:id="12">
    <w:p w14:paraId="48916568" w14:textId="77777777" w:rsidR="00AB0E42" w:rsidRPr="009C1DAD" w:rsidRDefault="00AB0E42" w:rsidP="009C6940">
      <w:pPr>
        <w:pStyle w:val="FootnoteText"/>
        <w:rPr>
          <w:spacing w:val="-4"/>
        </w:rPr>
      </w:pPr>
      <w:r w:rsidRPr="00605F4C">
        <w:rPr>
          <w:rStyle w:val="FootnoteReference"/>
        </w:rPr>
        <w:footnoteRef/>
      </w:r>
      <w:r>
        <w:tab/>
      </w:r>
      <w:r w:rsidRPr="009C1DAD">
        <w:rPr>
          <w:spacing w:val="-4"/>
        </w:rPr>
        <w:t xml:space="preserve">Examples of care coordination activities that are </w:t>
      </w:r>
      <w:r w:rsidRPr="009C1DAD">
        <w:rPr>
          <w:i/>
          <w:spacing w:val="-4"/>
        </w:rPr>
        <w:t>not</w:t>
      </w:r>
      <w:r w:rsidRPr="009C1DAD">
        <w:rPr>
          <w:spacing w:val="-4"/>
        </w:rPr>
        <w:t xml:space="preserve"> contingent on a single funder commissioning both physical and mental healthcare include GPs managing the care of consumers with comorbid physical–mental illness and PHNs establishing referral pathways and other linkages between mental healthcare providers (whether MBS-rebated or PHN-commissioned) and GPs (MBS-rebated). These could continue under Rebuild.</w:t>
      </w:r>
    </w:p>
  </w:footnote>
  <w:footnote w:id="13">
    <w:p w14:paraId="0CEC1E4D" w14:textId="77777777" w:rsidR="00AB0E42" w:rsidRDefault="00AB0E42" w:rsidP="009C6940">
      <w:pPr>
        <w:pStyle w:val="FootnoteText"/>
      </w:pPr>
      <w:r>
        <w:rPr>
          <w:rStyle w:val="FootnoteReference"/>
        </w:rPr>
        <w:footnoteRef/>
      </w:r>
      <w:r>
        <w:tab/>
        <w:t xml:space="preserve">The Productivity Commission’s </w:t>
      </w:r>
      <w:r w:rsidRPr="00967D53">
        <w:t>(2018)</w:t>
      </w:r>
      <w:r>
        <w:t xml:space="preserve"> Review of the National Disability Agreement recommended that a</w:t>
      </w:r>
      <w:r w:rsidRPr="00827F62">
        <w:t xml:space="preserve"> </w:t>
      </w:r>
      <w:r>
        <w:t xml:space="preserve">new National Disability Agreement be developed that would clarify responsibilities for disability support (including psychosocial supports) outside of the NDIS and be a ‘living document’ (meaning that its schedules are updated as required). </w:t>
      </w:r>
    </w:p>
  </w:footnote>
  <w:footnote w:id="14">
    <w:p w14:paraId="59532971" w14:textId="77777777" w:rsidR="00AB0E42" w:rsidRDefault="00AB0E42" w:rsidP="009C6940">
      <w:pPr>
        <w:pStyle w:val="FootnoteText"/>
      </w:pPr>
      <w:r>
        <w:rPr>
          <w:rStyle w:val="FootnoteReference"/>
        </w:rPr>
        <w:footnoteRef/>
      </w:r>
      <w:r>
        <w:tab/>
      </w:r>
      <w:r w:rsidRPr="00D65E50">
        <w:t>ANU College of Health and Medicine (sub. 669); Australasian College for Emergency Medicine (sub. 926); Black Dog Institute (sub. 1207); Community Services Industry Alliance (sub. 915); Consumers Health Forum (sub. 646); Consortium of Australian Psychiatrists and Psychologist (sub. 882); Dietitians Association of Australia (sub. 766); Health Justice Australia (sub. 749); Mental Health Australia (sub. 864); Mental Health Carers NSW (sub. 1231); Mental Health Coordinating Council (sub. 920); Mental Health Council of Tasmania (sub. 869); Roses in the Ocean (sub. 710); SA Mental Health Commission (sub. 691); UnitingSA (sub. 807); WAAMH (sub. 1112); Western Australian Government (sub. 1227).</w:t>
      </w:r>
    </w:p>
  </w:footnote>
  <w:footnote w:id="15">
    <w:p w14:paraId="6669BA1A" w14:textId="77777777" w:rsidR="00AB0E42" w:rsidRPr="008A581F" w:rsidRDefault="00AB0E42">
      <w:pPr>
        <w:pStyle w:val="FootnoteText"/>
        <w:rPr>
          <w:spacing w:val="-2"/>
        </w:rPr>
      </w:pPr>
      <w:r w:rsidRPr="00483A79">
        <w:rPr>
          <w:rStyle w:val="FootnoteReference"/>
        </w:rPr>
        <w:footnoteRef/>
      </w:r>
      <w:r>
        <w:tab/>
      </w:r>
      <w:r w:rsidRPr="008A581F">
        <w:rPr>
          <w:spacing w:val="-2"/>
        </w:rPr>
        <w:t>Australian Government contributions for state and territory public hospital services are paid under the National Health Reform Agreement (NHRA). This arrangement includes grants and activity-based payments specifically tied to the operation of specialist mental health services delivered by state</w:t>
      </w:r>
      <w:r w:rsidRPr="008A581F">
        <w:rPr>
          <w:spacing w:val="-2"/>
        </w:rPr>
        <w:noBreakHyphen/>
        <w:t xml:space="preserve"> and territory</w:t>
      </w:r>
      <w:r w:rsidRPr="008A581F">
        <w:rPr>
          <w:spacing w:val="-2"/>
        </w:rPr>
        <w:noBreakHyphen/>
        <w:t>managed public hospitals. While the quantum of funding made for mental health specific services under the NHRA is significant and identifiable, expenditure of those funds continues to be attributed to states and territories on the basis of their role as system managers of Australia’s public hospital services. Current estimates available to the Department of Health, based on public reports of the National Health Funding Body indicate that mental health specific payments made by the Australian Government under the NHRA in 2018</w:t>
      </w:r>
      <w:r w:rsidRPr="008A581F">
        <w:rPr>
          <w:spacing w:val="-2"/>
        </w:rPr>
        <w:noBreakHyphen/>
        <w:t xml:space="preserve">19 totalled $1.79 billion. Allocating this funding to the Australian Government will change the relative split of expenditure for Australian Government (51%) and State and Territory Government (49%) </w:t>
      </w:r>
      <w:r w:rsidRPr="008A581F">
        <w:rPr>
          <w:spacing w:val="-2"/>
          <w:szCs w:val="24"/>
        </w:rPr>
        <w:t>(AIHW 2020b)</w:t>
      </w:r>
      <w:r w:rsidRPr="008A581F">
        <w:rPr>
          <w:spacing w:val="-2"/>
        </w:rPr>
        <w:t xml:space="preserve">. </w:t>
      </w:r>
    </w:p>
  </w:footnote>
  <w:footnote w:id="16">
    <w:p w14:paraId="0115606D" w14:textId="77777777" w:rsidR="00AB0E42" w:rsidRDefault="00AB0E42">
      <w:pPr>
        <w:pStyle w:val="FootnoteText"/>
      </w:pPr>
      <w:r w:rsidRPr="00483A79">
        <w:rPr>
          <w:rStyle w:val="FootnoteReference"/>
        </w:rPr>
        <w:footnoteRef/>
      </w:r>
      <w:r>
        <w:tab/>
        <w:t>Out</w:t>
      </w:r>
      <w:r>
        <w:noBreakHyphen/>
        <w:t>of</w:t>
      </w:r>
      <w:r>
        <w:noBreakHyphen/>
        <w:t>pocket costs for MBS could be overstated as some consumers may receive a further rebate in costs incurred from their private health insurer. This only applies to private patients in hospital. I</w:t>
      </w:r>
      <w:r w:rsidRPr="001975BE">
        <w:t xml:space="preserve">f </w:t>
      </w:r>
      <w:r>
        <w:t>a</w:t>
      </w:r>
      <w:r w:rsidRPr="001975BE">
        <w:t xml:space="preserve"> doctor and other health providers charge</w:t>
      </w:r>
      <w:r>
        <w:t>s</w:t>
      </w:r>
      <w:r w:rsidRPr="001975BE">
        <w:t xml:space="preserve"> more than the MBS fee</w:t>
      </w:r>
      <w:r>
        <w:t>,</w:t>
      </w:r>
      <w:r w:rsidRPr="001975BE">
        <w:t xml:space="preserve"> this is paid by the consumer unless the </w:t>
      </w:r>
      <w:r>
        <w:t>provider</w:t>
      </w:r>
      <w:r w:rsidRPr="001975BE">
        <w:t xml:space="preserve"> has a </w:t>
      </w:r>
      <w:r>
        <w:t>‘</w:t>
      </w:r>
      <w:r w:rsidRPr="001975BE">
        <w:t>gap arrang</w:t>
      </w:r>
      <w:r>
        <w:t>e</w:t>
      </w:r>
      <w:r w:rsidRPr="001975BE">
        <w:t>ment</w:t>
      </w:r>
      <w:r>
        <w:t>’</w:t>
      </w:r>
      <w:r w:rsidRPr="001975BE">
        <w:t xml:space="preserve"> with the insurer and the service is provided under that arrangement. Many doctors and insurers use gap arrangements to remove or reduce </w:t>
      </w:r>
      <w:r>
        <w:t>out</w:t>
      </w:r>
      <w:r>
        <w:noBreakHyphen/>
        <w:t>of</w:t>
      </w:r>
      <w:r>
        <w:noBreakHyphen/>
        <w:t xml:space="preserve">pocket costs for consumers </w:t>
      </w:r>
      <w:r w:rsidRPr="00836D81">
        <w:rPr>
          <w:szCs w:val="24"/>
        </w:rPr>
        <w:t>(DoH 2020)</w:t>
      </w:r>
      <w:r w:rsidRPr="001975BE">
        <w:t>.</w:t>
      </w:r>
      <w:r>
        <w:t xml:space="preserve"> </w:t>
      </w:r>
    </w:p>
  </w:footnote>
  <w:footnote w:id="17">
    <w:p w14:paraId="2C20D512" w14:textId="77777777" w:rsidR="00AB0E42" w:rsidRDefault="00AB0E42">
      <w:pPr>
        <w:pStyle w:val="FootnoteText"/>
      </w:pPr>
      <w:r w:rsidRPr="00483A79">
        <w:rPr>
          <w:rStyle w:val="FootnoteReference"/>
        </w:rPr>
        <w:footnoteRef/>
      </w:r>
      <w:r>
        <w:tab/>
        <w:t xml:space="preserve">This estimate is based on the average number of days absent in the last 4 weeks scaled up to an annual estimate by a factor of approximately 12 — assuming that employees </w:t>
      </w:r>
      <w:r w:rsidRPr="00D51FFA">
        <w:t>work for 48 weeks per year and take 4 weeks annual leave</w:t>
      </w:r>
      <w:r>
        <w:t>.</w:t>
      </w:r>
    </w:p>
  </w:footnote>
  <w:footnote w:id="18">
    <w:p w14:paraId="029AD21C" w14:textId="77777777" w:rsidR="00AB0E42" w:rsidRPr="00096346" w:rsidRDefault="00AB0E42" w:rsidP="009C6940">
      <w:pPr>
        <w:pStyle w:val="FootnoteText"/>
      </w:pPr>
      <w:r w:rsidRPr="00150144">
        <w:rPr>
          <w:rStyle w:val="FootnoteReference"/>
        </w:rPr>
        <w:footnoteRef/>
      </w:r>
      <w:r>
        <w:tab/>
        <w:t xml:space="preserve">This has been used as a cost effectiveness threshold in Australia for some time, and appears to be originally </w:t>
      </w:r>
      <w:r w:rsidRPr="003146C6">
        <w:t>based on a threshold used in the U</w:t>
      </w:r>
      <w:r>
        <w:t xml:space="preserve">nited </w:t>
      </w:r>
      <w:r w:rsidRPr="003146C6">
        <w:t>K</w:t>
      </w:r>
      <w:r>
        <w:t>ingdom</w:t>
      </w:r>
      <w:r w:rsidRPr="003146C6">
        <w:t xml:space="preserve"> by the National Institute of Clinical Evidence. They have traditionally used a threshold of between £20 000 and £30 000 as a threshold for cost effectiveness. This threshold appears to be a rule of thumb and has not been changed since 2004 (Claxton et al. 2013). </w:t>
      </w:r>
    </w:p>
  </w:footnote>
  <w:footnote w:id="19">
    <w:p w14:paraId="087B2E7D" w14:textId="77777777" w:rsidR="00AB0E42" w:rsidRPr="002A1D13" w:rsidRDefault="00AB0E42" w:rsidP="009C6940">
      <w:pPr>
        <w:pStyle w:val="FootnoteText"/>
        <w:rPr>
          <w:lang w:val="en-US"/>
        </w:rPr>
      </w:pPr>
      <w:r>
        <w:rPr>
          <w:rStyle w:val="FootnoteReference"/>
        </w:rPr>
        <w:footnoteRef/>
      </w:r>
      <w:r>
        <w:tab/>
        <w:t xml:space="preserve">Drummond et al. </w:t>
      </w:r>
      <w:r w:rsidRPr="006073D1">
        <w:t>(2015)</w:t>
      </w:r>
      <w:r>
        <w:t xml:space="preserve"> noted that where evidence about a cost parameter is limited it is inappropriate to use a single value, and that distributions should be used to represent the uncertainty about possible mean values. Gamma distributions are commonly used to represent cost uncertainty but, as with a triangular distribution, require assumptions about shape. The decision to use triangular cost distribution was made so as to make better use of the higher and lower cost estimate information. </w:t>
      </w:r>
    </w:p>
  </w:footnote>
  <w:footnote w:id="20">
    <w:p w14:paraId="78B336FB" w14:textId="77777777" w:rsidR="00AB0E42" w:rsidRPr="00D55D48" w:rsidRDefault="00AB0E42">
      <w:pPr>
        <w:pStyle w:val="FootnoteText"/>
        <w:rPr>
          <w:lang w:val="en-US"/>
        </w:rPr>
      </w:pPr>
      <w:r>
        <w:rPr>
          <w:rStyle w:val="FootnoteReference"/>
        </w:rPr>
        <w:footnoteRef/>
      </w:r>
      <w:r>
        <w:tab/>
        <w:t xml:space="preserve">The first wave of HILDA does not include the instrumental variable. </w:t>
      </w:r>
    </w:p>
  </w:footnote>
  <w:footnote w:id="21">
    <w:p w14:paraId="0E5131E7" w14:textId="77777777" w:rsidR="00AB0E42" w:rsidRDefault="00AB0E42" w:rsidP="009C6940">
      <w:pPr>
        <w:pStyle w:val="FootnoteText"/>
      </w:pPr>
      <w:r w:rsidRPr="00C228F3">
        <w:rPr>
          <w:rStyle w:val="FootnoteReference"/>
        </w:rPr>
        <w:footnoteRef/>
      </w:r>
      <w:r>
        <w:tab/>
        <w:t>A campaign for Head to Health was previously run from December 2018 to May 2019 to help promote Head to Health as a trusted online resource for digital mental health information and services. The budget threshold for that campaign was up to $450k (DoH, pers. comm., 17 January 2020)..</w:t>
      </w:r>
    </w:p>
  </w:footnote>
  <w:footnote w:id="22">
    <w:p w14:paraId="5BF41B18" w14:textId="77777777" w:rsidR="00AB0E42" w:rsidRDefault="00AB0E42">
      <w:pPr>
        <w:pStyle w:val="FootnoteText"/>
      </w:pPr>
      <w:r w:rsidRPr="00C228F3">
        <w:rPr>
          <w:rStyle w:val="FootnoteReference"/>
        </w:rPr>
        <w:footnoteRef/>
      </w:r>
      <w:r>
        <w:tab/>
        <w:t xml:space="preserve">The probability of not being readmitted within 28 days is assumed to be 85%, or alternatively, there is some probability, </w:t>
      </w:r>
      <w:r w:rsidRPr="0029558F">
        <w:rPr>
          <w:i/>
        </w:rPr>
        <w:t>p</w:t>
      </w:r>
      <w:r>
        <w:t xml:space="preserve">, such that the person will not be readmitted within 14 days. A person is not readmitted within 28 days if they are not readmitted in either of the 14 day periods. That is, </w:t>
      </w:r>
      <w:r w:rsidRPr="0029558F">
        <w:rPr>
          <w:i/>
        </w:rPr>
        <w:t>p</w:t>
      </w:r>
      <w:r>
        <w:t xml:space="preserve"> satisfies </w:t>
      </w:r>
      <m:oMath>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=0.85</m:t>
        </m:r>
      </m:oMath>
      <w:r>
        <w:t xml:space="preserve">, implying </w:t>
      </w:r>
      <m:oMath>
        <m:r>
          <w:rPr>
            <w:rFonts w:ascii="Cambria Math" w:hAnsi="Cambria Math"/>
          </w:rPr>
          <m:t>p=0.922</m:t>
        </m:r>
      </m:oMath>
      <w:r>
        <w:t xml:space="preserve">. Then </w:t>
      </w:r>
      <m:oMath>
        <m:r>
          <w:rPr>
            <w:rFonts w:ascii="Cambria Math" w:hAnsi="Cambria Math"/>
          </w:rPr>
          <m:t>1-p=0.078</m:t>
        </m:r>
      </m:oMath>
      <w:r>
        <w:t xml:space="preserve"> is the probability of being readmitted within 14 days.</w:t>
      </w:r>
    </w:p>
  </w:footnote>
  <w:footnote w:id="23">
    <w:p w14:paraId="3EC0600E" w14:textId="77777777" w:rsidR="00AB0E42" w:rsidRPr="0085116D" w:rsidRDefault="00AB0E42" w:rsidP="009C6940">
      <w:pPr>
        <w:pStyle w:val="FootnoteText"/>
      </w:pPr>
      <w:r w:rsidRPr="00C228F3">
        <w:rPr>
          <w:rStyle w:val="FootnoteReference"/>
        </w:rPr>
        <w:footnoteRef/>
      </w:r>
      <w:r>
        <w:tab/>
        <w:t>MBS benefits do not include out of pocket costs, meaning that these costs are likely to be an underestimate.</w:t>
      </w:r>
    </w:p>
  </w:footnote>
  <w:footnote w:id="24">
    <w:p w14:paraId="7531C7FC" w14:textId="77777777" w:rsidR="00AB0E42" w:rsidRDefault="00AB0E42" w:rsidP="009C6940">
      <w:pPr>
        <w:pStyle w:val="FootnoteText"/>
      </w:pPr>
      <w:r w:rsidRPr="00C228F3">
        <w:rPr>
          <w:rStyle w:val="FootnoteReference"/>
        </w:rPr>
        <w:footnoteRef/>
      </w:r>
      <w:r>
        <w:tab/>
      </w:r>
      <w:r>
        <w:rPr>
          <w:spacing w:val="2"/>
        </w:rPr>
        <w:t xml:space="preserve">Although all individuals have the right to access legal representation, 83% of cases in New South Wales involved legal representation </w:t>
      </w:r>
      <w:r w:rsidRPr="00D80781">
        <w:rPr>
          <w:szCs w:val="24"/>
        </w:rPr>
        <w:t>(NSW MHRT 2019)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B0E42" w14:paraId="7B64A2AD" w14:textId="77777777">
      <w:tc>
        <w:tcPr>
          <w:tcW w:w="2155" w:type="dxa"/>
          <w:tcBorders>
            <w:top w:val="single" w:sz="24" w:space="0" w:color="auto"/>
          </w:tcBorders>
        </w:tcPr>
        <w:p w14:paraId="55E7439A" w14:textId="77777777" w:rsidR="00AB0E42" w:rsidRDefault="00AB0E42">
          <w:pPr>
            <w:pStyle w:val="HeaderEven"/>
          </w:pPr>
        </w:p>
      </w:tc>
      <w:tc>
        <w:tcPr>
          <w:tcW w:w="6634" w:type="dxa"/>
          <w:tcBorders>
            <w:top w:val="single" w:sz="6" w:space="0" w:color="auto"/>
          </w:tcBorders>
        </w:tcPr>
        <w:p w14:paraId="2419587E" w14:textId="77777777" w:rsidR="00AB0E42" w:rsidRDefault="00AB0E42">
          <w:pPr>
            <w:pStyle w:val="HeaderEven"/>
          </w:pPr>
        </w:p>
      </w:tc>
    </w:tr>
  </w:tbl>
  <w:p w14:paraId="5EC1BCEF" w14:textId="77777777" w:rsidR="00AB0E42" w:rsidRDefault="00AB0E42">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15A855E1" w14:textId="77777777" w:rsidTr="009C6940">
      <w:trPr>
        <w:trHeight w:val="300"/>
      </w:trPr>
      <w:tc>
        <w:tcPr>
          <w:tcW w:w="6633" w:type="dxa"/>
          <w:tcBorders>
            <w:top w:val="single" w:sz="6" w:space="0" w:color="auto"/>
          </w:tcBorders>
          <w:shd w:val="clear" w:color="auto" w:fill="auto"/>
        </w:tcPr>
        <w:p w14:paraId="0481F185" w14:textId="77777777" w:rsidR="00AB0E42" w:rsidRDefault="00AB0E42" w:rsidP="009C6940">
          <w:pPr>
            <w:pStyle w:val="HeaderOdd"/>
          </w:pPr>
        </w:p>
      </w:tc>
      <w:tc>
        <w:tcPr>
          <w:tcW w:w="2154" w:type="dxa"/>
          <w:tcBorders>
            <w:top w:val="single" w:sz="24" w:space="0" w:color="auto"/>
          </w:tcBorders>
          <w:shd w:val="clear" w:color="auto" w:fill="auto"/>
        </w:tcPr>
        <w:p w14:paraId="081B2D5F" w14:textId="77777777" w:rsidR="00AB0E42" w:rsidRDefault="00AB0E42" w:rsidP="009C6940">
          <w:pPr>
            <w:pStyle w:val="HeaderOdd"/>
          </w:pPr>
        </w:p>
      </w:tc>
    </w:tr>
  </w:tbl>
  <w:p w14:paraId="75F34D56" w14:textId="77777777" w:rsidR="00AB0E42" w:rsidRPr="009C6940" w:rsidRDefault="00AB0E42" w:rsidP="009C6940">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5D4C2F4F" w14:textId="77777777" w:rsidTr="009C6940">
      <w:trPr>
        <w:trHeight w:val="300"/>
      </w:trPr>
      <w:tc>
        <w:tcPr>
          <w:tcW w:w="2154" w:type="dxa"/>
          <w:tcBorders>
            <w:top w:val="single" w:sz="24" w:space="0" w:color="auto"/>
          </w:tcBorders>
          <w:shd w:val="clear" w:color="auto" w:fill="auto"/>
        </w:tcPr>
        <w:p w14:paraId="730057B4" w14:textId="77777777" w:rsidR="00AB0E42" w:rsidRDefault="00AB0E42" w:rsidP="009C6940">
          <w:pPr>
            <w:pStyle w:val="HeaderEven"/>
          </w:pPr>
        </w:p>
      </w:tc>
      <w:tc>
        <w:tcPr>
          <w:tcW w:w="6633" w:type="dxa"/>
          <w:tcBorders>
            <w:top w:val="single" w:sz="6" w:space="0" w:color="auto"/>
          </w:tcBorders>
          <w:shd w:val="clear" w:color="auto" w:fill="auto"/>
        </w:tcPr>
        <w:p w14:paraId="6F319C75" w14:textId="77777777" w:rsidR="00AB0E42" w:rsidRDefault="00AB0E42" w:rsidP="009C6940">
          <w:pPr>
            <w:pStyle w:val="HeaderEven"/>
          </w:pPr>
        </w:p>
      </w:tc>
    </w:tr>
  </w:tbl>
  <w:p w14:paraId="4EBFDED0" w14:textId="77777777" w:rsidR="00AB0E42" w:rsidRPr="009C6940" w:rsidRDefault="00AB0E42" w:rsidP="009C6940">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2581B2AE" w14:textId="77777777" w:rsidTr="009C6940">
      <w:trPr>
        <w:trHeight w:val="300"/>
      </w:trPr>
      <w:tc>
        <w:tcPr>
          <w:tcW w:w="6633" w:type="dxa"/>
          <w:tcBorders>
            <w:top w:val="single" w:sz="6" w:space="0" w:color="auto"/>
          </w:tcBorders>
          <w:shd w:val="clear" w:color="auto" w:fill="auto"/>
        </w:tcPr>
        <w:p w14:paraId="1FD6866E" w14:textId="77777777" w:rsidR="00AB0E42" w:rsidRDefault="00AB0E42" w:rsidP="009C6940">
          <w:pPr>
            <w:pStyle w:val="HeaderOdd"/>
          </w:pPr>
        </w:p>
      </w:tc>
      <w:tc>
        <w:tcPr>
          <w:tcW w:w="2154" w:type="dxa"/>
          <w:tcBorders>
            <w:top w:val="single" w:sz="24" w:space="0" w:color="auto"/>
          </w:tcBorders>
          <w:shd w:val="clear" w:color="auto" w:fill="auto"/>
        </w:tcPr>
        <w:p w14:paraId="03EFE71B" w14:textId="77777777" w:rsidR="00AB0E42" w:rsidRDefault="00AB0E42" w:rsidP="009C6940">
          <w:pPr>
            <w:pStyle w:val="HeaderOdd"/>
          </w:pPr>
        </w:p>
      </w:tc>
    </w:tr>
  </w:tbl>
  <w:p w14:paraId="7BB075B4" w14:textId="77777777" w:rsidR="00AB0E42" w:rsidRPr="009C6940" w:rsidRDefault="00AB0E42" w:rsidP="009C6940">
    <w:pPr>
      <w:pStyle w:val="HeaderEn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770986CA" w14:textId="77777777" w:rsidTr="009C6940">
      <w:trPr>
        <w:trHeight w:val="300"/>
      </w:trPr>
      <w:tc>
        <w:tcPr>
          <w:tcW w:w="2154" w:type="dxa"/>
          <w:tcBorders>
            <w:top w:val="single" w:sz="24" w:space="0" w:color="auto"/>
          </w:tcBorders>
          <w:shd w:val="clear" w:color="auto" w:fill="auto"/>
        </w:tcPr>
        <w:p w14:paraId="6E3F3125" w14:textId="77777777" w:rsidR="00AB0E42" w:rsidRDefault="00AB0E42" w:rsidP="009C6940">
          <w:pPr>
            <w:pStyle w:val="HeaderEven"/>
          </w:pPr>
        </w:p>
      </w:tc>
      <w:tc>
        <w:tcPr>
          <w:tcW w:w="6633" w:type="dxa"/>
          <w:tcBorders>
            <w:top w:val="single" w:sz="6" w:space="0" w:color="auto"/>
          </w:tcBorders>
          <w:shd w:val="clear" w:color="auto" w:fill="auto"/>
        </w:tcPr>
        <w:p w14:paraId="094D56D9" w14:textId="77777777" w:rsidR="00AB0E42" w:rsidRDefault="00AB0E42" w:rsidP="009C6940">
          <w:pPr>
            <w:pStyle w:val="HeaderEven"/>
          </w:pPr>
        </w:p>
      </w:tc>
    </w:tr>
  </w:tbl>
  <w:p w14:paraId="4384E9EB" w14:textId="77777777" w:rsidR="00AB0E42" w:rsidRPr="009C6940" w:rsidRDefault="00AB0E42" w:rsidP="009C6940">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3B2C9FF7" w14:textId="77777777" w:rsidTr="009C6940">
      <w:trPr>
        <w:trHeight w:val="300"/>
      </w:trPr>
      <w:tc>
        <w:tcPr>
          <w:tcW w:w="6633" w:type="dxa"/>
          <w:tcBorders>
            <w:top w:val="single" w:sz="6" w:space="0" w:color="auto"/>
          </w:tcBorders>
          <w:shd w:val="clear" w:color="auto" w:fill="auto"/>
        </w:tcPr>
        <w:p w14:paraId="1A81EF7F" w14:textId="77777777" w:rsidR="00AB0E42" w:rsidRDefault="00AB0E42" w:rsidP="009C6940">
          <w:pPr>
            <w:pStyle w:val="HeaderOdd"/>
          </w:pPr>
        </w:p>
      </w:tc>
      <w:tc>
        <w:tcPr>
          <w:tcW w:w="2154" w:type="dxa"/>
          <w:tcBorders>
            <w:top w:val="single" w:sz="24" w:space="0" w:color="auto"/>
          </w:tcBorders>
          <w:shd w:val="clear" w:color="auto" w:fill="auto"/>
        </w:tcPr>
        <w:p w14:paraId="05CD9728" w14:textId="77777777" w:rsidR="00AB0E42" w:rsidRDefault="00AB0E42" w:rsidP="009C6940">
          <w:pPr>
            <w:pStyle w:val="HeaderOdd"/>
          </w:pPr>
        </w:p>
      </w:tc>
    </w:tr>
  </w:tbl>
  <w:p w14:paraId="3A0196AE" w14:textId="77777777" w:rsidR="00AB0E42" w:rsidRPr="009C6940" w:rsidRDefault="00AB0E42" w:rsidP="009C6940">
    <w:pPr>
      <w:pStyle w:val="HeaderEn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66AFC84A" w14:textId="77777777" w:rsidTr="009C6940">
      <w:trPr>
        <w:trHeight w:val="300"/>
      </w:trPr>
      <w:tc>
        <w:tcPr>
          <w:tcW w:w="2154" w:type="dxa"/>
          <w:tcBorders>
            <w:top w:val="single" w:sz="24" w:space="0" w:color="auto"/>
          </w:tcBorders>
          <w:shd w:val="clear" w:color="auto" w:fill="auto"/>
        </w:tcPr>
        <w:p w14:paraId="4CFD20AC" w14:textId="77777777" w:rsidR="00AB0E42" w:rsidRDefault="00AB0E42" w:rsidP="009C6940">
          <w:pPr>
            <w:pStyle w:val="HeaderEven"/>
          </w:pPr>
        </w:p>
      </w:tc>
      <w:tc>
        <w:tcPr>
          <w:tcW w:w="6633" w:type="dxa"/>
          <w:tcBorders>
            <w:top w:val="single" w:sz="6" w:space="0" w:color="auto"/>
          </w:tcBorders>
          <w:shd w:val="clear" w:color="auto" w:fill="auto"/>
        </w:tcPr>
        <w:p w14:paraId="25DB3C94" w14:textId="77777777" w:rsidR="00AB0E42" w:rsidRDefault="00AB0E42" w:rsidP="009C6940">
          <w:pPr>
            <w:pStyle w:val="HeaderEven"/>
          </w:pPr>
        </w:p>
      </w:tc>
    </w:tr>
  </w:tbl>
  <w:p w14:paraId="00A3A683" w14:textId="77777777" w:rsidR="00AB0E42" w:rsidRPr="009C6940" w:rsidRDefault="00AB0E42" w:rsidP="009C6940">
    <w:pPr>
      <w:pStyle w:val="HeaderEn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094A74D1" w14:textId="77777777" w:rsidTr="009C6940">
      <w:trPr>
        <w:trHeight w:val="300"/>
      </w:trPr>
      <w:tc>
        <w:tcPr>
          <w:tcW w:w="6633" w:type="dxa"/>
          <w:tcBorders>
            <w:top w:val="single" w:sz="6" w:space="0" w:color="auto"/>
          </w:tcBorders>
          <w:shd w:val="clear" w:color="auto" w:fill="auto"/>
        </w:tcPr>
        <w:p w14:paraId="6FAB2702" w14:textId="77777777" w:rsidR="00AB0E42" w:rsidRDefault="00AB0E42" w:rsidP="009C6940">
          <w:pPr>
            <w:pStyle w:val="HeaderOdd"/>
          </w:pPr>
        </w:p>
      </w:tc>
      <w:tc>
        <w:tcPr>
          <w:tcW w:w="2154" w:type="dxa"/>
          <w:tcBorders>
            <w:top w:val="single" w:sz="24" w:space="0" w:color="auto"/>
          </w:tcBorders>
          <w:shd w:val="clear" w:color="auto" w:fill="auto"/>
        </w:tcPr>
        <w:p w14:paraId="14047007" w14:textId="77777777" w:rsidR="00AB0E42" w:rsidRDefault="00AB0E42" w:rsidP="009C6940">
          <w:pPr>
            <w:pStyle w:val="HeaderOdd"/>
          </w:pPr>
        </w:p>
      </w:tc>
    </w:tr>
  </w:tbl>
  <w:p w14:paraId="08703937" w14:textId="77777777" w:rsidR="00AB0E42" w:rsidRPr="009C6940" w:rsidRDefault="00AB0E42" w:rsidP="009C6940">
    <w:pPr>
      <w:pStyle w:val="HeaderEn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08E34A31" w14:textId="77777777" w:rsidTr="009C6940">
      <w:trPr>
        <w:trHeight w:val="300"/>
      </w:trPr>
      <w:tc>
        <w:tcPr>
          <w:tcW w:w="2154" w:type="dxa"/>
          <w:tcBorders>
            <w:top w:val="single" w:sz="24" w:space="0" w:color="auto"/>
          </w:tcBorders>
          <w:shd w:val="clear" w:color="auto" w:fill="auto"/>
        </w:tcPr>
        <w:p w14:paraId="381C06DE" w14:textId="77777777" w:rsidR="00AB0E42" w:rsidRDefault="00AB0E42" w:rsidP="009C6940">
          <w:pPr>
            <w:pStyle w:val="HeaderEven"/>
          </w:pPr>
        </w:p>
      </w:tc>
      <w:tc>
        <w:tcPr>
          <w:tcW w:w="6633" w:type="dxa"/>
          <w:tcBorders>
            <w:top w:val="single" w:sz="6" w:space="0" w:color="auto"/>
          </w:tcBorders>
          <w:shd w:val="clear" w:color="auto" w:fill="auto"/>
        </w:tcPr>
        <w:p w14:paraId="2640394F" w14:textId="77777777" w:rsidR="00AB0E42" w:rsidRDefault="00AB0E42" w:rsidP="009C6940">
          <w:pPr>
            <w:pStyle w:val="HeaderEven"/>
          </w:pPr>
        </w:p>
      </w:tc>
    </w:tr>
  </w:tbl>
  <w:p w14:paraId="12A20003" w14:textId="77777777" w:rsidR="00AB0E42" w:rsidRPr="009C6940" w:rsidRDefault="00AB0E42" w:rsidP="009C6940">
    <w:pPr>
      <w:pStyle w:val="HeaderEn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6A73C8C8" w14:textId="77777777" w:rsidTr="009C6940">
      <w:trPr>
        <w:trHeight w:val="300"/>
      </w:trPr>
      <w:tc>
        <w:tcPr>
          <w:tcW w:w="6633" w:type="dxa"/>
          <w:tcBorders>
            <w:top w:val="single" w:sz="6" w:space="0" w:color="auto"/>
          </w:tcBorders>
          <w:shd w:val="clear" w:color="auto" w:fill="auto"/>
        </w:tcPr>
        <w:p w14:paraId="1EE1AD4A" w14:textId="77777777" w:rsidR="00AB0E42" w:rsidRDefault="00AB0E42" w:rsidP="009C6940">
          <w:pPr>
            <w:pStyle w:val="HeaderOdd"/>
          </w:pPr>
        </w:p>
      </w:tc>
      <w:tc>
        <w:tcPr>
          <w:tcW w:w="2154" w:type="dxa"/>
          <w:tcBorders>
            <w:top w:val="single" w:sz="24" w:space="0" w:color="auto"/>
          </w:tcBorders>
          <w:shd w:val="clear" w:color="auto" w:fill="auto"/>
        </w:tcPr>
        <w:p w14:paraId="52C1A8C1" w14:textId="77777777" w:rsidR="00AB0E42" w:rsidRDefault="00AB0E42" w:rsidP="009C6940">
          <w:pPr>
            <w:pStyle w:val="HeaderOdd"/>
          </w:pPr>
        </w:p>
      </w:tc>
    </w:tr>
  </w:tbl>
  <w:p w14:paraId="76EA843C" w14:textId="77777777" w:rsidR="00AB0E42" w:rsidRPr="009C6940" w:rsidRDefault="00AB0E42" w:rsidP="009C6940">
    <w:pPr>
      <w:pStyle w:val="HeaderEn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877E1" w14:textId="77777777" w:rsidR="00AB0E42" w:rsidRPr="009C6940" w:rsidRDefault="00AB0E42" w:rsidP="009C6940">
    <w:pPr>
      <w:pStyle w:val="Heade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B0E42" w14:paraId="14EC7880" w14:textId="77777777">
      <w:tc>
        <w:tcPr>
          <w:tcW w:w="6634" w:type="dxa"/>
          <w:tcBorders>
            <w:top w:val="single" w:sz="6" w:space="0" w:color="auto"/>
          </w:tcBorders>
        </w:tcPr>
        <w:p w14:paraId="687F97D7" w14:textId="77777777" w:rsidR="00AB0E42" w:rsidRDefault="00AB0E42">
          <w:pPr>
            <w:pStyle w:val="HeaderOdd"/>
          </w:pPr>
        </w:p>
      </w:tc>
      <w:tc>
        <w:tcPr>
          <w:tcW w:w="2155" w:type="dxa"/>
          <w:tcBorders>
            <w:top w:val="single" w:sz="24" w:space="0" w:color="auto"/>
            <w:bottom w:val="nil"/>
          </w:tcBorders>
        </w:tcPr>
        <w:p w14:paraId="01F0FB7C" w14:textId="77777777" w:rsidR="00AB0E42" w:rsidRDefault="00AB0E42">
          <w:pPr>
            <w:pStyle w:val="HeaderOdd"/>
          </w:pPr>
        </w:p>
      </w:tc>
    </w:tr>
  </w:tbl>
  <w:p w14:paraId="4ED77FAC" w14:textId="77777777" w:rsidR="00AB0E42" w:rsidRDefault="00AB0E42">
    <w:pPr>
      <w:pStyle w:val="HeaderEnd"/>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16B67" w14:textId="77777777" w:rsidR="00AB0E42" w:rsidRPr="009C6940" w:rsidRDefault="00AB0E42" w:rsidP="009C6940">
    <w:pPr>
      <w:pStyle w:val="Header"/>
      <w:spacing w:line="20"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5348CE5B" w14:textId="77777777" w:rsidTr="009C6940">
      <w:trPr>
        <w:trHeight w:val="300"/>
      </w:trPr>
      <w:tc>
        <w:tcPr>
          <w:tcW w:w="2154" w:type="dxa"/>
          <w:tcBorders>
            <w:top w:val="single" w:sz="24" w:space="0" w:color="auto"/>
          </w:tcBorders>
          <w:shd w:val="clear" w:color="auto" w:fill="auto"/>
        </w:tcPr>
        <w:p w14:paraId="074D7550" w14:textId="77777777" w:rsidR="00AB0E42" w:rsidRDefault="00AB0E42" w:rsidP="009C6940">
          <w:pPr>
            <w:pStyle w:val="HeaderEven"/>
          </w:pPr>
        </w:p>
      </w:tc>
      <w:tc>
        <w:tcPr>
          <w:tcW w:w="6633" w:type="dxa"/>
          <w:tcBorders>
            <w:top w:val="single" w:sz="6" w:space="0" w:color="auto"/>
          </w:tcBorders>
          <w:shd w:val="clear" w:color="auto" w:fill="auto"/>
        </w:tcPr>
        <w:p w14:paraId="419A30A4" w14:textId="77777777" w:rsidR="00AB0E42" w:rsidRDefault="00AB0E42" w:rsidP="009C6940">
          <w:pPr>
            <w:pStyle w:val="HeaderEven"/>
          </w:pPr>
        </w:p>
      </w:tc>
    </w:tr>
  </w:tbl>
  <w:p w14:paraId="2B215D8A" w14:textId="77777777" w:rsidR="00AB0E42" w:rsidRPr="009C6940" w:rsidRDefault="00AB0E42" w:rsidP="009C6940">
    <w:pPr>
      <w:pStyle w:val="HeaderEn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4BDAFCDE" w14:textId="77777777" w:rsidTr="009C6940">
      <w:trPr>
        <w:trHeight w:val="300"/>
      </w:trPr>
      <w:tc>
        <w:tcPr>
          <w:tcW w:w="6633" w:type="dxa"/>
          <w:tcBorders>
            <w:top w:val="single" w:sz="6" w:space="0" w:color="auto"/>
          </w:tcBorders>
          <w:shd w:val="clear" w:color="auto" w:fill="auto"/>
        </w:tcPr>
        <w:p w14:paraId="4FDB2DEF" w14:textId="77777777" w:rsidR="00AB0E42" w:rsidRDefault="00AB0E42" w:rsidP="009C6940">
          <w:pPr>
            <w:pStyle w:val="HeaderOdd"/>
          </w:pPr>
        </w:p>
      </w:tc>
      <w:tc>
        <w:tcPr>
          <w:tcW w:w="2154" w:type="dxa"/>
          <w:tcBorders>
            <w:top w:val="single" w:sz="24" w:space="0" w:color="auto"/>
          </w:tcBorders>
          <w:shd w:val="clear" w:color="auto" w:fill="auto"/>
        </w:tcPr>
        <w:p w14:paraId="267E06E3" w14:textId="77777777" w:rsidR="00AB0E42" w:rsidRDefault="00AB0E42" w:rsidP="009C6940">
          <w:pPr>
            <w:pStyle w:val="HeaderOdd"/>
          </w:pPr>
        </w:p>
      </w:tc>
    </w:tr>
  </w:tbl>
  <w:p w14:paraId="2B23B8A7" w14:textId="77777777" w:rsidR="00AB0E42" w:rsidRPr="009C6940" w:rsidRDefault="00AB0E42" w:rsidP="009C6940">
    <w:pPr>
      <w:pStyle w:val="HeaderEn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28230117" w14:textId="77777777" w:rsidTr="009C6940">
      <w:trPr>
        <w:trHeight w:val="300"/>
      </w:trPr>
      <w:tc>
        <w:tcPr>
          <w:tcW w:w="2154" w:type="dxa"/>
          <w:tcBorders>
            <w:top w:val="single" w:sz="24" w:space="0" w:color="auto"/>
          </w:tcBorders>
          <w:shd w:val="clear" w:color="auto" w:fill="auto"/>
        </w:tcPr>
        <w:p w14:paraId="295C37A6" w14:textId="77777777" w:rsidR="00AB0E42" w:rsidRDefault="00AB0E42" w:rsidP="009C6940">
          <w:pPr>
            <w:pStyle w:val="HeaderEven"/>
          </w:pPr>
        </w:p>
      </w:tc>
      <w:tc>
        <w:tcPr>
          <w:tcW w:w="6633" w:type="dxa"/>
          <w:tcBorders>
            <w:top w:val="single" w:sz="6" w:space="0" w:color="auto"/>
          </w:tcBorders>
          <w:shd w:val="clear" w:color="auto" w:fill="auto"/>
        </w:tcPr>
        <w:p w14:paraId="51CFB36B" w14:textId="77777777" w:rsidR="00AB0E42" w:rsidRDefault="00AB0E42" w:rsidP="009C6940">
          <w:pPr>
            <w:pStyle w:val="HeaderEven"/>
          </w:pPr>
        </w:p>
      </w:tc>
    </w:tr>
  </w:tbl>
  <w:p w14:paraId="61ED9470" w14:textId="77777777" w:rsidR="00AB0E42" w:rsidRPr="009C6940" w:rsidRDefault="00AB0E42" w:rsidP="009C6940">
    <w:pPr>
      <w:pStyle w:val="HeaderEn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75A5854E" w14:textId="77777777" w:rsidTr="009C6940">
      <w:trPr>
        <w:trHeight w:val="300"/>
      </w:trPr>
      <w:tc>
        <w:tcPr>
          <w:tcW w:w="6633" w:type="dxa"/>
          <w:tcBorders>
            <w:top w:val="single" w:sz="6" w:space="0" w:color="auto"/>
          </w:tcBorders>
          <w:shd w:val="clear" w:color="auto" w:fill="auto"/>
        </w:tcPr>
        <w:p w14:paraId="1375BB6C" w14:textId="77777777" w:rsidR="00AB0E42" w:rsidRDefault="00AB0E42" w:rsidP="009C6940">
          <w:pPr>
            <w:pStyle w:val="HeaderOdd"/>
          </w:pPr>
        </w:p>
      </w:tc>
      <w:tc>
        <w:tcPr>
          <w:tcW w:w="2154" w:type="dxa"/>
          <w:tcBorders>
            <w:top w:val="single" w:sz="24" w:space="0" w:color="auto"/>
          </w:tcBorders>
          <w:shd w:val="clear" w:color="auto" w:fill="auto"/>
        </w:tcPr>
        <w:p w14:paraId="26A3D16A" w14:textId="77777777" w:rsidR="00AB0E42" w:rsidRDefault="00AB0E42" w:rsidP="009C6940">
          <w:pPr>
            <w:pStyle w:val="HeaderOdd"/>
          </w:pPr>
        </w:p>
      </w:tc>
    </w:tr>
  </w:tbl>
  <w:p w14:paraId="69F7EB35" w14:textId="77777777" w:rsidR="00AB0E42" w:rsidRPr="009C6940" w:rsidRDefault="00AB0E42" w:rsidP="009C6940">
    <w:pPr>
      <w:pStyle w:val="HeaderEnd"/>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7957D256" w14:textId="77777777" w:rsidTr="009C6940">
      <w:trPr>
        <w:trHeight w:val="300"/>
      </w:trPr>
      <w:tc>
        <w:tcPr>
          <w:tcW w:w="2154" w:type="dxa"/>
          <w:tcBorders>
            <w:top w:val="single" w:sz="24" w:space="0" w:color="auto"/>
          </w:tcBorders>
          <w:shd w:val="clear" w:color="auto" w:fill="auto"/>
        </w:tcPr>
        <w:p w14:paraId="390057FF" w14:textId="77777777" w:rsidR="00AB0E42" w:rsidRDefault="00AB0E42" w:rsidP="009C6940">
          <w:pPr>
            <w:pStyle w:val="HeaderEven"/>
          </w:pPr>
        </w:p>
      </w:tc>
      <w:tc>
        <w:tcPr>
          <w:tcW w:w="6633" w:type="dxa"/>
          <w:tcBorders>
            <w:top w:val="single" w:sz="6" w:space="0" w:color="auto"/>
          </w:tcBorders>
          <w:shd w:val="clear" w:color="auto" w:fill="auto"/>
        </w:tcPr>
        <w:p w14:paraId="5D3C9CCA" w14:textId="77777777" w:rsidR="00AB0E42" w:rsidRDefault="00AB0E42" w:rsidP="009C6940">
          <w:pPr>
            <w:pStyle w:val="HeaderEven"/>
          </w:pPr>
        </w:p>
      </w:tc>
    </w:tr>
  </w:tbl>
  <w:p w14:paraId="392D2F18" w14:textId="77777777" w:rsidR="00AB0E42" w:rsidRPr="009C6940" w:rsidRDefault="00AB0E42" w:rsidP="009C6940">
    <w:pPr>
      <w:pStyle w:val="HeaderEnd"/>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27DE1917" w14:textId="77777777" w:rsidTr="009C6940">
      <w:trPr>
        <w:trHeight w:val="300"/>
      </w:trPr>
      <w:tc>
        <w:tcPr>
          <w:tcW w:w="6633" w:type="dxa"/>
          <w:tcBorders>
            <w:top w:val="single" w:sz="6" w:space="0" w:color="auto"/>
          </w:tcBorders>
          <w:shd w:val="clear" w:color="auto" w:fill="auto"/>
        </w:tcPr>
        <w:p w14:paraId="30F85ED9" w14:textId="77777777" w:rsidR="00AB0E42" w:rsidRDefault="00AB0E42" w:rsidP="009C6940">
          <w:pPr>
            <w:pStyle w:val="HeaderOdd"/>
          </w:pPr>
        </w:p>
      </w:tc>
      <w:tc>
        <w:tcPr>
          <w:tcW w:w="2154" w:type="dxa"/>
          <w:tcBorders>
            <w:top w:val="single" w:sz="24" w:space="0" w:color="auto"/>
          </w:tcBorders>
          <w:shd w:val="clear" w:color="auto" w:fill="auto"/>
        </w:tcPr>
        <w:p w14:paraId="435B7D2E" w14:textId="77777777" w:rsidR="00AB0E42" w:rsidRDefault="00AB0E42" w:rsidP="009C6940">
          <w:pPr>
            <w:pStyle w:val="HeaderOdd"/>
          </w:pPr>
        </w:p>
      </w:tc>
    </w:tr>
  </w:tbl>
  <w:p w14:paraId="0E7556DC" w14:textId="77777777" w:rsidR="00AB0E42" w:rsidRPr="009C6940" w:rsidRDefault="00AB0E42" w:rsidP="009C6940">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186118D1" w14:textId="77777777" w:rsidTr="009C6940">
      <w:trPr>
        <w:trHeight w:val="300"/>
      </w:trPr>
      <w:tc>
        <w:tcPr>
          <w:tcW w:w="2154" w:type="dxa"/>
          <w:tcBorders>
            <w:top w:val="single" w:sz="24" w:space="0" w:color="auto"/>
          </w:tcBorders>
          <w:shd w:val="clear" w:color="auto" w:fill="auto"/>
        </w:tcPr>
        <w:p w14:paraId="22162666" w14:textId="77777777" w:rsidR="00AB0E42" w:rsidRDefault="00AB0E42" w:rsidP="009C6940">
          <w:pPr>
            <w:pStyle w:val="HeaderEven"/>
          </w:pPr>
        </w:p>
      </w:tc>
      <w:tc>
        <w:tcPr>
          <w:tcW w:w="6633" w:type="dxa"/>
          <w:tcBorders>
            <w:top w:val="single" w:sz="6" w:space="0" w:color="auto"/>
          </w:tcBorders>
          <w:shd w:val="clear" w:color="auto" w:fill="auto"/>
        </w:tcPr>
        <w:p w14:paraId="46CBED72" w14:textId="77777777" w:rsidR="00AB0E42" w:rsidRDefault="00AB0E42" w:rsidP="009C6940">
          <w:pPr>
            <w:pStyle w:val="HeaderEven"/>
          </w:pPr>
        </w:p>
      </w:tc>
    </w:tr>
  </w:tbl>
  <w:p w14:paraId="6001BAB4" w14:textId="77777777" w:rsidR="00AB0E42" w:rsidRPr="009C6940" w:rsidRDefault="00AB0E42" w:rsidP="009C6940">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4EB61781" w14:textId="77777777" w:rsidTr="009C6940">
      <w:trPr>
        <w:trHeight w:val="300"/>
      </w:trPr>
      <w:tc>
        <w:tcPr>
          <w:tcW w:w="6633" w:type="dxa"/>
          <w:tcBorders>
            <w:top w:val="single" w:sz="6" w:space="0" w:color="auto"/>
          </w:tcBorders>
          <w:shd w:val="clear" w:color="auto" w:fill="auto"/>
        </w:tcPr>
        <w:p w14:paraId="50F969AE" w14:textId="77777777" w:rsidR="00AB0E42" w:rsidRDefault="00AB0E42" w:rsidP="009C6940">
          <w:pPr>
            <w:pStyle w:val="HeaderOdd"/>
          </w:pPr>
        </w:p>
      </w:tc>
      <w:tc>
        <w:tcPr>
          <w:tcW w:w="2154" w:type="dxa"/>
          <w:tcBorders>
            <w:top w:val="single" w:sz="24" w:space="0" w:color="auto"/>
          </w:tcBorders>
          <w:shd w:val="clear" w:color="auto" w:fill="auto"/>
        </w:tcPr>
        <w:p w14:paraId="0B581F51" w14:textId="77777777" w:rsidR="00AB0E42" w:rsidRDefault="00AB0E42" w:rsidP="009C6940">
          <w:pPr>
            <w:pStyle w:val="HeaderOdd"/>
          </w:pPr>
        </w:p>
      </w:tc>
    </w:tr>
  </w:tbl>
  <w:p w14:paraId="3AB088BB" w14:textId="77777777" w:rsidR="00AB0E42" w:rsidRPr="009C6940" w:rsidRDefault="00AB0E42" w:rsidP="009C6940">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60239FB3" w14:textId="77777777" w:rsidTr="009C6940">
      <w:trPr>
        <w:trHeight w:val="300"/>
      </w:trPr>
      <w:tc>
        <w:tcPr>
          <w:tcW w:w="2154" w:type="dxa"/>
          <w:tcBorders>
            <w:top w:val="single" w:sz="24" w:space="0" w:color="auto"/>
          </w:tcBorders>
          <w:shd w:val="clear" w:color="auto" w:fill="auto"/>
        </w:tcPr>
        <w:p w14:paraId="3A60E151" w14:textId="77777777" w:rsidR="00AB0E42" w:rsidRDefault="00AB0E42" w:rsidP="009C6940">
          <w:pPr>
            <w:pStyle w:val="HeaderEven"/>
          </w:pPr>
        </w:p>
      </w:tc>
      <w:tc>
        <w:tcPr>
          <w:tcW w:w="6633" w:type="dxa"/>
          <w:tcBorders>
            <w:top w:val="single" w:sz="6" w:space="0" w:color="auto"/>
          </w:tcBorders>
          <w:shd w:val="clear" w:color="auto" w:fill="auto"/>
        </w:tcPr>
        <w:p w14:paraId="31B0A12A" w14:textId="77777777" w:rsidR="00AB0E42" w:rsidRDefault="00AB0E42" w:rsidP="009C6940">
          <w:pPr>
            <w:pStyle w:val="HeaderEven"/>
          </w:pPr>
        </w:p>
      </w:tc>
    </w:tr>
  </w:tbl>
  <w:p w14:paraId="51B26EE4" w14:textId="77777777" w:rsidR="00AB0E42" w:rsidRPr="009C6940" w:rsidRDefault="00AB0E42" w:rsidP="009C6940">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02990526" w14:textId="77777777" w:rsidTr="009C6940">
      <w:trPr>
        <w:trHeight w:val="300"/>
      </w:trPr>
      <w:tc>
        <w:tcPr>
          <w:tcW w:w="6633" w:type="dxa"/>
          <w:tcBorders>
            <w:top w:val="single" w:sz="6" w:space="0" w:color="auto"/>
          </w:tcBorders>
          <w:shd w:val="clear" w:color="auto" w:fill="auto"/>
        </w:tcPr>
        <w:p w14:paraId="6A93E799" w14:textId="77777777" w:rsidR="00AB0E42" w:rsidRDefault="00AB0E42" w:rsidP="009C6940">
          <w:pPr>
            <w:pStyle w:val="HeaderOdd"/>
          </w:pPr>
        </w:p>
      </w:tc>
      <w:tc>
        <w:tcPr>
          <w:tcW w:w="2154" w:type="dxa"/>
          <w:tcBorders>
            <w:top w:val="single" w:sz="24" w:space="0" w:color="auto"/>
          </w:tcBorders>
          <w:shd w:val="clear" w:color="auto" w:fill="auto"/>
        </w:tcPr>
        <w:p w14:paraId="4728C84D" w14:textId="77777777" w:rsidR="00AB0E42" w:rsidRDefault="00AB0E42" w:rsidP="009C6940">
          <w:pPr>
            <w:pStyle w:val="HeaderOdd"/>
          </w:pPr>
        </w:p>
      </w:tc>
    </w:tr>
  </w:tbl>
  <w:p w14:paraId="436727BF" w14:textId="77777777" w:rsidR="00AB0E42" w:rsidRPr="009C6940" w:rsidRDefault="00AB0E42" w:rsidP="009C6940">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5F5DED49" w14:textId="77777777" w:rsidTr="009C6940">
      <w:trPr>
        <w:trHeight w:val="300"/>
      </w:trPr>
      <w:tc>
        <w:tcPr>
          <w:tcW w:w="2154" w:type="dxa"/>
          <w:tcBorders>
            <w:top w:val="single" w:sz="24" w:space="0" w:color="auto"/>
          </w:tcBorders>
          <w:shd w:val="clear" w:color="auto" w:fill="auto"/>
        </w:tcPr>
        <w:p w14:paraId="2B06C62E" w14:textId="77777777" w:rsidR="00AB0E42" w:rsidRDefault="00AB0E42" w:rsidP="009C6940">
          <w:pPr>
            <w:pStyle w:val="HeaderEven"/>
          </w:pPr>
        </w:p>
      </w:tc>
      <w:tc>
        <w:tcPr>
          <w:tcW w:w="6633" w:type="dxa"/>
          <w:tcBorders>
            <w:top w:val="single" w:sz="6" w:space="0" w:color="auto"/>
          </w:tcBorders>
          <w:shd w:val="clear" w:color="auto" w:fill="auto"/>
        </w:tcPr>
        <w:p w14:paraId="3DED9AF1" w14:textId="77777777" w:rsidR="00AB0E42" w:rsidRDefault="00AB0E42" w:rsidP="009C6940">
          <w:pPr>
            <w:pStyle w:val="HeaderEven"/>
          </w:pPr>
        </w:p>
      </w:tc>
    </w:tr>
  </w:tbl>
  <w:p w14:paraId="3164EC47" w14:textId="77777777" w:rsidR="00AB0E42" w:rsidRPr="009C6940" w:rsidRDefault="00AB0E42" w:rsidP="009C6940">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AB0E42" w14:paraId="59700DB7" w14:textId="77777777" w:rsidTr="009C6940">
      <w:trPr>
        <w:trHeight w:val="300"/>
      </w:trPr>
      <w:tc>
        <w:tcPr>
          <w:tcW w:w="6633" w:type="dxa"/>
          <w:tcBorders>
            <w:top w:val="single" w:sz="6" w:space="0" w:color="auto"/>
          </w:tcBorders>
          <w:shd w:val="clear" w:color="auto" w:fill="auto"/>
        </w:tcPr>
        <w:p w14:paraId="4A453519" w14:textId="77777777" w:rsidR="00AB0E42" w:rsidRDefault="00AB0E42" w:rsidP="009C6940">
          <w:pPr>
            <w:pStyle w:val="HeaderOdd"/>
          </w:pPr>
        </w:p>
      </w:tc>
      <w:tc>
        <w:tcPr>
          <w:tcW w:w="2154" w:type="dxa"/>
          <w:tcBorders>
            <w:top w:val="single" w:sz="24" w:space="0" w:color="auto"/>
          </w:tcBorders>
          <w:shd w:val="clear" w:color="auto" w:fill="auto"/>
        </w:tcPr>
        <w:p w14:paraId="5C12D486" w14:textId="77777777" w:rsidR="00AB0E42" w:rsidRDefault="00AB0E42" w:rsidP="009C6940">
          <w:pPr>
            <w:pStyle w:val="HeaderOdd"/>
          </w:pPr>
        </w:p>
      </w:tc>
    </w:tr>
  </w:tbl>
  <w:p w14:paraId="3ACB1B0B" w14:textId="77777777" w:rsidR="00AB0E42" w:rsidRPr="009C6940" w:rsidRDefault="00AB0E42" w:rsidP="009C6940">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AB0E42" w14:paraId="5FBA89D7" w14:textId="77777777" w:rsidTr="009C6940">
      <w:trPr>
        <w:trHeight w:val="300"/>
      </w:trPr>
      <w:tc>
        <w:tcPr>
          <w:tcW w:w="2154" w:type="dxa"/>
          <w:tcBorders>
            <w:top w:val="single" w:sz="24" w:space="0" w:color="auto"/>
          </w:tcBorders>
          <w:shd w:val="clear" w:color="auto" w:fill="auto"/>
        </w:tcPr>
        <w:p w14:paraId="12B60391" w14:textId="77777777" w:rsidR="00AB0E42" w:rsidRDefault="00AB0E42" w:rsidP="009C6940">
          <w:pPr>
            <w:pStyle w:val="HeaderEven"/>
          </w:pPr>
        </w:p>
      </w:tc>
      <w:tc>
        <w:tcPr>
          <w:tcW w:w="6633" w:type="dxa"/>
          <w:tcBorders>
            <w:top w:val="single" w:sz="6" w:space="0" w:color="auto"/>
          </w:tcBorders>
          <w:shd w:val="clear" w:color="auto" w:fill="auto"/>
        </w:tcPr>
        <w:p w14:paraId="6BB37C75" w14:textId="77777777" w:rsidR="00AB0E42" w:rsidRDefault="00AB0E42" w:rsidP="009C6940">
          <w:pPr>
            <w:pStyle w:val="HeaderEven"/>
          </w:pPr>
        </w:p>
      </w:tc>
    </w:tr>
  </w:tbl>
  <w:p w14:paraId="1246E855" w14:textId="77777777" w:rsidR="00AB0E42" w:rsidRPr="009C6940" w:rsidRDefault="00AB0E42" w:rsidP="009C6940">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15:restartNumberingAfterBreak="0">
    <w:nsid w:val="08FA11E5"/>
    <w:multiLevelType w:val="hybridMultilevel"/>
    <w:tmpl w:val="D286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3B540A7"/>
    <w:multiLevelType w:val="hybridMultilevel"/>
    <w:tmpl w:val="3E8E184A"/>
    <w:lvl w:ilvl="0" w:tplc="0432401A">
      <w:start w:val="1"/>
      <w:numFmt w:val="bullet"/>
      <w:pStyle w:val="Dash3"/>
      <w:lvlText w:val="-"/>
      <w:lvlJc w:val="left"/>
      <w:pPr>
        <w:ind w:left="1430" w:hanging="360"/>
      </w:pPr>
      <w:rPr>
        <w:rFonts w:ascii="Calibri" w:hAnsi="Calibri"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8AA3B4F"/>
    <w:multiLevelType w:val="hybridMultilevel"/>
    <w:tmpl w:val="253AA890"/>
    <w:lvl w:ilvl="0" w:tplc="39EA38EC">
      <w:start w:val="1"/>
      <w:numFmt w:val="bullet"/>
      <w:lvlText w:val="•"/>
      <w:lvlJc w:val="left"/>
      <w:pPr>
        <w:tabs>
          <w:tab w:val="num" w:pos="720"/>
        </w:tabs>
        <w:ind w:left="720" w:hanging="360"/>
      </w:pPr>
      <w:rPr>
        <w:rFonts w:ascii="Arial" w:hAnsi="Arial" w:hint="default"/>
      </w:rPr>
    </w:lvl>
    <w:lvl w:ilvl="1" w:tplc="2FA4119C" w:tentative="1">
      <w:start w:val="1"/>
      <w:numFmt w:val="bullet"/>
      <w:lvlText w:val="•"/>
      <w:lvlJc w:val="left"/>
      <w:pPr>
        <w:tabs>
          <w:tab w:val="num" w:pos="1440"/>
        </w:tabs>
        <w:ind w:left="1440" w:hanging="360"/>
      </w:pPr>
      <w:rPr>
        <w:rFonts w:ascii="Arial" w:hAnsi="Arial" w:hint="default"/>
      </w:rPr>
    </w:lvl>
    <w:lvl w:ilvl="2" w:tplc="0792EC80" w:tentative="1">
      <w:start w:val="1"/>
      <w:numFmt w:val="bullet"/>
      <w:lvlText w:val="•"/>
      <w:lvlJc w:val="left"/>
      <w:pPr>
        <w:tabs>
          <w:tab w:val="num" w:pos="2160"/>
        </w:tabs>
        <w:ind w:left="2160" w:hanging="360"/>
      </w:pPr>
      <w:rPr>
        <w:rFonts w:ascii="Arial" w:hAnsi="Arial" w:hint="default"/>
      </w:rPr>
    </w:lvl>
    <w:lvl w:ilvl="3" w:tplc="B0A4345C" w:tentative="1">
      <w:start w:val="1"/>
      <w:numFmt w:val="bullet"/>
      <w:lvlText w:val="•"/>
      <w:lvlJc w:val="left"/>
      <w:pPr>
        <w:tabs>
          <w:tab w:val="num" w:pos="2880"/>
        </w:tabs>
        <w:ind w:left="2880" w:hanging="360"/>
      </w:pPr>
      <w:rPr>
        <w:rFonts w:ascii="Arial" w:hAnsi="Arial" w:hint="default"/>
      </w:rPr>
    </w:lvl>
    <w:lvl w:ilvl="4" w:tplc="0DE8CE9C" w:tentative="1">
      <w:start w:val="1"/>
      <w:numFmt w:val="bullet"/>
      <w:lvlText w:val="•"/>
      <w:lvlJc w:val="left"/>
      <w:pPr>
        <w:tabs>
          <w:tab w:val="num" w:pos="3600"/>
        </w:tabs>
        <w:ind w:left="3600" w:hanging="360"/>
      </w:pPr>
      <w:rPr>
        <w:rFonts w:ascii="Arial" w:hAnsi="Arial" w:hint="default"/>
      </w:rPr>
    </w:lvl>
    <w:lvl w:ilvl="5" w:tplc="C136D3CA" w:tentative="1">
      <w:start w:val="1"/>
      <w:numFmt w:val="bullet"/>
      <w:lvlText w:val="•"/>
      <w:lvlJc w:val="left"/>
      <w:pPr>
        <w:tabs>
          <w:tab w:val="num" w:pos="4320"/>
        </w:tabs>
        <w:ind w:left="4320" w:hanging="360"/>
      </w:pPr>
      <w:rPr>
        <w:rFonts w:ascii="Arial" w:hAnsi="Arial" w:hint="default"/>
      </w:rPr>
    </w:lvl>
    <w:lvl w:ilvl="6" w:tplc="74520C4A" w:tentative="1">
      <w:start w:val="1"/>
      <w:numFmt w:val="bullet"/>
      <w:lvlText w:val="•"/>
      <w:lvlJc w:val="left"/>
      <w:pPr>
        <w:tabs>
          <w:tab w:val="num" w:pos="5040"/>
        </w:tabs>
        <w:ind w:left="5040" w:hanging="360"/>
      </w:pPr>
      <w:rPr>
        <w:rFonts w:ascii="Arial" w:hAnsi="Arial" w:hint="default"/>
      </w:rPr>
    </w:lvl>
    <w:lvl w:ilvl="7" w:tplc="D61EDC42" w:tentative="1">
      <w:start w:val="1"/>
      <w:numFmt w:val="bullet"/>
      <w:lvlText w:val="•"/>
      <w:lvlJc w:val="left"/>
      <w:pPr>
        <w:tabs>
          <w:tab w:val="num" w:pos="5760"/>
        </w:tabs>
        <w:ind w:left="5760" w:hanging="360"/>
      </w:pPr>
      <w:rPr>
        <w:rFonts w:ascii="Arial" w:hAnsi="Arial" w:hint="default"/>
      </w:rPr>
    </w:lvl>
    <w:lvl w:ilvl="8" w:tplc="56402F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3B545557"/>
    <w:multiLevelType w:val="hybridMultilevel"/>
    <w:tmpl w:val="13805898"/>
    <w:lvl w:ilvl="0" w:tplc="CB3A1820">
      <w:start w:val="1"/>
      <w:numFmt w:val="bullet"/>
      <w:pStyle w:val="Bullets"/>
      <w:lvlText w:val=""/>
      <w:lvlJc w:val="left"/>
      <w:pPr>
        <w:ind w:left="360" w:hanging="360"/>
      </w:pPr>
      <w:rPr>
        <w:rFonts w:ascii="Symbol" w:hAnsi="Symbol" w:hint="default"/>
        <w:color w:val="0092C7"/>
      </w:rPr>
    </w:lvl>
    <w:lvl w:ilvl="1" w:tplc="43E635C0">
      <w:start w:val="1"/>
      <w:numFmt w:val="bullet"/>
      <w:lvlText w:val="o"/>
      <w:lvlJc w:val="left"/>
      <w:pPr>
        <w:ind w:left="1080" w:hanging="360"/>
      </w:pPr>
      <w:rPr>
        <w:rFonts w:ascii="Courier New" w:hAnsi="Courier New" w:cs="Courier New" w:hint="default"/>
        <w:color w:val="0092C7"/>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4B08458D"/>
    <w:multiLevelType w:val="hybridMultilevel"/>
    <w:tmpl w:val="EC12364A"/>
    <w:lvl w:ilvl="0" w:tplc="3D78B314">
      <w:start w:val="1"/>
      <w:numFmt w:val="bullet"/>
      <w:lvlText w:val="•"/>
      <w:lvlJc w:val="left"/>
      <w:pPr>
        <w:tabs>
          <w:tab w:val="num" w:pos="720"/>
        </w:tabs>
        <w:ind w:left="720" w:hanging="360"/>
      </w:pPr>
      <w:rPr>
        <w:rFonts w:ascii="Arial" w:hAnsi="Arial" w:hint="default"/>
      </w:rPr>
    </w:lvl>
    <w:lvl w:ilvl="1" w:tplc="B4803032" w:tentative="1">
      <w:start w:val="1"/>
      <w:numFmt w:val="bullet"/>
      <w:lvlText w:val="•"/>
      <w:lvlJc w:val="left"/>
      <w:pPr>
        <w:tabs>
          <w:tab w:val="num" w:pos="1440"/>
        </w:tabs>
        <w:ind w:left="1440" w:hanging="360"/>
      </w:pPr>
      <w:rPr>
        <w:rFonts w:ascii="Arial" w:hAnsi="Arial" w:hint="default"/>
      </w:rPr>
    </w:lvl>
    <w:lvl w:ilvl="2" w:tplc="43241FDA" w:tentative="1">
      <w:start w:val="1"/>
      <w:numFmt w:val="bullet"/>
      <w:lvlText w:val="•"/>
      <w:lvlJc w:val="left"/>
      <w:pPr>
        <w:tabs>
          <w:tab w:val="num" w:pos="2160"/>
        </w:tabs>
        <w:ind w:left="2160" w:hanging="360"/>
      </w:pPr>
      <w:rPr>
        <w:rFonts w:ascii="Arial" w:hAnsi="Arial" w:hint="default"/>
      </w:rPr>
    </w:lvl>
    <w:lvl w:ilvl="3" w:tplc="6D525FF8" w:tentative="1">
      <w:start w:val="1"/>
      <w:numFmt w:val="bullet"/>
      <w:lvlText w:val="•"/>
      <w:lvlJc w:val="left"/>
      <w:pPr>
        <w:tabs>
          <w:tab w:val="num" w:pos="2880"/>
        </w:tabs>
        <w:ind w:left="2880" w:hanging="360"/>
      </w:pPr>
      <w:rPr>
        <w:rFonts w:ascii="Arial" w:hAnsi="Arial" w:hint="default"/>
      </w:rPr>
    </w:lvl>
    <w:lvl w:ilvl="4" w:tplc="00C865C0" w:tentative="1">
      <w:start w:val="1"/>
      <w:numFmt w:val="bullet"/>
      <w:lvlText w:val="•"/>
      <w:lvlJc w:val="left"/>
      <w:pPr>
        <w:tabs>
          <w:tab w:val="num" w:pos="3600"/>
        </w:tabs>
        <w:ind w:left="3600" w:hanging="360"/>
      </w:pPr>
      <w:rPr>
        <w:rFonts w:ascii="Arial" w:hAnsi="Arial" w:hint="default"/>
      </w:rPr>
    </w:lvl>
    <w:lvl w:ilvl="5" w:tplc="FBFA3634" w:tentative="1">
      <w:start w:val="1"/>
      <w:numFmt w:val="bullet"/>
      <w:lvlText w:val="•"/>
      <w:lvlJc w:val="left"/>
      <w:pPr>
        <w:tabs>
          <w:tab w:val="num" w:pos="4320"/>
        </w:tabs>
        <w:ind w:left="4320" w:hanging="360"/>
      </w:pPr>
      <w:rPr>
        <w:rFonts w:ascii="Arial" w:hAnsi="Arial" w:hint="default"/>
      </w:rPr>
    </w:lvl>
    <w:lvl w:ilvl="6" w:tplc="C5EC98B0" w:tentative="1">
      <w:start w:val="1"/>
      <w:numFmt w:val="bullet"/>
      <w:lvlText w:val="•"/>
      <w:lvlJc w:val="left"/>
      <w:pPr>
        <w:tabs>
          <w:tab w:val="num" w:pos="5040"/>
        </w:tabs>
        <w:ind w:left="5040" w:hanging="360"/>
      </w:pPr>
      <w:rPr>
        <w:rFonts w:ascii="Arial" w:hAnsi="Arial" w:hint="default"/>
      </w:rPr>
    </w:lvl>
    <w:lvl w:ilvl="7" w:tplc="10F01FB0" w:tentative="1">
      <w:start w:val="1"/>
      <w:numFmt w:val="bullet"/>
      <w:lvlText w:val="•"/>
      <w:lvlJc w:val="left"/>
      <w:pPr>
        <w:tabs>
          <w:tab w:val="num" w:pos="5760"/>
        </w:tabs>
        <w:ind w:left="5760" w:hanging="360"/>
      </w:pPr>
      <w:rPr>
        <w:rFonts w:ascii="Arial" w:hAnsi="Arial" w:hint="default"/>
      </w:rPr>
    </w:lvl>
    <w:lvl w:ilvl="8" w:tplc="F70AD1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4BA1E5A"/>
    <w:multiLevelType w:val="multilevel"/>
    <w:tmpl w:val="D65C22EC"/>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cs="Times New Roman" w:hint="default"/>
        <w:color w:val="auto"/>
      </w:rPr>
    </w:lvl>
    <w:lvl w:ilvl="1">
      <w:start w:val="1"/>
      <w:numFmt w:val="bullet"/>
      <w:lvlRestart w:val="0"/>
      <w:pStyle w:val="DHHSquotebullet2"/>
      <w:lvlText w:val="–"/>
      <w:lvlJc w:val="left"/>
      <w:pPr>
        <w:ind w:left="964" w:hanging="284"/>
      </w:pPr>
      <w:rPr>
        <w:rFonts w:ascii="Calibri" w:hAnsi="Calibri" w:cs="Times New Roman" w:hint="default"/>
        <w:color w:val="auto"/>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655C3EC6"/>
    <w:multiLevelType w:val="hybridMultilevel"/>
    <w:tmpl w:val="E1AE86E2"/>
    <w:lvl w:ilvl="0" w:tplc="0226E2AE">
      <w:start w:val="1"/>
      <w:numFmt w:val="bullet"/>
      <w:lvlText w:val="•"/>
      <w:lvlJc w:val="left"/>
      <w:pPr>
        <w:tabs>
          <w:tab w:val="num" w:pos="720"/>
        </w:tabs>
        <w:ind w:left="720" w:hanging="360"/>
      </w:pPr>
      <w:rPr>
        <w:rFonts w:ascii="Arial" w:hAnsi="Arial" w:hint="default"/>
      </w:rPr>
    </w:lvl>
    <w:lvl w:ilvl="1" w:tplc="CD7C9A3E" w:tentative="1">
      <w:start w:val="1"/>
      <w:numFmt w:val="bullet"/>
      <w:lvlText w:val="•"/>
      <w:lvlJc w:val="left"/>
      <w:pPr>
        <w:tabs>
          <w:tab w:val="num" w:pos="1440"/>
        </w:tabs>
        <w:ind w:left="1440" w:hanging="360"/>
      </w:pPr>
      <w:rPr>
        <w:rFonts w:ascii="Arial" w:hAnsi="Arial" w:hint="default"/>
      </w:rPr>
    </w:lvl>
    <w:lvl w:ilvl="2" w:tplc="A7F293DC" w:tentative="1">
      <w:start w:val="1"/>
      <w:numFmt w:val="bullet"/>
      <w:lvlText w:val="•"/>
      <w:lvlJc w:val="left"/>
      <w:pPr>
        <w:tabs>
          <w:tab w:val="num" w:pos="2160"/>
        </w:tabs>
        <w:ind w:left="2160" w:hanging="360"/>
      </w:pPr>
      <w:rPr>
        <w:rFonts w:ascii="Arial" w:hAnsi="Arial" w:hint="default"/>
      </w:rPr>
    </w:lvl>
    <w:lvl w:ilvl="3" w:tplc="FAC4BFB8" w:tentative="1">
      <w:start w:val="1"/>
      <w:numFmt w:val="bullet"/>
      <w:lvlText w:val="•"/>
      <w:lvlJc w:val="left"/>
      <w:pPr>
        <w:tabs>
          <w:tab w:val="num" w:pos="2880"/>
        </w:tabs>
        <w:ind w:left="2880" w:hanging="360"/>
      </w:pPr>
      <w:rPr>
        <w:rFonts w:ascii="Arial" w:hAnsi="Arial" w:hint="default"/>
      </w:rPr>
    </w:lvl>
    <w:lvl w:ilvl="4" w:tplc="6E10E172" w:tentative="1">
      <w:start w:val="1"/>
      <w:numFmt w:val="bullet"/>
      <w:lvlText w:val="•"/>
      <w:lvlJc w:val="left"/>
      <w:pPr>
        <w:tabs>
          <w:tab w:val="num" w:pos="3600"/>
        </w:tabs>
        <w:ind w:left="3600" w:hanging="360"/>
      </w:pPr>
      <w:rPr>
        <w:rFonts w:ascii="Arial" w:hAnsi="Arial" w:hint="default"/>
      </w:rPr>
    </w:lvl>
    <w:lvl w:ilvl="5" w:tplc="66845812" w:tentative="1">
      <w:start w:val="1"/>
      <w:numFmt w:val="bullet"/>
      <w:lvlText w:val="•"/>
      <w:lvlJc w:val="left"/>
      <w:pPr>
        <w:tabs>
          <w:tab w:val="num" w:pos="4320"/>
        </w:tabs>
        <w:ind w:left="4320" w:hanging="360"/>
      </w:pPr>
      <w:rPr>
        <w:rFonts w:ascii="Arial" w:hAnsi="Arial" w:hint="default"/>
      </w:rPr>
    </w:lvl>
    <w:lvl w:ilvl="6" w:tplc="2BA0081E" w:tentative="1">
      <w:start w:val="1"/>
      <w:numFmt w:val="bullet"/>
      <w:lvlText w:val="•"/>
      <w:lvlJc w:val="left"/>
      <w:pPr>
        <w:tabs>
          <w:tab w:val="num" w:pos="5040"/>
        </w:tabs>
        <w:ind w:left="5040" w:hanging="360"/>
      </w:pPr>
      <w:rPr>
        <w:rFonts w:ascii="Arial" w:hAnsi="Arial" w:hint="default"/>
      </w:rPr>
    </w:lvl>
    <w:lvl w:ilvl="7" w:tplc="CB68F40E" w:tentative="1">
      <w:start w:val="1"/>
      <w:numFmt w:val="bullet"/>
      <w:lvlText w:val="•"/>
      <w:lvlJc w:val="left"/>
      <w:pPr>
        <w:tabs>
          <w:tab w:val="num" w:pos="5760"/>
        </w:tabs>
        <w:ind w:left="5760" w:hanging="360"/>
      </w:pPr>
      <w:rPr>
        <w:rFonts w:ascii="Arial" w:hAnsi="Arial" w:hint="default"/>
      </w:rPr>
    </w:lvl>
    <w:lvl w:ilvl="8" w:tplc="3CD06F7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7555F0"/>
    <w:multiLevelType w:val="hybridMultilevel"/>
    <w:tmpl w:val="7DD258E8"/>
    <w:lvl w:ilvl="0" w:tplc="0409000F">
      <w:start w:val="1"/>
      <w:numFmt w:val="decimal"/>
      <w:pStyle w:val="Reco"/>
      <w:lvlText w:val="%1."/>
      <w:lvlJc w:val="left"/>
      <w:pPr>
        <w:ind w:left="360" w:hanging="360"/>
      </w:pPr>
    </w:lvl>
    <w:lvl w:ilvl="1" w:tplc="04090019">
      <w:start w:val="1"/>
      <w:numFmt w:val="lowerLetter"/>
      <w:lvlText w:val="%2."/>
      <w:lvlJc w:val="left"/>
      <w:pPr>
        <w:ind w:left="726" w:hanging="360"/>
      </w:pPr>
    </w:lvl>
    <w:lvl w:ilvl="2" w:tplc="0409001B">
      <w:start w:val="1"/>
      <w:numFmt w:val="lowerRoman"/>
      <w:lvlText w:val="%3."/>
      <w:lvlJc w:val="right"/>
      <w:pPr>
        <w:ind w:left="1446" w:hanging="180"/>
      </w:pPr>
    </w:lvl>
    <w:lvl w:ilvl="3" w:tplc="0409000F">
      <w:start w:val="1"/>
      <w:numFmt w:val="decimal"/>
      <w:lvlText w:val="%4."/>
      <w:lvlJc w:val="left"/>
      <w:pPr>
        <w:ind w:left="2166" w:hanging="360"/>
      </w:pPr>
    </w:lvl>
    <w:lvl w:ilvl="4" w:tplc="04090019">
      <w:start w:val="1"/>
      <w:numFmt w:val="lowerLetter"/>
      <w:lvlText w:val="%5."/>
      <w:lvlJc w:val="left"/>
      <w:pPr>
        <w:ind w:left="2886" w:hanging="360"/>
      </w:pPr>
    </w:lvl>
    <w:lvl w:ilvl="5" w:tplc="0409001B">
      <w:start w:val="1"/>
      <w:numFmt w:val="lowerRoman"/>
      <w:lvlText w:val="%6."/>
      <w:lvlJc w:val="right"/>
      <w:pPr>
        <w:ind w:left="3606" w:hanging="180"/>
      </w:pPr>
    </w:lvl>
    <w:lvl w:ilvl="6" w:tplc="0409000F">
      <w:start w:val="1"/>
      <w:numFmt w:val="decimal"/>
      <w:lvlText w:val="%7."/>
      <w:lvlJc w:val="left"/>
      <w:pPr>
        <w:ind w:left="4326" w:hanging="360"/>
      </w:pPr>
    </w:lvl>
    <w:lvl w:ilvl="7" w:tplc="04090019">
      <w:start w:val="1"/>
      <w:numFmt w:val="lowerLetter"/>
      <w:lvlText w:val="%8."/>
      <w:lvlJc w:val="left"/>
      <w:pPr>
        <w:ind w:left="5046" w:hanging="360"/>
      </w:pPr>
    </w:lvl>
    <w:lvl w:ilvl="8" w:tplc="0409001B">
      <w:start w:val="1"/>
      <w:numFmt w:val="lowerRoman"/>
      <w:lvlText w:val="%9."/>
      <w:lvlJc w:val="right"/>
      <w:pPr>
        <w:ind w:left="5766" w:hanging="180"/>
      </w:pPr>
    </w:lvl>
  </w:abstractNum>
  <w:abstractNum w:abstractNumId="2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1"/>
  </w:num>
  <w:num w:numId="3">
    <w:abstractNumId w:val="17"/>
  </w:num>
  <w:num w:numId="4">
    <w:abstractNumId w:val="2"/>
  </w:num>
  <w:num w:numId="5">
    <w:abstractNumId w:val="24"/>
  </w:num>
  <w:num w:numId="6">
    <w:abstractNumId w:val="20"/>
  </w:num>
  <w:num w:numId="7">
    <w:abstractNumId w:val="7"/>
  </w:num>
  <w:num w:numId="8">
    <w:abstractNumId w:val="18"/>
  </w:num>
  <w:num w:numId="9">
    <w:abstractNumId w:val="6"/>
  </w:num>
  <w:num w:numId="10">
    <w:abstractNumId w:val="5"/>
  </w:num>
  <w:num w:numId="11">
    <w:abstractNumId w:val="10"/>
  </w:num>
  <w:num w:numId="12">
    <w:abstractNumId w:val="12"/>
  </w:num>
  <w:num w:numId="13">
    <w:abstractNumId w:val="3"/>
  </w:num>
  <w:num w:numId="14">
    <w:abstractNumId w:val="21"/>
  </w:num>
  <w:num w:numId="15">
    <w:abstractNumId w:val="27"/>
  </w:num>
  <w:num w:numId="16">
    <w:abstractNumId w:val="16"/>
  </w:num>
  <w:num w:numId="17">
    <w:abstractNumId w:val="28"/>
  </w:num>
  <w:num w:numId="18">
    <w:abstractNumId w:val="22"/>
  </w:num>
  <w:num w:numId="19">
    <w:abstractNumId w:val="9"/>
  </w:num>
  <w:num w:numId="20">
    <w:abstractNumId w:val="11"/>
  </w:num>
  <w:num w:numId="21">
    <w:abstractNumId w:val="15"/>
  </w:num>
  <w:num w:numId="22">
    <w:abstractNumId w:val="25"/>
  </w:num>
  <w:num w:numId="23">
    <w:abstractNumId w:val="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 w:numId="27">
    <w:abstractNumId w:val="19"/>
  </w:num>
  <w:num w:numId="28">
    <w:abstractNumId w:val="4"/>
  </w:num>
  <w:num w:numId="29">
    <w:abstractNumId w:val="0"/>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9C6940"/>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5DA"/>
    <w:rsid w:val="000F060A"/>
    <w:rsid w:val="000F420B"/>
    <w:rsid w:val="00110116"/>
    <w:rsid w:val="00114C25"/>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03312"/>
    <w:rsid w:val="002135AB"/>
    <w:rsid w:val="002144BE"/>
    <w:rsid w:val="00242279"/>
    <w:rsid w:val="00243997"/>
    <w:rsid w:val="0024516C"/>
    <w:rsid w:val="00245C82"/>
    <w:rsid w:val="002724BA"/>
    <w:rsid w:val="00291B40"/>
    <w:rsid w:val="002B4008"/>
    <w:rsid w:val="002C439F"/>
    <w:rsid w:val="002D0C42"/>
    <w:rsid w:val="002D0E8E"/>
    <w:rsid w:val="002F6F8F"/>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09BC"/>
    <w:rsid w:val="003B23C2"/>
    <w:rsid w:val="003C38B5"/>
    <w:rsid w:val="003C5D99"/>
    <w:rsid w:val="003D1087"/>
    <w:rsid w:val="003E2F59"/>
    <w:rsid w:val="003E746B"/>
    <w:rsid w:val="003F0789"/>
    <w:rsid w:val="003F33B3"/>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B43AE"/>
    <w:rsid w:val="004C30ED"/>
    <w:rsid w:val="004D5675"/>
    <w:rsid w:val="004E2ABA"/>
    <w:rsid w:val="00517795"/>
    <w:rsid w:val="00523639"/>
    <w:rsid w:val="00531FE5"/>
    <w:rsid w:val="00536C2C"/>
    <w:rsid w:val="005402FA"/>
    <w:rsid w:val="005729BD"/>
    <w:rsid w:val="00580154"/>
    <w:rsid w:val="00583C39"/>
    <w:rsid w:val="00586A90"/>
    <w:rsid w:val="00587F28"/>
    <w:rsid w:val="005909CF"/>
    <w:rsid w:val="00591E71"/>
    <w:rsid w:val="005A0D41"/>
    <w:rsid w:val="005B2660"/>
    <w:rsid w:val="005D329F"/>
    <w:rsid w:val="005F48ED"/>
    <w:rsid w:val="00606E78"/>
    <w:rsid w:val="00607BF1"/>
    <w:rsid w:val="0062370A"/>
    <w:rsid w:val="00630D4D"/>
    <w:rsid w:val="00632A74"/>
    <w:rsid w:val="00654D42"/>
    <w:rsid w:val="00666E02"/>
    <w:rsid w:val="006A4655"/>
    <w:rsid w:val="006B2B3C"/>
    <w:rsid w:val="006C1D81"/>
    <w:rsid w:val="006C7038"/>
    <w:rsid w:val="006E73EF"/>
    <w:rsid w:val="007079C9"/>
    <w:rsid w:val="00714D4D"/>
    <w:rsid w:val="007266D3"/>
    <w:rsid w:val="00732029"/>
    <w:rsid w:val="007604BB"/>
    <w:rsid w:val="00772909"/>
    <w:rsid w:val="00785232"/>
    <w:rsid w:val="0079701E"/>
    <w:rsid w:val="007A21EB"/>
    <w:rsid w:val="007B1A93"/>
    <w:rsid w:val="007B69E1"/>
    <w:rsid w:val="007C36C9"/>
    <w:rsid w:val="007D6401"/>
    <w:rsid w:val="007E01E4"/>
    <w:rsid w:val="007E7A12"/>
    <w:rsid w:val="007F7107"/>
    <w:rsid w:val="00800D4C"/>
    <w:rsid w:val="0081030F"/>
    <w:rsid w:val="00812F4A"/>
    <w:rsid w:val="0082087D"/>
    <w:rsid w:val="00835771"/>
    <w:rsid w:val="00842933"/>
    <w:rsid w:val="0085206F"/>
    <w:rsid w:val="0086082C"/>
    <w:rsid w:val="00864ADC"/>
    <w:rsid w:val="00880153"/>
    <w:rsid w:val="00880F97"/>
    <w:rsid w:val="0088133A"/>
    <w:rsid w:val="0089285E"/>
    <w:rsid w:val="0089436C"/>
    <w:rsid w:val="008D365C"/>
    <w:rsid w:val="008D7622"/>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A5171"/>
    <w:rsid w:val="009C4D6F"/>
    <w:rsid w:val="009C6940"/>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B0E42"/>
    <w:rsid w:val="00AC3A15"/>
    <w:rsid w:val="00AD520B"/>
    <w:rsid w:val="00AE3BCC"/>
    <w:rsid w:val="00B425C3"/>
    <w:rsid w:val="00B440AD"/>
    <w:rsid w:val="00B479BB"/>
    <w:rsid w:val="00B53E7E"/>
    <w:rsid w:val="00B6342E"/>
    <w:rsid w:val="00B7113F"/>
    <w:rsid w:val="00BA2BCF"/>
    <w:rsid w:val="00BA5B14"/>
    <w:rsid w:val="00BA73B6"/>
    <w:rsid w:val="00BA7E27"/>
    <w:rsid w:val="00BB2603"/>
    <w:rsid w:val="00BB4FCD"/>
    <w:rsid w:val="00BC04E9"/>
    <w:rsid w:val="00BD13EA"/>
    <w:rsid w:val="00BE3808"/>
    <w:rsid w:val="00C03B88"/>
    <w:rsid w:val="00C062E9"/>
    <w:rsid w:val="00C07B64"/>
    <w:rsid w:val="00C13721"/>
    <w:rsid w:val="00C14FE4"/>
    <w:rsid w:val="00C3066D"/>
    <w:rsid w:val="00C51ED4"/>
    <w:rsid w:val="00C52416"/>
    <w:rsid w:val="00C543F4"/>
    <w:rsid w:val="00C6291C"/>
    <w:rsid w:val="00C633CB"/>
    <w:rsid w:val="00C664CD"/>
    <w:rsid w:val="00C736B7"/>
    <w:rsid w:val="00C81D4A"/>
    <w:rsid w:val="00C8762C"/>
    <w:rsid w:val="00CA00F9"/>
    <w:rsid w:val="00CA2961"/>
    <w:rsid w:val="00CA3DF7"/>
    <w:rsid w:val="00CB50D7"/>
    <w:rsid w:val="00CB7177"/>
    <w:rsid w:val="00CB7CED"/>
    <w:rsid w:val="00CC070F"/>
    <w:rsid w:val="00CC1998"/>
    <w:rsid w:val="00CC4946"/>
    <w:rsid w:val="00CC64A1"/>
    <w:rsid w:val="00CF3B11"/>
    <w:rsid w:val="00D270A4"/>
    <w:rsid w:val="00D31FE9"/>
    <w:rsid w:val="00D32390"/>
    <w:rsid w:val="00D34E1B"/>
    <w:rsid w:val="00D376BA"/>
    <w:rsid w:val="00D434A0"/>
    <w:rsid w:val="00D45634"/>
    <w:rsid w:val="00D5568A"/>
    <w:rsid w:val="00D63D73"/>
    <w:rsid w:val="00D64452"/>
    <w:rsid w:val="00D66E1E"/>
    <w:rsid w:val="00D70696"/>
    <w:rsid w:val="00D75722"/>
    <w:rsid w:val="00D80CF5"/>
    <w:rsid w:val="00DA5BBA"/>
    <w:rsid w:val="00DB26D2"/>
    <w:rsid w:val="00DB67C9"/>
    <w:rsid w:val="00DC0C95"/>
    <w:rsid w:val="00DC1389"/>
    <w:rsid w:val="00DC4F0B"/>
    <w:rsid w:val="00DD6580"/>
    <w:rsid w:val="00E01D7F"/>
    <w:rsid w:val="00E05C03"/>
    <w:rsid w:val="00E17C72"/>
    <w:rsid w:val="00E21FC6"/>
    <w:rsid w:val="00E431A9"/>
    <w:rsid w:val="00E555DF"/>
    <w:rsid w:val="00E669E2"/>
    <w:rsid w:val="00E76135"/>
    <w:rsid w:val="00E82F4F"/>
    <w:rsid w:val="00E864DF"/>
    <w:rsid w:val="00E9018C"/>
    <w:rsid w:val="00EB2CC3"/>
    <w:rsid w:val="00EC2844"/>
    <w:rsid w:val="00EC5500"/>
    <w:rsid w:val="00ED18F8"/>
    <w:rsid w:val="00EE05B6"/>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22B1"/>
    <w:rsid w:val="00FD3172"/>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CED6EB"/>
  <w15:docId w15:val="{6DED4D9A-D45C-4030-A35A-099AF0E2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qFormat/>
    <w:rsid w:val="00A17328"/>
    <w:pPr>
      <w:spacing w:after="60"/>
      <w:jc w:val="left"/>
      <w:outlineLvl w:val="5"/>
    </w:pPr>
    <w:rPr>
      <w:i/>
      <w:sz w:val="22"/>
    </w:rPr>
  </w:style>
  <w:style w:type="paragraph" w:styleId="Heading7">
    <w:name w:val="heading 7"/>
    <w:basedOn w:val="BodyText"/>
    <w:next w:val="BodyText"/>
    <w:link w:val="Heading7Char"/>
    <w:semiHidden/>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uiPriority w:val="99"/>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Footnotes refss,Footnote number,Footnote,[0]"/>
    <w:basedOn w:val="DefaultParagraphFont"/>
    <w:uiPriority w:val="99"/>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9C6940"/>
    <w:rPr>
      <w:rFonts w:ascii="Arial" w:hAnsi="Arial"/>
      <w:b/>
      <w:sz w:val="18"/>
    </w:rPr>
  </w:style>
  <w:style w:type="character" w:styleId="Hyperlink">
    <w:name w:val="Hyperlink"/>
    <w:basedOn w:val="DefaultParagraphFont"/>
    <w:unhideWhenUsed/>
    <w:rsid w:val="009C6940"/>
    <w:rPr>
      <w:color w:val="000000" w:themeColor="hyperlink"/>
      <w:u w:val="single"/>
    </w:rPr>
  </w:style>
  <w:style w:type="paragraph" w:customStyle="1" w:styleId="Default">
    <w:name w:val="Default"/>
    <w:rsid w:val="009C6940"/>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C6940"/>
    <w:rPr>
      <w:color w:val="605E5C"/>
      <w:shd w:val="clear" w:color="auto" w:fill="E1DFDD"/>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9C6940"/>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6940"/>
    <w:pPr>
      <w:spacing w:before="100" w:beforeAutospacing="1" w:after="100" w:afterAutospacing="1"/>
    </w:pPr>
    <w:rPr>
      <w:lang w:eastAsia="en-US" w:bidi="he-IL"/>
    </w:rPr>
  </w:style>
  <w:style w:type="paragraph" w:customStyle="1" w:styleId="p">
    <w:name w:val="p"/>
    <w:basedOn w:val="Normal"/>
    <w:rsid w:val="009C6940"/>
    <w:pPr>
      <w:spacing w:before="100" w:beforeAutospacing="1" w:after="100" w:afterAutospacing="1"/>
    </w:pPr>
    <w:rPr>
      <w:lang w:eastAsia="en-US" w:bidi="he-IL"/>
    </w:rPr>
  </w:style>
  <w:style w:type="character" w:customStyle="1" w:styleId="sp">
    <w:name w:val="sp"/>
    <w:basedOn w:val="DefaultParagraphFont"/>
    <w:rsid w:val="009C6940"/>
  </w:style>
  <w:style w:type="character" w:styleId="FollowedHyperlink">
    <w:name w:val="FollowedHyperlink"/>
    <w:basedOn w:val="DefaultParagraphFont"/>
    <w:semiHidden/>
    <w:unhideWhenUsed/>
    <w:rsid w:val="009C6940"/>
    <w:rPr>
      <w:color w:val="BFBFBF" w:themeColor="followedHyperlink"/>
      <w:u w:val="single"/>
    </w:rPr>
  </w:style>
  <w:style w:type="paragraph" w:customStyle="1" w:styleId="Pa20">
    <w:name w:val="Pa20"/>
    <w:basedOn w:val="Default"/>
    <w:next w:val="Default"/>
    <w:uiPriority w:val="99"/>
    <w:rsid w:val="009C6940"/>
    <w:pPr>
      <w:spacing w:line="181" w:lineRule="atLeast"/>
    </w:pPr>
    <w:rPr>
      <w:rFonts w:ascii="HelveticaNeueLT Com 55 Roman" w:hAnsi="HelveticaNeueLT Com 55 Roman" w:cs="Times New Roman"/>
      <w:color w:val="auto"/>
    </w:rPr>
  </w:style>
  <w:style w:type="character" w:customStyle="1" w:styleId="UnresolvedMention2">
    <w:name w:val="Unresolved Mention2"/>
    <w:basedOn w:val="DefaultParagraphFont"/>
    <w:uiPriority w:val="99"/>
    <w:semiHidden/>
    <w:unhideWhenUsed/>
    <w:rsid w:val="009C6940"/>
    <w:rPr>
      <w:color w:val="605E5C"/>
      <w:shd w:val="clear" w:color="auto" w:fill="E1DFDD"/>
    </w:rPr>
  </w:style>
  <w:style w:type="character" w:customStyle="1" w:styleId="apple-converted-space">
    <w:name w:val="apple-converted-space"/>
    <w:basedOn w:val="DefaultParagraphFont"/>
    <w:rsid w:val="009C6940"/>
  </w:style>
  <w:style w:type="paragraph" w:customStyle="1" w:styleId="BoxSpaceAboveElement">
    <w:name w:val="Box Space Above Element"/>
    <w:basedOn w:val="BoxSpaceAbove"/>
    <w:link w:val="BoxSpaceAboveElementChar"/>
    <w:qFormat/>
    <w:rsid w:val="009C6940"/>
    <w:pPr>
      <w:spacing w:before="240"/>
    </w:pPr>
    <w:rPr>
      <w:b/>
      <w:vanish/>
      <w:color w:val="FF00FF"/>
      <w:sz w:val="14"/>
    </w:rPr>
  </w:style>
  <w:style w:type="character" w:customStyle="1" w:styleId="BoxSpaceAboveElementChar">
    <w:name w:val="Box Space Above Element Char"/>
    <w:basedOn w:val="DefaultParagraphFont"/>
    <w:link w:val="BoxSpaceAboveElement"/>
    <w:rsid w:val="009C6940"/>
    <w:rPr>
      <w:b/>
      <w:vanish/>
      <w:color w:val="FF00FF"/>
      <w:sz w:val="14"/>
    </w:rPr>
  </w:style>
  <w:style w:type="paragraph" w:styleId="CommentSubject">
    <w:name w:val="annotation subject"/>
    <w:basedOn w:val="CommentText"/>
    <w:next w:val="CommentText"/>
    <w:link w:val="CommentSubjectChar"/>
    <w:semiHidden/>
    <w:unhideWhenUsed/>
    <w:rsid w:val="009C6940"/>
    <w:pPr>
      <w:spacing w:before="0" w:line="240" w:lineRule="auto"/>
      <w:ind w:left="0" w:firstLine="0"/>
    </w:pPr>
    <w:rPr>
      <w:b/>
      <w:bCs/>
      <w:szCs w:val="20"/>
      <w:lang w:eastAsia="en-US" w:bidi="he-IL"/>
    </w:rPr>
  </w:style>
  <w:style w:type="character" w:customStyle="1" w:styleId="CommentTextChar">
    <w:name w:val="Comment Text Char"/>
    <w:basedOn w:val="DefaultParagraphFont"/>
    <w:link w:val="CommentText"/>
    <w:rsid w:val="009C6940"/>
    <w:rPr>
      <w:szCs w:val="24"/>
    </w:rPr>
  </w:style>
  <w:style w:type="character" w:customStyle="1" w:styleId="CommentSubjectChar">
    <w:name w:val="Comment Subject Char"/>
    <w:basedOn w:val="CommentTextChar"/>
    <w:link w:val="CommentSubject"/>
    <w:semiHidden/>
    <w:rsid w:val="009C6940"/>
    <w:rPr>
      <w:b/>
      <w:bCs/>
      <w:szCs w:val="24"/>
      <w:lang w:eastAsia="en-US" w:bidi="he-IL"/>
    </w:rPr>
  </w:style>
  <w:style w:type="paragraph" w:styleId="Revision">
    <w:name w:val="Revision"/>
    <w:hidden/>
    <w:uiPriority w:val="99"/>
    <w:semiHidden/>
    <w:rsid w:val="009C6940"/>
    <w:rPr>
      <w:sz w:val="24"/>
      <w:szCs w:val="24"/>
      <w:lang w:eastAsia="en-US" w:bidi="he-IL"/>
    </w:rPr>
  </w:style>
  <w:style w:type="character" w:customStyle="1" w:styleId="UnresolvedMention3">
    <w:name w:val="Unresolved Mention3"/>
    <w:basedOn w:val="DefaultParagraphFont"/>
    <w:uiPriority w:val="99"/>
    <w:semiHidden/>
    <w:unhideWhenUsed/>
    <w:rsid w:val="009C6940"/>
    <w:rPr>
      <w:color w:val="605E5C"/>
      <w:shd w:val="clear" w:color="auto" w:fill="E1DFDD"/>
    </w:rPr>
  </w:style>
  <w:style w:type="character" w:customStyle="1" w:styleId="st1">
    <w:name w:val="st1"/>
    <w:basedOn w:val="DefaultParagraphFont"/>
    <w:rsid w:val="009C6940"/>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qFormat/>
    <w:locked/>
    <w:rsid w:val="009C6940"/>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9C6940"/>
    <w:rPr>
      <w:lang w:eastAsia="en-US" w:bidi="he-IL"/>
    </w:rPr>
  </w:style>
  <w:style w:type="paragraph" w:styleId="PlainText">
    <w:name w:val="Plain Text"/>
    <w:basedOn w:val="Normal"/>
    <w:link w:val="PlainTextChar"/>
    <w:uiPriority w:val="99"/>
    <w:unhideWhenUsed/>
    <w:rsid w:val="009C694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C6940"/>
    <w:rPr>
      <w:rFonts w:ascii="Calibri" w:eastAsiaTheme="minorHAnsi" w:hAnsi="Calibri" w:cstheme="minorBidi"/>
      <w:sz w:val="22"/>
      <w:szCs w:val="21"/>
      <w:lang w:eastAsia="en-US"/>
    </w:rPr>
  </w:style>
  <w:style w:type="character" w:styleId="EndnoteReference">
    <w:name w:val="endnote reference"/>
    <w:basedOn w:val="DefaultParagraphFont"/>
    <w:semiHidden/>
    <w:unhideWhenUsed/>
    <w:rsid w:val="009C6940"/>
    <w:rPr>
      <w:vertAlign w:val="superscript"/>
    </w:rPr>
  </w:style>
  <w:style w:type="character" w:customStyle="1" w:styleId="UnresolvedMention21">
    <w:name w:val="Unresolved Mention21"/>
    <w:basedOn w:val="DefaultParagraphFont"/>
    <w:uiPriority w:val="99"/>
    <w:semiHidden/>
    <w:unhideWhenUsed/>
    <w:rsid w:val="009C6940"/>
    <w:rPr>
      <w:color w:val="605E5C"/>
      <w:shd w:val="clear" w:color="auto" w:fill="E1DFDD"/>
    </w:rPr>
  </w:style>
  <w:style w:type="character" w:customStyle="1" w:styleId="QuoteChar">
    <w:name w:val="Quote Char"/>
    <w:basedOn w:val="DefaultParagraphFont"/>
    <w:link w:val="Quote"/>
    <w:rsid w:val="009C6940"/>
    <w:rPr>
      <w:sz w:val="22"/>
    </w:rPr>
  </w:style>
  <w:style w:type="character" w:customStyle="1" w:styleId="lexicon-term">
    <w:name w:val="lexicon-term"/>
    <w:basedOn w:val="DefaultParagraphFont"/>
    <w:rsid w:val="009C6940"/>
    <w:rPr>
      <w:strike w:val="0"/>
      <w:dstrike w:val="0"/>
      <w:u w:val="none"/>
      <w:effect w:val="none"/>
    </w:rPr>
  </w:style>
  <w:style w:type="character" w:styleId="Strong">
    <w:name w:val="Strong"/>
    <w:basedOn w:val="DefaultParagraphFont"/>
    <w:uiPriority w:val="22"/>
    <w:qFormat/>
    <w:rsid w:val="009C6940"/>
    <w:rPr>
      <w:b/>
      <w:bCs/>
    </w:rPr>
  </w:style>
  <w:style w:type="paragraph" w:customStyle="1" w:styleId="p2">
    <w:name w:val="p2"/>
    <w:basedOn w:val="Normal"/>
    <w:rsid w:val="009C6940"/>
    <w:pPr>
      <w:spacing w:before="100" w:beforeAutospacing="1" w:after="100" w:afterAutospacing="1"/>
    </w:pPr>
  </w:style>
  <w:style w:type="character" w:customStyle="1" w:styleId="s1">
    <w:name w:val="s1"/>
    <w:basedOn w:val="DefaultParagraphFont"/>
    <w:rsid w:val="009C6940"/>
  </w:style>
  <w:style w:type="paragraph" w:styleId="EndnoteText">
    <w:name w:val="endnote text"/>
    <w:basedOn w:val="Normal"/>
    <w:link w:val="EndnoteTextChar"/>
    <w:unhideWhenUsed/>
    <w:rsid w:val="009C6940"/>
    <w:rPr>
      <w:sz w:val="20"/>
      <w:szCs w:val="20"/>
    </w:rPr>
  </w:style>
  <w:style w:type="character" w:customStyle="1" w:styleId="EndnoteTextChar">
    <w:name w:val="Endnote Text Char"/>
    <w:basedOn w:val="DefaultParagraphFont"/>
    <w:link w:val="EndnoteText"/>
    <w:rsid w:val="009C6940"/>
  </w:style>
  <w:style w:type="character" w:customStyle="1" w:styleId="Heading2Char">
    <w:name w:val="Heading 2 Char"/>
    <w:basedOn w:val="DefaultParagraphFont"/>
    <w:link w:val="Heading2"/>
    <w:rsid w:val="009C6940"/>
    <w:rPr>
      <w:rFonts w:ascii="Arial" w:hAnsi="Arial"/>
      <w:b/>
      <w:sz w:val="32"/>
    </w:rPr>
  </w:style>
  <w:style w:type="character" w:customStyle="1" w:styleId="Heading4Char">
    <w:name w:val="Heading 4 Char"/>
    <w:basedOn w:val="DefaultParagraphFont"/>
    <w:link w:val="Heading4"/>
    <w:rsid w:val="009C6940"/>
    <w:rPr>
      <w:rFonts w:ascii="Arial" w:hAnsi="Arial"/>
      <w:sz w:val="24"/>
    </w:rPr>
  </w:style>
  <w:style w:type="character" w:customStyle="1" w:styleId="FootnoteTextChar">
    <w:name w:val="Footnote Text Char"/>
    <w:basedOn w:val="DefaultParagraphFont"/>
    <w:link w:val="FootnoteText"/>
    <w:uiPriority w:val="99"/>
    <w:rsid w:val="009C6940"/>
  </w:style>
  <w:style w:type="character" w:customStyle="1" w:styleId="Heading3Char">
    <w:name w:val="Heading 3 Char"/>
    <w:basedOn w:val="DefaultParagraphFont"/>
    <w:link w:val="Heading3"/>
    <w:uiPriority w:val="9"/>
    <w:rsid w:val="009C6940"/>
    <w:rPr>
      <w:rFonts w:ascii="Arial" w:hAnsi="Arial"/>
      <w:b/>
      <w:sz w:val="26"/>
    </w:rPr>
  </w:style>
  <w:style w:type="character" w:customStyle="1" w:styleId="match">
    <w:name w:val="match"/>
    <w:basedOn w:val="DefaultParagraphFont"/>
    <w:rsid w:val="009C6940"/>
  </w:style>
  <w:style w:type="paragraph" w:customStyle="1" w:styleId="std">
    <w:name w:val="std"/>
    <w:basedOn w:val="Normal"/>
    <w:rsid w:val="009C6940"/>
  </w:style>
  <w:style w:type="paragraph" w:customStyle="1" w:styleId="Link">
    <w:name w:val="Link"/>
    <w:basedOn w:val="BodyText"/>
    <w:rsid w:val="009C6940"/>
  </w:style>
  <w:style w:type="paragraph" w:customStyle="1" w:styleId="Lsit">
    <w:name w:val="Lsit]"/>
    <w:basedOn w:val="BodyText"/>
    <w:rsid w:val="009C6940"/>
  </w:style>
  <w:style w:type="character" w:customStyle="1" w:styleId="highlight">
    <w:name w:val="highlight"/>
    <w:basedOn w:val="DefaultParagraphFont"/>
    <w:rsid w:val="009C6940"/>
  </w:style>
  <w:style w:type="paragraph" w:customStyle="1" w:styleId="Quo">
    <w:name w:val="Quo'"/>
    <w:basedOn w:val="BodyText"/>
    <w:rsid w:val="009C6940"/>
  </w:style>
  <w:style w:type="character" w:customStyle="1" w:styleId="Heading1Char">
    <w:name w:val="Heading 1 Char"/>
    <w:basedOn w:val="DefaultParagraphFont"/>
    <w:link w:val="Heading1"/>
    <w:rsid w:val="009C6940"/>
    <w:rPr>
      <w:sz w:val="52"/>
    </w:rPr>
  </w:style>
  <w:style w:type="paragraph" w:customStyle="1" w:styleId="Heading1NotTOC">
    <w:name w:val="Heading 1 Not TOC"/>
    <w:basedOn w:val="Heading1"/>
    <w:next w:val="BodyText"/>
    <w:rsid w:val="009C6940"/>
    <w:rPr>
      <w:kern w:val="28"/>
      <w:szCs w:val="26"/>
      <w:lang w:eastAsia="en-US"/>
    </w:rPr>
  </w:style>
  <w:style w:type="paragraph" w:styleId="TOCHeading">
    <w:name w:val="TOC Heading"/>
    <w:basedOn w:val="Heading1"/>
    <w:next w:val="Normal"/>
    <w:uiPriority w:val="39"/>
    <w:unhideWhenUsed/>
    <w:qFormat/>
    <w:rsid w:val="009C6940"/>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PlaceholderText">
    <w:name w:val="Placeholder Text"/>
    <w:basedOn w:val="DefaultParagraphFont"/>
    <w:uiPriority w:val="99"/>
    <w:semiHidden/>
    <w:rsid w:val="009C6940"/>
    <w:rPr>
      <w:color w:val="808080"/>
    </w:rPr>
  </w:style>
  <w:style w:type="table" w:styleId="PlainTable5">
    <w:name w:val="Plain Table 5"/>
    <w:basedOn w:val="TableNormal"/>
    <w:uiPriority w:val="45"/>
    <w:rsid w:val="009C69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1">
    <w:name w:val="Comment Text Char1"/>
    <w:basedOn w:val="DefaultParagraphFont"/>
    <w:uiPriority w:val="99"/>
    <w:semiHidden/>
    <w:rsid w:val="009C6940"/>
    <w:rPr>
      <w:szCs w:val="24"/>
    </w:rPr>
  </w:style>
  <w:style w:type="paragraph" w:customStyle="1" w:styleId="Botelab">
    <w:name w:val="Bote lab"/>
    <w:basedOn w:val="FigureTitle"/>
    <w:rsid w:val="009C6940"/>
  </w:style>
  <w:style w:type="paragraph" w:customStyle="1" w:styleId="Bullter">
    <w:name w:val="Bullter"/>
    <w:basedOn w:val="BodyText"/>
    <w:rsid w:val="009C6940"/>
  </w:style>
  <w:style w:type="paragraph" w:customStyle="1" w:styleId="Likst">
    <w:name w:val="Likst"/>
    <w:basedOn w:val="BodyText"/>
    <w:rsid w:val="009C6940"/>
    <w:pPr>
      <w:tabs>
        <w:tab w:val="num" w:pos="340"/>
      </w:tabs>
      <w:ind w:left="340" w:hanging="340"/>
    </w:pPr>
  </w:style>
  <w:style w:type="paragraph" w:customStyle="1" w:styleId="Noptel">
    <w:name w:val="Nopte l"/>
    <w:basedOn w:val="TableColumnHeading"/>
    <w:rsid w:val="009C6940"/>
  </w:style>
  <w:style w:type="paragraph" w:customStyle="1" w:styleId="Tablerowheading">
    <w:name w:val="Table row heading"/>
    <w:basedOn w:val="FigureTitle"/>
    <w:rsid w:val="009C6940"/>
    <w:rPr>
      <w:b w:val="0"/>
    </w:rPr>
  </w:style>
  <w:style w:type="paragraph" w:customStyle="1" w:styleId="Label">
    <w:name w:val="Label"/>
    <w:basedOn w:val="Source"/>
    <w:rsid w:val="009C6940"/>
    <w:rPr>
      <w:i/>
    </w:rPr>
  </w:style>
  <w:style w:type="character" w:customStyle="1" w:styleId="Heading6Char">
    <w:name w:val="Heading 6 Char"/>
    <w:basedOn w:val="DefaultParagraphFont"/>
    <w:link w:val="Heading6"/>
    <w:semiHidden/>
    <w:rsid w:val="009C6940"/>
    <w:rPr>
      <w:i/>
      <w:sz w:val="22"/>
    </w:rPr>
  </w:style>
  <w:style w:type="character" w:customStyle="1" w:styleId="Heading7Char">
    <w:name w:val="Heading 7 Char"/>
    <w:basedOn w:val="DefaultParagraphFont"/>
    <w:link w:val="Heading7"/>
    <w:semiHidden/>
    <w:rsid w:val="009C6940"/>
    <w:rPr>
      <w:rFonts w:ascii="Arial" w:hAnsi="Arial"/>
    </w:rPr>
  </w:style>
  <w:style w:type="character" w:customStyle="1" w:styleId="Heading8Char">
    <w:name w:val="Heading 8 Char"/>
    <w:basedOn w:val="DefaultParagraphFont"/>
    <w:link w:val="Heading8"/>
    <w:semiHidden/>
    <w:rsid w:val="009C6940"/>
    <w:rPr>
      <w:rFonts w:ascii="Arial" w:hAnsi="Arial"/>
      <w:i/>
    </w:rPr>
  </w:style>
  <w:style w:type="character" w:customStyle="1" w:styleId="Heading9Char">
    <w:name w:val="Heading 9 Char"/>
    <w:basedOn w:val="DefaultParagraphFont"/>
    <w:link w:val="Heading9"/>
    <w:semiHidden/>
    <w:rsid w:val="009C6940"/>
    <w:rPr>
      <w:rFonts w:ascii="Arial" w:hAnsi="Arial"/>
      <w:b/>
      <w:i/>
      <w:sz w:val="18"/>
    </w:rPr>
  </w:style>
  <w:style w:type="paragraph" w:styleId="TOC5">
    <w:name w:val="toc 5"/>
    <w:basedOn w:val="Normal"/>
    <w:next w:val="Normal"/>
    <w:autoRedefine/>
    <w:uiPriority w:val="39"/>
    <w:unhideWhenUsed/>
    <w:rsid w:val="009C6940"/>
    <w:pPr>
      <w:spacing w:after="100"/>
      <w:ind w:left="960"/>
    </w:pPr>
  </w:style>
  <w:style w:type="character" w:customStyle="1" w:styleId="HeaderChar">
    <w:name w:val="Header Char"/>
    <w:basedOn w:val="DefaultParagraphFont"/>
    <w:link w:val="Header"/>
    <w:rsid w:val="009C6940"/>
    <w:rPr>
      <w:rFonts w:ascii="Arial" w:hAnsi="Arial"/>
      <w:caps/>
      <w:sz w:val="24"/>
    </w:rPr>
  </w:style>
  <w:style w:type="character" w:customStyle="1" w:styleId="BoxChar">
    <w:name w:val="Box Char"/>
    <w:basedOn w:val="DefaultParagraphFont"/>
    <w:link w:val="Box"/>
    <w:locked/>
    <w:rsid w:val="009C6940"/>
    <w:rPr>
      <w:rFonts w:ascii="Arial" w:hAnsi="Arial"/>
    </w:rPr>
  </w:style>
  <w:style w:type="character" w:customStyle="1" w:styleId="BoxListBulletChar">
    <w:name w:val="Box List Bullet Char"/>
    <w:basedOn w:val="DefaultParagraphFont"/>
    <w:link w:val="BoxListBullet"/>
    <w:uiPriority w:val="99"/>
    <w:locked/>
    <w:rsid w:val="009C6940"/>
    <w:rPr>
      <w:rFonts w:ascii="Arial" w:hAnsi="Arial"/>
    </w:rPr>
  </w:style>
  <w:style w:type="paragraph" w:customStyle="1" w:styleId="Reclist">
    <w:name w:val="Rec list"/>
    <w:basedOn w:val="Rec"/>
    <w:rsid w:val="009C6940"/>
    <w:pPr>
      <w:keepNext/>
      <w:widowControl w:val="0"/>
      <w:tabs>
        <w:tab w:val="num" w:pos="340"/>
      </w:tabs>
      <w:adjustRightInd w:val="0"/>
      <w:ind w:left="340" w:hanging="340"/>
    </w:pPr>
  </w:style>
  <w:style w:type="paragraph" w:customStyle="1" w:styleId="Bodt">
    <w:name w:val="Bodt"/>
    <w:basedOn w:val="BoxSpaceAbove"/>
    <w:rsid w:val="009C6940"/>
    <w:pPr>
      <w:widowControl w:val="0"/>
      <w:tabs>
        <w:tab w:val="left" w:pos="7499"/>
      </w:tabs>
      <w:adjustRightInd w:val="0"/>
    </w:pPr>
  </w:style>
  <w:style w:type="paragraph" w:customStyle="1" w:styleId="Dash3">
    <w:name w:val="Dash 3"/>
    <w:basedOn w:val="Normal"/>
    <w:qFormat/>
    <w:rsid w:val="009C6940"/>
    <w:pPr>
      <w:widowControl w:val="0"/>
      <w:numPr>
        <w:numId w:val="23"/>
      </w:numPr>
      <w:adjustRightInd w:val="0"/>
      <w:spacing w:before="120" w:after="60" w:line="312" w:lineRule="auto"/>
      <w:ind w:right="142"/>
      <w:jc w:val="both"/>
    </w:pPr>
    <w:rPr>
      <w:rFonts w:ascii="Calibri" w:hAnsi="Calibri"/>
      <w:sz w:val="22"/>
      <w:szCs w:val="20"/>
      <w:lang w:val="en-US" w:eastAsia="en-US"/>
    </w:rPr>
  </w:style>
  <w:style w:type="paragraph" w:customStyle="1" w:styleId="Reco">
    <w:name w:val="Reco"/>
    <w:basedOn w:val="RecBullet"/>
    <w:rsid w:val="009C6940"/>
    <w:pPr>
      <w:numPr>
        <w:numId w:val="24"/>
      </w:numPr>
    </w:pPr>
  </w:style>
  <w:style w:type="paragraph" w:customStyle="1" w:styleId="Pa171">
    <w:name w:val="Pa17+1"/>
    <w:basedOn w:val="Normal"/>
    <w:next w:val="Normal"/>
    <w:uiPriority w:val="99"/>
    <w:rsid w:val="009C6940"/>
    <w:pPr>
      <w:autoSpaceDE w:val="0"/>
      <w:autoSpaceDN w:val="0"/>
      <w:adjustRightInd w:val="0"/>
      <w:spacing w:line="211" w:lineRule="atLeast"/>
    </w:pPr>
    <w:rPr>
      <w:rFonts w:ascii="Open Sans" w:hAnsi="Open Sans"/>
    </w:rPr>
  </w:style>
  <w:style w:type="paragraph" w:customStyle="1" w:styleId="Pa2">
    <w:name w:val="Pa2"/>
    <w:basedOn w:val="Normal"/>
    <w:next w:val="Normal"/>
    <w:uiPriority w:val="99"/>
    <w:rsid w:val="009C6940"/>
    <w:pPr>
      <w:autoSpaceDE w:val="0"/>
      <w:autoSpaceDN w:val="0"/>
      <w:adjustRightInd w:val="0"/>
      <w:spacing w:line="211" w:lineRule="atLeast"/>
    </w:pPr>
    <w:rPr>
      <w:rFonts w:ascii="Open Sans" w:hAnsi="Open Sans"/>
    </w:rPr>
  </w:style>
  <w:style w:type="paragraph" w:customStyle="1" w:styleId="xmsonormal">
    <w:name w:val="x_msonormal"/>
    <w:basedOn w:val="Normal"/>
    <w:rsid w:val="009C6940"/>
    <w:rPr>
      <w:rFonts w:eastAsiaTheme="minorHAnsi"/>
    </w:rPr>
  </w:style>
  <w:style w:type="paragraph" w:customStyle="1" w:styleId="BoxQuotenumber">
    <w:name w:val="Box Quote number"/>
    <w:basedOn w:val="BoxQuote"/>
    <w:rsid w:val="009C6940"/>
    <w:pPr>
      <w:ind w:left="567" w:hanging="283"/>
    </w:pPr>
  </w:style>
  <w:style w:type="character" w:customStyle="1" w:styleId="BulletsChar">
    <w:name w:val="Bullets Char"/>
    <w:basedOn w:val="DefaultParagraphFont"/>
    <w:link w:val="Bullets"/>
    <w:locked/>
    <w:rsid w:val="009C6940"/>
  </w:style>
  <w:style w:type="paragraph" w:customStyle="1" w:styleId="Bullets">
    <w:name w:val="Bullets"/>
    <w:basedOn w:val="Normal"/>
    <w:link w:val="BulletsChar"/>
    <w:rsid w:val="009C6940"/>
    <w:pPr>
      <w:numPr>
        <w:numId w:val="25"/>
      </w:numPr>
      <w:spacing w:after="120"/>
      <w:contextualSpacing/>
    </w:pPr>
    <w:rPr>
      <w:sz w:val="20"/>
      <w:szCs w:val="20"/>
    </w:rPr>
  </w:style>
  <w:style w:type="paragraph" w:customStyle="1" w:styleId="Notes">
    <w:name w:val="Notes"/>
    <w:basedOn w:val="TableColumnHeading"/>
    <w:rsid w:val="009C6940"/>
    <w:pPr>
      <w:jc w:val="left"/>
    </w:pPr>
  </w:style>
  <w:style w:type="character" w:customStyle="1" w:styleId="DHHSbodyChar">
    <w:name w:val="DHHS body Char"/>
    <w:basedOn w:val="DefaultParagraphFont"/>
    <w:link w:val="DHHSbody"/>
    <w:locked/>
    <w:rsid w:val="009C6940"/>
    <w:rPr>
      <w:rFonts w:ascii="Arial" w:eastAsia="Times" w:hAnsi="Arial" w:cs="Arial"/>
      <w:lang w:eastAsia="en-US"/>
    </w:rPr>
  </w:style>
  <w:style w:type="paragraph" w:customStyle="1" w:styleId="DHHSbody">
    <w:name w:val="DHHS body"/>
    <w:link w:val="DHHSbodyChar"/>
    <w:qFormat/>
    <w:rsid w:val="009C6940"/>
    <w:pPr>
      <w:spacing w:after="120" w:line="270" w:lineRule="atLeast"/>
    </w:pPr>
    <w:rPr>
      <w:rFonts w:ascii="Arial" w:eastAsia="Times" w:hAnsi="Arial" w:cs="Arial"/>
      <w:lang w:eastAsia="en-US"/>
    </w:rPr>
  </w:style>
  <w:style w:type="paragraph" w:customStyle="1" w:styleId="DHHSquotebullet1">
    <w:name w:val="DHHS quote bullet 1"/>
    <w:basedOn w:val="Normal"/>
    <w:rsid w:val="009C6940"/>
    <w:pPr>
      <w:numPr>
        <w:numId w:val="26"/>
      </w:numPr>
      <w:spacing w:after="120" w:line="270" w:lineRule="atLeast"/>
    </w:pPr>
    <w:rPr>
      <w:rFonts w:ascii="Arial" w:eastAsia="Times" w:hAnsi="Arial"/>
      <w:sz w:val="20"/>
      <w:szCs w:val="18"/>
      <w:lang w:eastAsia="en-US"/>
    </w:rPr>
  </w:style>
  <w:style w:type="paragraph" w:customStyle="1" w:styleId="DHHSquotebullet2">
    <w:name w:val="DHHS quote bullet 2"/>
    <w:basedOn w:val="Normal"/>
    <w:rsid w:val="009C6940"/>
    <w:pPr>
      <w:numPr>
        <w:ilvl w:val="1"/>
        <w:numId w:val="26"/>
      </w:numPr>
      <w:spacing w:after="120" w:line="270" w:lineRule="atLeast"/>
    </w:pPr>
    <w:rPr>
      <w:rFonts w:ascii="Arial" w:eastAsia="Times" w:hAnsi="Arial"/>
      <w:sz w:val="20"/>
      <w:szCs w:val="18"/>
      <w:lang w:eastAsia="en-US"/>
    </w:rPr>
  </w:style>
  <w:style w:type="paragraph" w:customStyle="1" w:styleId="DHHSbullet1">
    <w:name w:val="DHHS bullet 1"/>
    <w:basedOn w:val="DHHSbody"/>
    <w:qFormat/>
    <w:rsid w:val="009C6940"/>
    <w:pPr>
      <w:numPr>
        <w:numId w:val="27"/>
      </w:numPr>
      <w:tabs>
        <w:tab w:val="num" w:pos="360"/>
        <w:tab w:val="num" w:pos="720"/>
      </w:tabs>
      <w:spacing w:after="40"/>
      <w:ind w:left="360" w:hanging="360"/>
    </w:pPr>
  </w:style>
  <w:style w:type="paragraph" w:customStyle="1" w:styleId="DHHSbullet2">
    <w:name w:val="DHHS bullet 2"/>
    <w:basedOn w:val="DHHSbody"/>
    <w:uiPriority w:val="2"/>
    <w:qFormat/>
    <w:rsid w:val="009C6940"/>
    <w:pPr>
      <w:numPr>
        <w:ilvl w:val="1"/>
        <w:numId w:val="27"/>
      </w:numPr>
      <w:tabs>
        <w:tab w:val="num" w:pos="360"/>
        <w:tab w:val="num" w:pos="1440"/>
      </w:tabs>
      <w:spacing w:after="40"/>
      <w:ind w:left="726" w:hanging="360"/>
    </w:pPr>
  </w:style>
  <w:style w:type="paragraph" w:customStyle="1" w:styleId="Bul">
    <w:name w:val="Bul"/>
    <w:basedOn w:val="BodyText"/>
    <w:rsid w:val="009C6940"/>
  </w:style>
  <w:style w:type="paragraph" w:customStyle="1" w:styleId="Boxb">
    <w:name w:val="Box b"/>
    <w:basedOn w:val="Box"/>
    <w:rsid w:val="009C6940"/>
    <w:rPr>
      <w:rFonts w:cs="Arial"/>
    </w:rPr>
  </w:style>
  <w:style w:type="paragraph" w:customStyle="1" w:styleId="Boxbul">
    <w:name w:val="Box bul"/>
    <w:basedOn w:val="Boxb"/>
    <w:rsid w:val="009C6940"/>
  </w:style>
  <w:style w:type="character" w:customStyle="1" w:styleId="Style1Char">
    <w:name w:val="Style1 Char"/>
    <w:basedOn w:val="BodyTextChar"/>
    <w:link w:val="Style1"/>
    <w:locked/>
    <w:rsid w:val="009C6940"/>
    <w:rPr>
      <w:color w:val="8956A3" w:themeColor="accent6"/>
      <w:sz w:val="24"/>
    </w:rPr>
  </w:style>
  <w:style w:type="paragraph" w:customStyle="1" w:styleId="Style1">
    <w:name w:val="Style1"/>
    <w:basedOn w:val="BodyText"/>
    <w:link w:val="Style1Char"/>
    <w:qFormat/>
    <w:rsid w:val="009C6940"/>
    <w:rPr>
      <w:color w:val="8956A3" w:themeColor="accent6"/>
    </w:rPr>
  </w:style>
  <w:style w:type="character" w:customStyle="1" w:styleId="KZDNChar">
    <w:name w:val="KZDN Char"/>
    <w:basedOn w:val="Style1Char"/>
    <w:link w:val="KZDN"/>
    <w:locked/>
    <w:rsid w:val="009C6940"/>
    <w:rPr>
      <w:color w:val="8956A3" w:themeColor="accent6"/>
      <w:sz w:val="24"/>
    </w:rPr>
  </w:style>
  <w:style w:type="paragraph" w:customStyle="1" w:styleId="KZDN">
    <w:name w:val="KZDN"/>
    <w:basedOn w:val="Style1"/>
    <w:link w:val="KZDNChar"/>
    <w:qFormat/>
    <w:rsid w:val="009C6940"/>
  </w:style>
  <w:style w:type="paragraph" w:customStyle="1" w:styleId="Drag">
    <w:name w:val="Drag"/>
    <w:basedOn w:val="BodyText"/>
    <w:rsid w:val="009C6940"/>
  </w:style>
  <w:style w:type="paragraph" w:customStyle="1" w:styleId="Quotes">
    <w:name w:val="Quotes"/>
    <w:basedOn w:val="BoxQuote"/>
    <w:rsid w:val="009C6940"/>
  </w:style>
  <w:style w:type="paragraph" w:customStyle="1" w:styleId="InformationRequestlist">
    <w:name w:val="Information Request list"/>
    <w:basedOn w:val="InformationRequest"/>
    <w:rsid w:val="009C6940"/>
  </w:style>
  <w:style w:type="paragraph" w:customStyle="1" w:styleId="Quoter">
    <w:name w:val="Quoter"/>
    <w:basedOn w:val="BodyText"/>
    <w:rsid w:val="009C6940"/>
    <w:pPr>
      <w:tabs>
        <w:tab w:val="left" w:pos="6055"/>
      </w:tabs>
    </w:pPr>
  </w:style>
  <w:style w:type="character" w:customStyle="1" w:styleId="CommentTextChar0">
    <w:name w:val="Comment Text Char."/>
    <w:basedOn w:val="DefaultParagraphFont"/>
    <w:link w:val="CommentText1"/>
    <w:semiHidden/>
    <w:locked/>
    <w:rsid w:val="009C6940"/>
    <w:rPr>
      <w:rFonts w:ascii="Arial" w:hAnsi="Arial" w:cs="Arial"/>
      <w:sz w:val="22"/>
      <w:szCs w:val="22"/>
      <w:lang w:eastAsia="en-GB"/>
    </w:rPr>
  </w:style>
  <w:style w:type="paragraph" w:customStyle="1" w:styleId="CommentText1">
    <w:name w:val="Comment Text1"/>
    <w:basedOn w:val="Normal"/>
    <w:next w:val="CommentText"/>
    <w:link w:val="CommentTextChar0"/>
    <w:semiHidden/>
    <w:rsid w:val="009C6940"/>
    <w:pPr>
      <w:spacing w:before="120" w:after="160" w:line="240" w:lineRule="atLeast"/>
      <w:ind w:left="567" w:hanging="567"/>
    </w:pPr>
    <w:rPr>
      <w:rFonts w:ascii="Arial" w:hAnsi="Arial" w:cs="Arial"/>
      <w:sz w:val="22"/>
      <w:szCs w:val="22"/>
      <w:lang w:eastAsia="en-GB"/>
    </w:rPr>
  </w:style>
  <w:style w:type="character" w:customStyle="1" w:styleId="Mention1">
    <w:name w:val="Mention1"/>
    <w:basedOn w:val="DefaultParagraphFont"/>
    <w:uiPriority w:val="99"/>
    <w:semiHidden/>
    <w:rsid w:val="009C6940"/>
    <w:rPr>
      <w:color w:val="2B579A"/>
      <w:shd w:val="clear" w:color="auto" w:fill="E6E6E6"/>
    </w:rPr>
  </w:style>
  <w:style w:type="character" w:customStyle="1" w:styleId="attribution">
    <w:name w:val="attribution"/>
    <w:basedOn w:val="DefaultParagraphFont"/>
    <w:rsid w:val="009C6940"/>
  </w:style>
  <w:style w:type="character" w:customStyle="1" w:styleId="source0">
    <w:name w:val="source"/>
    <w:basedOn w:val="DefaultParagraphFont"/>
    <w:rsid w:val="009C6940"/>
  </w:style>
  <w:style w:type="character" w:customStyle="1" w:styleId="abscitationtitle">
    <w:name w:val="abs_citation_title"/>
    <w:basedOn w:val="DefaultParagraphFont"/>
    <w:rsid w:val="009C6940"/>
  </w:style>
  <w:style w:type="character" w:customStyle="1" w:styleId="A6">
    <w:name w:val="A6"/>
    <w:uiPriority w:val="99"/>
    <w:rsid w:val="009C6940"/>
    <w:rPr>
      <w:color w:val="000000"/>
      <w:sz w:val="21"/>
      <w:szCs w:val="21"/>
    </w:rPr>
  </w:style>
  <w:style w:type="table" w:customStyle="1" w:styleId="TableGrid1">
    <w:name w:val="Table Grid1"/>
    <w:basedOn w:val="TableNormal"/>
    <w:uiPriority w:val="59"/>
    <w:rsid w:val="009C6940"/>
    <w:rPr>
      <w:rFonts w:eastAsiaTheme="minorHAns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Quotebullets">
    <w:name w:val="ZZ Quote bullets"/>
    <w:rsid w:val="009C6940"/>
    <w:pPr>
      <w:numPr>
        <w:numId w:val="26"/>
      </w:numPr>
    </w:pPr>
  </w:style>
  <w:style w:type="numbering" w:customStyle="1" w:styleId="ZZBullets">
    <w:name w:val="ZZ Bullets"/>
    <w:rsid w:val="009C6940"/>
    <w:pPr>
      <w:numPr>
        <w:numId w:val="27"/>
      </w:numPr>
    </w:pPr>
  </w:style>
  <w:style w:type="paragraph" w:customStyle="1" w:styleId="Heading10">
    <w:name w:val="Heading1"/>
    <w:basedOn w:val="Chapter"/>
    <w:rsid w:val="009C6940"/>
    <w:pPr>
      <w:ind w:left="907" w:hanging="907"/>
    </w:pPr>
    <w:rPr>
      <w:szCs w:val="24"/>
    </w:rPr>
  </w:style>
  <w:style w:type="paragraph" w:customStyle="1" w:styleId="Copyrightheading">
    <w:name w:val="Copyright heading"/>
    <w:basedOn w:val="TOC1"/>
    <w:link w:val="CopyrightheadingChar"/>
    <w:qFormat/>
    <w:rsid w:val="009C6940"/>
    <w:pPr>
      <w:spacing w:line="300" w:lineRule="exact"/>
    </w:pPr>
    <w:rPr>
      <w:sz w:val="22"/>
    </w:rPr>
  </w:style>
  <w:style w:type="character" w:customStyle="1" w:styleId="CopyrightheadingChar">
    <w:name w:val="Copyright heading Char"/>
    <w:basedOn w:val="TOC1Char"/>
    <w:link w:val="Copyrightheading"/>
    <w:rsid w:val="009C6940"/>
    <w:rPr>
      <w:rFonts w:ascii="Arial" w:hAnsi="Arial"/>
      <w:b/>
      <w:sz w:val="22"/>
      <w:szCs w:val="26"/>
      <w:lang w:eastAsia="en-US"/>
    </w:rPr>
  </w:style>
  <w:style w:type="paragraph" w:customStyle="1" w:styleId="Copyrightsubtitle">
    <w:name w:val="Copyright subtitle"/>
    <w:basedOn w:val="BodyText"/>
    <w:rsid w:val="009C6940"/>
    <w:rPr>
      <w:rFonts w:ascii="Arial" w:hAnsi="Arial"/>
      <w:b/>
      <w:sz w:val="22"/>
      <w:szCs w:val="25"/>
    </w:rPr>
  </w:style>
  <w:style w:type="paragraph" w:customStyle="1" w:styleId="Copyrightbodytext">
    <w:name w:val="Copyright bodytext"/>
    <w:basedOn w:val="BodyText"/>
    <w:link w:val="CopyrightbodytextChar"/>
    <w:qFormat/>
    <w:rsid w:val="009C6940"/>
    <w:pPr>
      <w:spacing w:before="60"/>
    </w:pPr>
  </w:style>
  <w:style w:type="character" w:customStyle="1" w:styleId="CopyrightbodytextChar">
    <w:name w:val="Copyright bodytext Char"/>
    <w:basedOn w:val="BodyTextChar"/>
    <w:link w:val="Copyrightbodytext"/>
    <w:rsid w:val="009C6940"/>
    <w:rPr>
      <w:sz w:val="24"/>
    </w:rPr>
  </w:style>
  <w:style w:type="paragraph" w:customStyle="1" w:styleId="TOC20">
    <w:name w:val="TOC2"/>
    <w:basedOn w:val="TOC2"/>
    <w:rsid w:val="009C6940"/>
    <w:pPr>
      <w:tabs>
        <w:tab w:val="left" w:pos="1760"/>
      </w:tabs>
      <w:ind w:left="1020" w:hanging="510"/>
    </w:pPr>
    <w:rPr>
      <w:rFonts w:ascii="Times New Roman" w:hAnsi="Times New Roman"/>
      <w:noProof/>
      <w:color w:val="39531E" w:themeColor="accent2" w:themeShade="BF"/>
    </w:rPr>
  </w:style>
  <w:style w:type="character" w:customStyle="1" w:styleId="Mention10">
    <w:name w:val="Mention1"/>
    <w:basedOn w:val="DefaultParagraphFont"/>
    <w:uiPriority w:val="99"/>
    <w:semiHidden/>
    <w:rsid w:val="009C6940"/>
    <w:rPr>
      <w:color w:val="2B579A"/>
      <w:shd w:val="clear" w:color="auto" w:fill="E6E6E6"/>
    </w:rPr>
  </w:style>
  <w:style w:type="paragraph" w:customStyle="1" w:styleId="end">
    <w:name w:val="end"/>
    <w:basedOn w:val="Header"/>
    <w:rsid w:val="009C6940"/>
  </w:style>
  <w:style w:type="paragraph" w:customStyle="1" w:styleId="BoxSpacebelow0">
    <w:name w:val="Box Space  below"/>
    <w:basedOn w:val="Normal"/>
    <w:rsid w:val="009C6940"/>
  </w:style>
  <w:style w:type="paragraph" w:customStyle="1" w:styleId="Notr">
    <w:name w:val="Notr"/>
    <w:basedOn w:val="TableBodyText"/>
    <w:rsid w:val="009C6940"/>
    <w:pPr>
      <w:ind w:left="120" w:hanging="114"/>
      <w:jc w:val="left"/>
    </w:pPr>
  </w:style>
  <w:style w:type="paragraph" w:customStyle="1" w:styleId="BoxListBullet1">
    <w:name w:val="Box List Bullet 1"/>
    <w:basedOn w:val="Box"/>
    <w:rsid w:val="009C6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image" Target="media/image6.emf"/><Relationship Id="rId42" Type="http://schemas.openxmlformats.org/officeDocument/2006/relationships/header" Target="header10.xml"/><Relationship Id="rId47" Type="http://schemas.openxmlformats.org/officeDocument/2006/relationships/image" Target="media/image20.emf"/><Relationship Id="rId63" Type="http://schemas.openxmlformats.org/officeDocument/2006/relationships/image" Target="media/image32.emf"/><Relationship Id="rId68" Type="http://schemas.openxmlformats.org/officeDocument/2006/relationships/header" Target="header13.xml"/><Relationship Id="rId84" Type="http://schemas.openxmlformats.org/officeDocument/2006/relationships/header" Target="header19.xml"/><Relationship Id="rId89"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footer" Target="footer14.xml"/><Relationship Id="rId92" Type="http://schemas.openxmlformats.org/officeDocument/2006/relationships/image" Target="media/image41.emf"/><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0.emf"/><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image" Target="media/image13.emf"/><Relationship Id="rId37" Type="http://schemas.openxmlformats.org/officeDocument/2006/relationships/footer" Target="footer8.xml"/><Relationship Id="rId40" Type="http://schemas.openxmlformats.org/officeDocument/2006/relationships/image" Target="media/image17.emf"/><Relationship Id="rId45" Type="http://schemas.openxmlformats.org/officeDocument/2006/relationships/image" Target="media/image18.emf"/><Relationship Id="rId53" Type="http://schemas.openxmlformats.org/officeDocument/2006/relationships/image" Target="media/image26.emf"/><Relationship Id="rId58" Type="http://schemas.openxmlformats.org/officeDocument/2006/relationships/image" Target="media/image27.emf"/><Relationship Id="rId66" Type="http://schemas.openxmlformats.org/officeDocument/2006/relationships/image" Target="media/image35.emf"/><Relationship Id="rId74" Type="http://schemas.openxmlformats.org/officeDocument/2006/relationships/header" Target="header15.xml"/><Relationship Id="rId79" Type="http://schemas.openxmlformats.org/officeDocument/2006/relationships/image" Target="media/image40.emf"/><Relationship Id="rId87" Type="http://schemas.openxmlformats.org/officeDocument/2006/relationships/footer" Target="footer20.xml"/><Relationship Id="rId102" Type="http://schemas.openxmlformats.org/officeDocument/2006/relationships/header" Target="header25.xml"/><Relationship Id="rId5" Type="http://schemas.openxmlformats.org/officeDocument/2006/relationships/webSettings" Target="webSettings.xml"/><Relationship Id="rId61" Type="http://schemas.openxmlformats.org/officeDocument/2006/relationships/image" Target="media/image30.emf"/><Relationship Id="rId82" Type="http://schemas.openxmlformats.org/officeDocument/2006/relationships/footer" Target="footer17.xml"/><Relationship Id="rId90" Type="http://schemas.openxmlformats.org/officeDocument/2006/relationships/footer" Target="footer21.xml"/><Relationship Id="rId95" Type="http://schemas.openxmlformats.org/officeDocument/2006/relationships/image" Target="media/image44.emf"/><Relationship Id="rId19" Type="http://schemas.openxmlformats.org/officeDocument/2006/relationships/image" Target="media/image4.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eader" Target="header8.xml"/><Relationship Id="rId43" Type="http://schemas.openxmlformats.org/officeDocument/2006/relationships/footer" Target="footer9.xml"/><Relationship Id="rId48" Type="http://schemas.openxmlformats.org/officeDocument/2006/relationships/image" Target="media/image21.emf"/><Relationship Id="rId56" Type="http://schemas.openxmlformats.org/officeDocument/2006/relationships/footer" Target="footer11.xml"/><Relationship Id="rId64" Type="http://schemas.openxmlformats.org/officeDocument/2006/relationships/image" Target="media/image33.emf"/><Relationship Id="rId69" Type="http://schemas.openxmlformats.org/officeDocument/2006/relationships/header" Target="header14.xml"/><Relationship Id="rId77" Type="http://schemas.openxmlformats.org/officeDocument/2006/relationships/footer" Target="footer16.xml"/><Relationship Id="rId100" Type="http://schemas.openxmlformats.org/officeDocument/2006/relationships/footer" Target="footer23.xml"/><Relationship Id="rId105" Type="http://schemas.openxmlformats.org/officeDocument/2006/relationships/footer" Target="footer26.xml"/><Relationship Id="rId8" Type="http://schemas.openxmlformats.org/officeDocument/2006/relationships/image" Target="media/image1.png"/><Relationship Id="rId51" Type="http://schemas.openxmlformats.org/officeDocument/2006/relationships/image" Target="media/image24.emf"/><Relationship Id="rId72" Type="http://schemas.openxmlformats.org/officeDocument/2006/relationships/image" Target="media/image37.emf"/><Relationship Id="rId80" Type="http://schemas.openxmlformats.org/officeDocument/2006/relationships/header" Target="header17.xml"/><Relationship Id="rId85" Type="http://schemas.openxmlformats.org/officeDocument/2006/relationships/header" Target="header20.xml"/><Relationship Id="rId93" Type="http://schemas.openxmlformats.org/officeDocument/2006/relationships/image" Target="media/image42.emf"/><Relationship Id="rId98"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image" Target="media/image14.emf"/><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image" Target="media/image28.emf"/><Relationship Id="rId67" Type="http://schemas.openxmlformats.org/officeDocument/2006/relationships/image" Target="media/image36.emf"/><Relationship Id="rId103" Type="http://schemas.openxmlformats.org/officeDocument/2006/relationships/header" Target="header26.xml"/><Relationship Id="rId20" Type="http://schemas.openxmlformats.org/officeDocument/2006/relationships/image" Target="media/image5.emf"/><Relationship Id="rId41" Type="http://schemas.openxmlformats.org/officeDocument/2006/relationships/header" Target="header9.xml"/><Relationship Id="rId54" Type="http://schemas.openxmlformats.org/officeDocument/2006/relationships/header" Target="header11.xml"/><Relationship Id="rId62" Type="http://schemas.openxmlformats.org/officeDocument/2006/relationships/image" Target="media/image31.emf"/><Relationship Id="rId70" Type="http://schemas.openxmlformats.org/officeDocument/2006/relationships/footer" Target="footer13.xml"/><Relationship Id="rId75" Type="http://schemas.openxmlformats.org/officeDocument/2006/relationships/header" Target="header16.xml"/><Relationship Id="rId83" Type="http://schemas.openxmlformats.org/officeDocument/2006/relationships/footer" Target="footer18.xml"/><Relationship Id="rId88" Type="http://schemas.openxmlformats.org/officeDocument/2006/relationships/header" Target="header21.xml"/><Relationship Id="rId91" Type="http://schemas.openxmlformats.org/officeDocument/2006/relationships/footer" Target="footer22.xml"/><Relationship Id="rId96" Type="http://schemas.openxmlformats.org/officeDocument/2006/relationships/image" Target="media/image4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image" Target="media/image9.emf"/><Relationship Id="rId36" Type="http://schemas.openxmlformats.org/officeDocument/2006/relationships/footer" Target="footer7.xml"/><Relationship Id="rId49" Type="http://schemas.openxmlformats.org/officeDocument/2006/relationships/image" Target="media/image22.emf"/><Relationship Id="rId57" Type="http://schemas.openxmlformats.org/officeDocument/2006/relationships/footer" Target="footer12.xm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footer" Target="footer10.xml"/><Relationship Id="rId52" Type="http://schemas.openxmlformats.org/officeDocument/2006/relationships/image" Target="media/image25.emf"/><Relationship Id="rId60" Type="http://schemas.openxmlformats.org/officeDocument/2006/relationships/image" Target="media/image29.emf"/><Relationship Id="rId65" Type="http://schemas.openxmlformats.org/officeDocument/2006/relationships/image" Target="media/image34.emf"/><Relationship Id="rId73" Type="http://schemas.openxmlformats.org/officeDocument/2006/relationships/image" Target="media/image38.emf"/><Relationship Id="rId78" Type="http://schemas.openxmlformats.org/officeDocument/2006/relationships/image" Target="media/image39.emf"/><Relationship Id="rId81" Type="http://schemas.openxmlformats.org/officeDocument/2006/relationships/header" Target="header18.xml"/><Relationship Id="rId86" Type="http://schemas.openxmlformats.org/officeDocument/2006/relationships/footer" Target="footer19.xml"/><Relationship Id="rId94" Type="http://schemas.openxmlformats.org/officeDocument/2006/relationships/image" Target="media/image43.emf"/><Relationship Id="rId99" Type="http://schemas.openxmlformats.org/officeDocument/2006/relationships/header" Target="header24.xml"/><Relationship Id="rId10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3.emf"/><Relationship Id="rId39" Type="http://schemas.openxmlformats.org/officeDocument/2006/relationships/image" Target="media/image16.emf"/><Relationship Id="rId34" Type="http://schemas.openxmlformats.org/officeDocument/2006/relationships/header" Target="header7.xml"/><Relationship Id="rId50" Type="http://schemas.openxmlformats.org/officeDocument/2006/relationships/image" Target="media/image23.emf"/><Relationship Id="rId55" Type="http://schemas.openxmlformats.org/officeDocument/2006/relationships/header" Target="header12.xml"/><Relationship Id="rId76" Type="http://schemas.openxmlformats.org/officeDocument/2006/relationships/footer" Target="footer15.xml"/><Relationship Id="rId97" Type="http://schemas.openxmlformats.org/officeDocument/2006/relationships/image" Target="media/image46.emf"/><Relationship Id="rId104" Type="http://schemas.openxmlformats.org/officeDocument/2006/relationships/footer" Target="foot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E753-27EA-4952-A63A-083F6D97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291</TotalTime>
  <Pages>173</Pages>
  <Words>83469</Words>
  <Characters>475779</Characters>
  <Application>Microsoft Office Word</Application>
  <DocSecurity>0</DocSecurity>
  <Lines>3964</Lines>
  <Paragraphs>1116</Paragraphs>
  <ScaleCrop>false</ScaleCrop>
  <HeadingPairs>
    <vt:vector size="2" baseType="variant">
      <vt:variant>
        <vt:lpstr>Title</vt:lpstr>
      </vt:variant>
      <vt:variant>
        <vt:i4>1</vt:i4>
      </vt:variant>
    </vt:vector>
  </HeadingPairs>
  <TitlesOfParts>
    <vt:vector size="1" baseType="lpstr">
      <vt:lpstr>Appendices B to K - Inquiry report - Mental Health</vt:lpstr>
    </vt:vector>
  </TitlesOfParts>
  <Company>Productivity Commission</Company>
  <LinksUpToDate>false</LinksUpToDate>
  <CharactersWithSpaces>558132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B to K - Inquiry report - Mental Health</dc:title>
  <dc:subject>Report</dc:subject>
  <dc:creator>Productivity Commission</dc:creator>
  <cp:keywords/>
  <dc:description>1.</dc:description>
  <cp:lastModifiedBy>Productivity Commission</cp:lastModifiedBy>
  <cp:revision>10</cp:revision>
  <cp:lastPrinted>2020-09-09T01:59:00Z</cp:lastPrinted>
  <dcterms:created xsi:type="dcterms:W3CDTF">2020-08-31T22:00:00Z</dcterms:created>
  <dcterms:modified xsi:type="dcterms:W3CDTF">2020-09-09T02:31:00Z</dcterms:modified>
</cp:coreProperties>
</file>