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a64680ac251b419c"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00E64" w14:textId="77777777" w:rsidR="00E13D5F" w:rsidRPr="00243B1E" w:rsidRDefault="00E13D5F" w:rsidP="003D3B8C">
      <w:pPr>
        <w:pStyle w:val="Heading1NotTOC"/>
        <w:ind w:left="0" w:firstLine="0"/>
        <w:rPr>
          <w:color w:val="FFFFFF" w:themeColor="background1"/>
          <w:sz w:val="12"/>
          <w:szCs w:val="12"/>
        </w:rPr>
      </w:pPr>
      <w:r w:rsidRPr="00243B1E">
        <w:rPr>
          <w:color w:val="FFFFFF" w:themeColor="background1"/>
          <w:sz w:val="12"/>
          <w:szCs w:val="12"/>
        </w:rPr>
        <w:t>Technical Supplement A</w:t>
      </w:r>
    </w:p>
    <w:p w14:paraId="056F95E3" w14:textId="3A863A44" w:rsidR="003D3B8C" w:rsidRPr="00243B1E" w:rsidRDefault="003D3B8C" w:rsidP="00E13D5F">
      <w:pPr>
        <w:pStyle w:val="BodyText"/>
        <w:rPr>
          <w:color w:val="FFFFFF" w:themeColor="background1"/>
          <w:sz w:val="12"/>
          <w:szCs w:val="12"/>
        </w:rPr>
      </w:pPr>
      <w:r w:rsidRPr="00243B1E">
        <w:rPr>
          <w:color w:val="FFFFFF" w:themeColor="background1"/>
          <w:sz w:val="12"/>
          <w:szCs w:val="12"/>
        </w:rPr>
        <w:t>The economywide impacts of migration — general equilibrium modelling’</w:t>
      </w:r>
    </w:p>
    <w:p w14:paraId="6B2C954A" w14:textId="1F26C8AC" w:rsidR="003D3B8C" w:rsidRDefault="003D3B8C" w:rsidP="00E13D5F">
      <w:pPr>
        <w:pStyle w:val="BodyText"/>
        <w:rPr>
          <w:rFonts w:ascii="Arial" w:hAnsi="Arial"/>
          <w:b/>
          <w:sz w:val="22"/>
          <w:szCs w:val="26"/>
          <w:lang w:eastAsia="en-US"/>
        </w:rPr>
      </w:pPr>
      <w:r w:rsidRPr="00243B1E">
        <w:rPr>
          <w:color w:val="FFFFFF" w:themeColor="background1"/>
          <w:sz w:val="12"/>
          <w:szCs w:val="12"/>
        </w:rPr>
        <w:t xml:space="preserve">Technical Supplement A to the Draft Report </w:t>
      </w:r>
      <w:r w:rsidRPr="00243B1E">
        <w:rPr>
          <w:i/>
          <w:color w:val="FFFFFF" w:themeColor="background1"/>
          <w:sz w:val="12"/>
          <w:szCs w:val="12"/>
        </w:rPr>
        <w:t>Migrant Intake into Australia</w:t>
      </w:r>
      <w:r w:rsidRPr="00243B1E">
        <w:rPr>
          <w:color w:val="FFFFFF" w:themeColor="background1"/>
          <w:sz w:val="12"/>
          <w:szCs w:val="12"/>
        </w:rPr>
        <w:t xml:space="preserve"> </w:t>
      </w:r>
      <w:r w:rsidR="00D720A8">
        <w:rPr>
          <w:noProof/>
        </w:rPr>
        <w:drawing>
          <wp:anchor distT="0" distB="0" distL="114300" distR="114300" simplePos="0" relativeHeight="251658240" behindDoc="0" locked="0" layoutInCell="1" allowOverlap="1" wp14:anchorId="14A50F0E" wp14:editId="2E32AC85">
            <wp:simplePos x="835025" y="1292225"/>
            <wp:positionH relativeFrom="page">
              <wp:align>center</wp:align>
            </wp:positionH>
            <wp:positionV relativeFrom="page">
              <wp:align>center</wp:align>
            </wp:positionV>
            <wp:extent cx="7617600" cy="10774800"/>
            <wp:effectExtent l="0" t="0" r="2540" b="7620"/>
            <wp:wrapNone/>
            <wp:docPr id="5" name="Picture 5" descr="Cover for: The economywide impacts of migration — general equilibrium modelling, Technical Supplement A to the Draft Report Migrant Intake into Australia, Productivity Commission, November 201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supplement-A-draft-migrant-intak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7600" cy="107748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3B19B05" w14:textId="48BBE427" w:rsidR="003E7802" w:rsidRDefault="003E7802" w:rsidP="00D969AE">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rsidR="00D74E25">
        <w:t>201</w:t>
      </w:r>
      <w:r w:rsidR="000779EB">
        <w:t>5</w:t>
      </w:r>
    </w:p>
    <w:p w14:paraId="4F94B840" w14:textId="77777777" w:rsidR="008A3857" w:rsidRDefault="008A3857" w:rsidP="008E242D">
      <w:pPr>
        <w:pStyle w:val="BodyText"/>
        <w:spacing w:after="120"/>
      </w:pPr>
      <w:bookmarkStart w:id="0" w:name="ISSN"/>
      <w:bookmarkEnd w:id="0"/>
      <w:r w:rsidRPr="00862D8F">
        <w:rPr>
          <w:noProof/>
          <w:sz w:val="22"/>
          <w:szCs w:val="22"/>
        </w:rPr>
        <w:drawing>
          <wp:inline distT="0" distB="0" distL="0" distR="0" wp14:anchorId="41A9DF0C" wp14:editId="2CDEACF2">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76D5A40" w14:textId="77777777" w:rsidR="008A3857" w:rsidRPr="008A3857" w:rsidRDefault="008A3857" w:rsidP="00BA0B81">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hyperlink r:id="rId16" w:history="1">
        <w:hyperlink r:id="rId17" w:history="1">
          <w:r w:rsidRPr="00805FD7">
            <w:t>http://creativecommons.org/licenses/by/3.0/au</w:t>
          </w:r>
        </w:hyperlink>
      </w:hyperlink>
      <w:r w:rsidRPr="008A3857">
        <w:rPr>
          <w:sz w:val="24"/>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14:paraId="592C0B69" w14:textId="77777777" w:rsidR="008A3857" w:rsidRPr="008A3857" w:rsidRDefault="008A3857" w:rsidP="008A3857">
      <w:pPr>
        <w:pStyle w:val="Copyrightsubtitle"/>
      </w:pPr>
      <w:r w:rsidRPr="008A3857">
        <w:t>Use of the Commonwealth Coat of Arms</w:t>
      </w:r>
    </w:p>
    <w:p w14:paraId="09BEA3E6" w14:textId="77777777" w:rsidR="008A3857" w:rsidRPr="008A3857" w:rsidRDefault="008A3857" w:rsidP="00BA0B81">
      <w:pPr>
        <w:pStyle w:val="Copyrightbodytext"/>
      </w:pPr>
      <w:r w:rsidRPr="008A3857">
        <w:t>For terms of use of the Coat of Arms visit the ‘</w:t>
      </w:r>
      <w:hyperlink r:id="rId18" w:history="1">
        <w:r w:rsidRPr="00805FD7">
          <w:t>It’s an Honour</w:t>
        </w:r>
      </w:hyperlink>
      <w:r w:rsidRPr="008A3857">
        <w:t>’ website</w:t>
      </w:r>
      <w:r w:rsidR="00122FE9" w:rsidRPr="00BA0B81">
        <w:t>:</w:t>
      </w:r>
      <w:r w:rsidRPr="00BA0B81">
        <w:t xml:space="preserve"> </w:t>
      </w:r>
      <w:hyperlink r:id="rId19" w:history="1">
        <w:r w:rsidR="00BA0B81" w:rsidRPr="00805FD7">
          <w:t>http://</w:t>
        </w:r>
        <w:proofErr w:type="spellStart"/>
        <w:r w:rsidR="00BA0B81" w:rsidRPr="00805FD7">
          <w:t>www.itsanhonour.gov.au</w:t>
        </w:r>
        <w:proofErr w:type="spellEnd"/>
      </w:hyperlink>
    </w:p>
    <w:p w14:paraId="71A25F7B" w14:textId="77777777" w:rsidR="008A3857" w:rsidRPr="008A3857" w:rsidRDefault="008A3857" w:rsidP="008A3857">
      <w:pPr>
        <w:pStyle w:val="Copyrightsubtitle"/>
      </w:pPr>
      <w:r w:rsidRPr="008A3857">
        <w:t>Third party copyright</w:t>
      </w:r>
    </w:p>
    <w:p w14:paraId="7D35E2F9" w14:textId="77777777" w:rsidR="008A3857" w:rsidRPr="008A3857" w:rsidRDefault="008A3857" w:rsidP="00BA0B81">
      <w:pPr>
        <w:pStyle w:val="Copyrightbodytext"/>
      </w:pPr>
      <w:r w:rsidRPr="008A3857">
        <w:t>Wherever a third party holds copyright in this material, the copyright remains with that party. Their permission may be required to use the material, please contact them directly.</w:t>
      </w:r>
    </w:p>
    <w:p w14:paraId="17515CE0" w14:textId="77777777" w:rsidR="008A3857" w:rsidRPr="008A3857" w:rsidRDefault="008A3857" w:rsidP="008A3857">
      <w:pPr>
        <w:pStyle w:val="Copyrightsubtitle"/>
      </w:pPr>
      <w:r w:rsidRPr="008A3857">
        <w:t>Attribution</w:t>
      </w:r>
    </w:p>
    <w:p w14:paraId="2764BEF0" w14:textId="77777777" w:rsidR="008A3857" w:rsidRPr="00360B6B" w:rsidRDefault="008A3857" w:rsidP="00BA0B81">
      <w:pPr>
        <w:pStyle w:val="Copyrightbodytext"/>
        <w:rPr>
          <w:i/>
        </w:rPr>
      </w:pPr>
      <w:r w:rsidRPr="008A3857">
        <w:t xml:space="preserve">This work should be attributed as follows, </w:t>
      </w:r>
      <w:r w:rsidRPr="008E242D">
        <w:rPr>
          <w:i/>
        </w:rPr>
        <w:t xml:space="preserve">Source: Productivity Commission, </w:t>
      </w:r>
      <w:r w:rsidR="00360B6B" w:rsidRPr="00360B6B">
        <w:rPr>
          <w:i/>
        </w:rPr>
        <w:t>The economywide impacts of migration — general equilibrium modelling</w:t>
      </w:r>
      <w:r w:rsidRPr="008A3857">
        <w:t>.</w:t>
      </w:r>
    </w:p>
    <w:p w14:paraId="5EFDD48D" w14:textId="77777777" w:rsidR="008A3857" w:rsidRPr="008A3857" w:rsidRDefault="008A3857" w:rsidP="00BA0B81">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sidR="00122FE9">
        <w:rPr>
          <w:i/>
        </w:rPr>
        <w:t xml:space="preserve"> </w:t>
      </w:r>
      <w:r w:rsidRPr="008E242D">
        <w:rPr>
          <w:i/>
        </w:rPr>
        <w:t>data</w:t>
      </w:r>
      <w:r w:rsidR="008E242D" w:rsidRPr="008E242D">
        <w:rPr>
          <w:i/>
        </w:rPr>
        <w:t xml:space="preserve">, </w:t>
      </w:r>
      <w:r w:rsidR="00360B6B" w:rsidRPr="00360B6B">
        <w:rPr>
          <w:i/>
        </w:rPr>
        <w:t>The economywide impacts of migration — general equilibrium modelling</w:t>
      </w:r>
      <w:r w:rsidR="00360B6B" w:rsidRPr="008A3857">
        <w:t>.</w:t>
      </w:r>
    </w:p>
    <w:p w14:paraId="4AD01D7B" w14:textId="77777777" w:rsidR="008A3857" w:rsidRPr="008A3857" w:rsidRDefault="008A3857" w:rsidP="008A3857">
      <w:pPr>
        <w:pStyle w:val="Copyrightsubtitle"/>
      </w:pPr>
      <w:r w:rsidRPr="008A3857">
        <w:t xml:space="preserve">An appropriate </w:t>
      </w:r>
      <w:r w:rsidR="00122FE9">
        <w:t>reference</w:t>
      </w:r>
      <w:r w:rsidRPr="008A3857">
        <w:t xml:space="preserve"> for this publication is:</w:t>
      </w:r>
    </w:p>
    <w:p w14:paraId="2D07E5FB" w14:textId="5B553A1A" w:rsidR="008A3857" w:rsidRPr="00360B6B" w:rsidRDefault="00360B6B" w:rsidP="008A3857">
      <w:pPr>
        <w:pStyle w:val="Copyrightbodytext"/>
      </w:pPr>
      <w:r>
        <w:t>Productivity Commission 2015, ‘</w:t>
      </w:r>
      <w:r w:rsidRPr="00360B6B">
        <w:rPr>
          <w:i/>
        </w:rPr>
        <w:t>The economywide impacts of migration — general equilibrium modelling</w:t>
      </w:r>
      <w:r>
        <w:t xml:space="preserve">’, </w:t>
      </w:r>
      <w:r w:rsidRPr="00360B6B">
        <w:t>Techni</w:t>
      </w:r>
      <w:r>
        <w:t>cal Supplement</w:t>
      </w:r>
      <w:r w:rsidR="00797E0A">
        <w:t xml:space="preserve"> A</w:t>
      </w:r>
      <w:r>
        <w:t xml:space="preserve"> to the Draft Report </w:t>
      </w:r>
      <w:r>
        <w:rPr>
          <w:i/>
        </w:rPr>
        <w:t xml:space="preserve">Migrant Intake into Australia, </w:t>
      </w:r>
      <w:r>
        <w:t>Canberra, November.</w:t>
      </w:r>
    </w:p>
    <w:p w14:paraId="230E900C" w14:textId="77777777" w:rsidR="008A3857" w:rsidRPr="008A3857" w:rsidRDefault="008A3857" w:rsidP="008A3857">
      <w:pPr>
        <w:pStyle w:val="Copyrightsubtitle"/>
      </w:pPr>
      <w:bookmarkStart w:id="1" w:name="JEL"/>
      <w:bookmarkEnd w:id="1"/>
      <w:r w:rsidRPr="008A3857">
        <w:t>Publications enquiries</w:t>
      </w:r>
    </w:p>
    <w:p w14:paraId="00B8E93D" w14:textId="77777777" w:rsidR="00E30DDB" w:rsidRDefault="008A3857" w:rsidP="00EC38C1">
      <w:pPr>
        <w:pStyle w:val="Copyrightbodytext"/>
      </w:pPr>
      <w:r w:rsidRPr="008A3857">
        <w:t xml:space="preserve">Media and Publications, </w:t>
      </w:r>
      <w:r w:rsidR="00EC38C1">
        <w:rPr>
          <w:szCs w:val="24"/>
        </w:rPr>
        <w:t>phone:</w:t>
      </w:r>
      <w:r w:rsidR="00EC38C1" w:rsidRPr="00BB5DCF">
        <w:rPr>
          <w:szCs w:val="24"/>
        </w:rPr>
        <w:t xml:space="preserve"> (03) 9653 2244 or email: </w:t>
      </w:r>
      <w:proofErr w:type="spellStart"/>
      <w:r w:rsidR="00EC38C1" w:rsidRPr="00BB5DCF">
        <w:rPr>
          <w:szCs w:val="24"/>
        </w:rPr>
        <w:t>maps@pc.gov.au</w:t>
      </w:r>
      <w:proofErr w:type="spellEnd"/>
    </w:p>
    <w:p w14:paraId="50D88A92" w14:textId="77777777" w:rsidR="008A3857" w:rsidRDefault="008A3857" w:rsidP="008A385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A3857" w14:paraId="6F98BAFB" w14:textId="77777777" w:rsidTr="0052424C">
        <w:tc>
          <w:tcPr>
            <w:tcW w:w="8771" w:type="dxa"/>
            <w:tcBorders>
              <w:top w:val="single" w:sz="6" w:space="0" w:color="78A22F"/>
              <w:left w:val="nil"/>
              <w:bottom w:val="nil"/>
              <w:right w:val="nil"/>
            </w:tcBorders>
            <w:shd w:val="clear" w:color="auto" w:fill="F2F2F2" w:themeFill="background1" w:themeFillShade="F2"/>
          </w:tcPr>
          <w:p w14:paraId="1E48F2D6" w14:textId="77777777" w:rsidR="008A3857" w:rsidRPr="008A3857" w:rsidRDefault="008A3857" w:rsidP="0052424C">
            <w:pPr>
              <w:pStyle w:val="BoxTitle"/>
              <w:rPr>
                <w:sz w:val="22"/>
                <w:szCs w:val="22"/>
              </w:rPr>
            </w:pPr>
            <w:r w:rsidRPr="008A3857">
              <w:rPr>
                <w:sz w:val="22"/>
                <w:szCs w:val="22"/>
              </w:rPr>
              <w:t>The Productivity Commission</w:t>
            </w:r>
          </w:p>
        </w:tc>
      </w:tr>
      <w:tr w:rsidR="008A3857" w14:paraId="6C65623D" w14:textId="77777777" w:rsidTr="0052424C">
        <w:trPr>
          <w:cantSplit/>
        </w:trPr>
        <w:tc>
          <w:tcPr>
            <w:tcW w:w="8771" w:type="dxa"/>
            <w:tcBorders>
              <w:top w:val="nil"/>
              <w:left w:val="nil"/>
              <w:bottom w:val="nil"/>
              <w:right w:val="nil"/>
            </w:tcBorders>
            <w:shd w:val="clear" w:color="auto" w:fill="F2F2F2" w:themeFill="background1" w:themeFillShade="F2"/>
          </w:tcPr>
          <w:p w14:paraId="514A14B6" w14:textId="77777777" w:rsidR="008A3857" w:rsidRDefault="008A3857" w:rsidP="0052424C">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20968C1" w14:textId="77777777" w:rsidR="008A3857" w:rsidRDefault="008A3857" w:rsidP="0052424C">
            <w:pPr>
              <w:pStyle w:val="Box"/>
            </w:pPr>
            <w:r w:rsidRPr="00BB5DCF">
              <w:t>The Commission’s independence is underpinned by an Act of Parliament. Its processes and outputs are open to public scrutiny and are driven by concern for the wellbeing of the community as a whole.</w:t>
            </w:r>
          </w:p>
          <w:p w14:paraId="5E047766" w14:textId="77777777" w:rsidR="008A3857" w:rsidRDefault="008A3857" w:rsidP="00EC38C1">
            <w:pPr>
              <w:pStyle w:val="Box"/>
            </w:pPr>
            <w:r w:rsidRPr="00BB5DCF">
              <w:rPr>
                <w:szCs w:val="24"/>
              </w:rPr>
              <w:t>Further information on the Productivity Commission can be obtained from the Commission’s website (</w:t>
            </w:r>
            <w:proofErr w:type="spellStart"/>
            <w:r w:rsidR="00D971D1">
              <w:fldChar w:fldCharType="begin"/>
            </w:r>
            <w:r w:rsidR="00D971D1">
              <w:instrText xml:space="preserve"> HYPERLINK "http://www.pc.gov.au/" </w:instrText>
            </w:r>
            <w:r w:rsidR="00D971D1">
              <w:fldChar w:fldCharType="separate"/>
            </w:r>
            <w:r w:rsidRPr="00805FD7">
              <w:t>www.pc.gov.au</w:t>
            </w:r>
            <w:proofErr w:type="spellEnd"/>
            <w:r w:rsidR="00D971D1">
              <w:fldChar w:fldCharType="end"/>
            </w:r>
            <w:r w:rsidRPr="00BB5DCF">
              <w:rPr>
                <w:szCs w:val="24"/>
              </w:rPr>
              <w:t>)</w:t>
            </w:r>
            <w:r w:rsidR="00EC38C1">
              <w:rPr>
                <w:szCs w:val="24"/>
              </w:rPr>
              <w:t>.</w:t>
            </w:r>
          </w:p>
        </w:tc>
      </w:tr>
      <w:tr w:rsidR="008A3857" w14:paraId="4A8C5455" w14:textId="77777777" w:rsidTr="0052424C">
        <w:trPr>
          <w:cantSplit/>
        </w:trPr>
        <w:tc>
          <w:tcPr>
            <w:tcW w:w="8771" w:type="dxa"/>
            <w:tcBorders>
              <w:top w:val="nil"/>
              <w:left w:val="nil"/>
              <w:bottom w:val="single" w:sz="6" w:space="0" w:color="78A22F"/>
              <w:right w:val="nil"/>
            </w:tcBorders>
            <w:shd w:val="clear" w:color="auto" w:fill="F2F2F2" w:themeFill="background1" w:themeFillShade="F2"/>
          </w:tcPr>
          <w:p w14:paraId="0876A45E" w14:textId="77777777" w:rsidR="008A3857" w:rsidRDefault="008A3857" w:rsidP="0052424C">
            <w:pPr>
              <w:pStyle w:val="Box"/>
              <w:spacing w:before="0" w:line="120" w:lineRule="exact"/>
            </w:pPr>
          </w:p>
        </w:tc>
      </w:tr>
    </w:tbl>
    <w:p w14:paraId="048C24D6" w14:textId="77777777" w:rsidR="00735FEA" w:rsidRDefault="00735FEA">
      <w:pPr>
        <w:pStyle w:val="BodyText"/>
        <w:sectPr w:rsidR="00735FEA" w:rsidSect="003D3B8C">
          <w:headerReference w:type="even" r:id="rId20"/>
          <w:headerReference w:type="default" r:id="rId21"/>
          <w:footerReference w:type="even" r:id="rId22"/>
          <w:footerReference w:type="default" r:id="rId23"/>
          <w:headerReference w:type="first" r:id="rId24"/>
          <w:footerReference w:type="first" r:id="rId25"/>
          <w:type w:val="oddPage"/>
          <w:pgSz w:w="11907" w:h="16840" w:code="9"/>
          <w:pgMar w:top="1985" w:right="1304" w:bottom="1247" w:left="1814" w:header="1701" w:footer="397" w:gutter="0"/>
          <w:pgNumType w:start="1" w:chapStyle="1" w:chapSep="period"/>
          <w:cols w:space="720"/>
          <w:docGrid w:linePitch="326"/>
        </w:sectPr>
      </w:pPr>
      <w:bookmarkStart w:id="2" w:name="cov"/>
      <w:bookmarkEnd w:id="2"/>
    </w:p>
    <w:p w14:paraId="0F6DE50F" w14:textId="77777777" w:rsidR="00360B6B" w:rsidRDefault="00360B6B" w:rsidP="008329A5">
      <w:pPr>
        <w:pStyle w:val="Heading1"/>
        <w:ind w:left="0" w:firstLine="0"/>
      </w:pPr>
      <w:bookmarkStart w:id="3" w:name="ChapterTitle"/>
      <w:r>
        <w:lastRenderedPageBreak/>
        <w:t>The economywide impacts of migration — general equilibrium modelling</w:t>
      </w:r>
      <w:bookmarkEnd w:id="3"/>
    </w:p>
    <w:p w14:paraId="05F93696" w14:textId="77777777" w:rsidR="00360B6B" w:rsidRDefault="00360B6B" w:rsidP="00360B6B">
      <w:pPr>
        <w:pStyle w:val="BodyText"/>
      </w:pPr>
      <w:bookmarkStart w:id="4" w:name="begin"/>
      <w:bookmarkEnd w:id="4"/>
      <w:r>
        <w:t xml:space="preserve">Chapter 8 of the Migrant Intake into Australia inquiry draft report presents some preliminary analysis of the economywide impact of Australia’s migrant intake. This technical supplement provides details of that modelling.  </w:t>
      </w:r>
    </w:p>
    <w:p w14:paraId="44AFCC91" w14:textId="77777777" w:rsidR="00360B6B" w:rsidRPr="006B79EA" w:rsidRDefault="00360B6B" w:rsidP="00360B6B">
      <w:pPr>
        <w:pStyle w:val="BodyText"/>
      </w:pPr>
      <w:r w:rsidRPr="006B79EA">
        <w:t xml:space="preserve">The modelling adopts a scenarios approach to quantify the likely impacts of </w:t>
      </w:r>
      <w:r>
        <w:t>net overseas migra</w:t>
      </w:r>
      <w:r w:rsidRPr="006B79EA">
        <w:t>t</w:t>
      </w:r>
      <w:r>
        <w:t>ion</w:t>
      </w:r>
      <w:r w:rsidRPr="006B79EA">
        <w:t xml:space="preserve"> </w:t>
      </w:r>
      <w:r>
        <w:t xml:space="preserve">(NOM) </w:t>
      </w:r>
      <w:r w:rsidRPr="006B79EA">
        <w:t xml:space="preserve">on the Australian population and economy against the case </w:t>
      </w:r>
      <w:r>
        <w:t>without</w:t>
      </w:r>
      <w:r w:rsidRPr="006B79EA">
        <w:t xml:space="preserve"> </w:t>
      </w:r>
      <w:r>
        <w:t>NOM (that is, assuming zero NOM from 2015 onwards)</w:t>
      </w:r>
      <w:r w:rsidRPr="006B79EA">
        <w:t xml:space="preserve">. These scenarios </w:t>
      </w:r>
      <w:r>
        <w:t xml:space="preserve">do not </w:t>
      </w:r>
      <w:r w:rsidRPr="006B79EA">
        <w:t xml:space="preserve">represent policy options — they are simply illustrative of the potential economywide impacts of </w:t>
      </w:r>
      <w:r>
        <w:t>NOM</w:t>
      </w:r>
      <w:r w:rsidRPr="006B79EA">
        <w:t xml:space="preserve">. </w:t>
      </w:r>
      <w:r>
        <w:t>Four</w:t>
      </w:r>
      <w:r w:rsidRPr="006B79EA">
        <w:t xml:space="preserve"> scenarios are considered</w:t>
      </w:r>
      <w:r>
        <w:t>.</w:t>
      </w:r>
    </w:p>
    <w:p w14:paraId="2747B9BC" w14:textId="77777777" w:rsidR="00360B6B" w:rsidRPr="006B79EA" w:rsidRDefault="00360B6B" w:rsidP="00360B6B">
      <w:pPr>
        <w:pStyle w:val="ListBullet"/>
      </w:pPr>
      <w:r w:rsidRPr="006B79EA">
        <w:t>Scenario 1</w:t>
      </w:r>
      <w:r>
        <w:t>:</w:t>
      </w:r>
      <w:r w:rsidRPr="006B79EA">
        <w:t xml:space="preserve"> Without </w:t>
      </w:r>
      <w:r>
        <w:t>NOM. This scenario is used</w:t>
      </w:r>
      <w:r w:rsidRPr="006B79EA">
        <w:t xml:space="preserve"> to illustrate the implications of </w:t>
      </w:r>
      <w:r>
        <w:t xml:space="preserve">natural </w:t>
      </w:r>
      <w:r w:rsidRPr="006B79EA">
        <w:t>population increases</w:t>
      </w:r>
      <w:r>
        <w:t xml:space="preserve"> alone</w:t>
      </w:r>
      <w:r w:rsidRPr="006B79EA">
        <w:t xml:space="preserve"> with current fertility</w:t>
      </w:r>
      <w:r>
        <w:t>,</w:t>
      </w:r>
      <w:r w:rsidRPr="006B79EA">
        <w:t xml:space="preserve"> life expectancy</w:t>
      </w:r>
      <w:r>
        <w:t xml:space="preserve"> and labour market</w:t>
      </w:r>
      <w:r w:rsidRPr="006B79EA">
        <w:t xml:space="preserve"> </w:t>
      </w:r>
      <w:r>
        <w:t xml:space="preserve">(including occupational) </w:t>
      </w:r>
      <w:r w:rsidRPr="006B79EA">
        <w:t xml:space="preserve">characteristics. </w:t>
      </w:r>
    </w:p>
    <w:p w14:paraId="05AD19B9" w14:textId="77777777" w:rsidR="00360B6B" w:rsidRDefault="00360B6B" w:rsidP="00360B6B">
      <w:pPr>
        <w:pStyle w:val="ListBullet"/>
      </w:pPr>
      <w:r w:rsidRPr="006B79EA">
        <w:t xml:space="preserve">Scenario </w:t>
      </w:r>
      <w:r>
        <w:t>2:</w:t>
      </w:r>
      <w:r w:rsidRPr="006B79EA">
        <w:t xml:space="preserve"> </w:t>
      </w:r>
      <w:r>
        <w:t>Population scale and c</w:t>
      </w:r>
      <w:r w:rsidRPr="006B79EA">
        <w:t xml:space="preserve">ohort effect of </w:t>
      </w:r>
      <w:r>
        <w:t>NOM</w:t>
      </w:r>
      <w:r w:rsidRPr="006B79EA">
        <w:t xml:space="preserve">. </w:t>
      </w:r>
      <w:r>
        <w:t>This is based on scenario 1 with the addition of NOM which is assumed to converge to the historical average of the ratio of net migration to population (0.6 per cent) by 2024</w:t>
      </w:r>
      <w:r>
        <w:noBreakHyphen/>
        <w:t xml:space="preserve">25. These migrants are assumed to have the same demographic characteristics as the current migrant intake </w:t>
      </w:r>
      <w:r w:rsidRPr="00D362A3">
        <w:t>and the same labour market characteristics (including occupation profile) as the incumbent labour force</w:t>
      </w:r>
      <w:r>
        <w:t xml:space="preserve">. This scenario illustrates the possible effects of net migration on the size and age composition of the population and </w:t>
      </w:r>
      <w:r w:rsidRPr="00BC770E">
        <w:t xml:space="preserve">the effects of net migration on demography and changing </w:t>
      </w:r>
      <w:r>
        <w:t>labour force</w:t>
      </w:r>
      <w:r w:rsidRPr="00BC770E">
        <w:t xml:space="preserve"> participation</w:t>
      </w:r>
      <w:r>
        <w:t>.</w:t>
      </w:r>
      <w:r w:rsidRPr="006B79EA">
        <w:t xml:space="preserve"> </w:t>
      </w:r>
    </w:p>
    <w:p w14:paraId="5CC07911" w14:textId="77777777" w:rsidR="00360B6B" w:rsidRPr="006B79EA" w:rsidRDefault="00360B6B" w:rsidP="00360B6B">
      <w:pPr>
        <w:pStyle w:val="ListBullet"/>
      </w:pPr>
      <w:r w:rsidRPr="006B79EA">
        <w:t xml:space="preserve">Scenario </w:t>
      </w:r>
      <w:r>
        <w:t>3:</w:t>
      </w:r>
      <w:r w:rsidRPr="006B79EA">
        <w:t xml:space="preserve"> Labour force occupational effect. </w:t>
      </w:r>
      <w:r>
        <w:t>This is based on s</w:t>
      </w:r>
      <w:r w:rsidRPr="006B79EA">
        <w:t>cenario</w:t>
      </w:r>
      <w:r>
        <w:t xml:space="preserve"> 2 </w:t>
      </w:r>
      <w:r w:rsidRPr="006B79EA">
        <w:t>with the addition of the assumption that future migrants have the same occupational characteristics as the current migrant intake</w:t>
      </w:r>
      <w:r>
        <w:t xml:space="preserve"> rather than the incumbent labour force</w:t>
      </w:r>
      <w:r w:rsidRPr="006B79EA">
        <w:t>.</w:t>
      </w:r>
    </w:p>
    <w:p w14:paraId="5EF1571E" w14:textId="77777777" w:rsidR="00360B6B" w:rsidRDefault="00360B6B" w:rsidP="00360B6B">
      <w:pPr>
        <w:pStyle w:val="ListBullet"/>
      </w:pPr>
      <w:r w:rsidRPr="006B79EA">
        <w:t xml:space="preserve">Scenario </w:t>
      </w:r>
      <w:r>
        <w:t>4:</w:t>
      </w:r>
      <w:r w:rsidRPr="006B79EA">
        <w:t xml:space="preserve"> </w:t>
      </w:r>
      <w:proofErr w:type="spellStart"/>
      <w:r w:rsidRPr="006B79EA">
        <w:t>Spillover</w:t>
      </w:r>
      <w:proofErr w:type="spellEnd"/>
      <w:r w:rsidRPr="006B79EA">
        <w:t xml:space="preserve"> effects. </w:t>
      </w:r>
      <w:r>
        <w:t>This is based on s</w:t>
      </w:r>
      <w:r w:rsidRPr="006B79EA">
        <w:t>cenario</w:t>
      </w:r>
      <w:r>
        <w:t> 2</w:t>
      </w:r>
      <w:r w:rsidRPr="006B79EA">
        <w:t xml:space="preserve"> with a conjectured 1 per cent increase in national labour productivity </w:t>
      </w:r>
      <w:r>
        <w:t xml:space="preserve">growth </w:t>
      </w:r>
      <w:r w:rsidRPr="006B79EA">
        <w:t xml:space="preserve">on account of migration. </w:t>
      </w:r>
      <w:r>
        <w:t>This is highly speculative as there is insufficient empirical evidence to determine the magnitude of any generalised productivity improvement that might be associated with migration in Australia.</w:t>
      </w:r>
    </w:p>
    <w:p w14:paraId="6BA800D9" w14:textId="77777777" w:rsidR="00360B6B" w:rsidRDefault="00360B6B" w:rsidP="00360B6B">
      <w:pPr>
        <w:pStyle w:val="BodyText"/>
      </w:pPr>
      <w:r>
        <w:t>Section </w:t>
      </w:r>
      <w:proofErr w:type="spellStart"/>
      <w:r>
        <w:t>A.1</w:t>
      </w:r>
      <w:proofErr w:type="spellEnd"/>
      <w:r>
        <w:t xml:space="preserve"> </w:t>
      </w:r>
      <w:r w:rsidDel="00A83D9E">
        <w:t>describes the modelling approach adopted</w:t>
      </w:r>
      <w:r>
        <w:t xml:space="preserve"> and</w:t>
      </w:r>
      <w:r w:rsidDel="00A83D9E">
        <w:t xml:space="preserve"> </w:t>
      </w:r>
      <w:proofErr w:type="spellStart"/>
      <w:r>
        <w:t>A.2</w:t>
      </w:r>
      <w:proofErr w:type="spellEnd"/>
      <w:r>
        <w:t xml:space="preserve"> </w:t>
      </w:r>
      <w:r w:rsidDel="00A83D9E">
        <w:t>the derivation of the modelling scenarios</w:t>
      </w:r>
      <w:r>
        <w:t xml:space="preserve">. Section </w:t>
      </w:r>
      <w:proofErr w:type="spellStart"/>
      <w:r>
        <w:t>A.3</w:t>
      </w:r>
      <w:proofErr w:type="spellEnd"/>
      <w:r>
        <w:t xml:space="preserve"> </w:t>
      </w:r>
      <w:r w:rsidDel="00A83D9E">
        <w:t>provides additional detail on model projection</w:t>
      </w:r>
      <w:r>
        <w:t>s</w:t>
      </w:r>
      <w:r w:rsidDel="00A83D9E">
        <w:t xml:space="preserve">. </w:t>
      </w:r>
    </w:p>
    <w:p w14:paraId="273574B4" w14:textId="77777777" w:rsidR="00360B6B" w:rsidRDefault="00D971D1" w:rsidP="00360B6B">
      <w:pPr>
        <w:pStyle w:val="Heading2"/>
      </w:pPr>
      <w:r>
        <w:lastRenderedPageBreak/>
        <w:fldChar w:fldCharType="begin"/>
      </w:r>
      <w:r>
        <w:instrText xml:space="preserve"> COMMENTS  \* MERGEFORMAT </w:instrText>
      </w:r>
      <w:r>
        <w:fldChar w:fldCharType="separate"/>
      </w:r>
      <w:proofErr w:type="spellStart"/>
      <w:r w:rsidR="00360B6B">
        <w:t>A.</w:t>
      </w:r>
      <w:r>
        <w:fldChar w:fldCharType="end"/>
      </w:r>
      <w:r>
        <w:fldChar w:fldCharType="begin"/>
      </w:r>
      <w:r>
        <w:instrText xml:space="preserve"> SEQ Heading2 </w:instrText>
      </w:r>
      <w:r>
        <w:fldChar w:fldCharType="separate"/>
      </w:r>
      <w:r w:rsidR="008846C7">
        <w:rPr>
          <w:noProof/>
        </w:rPr>
        <w:t>1</w:t>
      </w:r>
      <w:proofErr w:type="spellEnd"/>
      <w:r>
        <w:rPr>
          <w:noProof/>
        </w:rPr>
        <w:fldChar w:fldCharType="end"/>
      </w:r>
      <w:r w:rsidR="00360B6B">
        <w:tab/>
        <w:t>Modelling approach</w:t>
      </w:r>
    </w:p>
    <w:p w14:paraId="48CAD836" w14:textId="77777777" w:rsidR="00360B6B" w:rsidRDefault="00360B6B" w:rsidP="00360B6B">
      <w:pPr>
        <w:pStyle w:val="Heading3"/>
      </w:pPr>
      <w:r>
        <w:t>The modelling framework</w:t>
      </w:r>
    </w:p>
    <w:p w14:paraId="28D559A6" w14:textId="77777777" w:rsidR="00360B6B" w:rsidRDefault="00360B6B" w:rsidP="00360B6B">
      <w:pPr>
        <w:pStyle w:val="BodyText"/>
      </w:pPr>
      <w:r w:rsidRPr="00CF478D">
        <w:t xml:space="preserve">The Commission has </w:t>
      </w:r>
      <w:r>
        <w:t>used</w:t>
      </w:r>
      <w:r w:rsidRPr="00CF478D">
        <w:t xml:space="preserve"> </w:t>
      </w:r>
      <w:r>
        <w:t xml:space="preserve">the </w:t>
      </w:r>
      <w:r w:rsidRPr="00CF478D">
        <w:t>integrated multi</w:t>
      </w:r>
      <w:r>
        <w:t>-</w:t>
      </w:r>
      <w:r w:rsidRPr="00CF478D">
        <w:t>regional economic</w:t>
      </w:r>
      <w:r>
        <w:noBreakHyphen/>
      </w:r>
      <w:r w:rsidRPr="00CF478D">
        <w:t>demographic model</w:t>
      </w:r>
      <w:r>
        <w:t xml:space="preserve"> — known as the Victoria University Multi</w:t>
      </w:r>
      <w:r>
        <w:noBreakHyphen/>
        <w:t>Regional (</w:t>
      </w:r>
      <w:proofErr w:type="spellStart"/>
      <w:r>
        <w:t>VUMR</w:t>
      </w:r>
      <w:proofErr w:type="spellEnd"/>
      <w:r>
        <w:t>) model —</w:t>
      </w:r>
      <w:r w:rsidRPr="00CF478D">
        <w:t xml:space="preserve"> to </w:t>
      </w:r>
      <w:r>
        <w:t>illustrate</w:t>
      </w:r>
      <w:r w:rsidRPr="00CF478D">
        <w:t xml:space="preserve"> the </w:t>
      </w:r>
      <w:r>
        <w:t xml:space="preserve">potential </w:t>
      </w:r>
      <w:r w:rsidRPr="00CF478D">
        <w:t xml:space="preserve">impacts </w:t>
      </w:r>
      <w:r>
        <w:t xml:space="preserve">of NOM on Australia’s demography and economy, relative to a hypothetical scenario without further NOM from 2015. For this inquiry, the </w:t>
      </w:r>
      <w:proofErr w:type="spellStart"/>
      <w:r>
        <w:t>VUMR</w:t>
      </w:r>
      <w:proofErr w:type="spellEnd"/>
      <w:r>
        <w:t xml:space="preserve"> model has been augmented to include additional detail on the modelling of NOM and the consequences of demographic change on government expenditure on health, aged care and education by age group. The version incorporating the addition detail and applied in this inquiry is termed the </w:t>
      </w:r>
      <w:proofErr w:type="spellStart"/>
      <w:r>
        <w:t>VUMR</w:t>
      </w:r>
      <w:proofErr w:type="spellEnd"/>
      <w:r>
        <w:t xml:space="preserve">-MI (Migrant Intake) model. </w:t>
      </w:r>
    </w:p>
    <w:p w14:paraId="1BDCFA77" w14:textId="77777777" w:rsidR="00360B6B" w:rsidRDefault="00360B6B" w:rsidP="00360B6B">
      <w:pPr>
        <w:pStyle w:val="BodyText"/>
      </w:pPr>
      <w:r>
        <w:t xml:space="preserve">To assess the economywide impacts of migration, it is necessary to model how the net flow of migrants to the economy affects the Australian population, the labour force, as well as flow on effects to national demands for goods and services, production and trade. </w:t>
      </w:r>
    </w:p>
    <w:p w14:paraId="078173D0" w14:textId="77777777" w:rsidR="00360B6B" w:rsidRDefault="00360B6B" w:rsidP="00360B6B">
      <w:pPr>
        <w:pStyle w:val="BodyText"/>
      </w:pPr>
      <w:r>
        <w:t>The Commission has made extensive use of computable general equilibrium (</w:t>
      </w:r>
      <w:proofErr w:type="spellStart"/>
      <w:r>
        <w:t>CGE</w:t>
      </w:r>
      <w:proofErr w:type="spellEnd"/>
      <w:r>
        <w:t xml:space="preserve">) models to assess the economywide impacts of economic change and policy reforms. </w:t>
      </w:r>
    </w:p>
    <w:p w14:paraId="0C44981B" w14:textId="77777777" w:rsidR="00360B6B" w:rsidRDefault="00360B6B" w:rsidP="00360B6B">
      <w:pPr>
        <w:pStyle w:val="ListBullet"/>
      </w:pPr>
      <w:r>
        <w:t>In 2006, the Commission contracted the Centre of Policy Studies (</w:t>
      </w:r>
      <w:proofErr w:type="spellStart"/>
      <w:r>
        <w:t>CoPS</w:t>
      </w:r>
      <w:proofErr w:type="spellEnd"/>
      <w:r>
        <w:t xml:space="preserve">) at Monash University to use the MONASH model to analysis the impact of an increase in skilled migration (PC 2006). </w:t>
      </w:r>
    </w:p>
    <w:p w14:paraId="3E8BF75C" w14:textId="77777777" w:rsidR="00360B6B" w:rsidRDefault="00360B6B" w:rsidP="00360B6B">
      <w:pPr>
        <w:pStyle w:val="ListBullet"/>
      </w:pPr>
      <w:r>
        <w:t xml:space="preserve">In 2012, the Commission used a </w:t>
      </w:r>
      <w:proofErr w:type="spellStart"/>
      <w:r>
        <w:t>CGE</w:t>
      </w:r>
      <w:proofErr w:type="spellEnd"/>
      <w:r>
        <w:t xml:space="preserve"> modelling framework to assess the impacts of Council of Australian Government’s (COAG) policy reforms </w:t>
      </w:r>
      <w:r>
        <w:fldChar w:fldCharType="begin"/>
      </w:r>
      <w:r>
        <w:instrText xml:space="preserve"> ADDIN ZOTERO_ITEM CSL_CITATION {"citationID":"1fb64j08ih","properties":{"formattedCitation":"{\\rtf (PC\\uc0\\u160{}2012)}","plainCitation":"(PC 2012)"},"citationItems":[{"id":2356,"uris":["http://zotero.org/groups/164861/items/FXMDINUD"],"uri":["http://zotero.org/groups/164861/items/FXMDINUD"],"itemData":{"id":2356,"type":"report","title":"Impacts and Benefits of COAG Reforms: Business Regulation and VET.","publisher-place":"Canberra","genre":"Research report","event-place":"Canberra","author":[{"family":"Productivity Commission","given":""}],"translator":[{"family":"PC","given":""}],"issued":{"date-parts":[["2012"]]}}}],"schema":"https://github.com/citation-style-language/schema/raw/master/csl-citation.json"} </w:instrText>
      </w:r>
      <w:r>
        <w:fldChar w:fldCharType="separate"/>
      </w:r>
      <w:r w:rsidRPr="0077114F">
        <w:rPr>
          <w:szCs w:val="24"/>
        </w:rPr>
        <w:t>(PC 2012</w:t>
      </w:r>
      <w:r>
        <w:rPr>
          <w:szCs w:val="24"/>
        </w:rPr>
        <w:t>a</w:t>
      </w:r>
      <w:r w:rsidRPr="0077114F">
        <w:rPr>
          <w:szCs w:val="24"/>
        </w:rPr>
        <w:t>)</w:t>
      </w:r>
      <w:r>
        <w:fldChar w:fldCharType="end"/>
      </w:r>
      <w:r>
        <w:t>.</w:t>
      </w:r>
    </w:p>
    <w:p w14:paraId="1A9D5D11" w14:textId="77777777" w:rsidR="00360B6B" w:rsidRDefault="00360B6B" w:rsidP="00360B6B">
      <w:pPr>
        <w:pStyle w:val="ListBullet"/>
      </w:pPr>
      <w:r>
        <w:t xml:space="preserve">In 2013, the Commission adapted the same framework to assess the impacts of prospective changes Australia’s automotive industry (PC 2013). </w:t>
      </w:r>
    </w:p>
    <w:p w14:paraId="22080415" w14:textId="77777777" w:rsidR="00360B6B" w:rsidRDefault="00360B6B" w:rsidP="00360B6B">
      <w:pPr>
        <w:pStyle w:val="BodyText"/>
      </w:pPr>
      <w:r>
        <w:t xml:space="preserve">The particular model adopted in the 2012 and 2013 studies, and a number of earlier studies, was an earlier version of the </w:t>
      </w:r>
      <w:proofErr w:type="spellStart"/>
      <w:r>
        <w:t>VUMR</w:t>
      </w:r>
      <w:proofErr w:type="spellEnd"/>
      <w:r>
        <w:t xml:space="preserve"> model (known as the Monash Multi-Regional Forecasting (</w:t>
      </w:r>
      <w:proofErr w:type="spellStart"/>
      <w:r>
        <w:t>MMRF</w:t>
      </w:r>
      <w:proofErr w:type="spellEnd"/>
      <w:r>
        <w:t xml:space="preserve">) model). The </w:t>
      </w:r>
      <w:proofErr w:type="spellStart"/>
      <w:r>
        <w:t>VUMR</w:t>
      </w:r>
      <w:proofErr w:type="spellEnd"/>
      <w:r>
        <w:t xml:space="preserve"> (and the </w:t>
      </w:r>
      <w:proofErr w:type="spellStart"/>
      <w:r>
        <w:t>MMRF</w:t>
      </w:r>
      <w:proofErr w:type="spellEnd"/>
      <w:r>
        <w:t xml:space="preserve">) models differ from the MONASH model in that </w:t>
      </w:r>
      <w:proofErr w:type="spellStart"/>
      <w:r>
        <w:t>VUMR</w:t>
      </w:r>
      <w:proofErr w:type="spellEnd"/>
      <w:r>
        <w:t xml:space="preserve"> models each state and territory as a separate economy while the MONASH model is a national </w:t>
      </w:r>
      <w:proofErr w:type="spellStart"/>
      <w:r>
        <w:t>CGE</w:t>
      </w:r>
      <w:proofErr w:type="spellEnd"/>
      <w:r>
        <w:t xml:space="preserve"> model. </w:t>
      </w:r>
    </w:p>
    <w:p w14:paraId="2891683B" w14:textId="77777777" w:rsidR="00360B6B" w:rsidRDefault="00360B6B" w:rsidP="00360B6B">
      <w:pPr>
        <w:pStyle w:val="BodyText"/>
      </w:pPr>
      <w:r>
        <w:t xml:space="preserve">The version of the </w:t>
      </w:r>
      <w:proofErr w:type="spellStart"/>
      <w:r>
        <w:t>VUMR</w:t>
      </w:r>
      <w:proofErr w:type="spellEnd"/>
      <w:r>
        <w:t xml:space="preserve"> model being used in this inquiry broadly follows that used in the Commission’s 2012 study on the impacts of COAG reforms and later used to assess automotive industry changes (PC 2012, 2013). As noted, it treats each state and territory as a separate economy linked by inter-regional trade and movement of labour force. Production in each jurisdiction is disaggregated into 79 industries and the labour force into 8 occupational groups. The </w:t>
      </w:r>
      <w:proofErr w:type="spellStart"/>
      <w:r>
        <w:t>VUMR</w:t>
      </w:r>
      <w:proofErr w:type="spellEnd"/>
      <w:r>
        <w:t xml:space="preserve"> model also includes a cohort-based demographic model which is integrated with the production core of the model, as well as detailed accounting of government finances for each state and territory government and the Australian Government (box </w:t>
      </w:r>
      <w:proofErr w:type="spellStart"/>
      <w:r>
        <w:t>A.1</w:t>
      </w:r>
      <w:proofErr w:type="spellEnd"/>
      <w:r>
        <w:t xml:space="preserve">). </w:t>
      </w:r>
    </w:p>
    <w:p w14:paraId="6D5867A9" w14:textId="77777777" w:rsidR="00360B6B" w:rsidRDefault="00360B6B" w:rsidP="00360B6B">
      <w:pPr>
        <w:pStyle w:val="BodyText"/>
      </w:pPr>
      <w:r>
        <w:lastRenderedPageBreak/>
        <w:t xml:space="preserve">The </w:t>
      </w:r>
      <w:proofErr w:type="spellStart"/>
      <w:r>
        <w:t>VUMR</w:t>
      </w:r>
      <w:proofErr w:type="spellEnd"/>
      <w:r>
        <w:t xml:space="preserve">-MI model is applied in its </w:t>
      </w:r>
      <w:r w:rsidRPr="00CE4FB6">
        <w:rPr>
          <w:i/>
        </w:rPr>
        <w:t>dynamic</w:t>
      </w:r>
      <w:r>
        <w:t xml:space="preserve"> mode to explore the evolution of the population through natural increase and NOM as well as growth in the economy through changes in labour force participation and labour productivity over time. Under the dynamic approach, the modelling scenarios focus on the path of the economy with alternative assumptions with and without NOM over the 45</w:t>
      </w:r>
      <w:r>
        <w:noBreakHyphen/>
        <w:t>year period from 2014</w:t>
      </w:r>
      <w:r>
        <w:noBreakHyphen/>
        <w:t>15 to 2059</w:t>
      </w:r>
      <w:r>
        <w:noBreakHyphen/>
        <w:t xml:space="preserve">60, inclusive. </w:t>
      </w:r>
    </w:p>
    <w:p w14:paraId="738DC27E" w14:textId="77777777" w:rsidR="00360B6B" w:rsidRDefault="00360B6B" w:rsidP="00360B6B">
      <w:pPr>
        <w:pStyle w:val="BodyText"/>
      </w:pPr>
      <w:r>
        <w:t>The assumed path of c</w:t>
      </w:r>
      <w:r>
        <w:rPr>
          <w:lang w:eastAsia="en-US"/>
        </w:rPr>
        <w:t xml:space="preserve">hanges in labour productivity and other variables are based on historical data at the </w:t>
      </w:r>
      <w:r w:rsidRPr="00101D58">
        <w:rPr>
          <w:lang w:eastAsia="en-US"/>
        </w:rPr>
        <w:t>sectoral level</w:t>
      </w:r>
      <w:r>
        <w:rPr>
          <w:lang w:eastAsia="en-US"/>
        </w:rPr>
        <w:t>. Changes in population are estimated using the cohort-based demographic model (figure </w:t>
      </w:r>
      <w:proofErr w:type="spellStart"/>
      <w:r>
        <w:rPr>
          <w:lang w:eastAsia="en-US"/>
        </w:rPr>
        <w:t>A.1</w:t>
      </w:r>
      <w:proofErr w:type="spellEnd"/>
      <w:r>
        <w:rPr>
          <w:lang w:eastAsia="en-US"/>
        </w:rPr>
        <w:t xml:space="preserve">). </w:t>
      </w:r>
    </w:p>
    <w:p w14:paraId="206B3E9B" w14:textId="5452C805"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409AF1E4" w14:textId="77777777" w:rsidTr="0052424C">
        <w:tc>
          <w:tcPr>
            <w:tcW w:w="8771" w:type="dxa"/>
            <w:tcBorders>
              <w:top w:val="single" w:sz="6" w:space="0" w:color="78A22F"/>
              <w:left w:val="nil"/>
              <w:bottom w:val="nil"/>
              <w:right w:val="nil"/>
            </w:tcBorders>
            <w:shd w:val="clear" w:color="auto" w:fill="auto"/>
          </w:tcPr>
          <w:p w14:paraId="32BE10E5" w14:textId="42A45CDD" w:rsidR="00360B6B" w:rsidRPr="00176D3F"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1</w:t>
            </w:r>
            <w:proofErr w:type="spellEnd"/>
            <w:r w:rsidRPr="00784A05">
              <w:rPr>
                <w:b w:val="0"/>
              </w:rPr>
              <w:fldChar w:fldCharType="end"/>
            </w:r>
            <w:r>
              <w:tab/>
              <w:t>Stylised</w:t>
            </w:r>
            <w:r w:rsidRPr="00D86D8D">
              <w:t xml:space="preserve"> representation of the </w:t>
            </w:r>
            <w:proofErr w:type="spellStart"/>
            <w:r w:rsidRPr="00D86D8D">
              <w:t>VUMR</w:t>
            </w:r>
            <w:proofErr w:type="spellEnd"/>
            <w:r>
              <w:noBreakHyphen/>
              <w:t>MI</w:t>
            </w:r>
            <w:r w:rsidRPr="00D86D8D">
              <w:t xml:space="preserve"> model</w:t>
            </w:r>
          </w:p>
        </w:tc>
      </w:tr>
      <w:tr w:rsidR="00360B6B" w14:paraId="3634D536"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8504"/>
            </w:tblGrid>
            <w:tr w:rsidR="00360B6B" w14:paraId="6042177E" w14:textId="77777777" w:rsidTr="0052424C">
              <w:trPr>
                <w:jc w:val="center"/>
              </w:trPr>
              <w:tc>
                <w:tcPr>
                  <w:tcW w:w="5000" w:type="pct"/>
                  <w:tcBorders>
                    <w:top w:val="nil"/>
                    <w:bottom w:val="nil"/>
                  </w:tcBorders>
                </w:tcPr>
                <w:p w14:paraId="133E835C" w14:textId="4B2A1DD3" w:rsidR="001A03AF" w:rsidRDefault="001A03AF" w:rsidP="0052424C">
                  <w:pPr>
                    <w:pStyle w:val="Figure"/>
                    <w:spacing w:before="60" w:after="60"/>
                  </w:pPr>
                  <w:r>
                    <w:rPr>
                      <w:noProof/>
                    </w:rPr>
                    <w:drawing>
                      <wp:inline distT="0" distB="0" distL="0" distR="0" wp14:anchorId="311BDEBB" wp14:editId="6CD39966">
                        <wp:extent cx="4184650" cy="1839595"/>
                        <wp:effectExtent l="0" t="0" r="6350" b="8255"/>
                        <wp:docPr id="4" name="Picture 4" descr="This figure illustrates a stylised representation of the VUMR—MI model. This model treats each state and territory as a separate economy linked by inter-regional trade and movement of labour. The VUMR model also includes a cohort based demographic module which is integrated with the production core of the model, as well as detailed accounting of government finances for each State and Territory government and the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4650" cy="1839595"/>
                                </a:xfrm>
                                <a:prstGeom prst="rect">
                                  <a:avLst/>
                                </a:prstGeom>
                                <a:noFill/>
                                <a:ln>
                                  <a:noFill/>
                                </a:ln>
                              </pic:spPr>
                            </pic:pic>
                          </a:graphicData>
                        </a:graphic>
                      </wp:inline>
                    </w:drawing>
                  </w:r>
                </w:p>
              </w:tc>
            </w:tr>
          </w:tbl>
          <w:p w14:paraId="628C2A04" w14:textId="77777777" w:rsidR="00360B6B" w:rsidRDefault="00360B6B" w:rsidP="0052424C">
            <w:pPr>
              <w:pStyle w:val="Figure"/>
            </w:pPr>
          </w:p>
        </w:tc>
      </w:tr>
      <w:tr w:rsidR="00360B6B" w14:paraId="0A307930" w14:textId="77777777" w:rsidTr="0052424C">
        <w:tc>
          <w:tcPr>
            <w:tcW w:w="8771" w:type="dxa"/>
            <w:tcBorders>
              <w:top w:val="nil"/>
              <w:left w:val="nil"/>
              <w:bottom w:val="single" w:sz="6" w:space="0" w:color="78A22F"/>
              <w:right w:val="nil"/>
            </w:tcBorders>
            <w:shd w:val="clear" w:color="auto" w:fill="auto"/>
          </w:tcPr>
          <w:p w14:paraId="23E458D4" w14:textId="77777777" w:rsidR="00360B6B" w:rsidRDefault="00360B6B" w:rsidP="0052424C">
            <w:pPr>
              <w:pStyle w:val="Figurespace"/>
            </w:pPr>
          </w:p>
        </w:tc>
      </w:tr>
      <w:tr w:rsidR="00360B6B" w:rsidRPr="000863A5" w14:paraId="74D3E11E" w14:textId="77777777" w:rsidTr="0052424C">
        <w:tc>
          <w:tcPr>
            <w:tcW w:w="8771" w:type="dxa"/>
            <w:tcBorders>
              <w:top w:val="single" w:sz="6" w:space="0" w:color="78A22F"/>
              <w:left w:val="nil"/>
              <w:bottom w:val="nil"/>
              <w:right w:val="nil"/>
            </w:tcBorders>
          </w:tcPr>
          <w:p w14:paraId="00A5D473" w14:textId="06D048DA" w:rsidR="00360B6B" w:rsidRPr="00626D32" w:rsidRDefault="00360B6B" w:rsidP="0052424C">
            <w:pPr>
              <w:pStyle w:val="BoxSpaceBelow"/>
            </w:pPr>
          </w:p>
        </w:tc>
      </w:tr>
    </w:tbl>
    <w:p w14:paraId="7F703594" w14:textId="77777777" w:rsidR="00360B6B" w:rsidRDefault="00360B6B" w:rsidP="00360B6B">
      <w:pPr>
        <w:pStyle w:val="BodyText"/>
      </w:pPr>
      <w:r>
        <w:t xml:space="preserve">A detailed description of the theoretical structure of the model is provided in </w:t>
      </w:r>
      <w:r w:rsidRPr="00775233">
        <w:rPr>
          <w:i/>
        </w:rPr>
        <w:t>A Dynamic Multi-Regional Applied General Equilibrium Model of the Australian Economy</w:t>
      </w:r>
      <w:r>
        <w:t xml:space="preserve"> </w:t>
      </w:r>
      <w:r>
        <w:fldChar w:fldCharType="begin"/>
      </w:r>
      <w:r>
        <w:instrText xml:space="preserve"> ADDIN ZOTERO_ITEM CSL_CITATION {"citationID":"25shptuegd","properties":{"formattedCitation":"{\\rtf (CoPS\\uc0\\u160{}forthcoming)}","plainCitation":"(CoPS forthcoming)"},"citationItems":[{"id":966,"uris":["http://zotero.org/groups/221603/items/KGSE26VE"],"uri":["http://zotero.org/groups/221603/items/KGSE26VE"],"itemData":{"id":966,"type":"report","title":"Monash Multi-Regional Forecasting Model (Version 5) - A dynamic multi-regional applied general equilibrium model of the Australian economy","publisher-place":"Melbourne","event-place":"Melbourne","author":[{"family":"Centre of Policy Studies","given":""}],"translator":[{"family":"CoPS","given":""}],"issued":{"literal":"forthcoming"}}}],"schema":"https://github.com/citation-style-language/schema/raw/master/csl-citation.json"} </w:instrText>
      </w:r>
      <w:r>
        <w:fldChar w:fldCharType="separate"/>
      </w:r>
      <w:r w:rsidRPr="0083161D">
        <w:rPr>
          <w:szCs w:val="24"/>
        </w:rPr>
        <w:t>(CoPS </w:t>
      </w:r>
      <w:r>
        <w:rPr>
          <w:szCs w:val="24"/>
        </w:rPr>
        <w:t>2014</w:t>
      </w:r>
      <w:r w:rsidRPr="0083161D">
        <w:rPr>
          <w:szCs w:val="24"/>
        </w:rPr>
        <w:t>)</w:t>
      </w:r>
      <w:r>
        <w:fldChar w:fldCharType="end"/>
      </w:r>
      <w:r>
        <w:t xml:space="preserve">. </w:t>
      </w:r>
    </w:p>
    <w:p w14:paraId="0EC479E9" w14:textId="77777777" w:rsidR="00360B6B" w:rsidRDefault="00360B6B" w:rsidP="00360B6B">
      <w:pPr>
        <w:pStyle w:val="Heading3"/>
      </w:pPr>
      <w:r>
        <w:t>The modelling in context</w:t>
      </w:r>
    </w:p>
    <w:p w14:paraId="22859EF6" w14:textId="77777777" w:rsidR="00360B6B" w:rsidRDefault="00360B6B" w:rsidP="00360B6B">
      <w:pPr>
        <w:pStyle w:val="BodyText"/>
      </w:pPr>
      <w:r>
        <w:t xml:space="preserve">No model can fully replicate the economy, and all of the complex interactions within and between the domestic and global economic systems. The model also does not fully take account of social and environmental conditions that can have feedback effects on Australia’s demography, consumption choices, labour supply, and production and trade. There are also some real world processes that are not included. For example, the model does not directly capture the emergence of new activities and products, or global population and economic changes.  </w:t>
      </w:r>
    </w:p>
    <w:p w14:paraId="7B30097F" w14:textId="77777777" w:rsidR="00360B6B" w:rsidRPr="00C50381" w:rsidRDefault="00360B6B" w:rsidP="00360B6B">
      <w:pPr>
        <w:pStyle w:val="BodyText"/>
        <w:rPr>
          <w:szCs w:val="24"/>
        </w:rPr>
      </w:pPr>
      <w:r>
        <w:t xml:space="preserve">The modelling approach adopted in this inquiry, nevertheless, seeks to capture the direct relationships relevant to economywide impacts of migration. </w:t>
      </w:r>
      <w:r w:rsidRPr="00C50381">
        <w:t xml:space="preserve">In model simulations, the direct effects of </w:t>
      </w:r>
      <w:r>
        <w:t xml:space="preserve">NOM are </w:t>
      </w:r>
      <w:r w:rsidRPr="00C50381">
        <w:t xml:space="preserve">imposed on the model as exogenous </w:t>
      </w:r>
      <w:r>
        <w:t xml:space="preserve">population shocks (scenario 2), labour force occupation shocks (scenario 3) and productivity </w:t>
      </w:r>
      <w:r w:rsidRPr="00C50381">
        <w:t>shocks</w:t>
      </w:r>
      <w:r>
        <w:t xml:space="preserve"> </w:t>
      </w:r>
      <w:r>
        <w:lastRenderedPageBreak/>
        <w:t>(scenario 4)</w:t>
      </w:r>
      <w:r w:rsidRPr="00C50381">
        <w:t xml:space="preserve"> and the flow-on economic effects </w:t>
      </w:r>
      <w:r>
        <w:t>on production and consumption, and government revenue and expenditure</w:t>
      </w:r>
      <w:r w:rsidRPr="00C50381">
        <w:t xml:space="preserve"> are </w:t>
      </w:r>
      <w:r>
        <w:t>projected</w:t>
      </w:r>
      <w:r w:rsidRPr="00C50381">
        <w:t>.</w:t>
      </w:r>
      <w:r>
        <w:t xml:space="preserve"> </w:t>
      </w:r>
    </w:p>
    <w:p w14:paraId="7CE94DEF" w14:textId="77777777" w:rsidR="00360B6B" w:rsidRDefault="00360B6B" w:rsidP="00360B6B">
      <w:pPr>
        <w:pStyle w:val="BodyText"/>
      </w:pPr>
      <w:r>
        <w:t xml:space="preserve">As the scenarios modelled reflect migrant movements imposed on the model, they should </w:t>
      </w:r>
      <w:r w:rsidRPr="00B07E02">
        <w:rPr>
          <w:i/>
        </w:rPr>
        <w:t>not</w:t>
      </w:r>
      <w:r>
        <w:t xml:space="preserve"> be interpreted as a quantification of the effects of future policy decisions of government. Rather they are reflective of the historical average levels of migration and the current characteristics of migrants and how these may evolve over time.</w:t>
      </w:r>
    </w:p>
    <w:p w14:paraId="1D5FD352" w14:textId="77777777" w:rsidR="00360B6B" w:rsidRDefault="00360B6B" w:rsidP="00360B6B">
      <w:pPr>
        <w:pStyle w:val="BodyText"/>
      </w:pPr>
      <w:r>
        <w:t>The dynamic modelling undertaken is based on a framework of ‘adaptive’ expectations where industry adjusts gradually to economic change. Under this approach, capital progressively depreciates and accumulates to equilibrate actual return on capital with the expected rate, based on the historical average. Investment decisions of businesses are modelled as responding to higher population and labour force levels. There is, therefore, a lag between new arrivals of migrants and new capital investment. More broadly, to the extent that firms anticipate changes in the economy and adjust investment, output and employment decisions, the modelling results may not accurately reflect likely outcomes.</w:t>
      </w:r>
    </w:p>
    <w:p w14:paraId="003AB042" w14:textId="77777777" w:rsidR="00360B6B" w:rsidRDefault="00360B6B" w:rsidP="00360B6B">
      <w:pPr>
        <w:pStyle w:val="BodyText"/>
      </w:pPr>
      <w:r>
        <w:t xml:space="preserve">The behavioural parameters included in the </w:t>
      </w:r>
      <w:proofErr w:type="spellStart"/>
      <w:r>
        <w:t>VUMR</w:t>
      </w:r>
      <w:proofErr w:type="spellEnd"/>
      <w:r>
        <w:t xml:space="preserve">-MI model determine the responsiveness of producers and consumers to changes in relative prices (including wages) and are based on </w:t>
      </w:r>
      <w:r w:rsidRPr="00101D58">
        <w:t>benchmark</w:t>
      </w:r>
      <w:r>
        <w:t xml:space="preserve"> model values. The accuracy of the model projections depends, in part, on whether the actual behavioural responses by producers and consumers differ from those implied by parameter values in the model (such as in purchasing local and imported supplies, the substitution between labour and capital in production or the relocation of labour between regions). This version uses the standard parameters values included in previous versions of the model. </w:t>
      </w:r>
    </w:p>
    <w:p w14:paraId="668881AE" w14:textId="77777777" w:rsidR="00360B6B" w:rsidRDefault="00360B6B" w:rsidP="00360B6B">
      <w:pPr>
        <w:pStyle w:val="BodyText"/>
      </w:pPr>
      <w:r>
        <w:t xml:space="preserve">Similarly, the compilation of the model database is based on many simplifying assumptions needed to translate and calibrate available statistical information into a database representing the complex interactions in the economy. Deviations in the model data from actual economic flows could contribute to some deviation of aggregate results from likely outcomes, or variation in the distributional effects. </w:t>
      </w:r>
    </w:p>
    <w:p w14:paraId="1DE3E8C6" w14:textId="77777777" w:rsidR="00360B6B" w:rsidRDefault="00360B6B" w:rsidP="00360B6B">
      <w:pPr>
        <w:pStyle w:val="Heading3"/>
      </w:pPr>
      <w:r>
        <w:t xml:space="preserve">Extensions to the </w:t>
      </w:r>
      <w:proofErr w:type="spellStart"/>
      <w:r>
        <w:t>VUMR</w:t>
      </w:r>
      <w:proofErr w:type="spellEnd"/>
      <w:r>
        <w:t xml:space="preserve"> model for this inquiry</w:t>
      </w:r>
    </w:p>
    <w:p w14:paraId="4B65BFC2" w14:textId="77777777" w:rsidR="00360B6B" w:rsidRDefault="00360B6B" w:rsidP="00360B6B">
      <w:pPr>
        <w:pStyle w:val="Heading4"/>
      </w:pPr>
      <w:r>
        <w:t>Modelling of net overseas migration</w:t>
      </w:r>
    </w:p>
    <w:p w14:paraId="197A486D" w14:textId="77777777" w:rsidR="00360B6B" w:rsidRDefault="00360B6B" w:rsidP="00360B6B">
      <w:pPr>
        <w:pStyle w:val="BodyText"/>
      </w:pPr>
      <w:r>
        <w:t xml:space="preserve">NOM can directly affect the Australian economy by changing the size of the population, its age and gender structure as well as the size and composition of labour force. </w:t>
      </w:r>
    </w:p>
    <w:p w14:paraId="03393400" w14:textId="77777777" w:rsidR="00360B6B" w:rsidRDefault="00360B6B" w:rsidP="00360B6B">
      <w:pPr>
        <w:pStyle w:val="BodyText"/>
      </w:pPr>
      <w:r>
        <w:t xml:space="preserve">In the </w:t>
      </w:r>
      <w:proofErr w:type="spellStart"/>
      <w:r>
        <w:t>VUMR</w:t>
      </w:r>
      <w:proofErr w:type="spellEnd"/>
      <w:r>
        <w:t xml:space="preserve"> framework, NOM is introduced to the model as a source of population change based on the state and age-gender of migrants. This process is outlined in box </w:t>
      </w:r>
      <w:proofErr w:type="spellStart"/>
      <w:r>
        <w:t>A.1</w:t>
      </w:r>
      <w:proofErr w:type="spellEnd"/>
      <w:r>
        <w:t>.</w:t>
      </w:r>
    </w:p>
    <w:p w14:paraId="448C9288" w14:textId="0E90D749"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6BEB57E1" w14:textId="77777777" w:rsidTr="0052424C">
        <w:tc>
          <w:tcPr>
            <w:tcW w:w="8771" w:type="dxa"/>
            <w:tcBorders>
              <w:top w:val="single" w:sz="6" w:space="0" w:color="78A22F"/>
              <w:left w:val="nil"/>
              <w:bottom w:val="nil"/>
              <w:right w:val="nil"/>
            </w:tcBorders>
            <w:shd w:val="clear" w:color="auto" w:fill="F2F2F2"/>
          </w:tcPr>
          <w:p w14:paraId="5FDE3D87" w14:textId="77777777" w:rsidR="00360B6B" w:rsidRDefault="00360B6B" w:rsidP="0052424C">
            <w:pPr>
              <w:pStyle w:val="BoxTitle"/>
            </w:pPr>
            <w:r>
              <w:rPr>
                <w:b w:val="0"/>
              </w:rPr>
              <w:t xml:space="preserve">Box </w:t>
            </w:r>
            <w:r w:rsidRPr="003774FF">
              <w:rPr>
                <w:b w:val="0"/>
              </w:rPr>
              <w:fldChar w:fldCharType="begin"/>
            </w:r>
            <w:r w:rsidRPr="003774FF">
              <w:rPr>
                <w:b w:val="0"/>
              </w:rPr>
              <w:instrText xml:space="preserve"> COMMENTS  \* MERGEFORMAT </w:instrText>
            </w:r>
            <w:r w:rsidRPr="003774FF">
              <w:rPr>
                <w:b w:val="0"/>
              </w:rPr>
              <w:fldChar w:fldCharType="separate"/>
            </w:r>
            <w:proofErr w:type="spellStart"/>
            <w:r>
              <w:rPr>
                <w:b w:val="0"/>
              </w:rPr>
              <w:t>A.</w:t>
            </w:r>
            <w:r w:rsidRPr="003774FF">
              <w:rPr>
                <w:b w:val="0"/>
              </w:rPr>
              <w:fldChar w:fldCharType="end"/>
            </w:r>
            <w:r w:rsidRPr="003774FF">
              <w:rPr>
                <w:b w:val="0"/>
              </w:rPr>
              <w:fldChar w:fldCharType="begin"/>
            </w:r>
            <w:r w:rsidRPr="003774FF">
              <w:rPr>
                <w:b w:val="0"/>
              </w:rPr>
              <w:instrText xml:space="preserve"> SEQ Box \* ARABIC </w:instrText>
            </w:r>
            <w:r w:rsidRPr="003774FF">
              <w:rPr>
                <w:b w:val="0"/>
              </w:rPr>
              <w:fldChar w:fldCharType="separate"/>
            </w:r>
            <w:r w:rsidR="008846C7">
              <w:rPr>
                <w:b w:val="0"/>
                <w:noProof/>
              </w:rPr>
              <w:t>1</w:t>
            </w:r>
            <w:proofErr w:type="spellEnd"/>
            <w:r w:rsidRPr="003774FF">
              <w:rPr>
                <w:b w:val="0"/>
              </w:rPr>
              <w:fldChar w:fldCharType="end"/>
            </w:r>
            <w:r>
              <w:tab/>
              <w:t>Operation of the demographic module</w:t>
            </w:r>
          </w:p>
        </w:tc>
      </w:tr>
      <w:tr w:rsidR="00360B6B" w14:paraId="73069D54" w14:textId="77777777" w:rsidTr="0052424C">
        <w:trPr>
          <w:cantSplit/>
        </w:trPr>
        <w:tc>
          <w:tcPr>
            <w:tcW w:w="8771" w:type="dxa"/>
            <w:tcBorders>
              <w:top w:val="nil"/>
              <w:left w:val="nil"/>
              <w:bottom w:val="nil"/>
              <w:right w:val="nil"/>
            </w:tcBorders>
            <w:shd w:val="clear" w:color="auto" w:fill="F2F2F2"/>
          </w:tcPr>
          <w:p w14:paraId="3E974BE6" w14:textId="77777777" w:rsidR="00360B6B" w:rsidRDefault="00360B6B" w:rsidP="0052424C">
            <w:pPr>
              <w:pStyle w:val="Box"/>
            </w:pPr>
            <w:r>
              <w:t>The demographic module models the effect of demographic change on subsets of the population based on age, gender and region (referred to as ‘cohorts’). This makes it a ‘cohort component’ model. It uses a ‘stock–flow’ approach to calculate regional populations by age and gender. The 2013-14 database consists of the estimated resident population (</w:t>
            </w:r>
            <w:proofErr w:type="spellStart"/>
            <w:r>
              <w:t>ERP</w:t>
            </w:r>
            <w:proofErr w:type="spellEnd"/>
            <w:r>
              <w:t>) for 1616 cohorts as at 30 June 2013. Each cohort represents a unique combination of:</w:t>
            </w:r>
          </w:p>
          <w:p w14:paraId="4D478574" w14:textId="77777777" w:rsidR="00360B6B" w:rsidRDefault="00360B6B" w:rsidP="0052424C">
            <w:pPr>
              <w:pStyle w:val="BoxListBullet"/>
            </w:pPr>
            <w:r>
              <w:t>101 age groups: 100 single year age cohorts — 0 years old to 99 years old — and an open ended 100 years and over cohort</w:t>
            </w:r>
          </w:p>
          <w:p w14:paraId="4BD7973F" w14:textId="77777777" w:rsidR="00360B6B" w:rsidRDefault="00360B6B" w:rsidP="0052424C">
            <w:pPr>
              <w:pStyle w:val="BoxListBullet"/>
            </w:pPr>
            <w:r>
              <w:t>two genders: male and female</w:t>
            </w:r>
          </w:p>
          <w:p w14:paraId="28D21924" w14:textId="77777777" w:rsidR="00360B6B" w:rsidRDefault="00360B6B" w:rsidP="0052424C">
            <w:pPr>
              <w:pStyle w:val="BoxListBullet"/>
            </w:pPr>
            <w:r>
              <w:t>eight regions: New South Wales, Victoria, Queensland, South Australia, Western Australia, Tasmania, the Northern Territory and the Australian Capital Territory.</w:t>
            </w:r>
          </w:p>
          <w:p w14:paraId="1F1B37F9" w14:textId="77777777" w:rsidR="00360B6B" w:rsidRDefault="00360B6B" w:rsidP="0052424C">
            <w:pPr>
              <w:pStyle w:val="Box"/>
            </w:pPr>
            <w:r w:rsidRPr="00262F3B">
              <w:t>The age, gender and region cohort data that underpin the database for the new demographic module is sourced from the ABS</w:t>
            </w:r>
            <w:r>
              <w:t> (</w:t>
            </w:r>
            <w:proofErr w:type="spellStart"/>
            <w:r>
              <w:t>2014a</w:t>
            </w:r>
            <w:proofErr w:type="spellEnd"/>
            <w:r>
              <w:t xml:space="preserve">; </w:t>
            </w:r>
            <w:proofErr w:type="spellStart"/>
            <w:r>
              <w:t>2014b</w:t>
            </w:r>
            <w:proofErr w:type="spellEnd"/>
            <w:r>
              <w:t>)</w:t>
            </w:r>
            <w:r w:rsidRPr="00262F3B">
              <w:t>.</w:t>
            </w:r>
          </w:p>
          <w:p w14:paraId="723F0047" w14:textId="77777777" w:rsidR="00360B6B" w:rsidRDefault="00360B6B" w:rsidP="0052424C">
            <w:pPr>
              <w:pStyle w:val="Box"/>
            </w:pPr>
            <w:r w:rsidRPr="008D5DF4">
              <w:t>In each simulation year, the number of people in each age, gender and region cohort changes according to</w:t>
            </w:r>
            <w:r>
              <w:t>: the net inflow through NOM (i.e., immigration less emigration); the net inflow through interstate migration (i.e., interstate arrivals less departures); and deaths and births for the group aged ‘0 year olds’.</w:t>
            </w:r>
          </w:p>
          <w:p w14:paraId="75FAA62A" w14:textId="77777777" w:rsidR="00360B6B" w:rsidRDefault="00360B6B" w:rsidP="0052424C">
            <w:pPr>
              <w:pStyle w:val="Box"/>
            </w:pPr>
            <w:r>
              <w:rPr>
                <w:noProof/>
              </w:rPr>
              <w:drawing>
                <wp:inline distT="0" distB="0" distL="0" distR="0" wp14:anchorId="395FBB73" wp14:editId="0CB0CF5A">
                  <wp:extent cx="5387874" cy="3065929"/>
                  <wp:effectExtent l="0" t="0" r="0" b="0"/>
                  <wp:docPr id="25" name="Picture 25" descr="The box figure illustrates the operation of the demographic module between year t and year t+1. The demographic module models the effect of demographic change on subsets of the population based on age, gender and region (referred to as ‘coh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795" b="7123"/>
                          <a:stretch/>
                        </pic:blipFill>
                        <pic:spPr bwMode="auto">
                          <a:xfrm>
                            <a:off x="0" y="0"/>
                            <a:ext cx="5384800" cy="3064180"/>
                          </a:xfrm>
                          <a:prstGeom prst="rect">
                            <a:avLst/>
                          </a:prstGeom>
                          <a:noFill/>
                          <a:ln>
                            <a:noFill/>
                          </a:ln>
                          <a:extLst>
                            <a:ext uri="{53640926-AAD7-44D8-BBD7-CCE9431645EC}">
                              <a14:shadowObscured xmlns:a14="http://schemas.microsoft.com/office/drawing/2010/main"/>
                            </a:ext>
                          </a:extLst>
                        </pic:spPr>
                      </pic:pic>
                    </a:graphicData>
                  </a:graphic>
                </wp:inline>
              </w:drawing>
            </w:r>
          </w:p>
          <w:p w14:paraId="2BC59B8F" w14:textId="77777777" w:rsidR="00360B6B" w:rsidRDefault="00360B6B" w:rsidP="0052424C">
            <w:pPr>
              <w:pStyle w:val="Box"/>
            </w:pPr>
            <w:r>
              <w:t>People who do not die or leave the region are one year older by the end of the simulation year and join the next age cohort.</w:t>
            </w:r>
          </w:p>
          <w:p w14:paraId="56ED91FE" w14:textId="77777777" w:rsidR="00360B6B" w:rsidRDefault="00360B6B" w:rsidP="0052424C">
            <w:pPr>
              <w:pStyle w:val="Box"/>
            </w:pPr>
            <w:r>
              <w:t xml:space="preserve">The demographic module is linked into the model core to determine population, working-age population and labour supply. The module is expressed in level terms and adopts the practice in </w:t>
            </w:r>
            <w:proofErr w:type="spellStart"/>
            <w:r>
              <w:t>VUMR</w:t>
            </w:r>
            <w:proofErr w:type="spellEnd"/>
            <w:r>
              <w:t xml:space="preserve"> of reporting all population and labour market variables in thousands of persons.</w:t>
            </w:r>
          </w:p>
        </w:tc>
      </w:tr>
      <w:tr w:rsidR="00360B6B" w14:paraId="1408F0A5" w14:textId="77777777" w:rsidTr="0052424C">
        <w:trPr>
          <w:cantSplit/>
        </w:trPr>
        <w:tc>
          <w:tcPr>
            <w:tcW w:w="8771" w:type="dxa"/>
            <w:tcBorders>
              <w:top w:val="nil"/>
              <w:left w:val="nil"/>
              <w:bottom w:val="single" w:sz="6" w:space="0" w:color="78A22F"/>
              <w:right w:val="nil"/>
            </w:tcBorders>
            <w:shd w:val="clear" w:color="auto" w:fill="F2F2F2"/>
          </w:tcPr>
          <w:p w14:paraId="5FCE9A79" w14:textId="77777777" w:rsidR="00360B6B" w:rsidRDefault="00360B6B" w:rsidP="0052424C">
            <w:pPr>
              <w:pStyle w:val="Box"/>
              <w:spacing w:before="0" w:line="120" w:lineRule="exact"/>
            </w:pPr>
          </w:p>
        </w:tc>
      </w:tr>
      <w:tr w:rsidR="00360B6B" w:rsidRPr="000863A5" w14:paraId="6E0E95E3" w14:textId="77777777" w:rsidTr="0052424C">
        <w:tc>
          <w:tcPr>
            <w:tcW w:w="8771" w:type="dxa"/>
            <w:tcBorders>
              <w:top w:val="single" w:sz="6" w:space="0" w:color="78A22F"/>
              <w:left w:val="nil"/>
              <w:bottom w:val="nil"/>
              <w:right w:val="nil"/>
            </w:tcBorders>
          </w:tcPr>
          <w:p w14:paraId="3604B7DE" w14:textId="659FD76C" w:rsidR="00360B6B" w:rsidRPr="00626D32" w:rsidRDefault="00360B6B" w:rsidP="0052424C">
            <w:pPr>
              <w:pStyle w:val="BoxSpaceBelow"/>
            </w:pPr>
          </w:p>
        </w:tc>
      </w:tr>
    </w:tbl>
    <w:p w14:paraId="4099284A" w14:textId="77777777" w:rsidR="00360B6B" w:rsidRDefault="00360B6B" w:rsidP="00360B6B">
      <w:pPr>
        <w:pStyle w:val="BodyText"/>
      </w:pPr>
      <w:r>
        <w:t xml:space="preserve">On joining the Australian population, migrants are conventionally modelled as assuming the average characteristics of the population with respect to age-specific fertility and labour force participation rates. In the standard model, migrants are also assumed to initially </w:t>
      </w:r>
      <w:r>
        <w:lastRenderedPageBreak/>
        <w:t>reside in and join the labour force of the state of disembarkation and have the state average occupational characteristics at the time of arrival, and the same state by occupation unemployment rates.</w:t>
      </w:r>
    </w:p>
    <w:p w14:paraId="4EAB7E44" w14:textId="77777777" w:rsidR="00360B6B" w:rsidRDefault="00360B6B" w:rsidP="00360B6B">
      <w:pPr>
        <w:pStyle w:val="BodyText"/>
      </w:pPr>
      <w:r>
        <w:t xml:space="preserve">For the purpose of this inquiry, the </w:t>
      </w:r>
      <w:proofErr w:type="spellStart"/>
      <w:r>
        <w:t>VUMR</w:t>
      </w:r>
      <w:proofErr w:type="spellEnd"/>
      <w:r>
        <w:t xml:space="preserve"> model has been modified to allow for migrants to enter the labour force with different:</w:t>
      </w:r>
    </w:p>
    <w:p w14:paraId="2417D950" w14:textId="77777777" w:rsidR="00360B6B" w:rsidRDefault="00360B6B" w:rsidP="00360B6B">
      <w:pPr>
        <w:pStyle w:val="ListBullet"/>
        <w:spacing w:line="320" w:lineRule="atLeast"/>
      </w:pPr>
      <w:r>
        <w:t>age-gender specific labour force participation rates</w:t>
      </w:r>
    </w:p>
    <w:p w14:paraId="41F88709" w14:textId="77777777" w:rsidR="00360B6B" w:rsidRDefault="00360B6B" w:rsidP="00360B6B">
      <w:pPr>
        <w:pStyle w:val="ListBullet"/>
        <w:spacing w:line="320" w:lineRule="atLeast"/>
      </w:pPr>
      <w:r>
        <w:t xml:space="preserve">state by occupation employment characteristics compared to the characteristics of incumbents. </w:t>
      </w:r>
    </w:p>
    <w:p w14:paraId="76614E37" w14:textId="77777777" w:rsidR="00360B6B" w:rsidRDefault="00360B6B" w:rsidP="00360B6B">
      <w:pPr>
        <w:pStyle w:val="BodyText"/>
      </w:pPr>
      <w:r>
        <w:t>Scenario 3 (the l</w:t>
      </w:r>
      <w:r w:rsidRPr="006B79EA">
        <w:t>abour force occupation effect</w:t>
      </w:r>
      <w:r>
        <w:t xml:space="preserve">) employs this modification to project the economic impact of a continuation in the current occupational structure of NOM. Key model relationships and model code changes are listed in appendix B.  </w:t>
      </w:r>
    </w:p>
    <w:p w14:paraId="0E028E0B" w14:textId="77777777" w:rsidR="00360B6B" w:rsidRDefault="00360B6B" w:rsidP="00360B6B">
      <w:pPr>
        <w:pStyle w:val="Heading4"/>
      </w:pPr>
      <w:r>
        <w:t>Modelling of government finances</w:t>
      </w:r>
    </w:p>
    <w:p w14:paraId="130FEB6E" w14:textId="77777777" w:rsidR="00360B6B" w:rsidRDefault="00360B6B" w:rsidP="00360B6B">
      <w:pPr>
        <w:pStyle w:val="BodyText"/>
      </w:pPr>
      <w:r>
        <w:t xml:space="preserve">The terms of reference direct the Commission to consider the Australian and state and territory governments finance implications of migration. In addition to migration-specific expenditures, an important means by which NOM affects governments finances is through its effects on expenditures directly related to demography including health, aged care and education, in addition to the Age Pension. </w:t>
      </w:r>
    </w:p>
    <w:p w14:paraId="64C78D9C" w14:textId="77777777" w:rsidR="00360B6B" w:rsidRDefault="00360B6B" w:rsidP="00360B6B">
      <w:pPr>
        <w:pStyle w:val="BodyText"/>
      </w:pPr>
      <w:r>
        <w:t xml:space="preserve">In the benchmark </w:t>
      </w:r>
      <w:proofErr w:type="spellStart"/>
      <w:r>
        <w:t>VUMR</w:t>
      </w:r>
      <w:proofErr w:type="spellEnd"/>
      <w:r>
        <w:t xml:space="preserve"> model, the value of Age Pension payments is indexed to the population over 65 years and the model index of consumer prices (CPI). Under this setup, Age Pension payments are responsive to the effect of NOM on the demographic structure of the population.</w:t>
      </w:r>
    </w:p>
    <w:p w14:paraId="569091C8" w14:textId="77777777" w:rsidR="00360B6B" w:rsidRDefault="00360B6B" w:rsidP="00360B6B">
      <w:pPr>
        <w:pStyle w:val="BodyText"/>
      </w:pPr>
      <w:r>
        <w:t>The benchmark model also varies real government final consumption expenditure</w:t>
      </w:r>
      <w:r>
        <w:rPr>
          <w:rStyle w:val="FootnoteReference"/>
        </w:rPr>
        <w:footnoteReference w:id="1"/>
      </w:r>
      <w:r>
        <w:t xml:space="preserve"> on health and aged care services in response to changes in national aggregate real household final consumption spending and the proportion of the population aged 65 years and over. The price of those services is indexed to the output price of health and aged care service provision. In the benchmark model, real government final consumption expenditure on education services varies with household final consumption spending.</w:t>
      </w:r>
    </w:p>
    <w:p w14:paraId="03358605" w14:textId="77777777" w:rsidR="00360B6B" w:rsidRDefault="00360B6B" w:rsidP="00360B6B">
      <w:pPr>
        <w:pStyle w:val="BodyText"/>
      </w:pPr>
      <w:r>
        <w:t>The per person government expenditure pyramids for each of health and education (adjusted to 2013</w:t>
      </w:r>
      <w:r>
        <w:noBreakHyphen/>
        <w:t>14 prices) are shown in figure </w:t>
      </w:r>
      <w:proofErr w:type="spellStart"/>
      <w:r>
        <w:t>A.2</w:t>
      </w:r>
      <w:proofErr w:type="spellEnd"/>
      <w:r>
        <w:t xml:space="preserve">. The pyramids show that the level of government expenditures on these services is sensitive to the population age structure, with </w:t>
      </w:r>
      <w:r>
        <w:lastRenderedPageBreak/>
        <w:t xml:space="preserve">the profiles for health being weighted towards the older age groups and education towards the younger in terms of level of per person government expenditure. </w:t>
      </w:r>
    </w:p>
    <w:p w14:paraId="3763118F" w14:textId="14EA0F7F"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20C927C9" w14:textId="77777777" w:rsidTr="0052424C">
        <w:tc>
          <w:tcPr>
            <w:tcW w:w="8771" w:type="dxa"/>
            <w:tcBorders>
              <w:top w:val="single" w:sz="6" w:space="0" w:color="78A22F"/>
              <w:left w:val="nil"/>
              <w:bottom w:val="nil"/>
              <w:right w:val="nil"/>
            </w:tcBorders>
            <w:shd w:val="clear" w:color="auto" w:fill="auto"/>
          </w:tcPr>
          <w:p w14:paraId="5A7049B9" w14:textId="693AA0DC" w:rsidR="00360B6B" w:rsidRPr="00176D3F" w:rsidRDefault="00360B6B" w:rsidP="0052424C">
            <w:pPr>
              <w:pStyle w:val="FigureTitle"/>
            </w:pPr>
            <w:r w:rsidRPr="00784A05">
              <w:rPr>
                <w:b w:val="0"/>
              </w:rPr>
              <w:t xml:space="preserve">Figure </w:t>
            </w:r>
            <w:r w:rsidRPr="003774FF">
              <w:rPr>
                <w:b w:val="0"/>
              </w:rPr>
              <w:fldChar w:fldCharType="begin"/>
            </w:r>
            <w:r w:rsidRPr="003774FF">
              <w:rPr>
                <w:b w:val="0"/>
              </w:rPr>
              <w:instrText xml:space="preserve"> COMMENTS  \* MERGEFORMAT </w:instrText>
            </w:r>
            <w:r w:rsidRPr="003774FF">
              <w:rPr>
                <w:b w:val="0"/>
              </w:rPr>
              <w:fldChar w:fldCharType="separate"/>
            </w:r>
            <w:proofErr w:type="spellStart"/>
            <w:r>
              <w:rPr>
                <w:b w:val="0"/>
              </w:rPr>
              <w:t>A.</w:t>
            </w:r>
            <w:r w:rsidRPr="003774FF">
              <w:rPr>
                <w:b w:val="0"/>
              </w:rPr>
              <w:fldChar w:fldCharType="end"/>
            </w:r>
            <w:r w:rsidRPr="003774FF">
              <w:rPr>
                <w:b w:val="0"/>
              </w:rPr>
              <w:fldChar w:fldCharType="begin"/>
            </w:r>
            <w:r w:rsidRPr="003774FF">
              <w:rPr>
                <w:b w:val="0"/>
              </w:rPr>
              <w:instrText xml:space="preserve"> SEQ Figure \* ARABIC </w:instrText>
            </w:r>
            <w:r w:rsidRPr="003774FF">
              <w:rPr>
                <w:b w:val="0"/>
              </w:rPr>
              <w:fldChar w:fldCharType="separate"/>
            </w:r>
            <w:r w:rsidR="008846C7">
              <w:rPr>
                <w:b w:val="0"/>
                <w:noProof/>
              </w:rPr>
              <w:t>2</w:t>
            </w:r>
            <w:proofErr w:type="spellEnd"/>
            <w:r w:rsidRPr="003774FF">
              <w:rPr>
                <w:b w:val="0"/>
              </w:rPr>
              <w:fldChar w:fldCharType="end"/>
            </w:r>
            <w:r>
              <w:tab/>
              <w:t>Health and education costs to governments by age and gender vary</w:t>
            </w:r>
            <w:r w:rsidRPr="0052424C">
              <w:rPr>
                <w:rStyle w:val="NoteLabel"/>
                <w:b/>
              </w:rPr>
              <w:t>a</w:t>
            </w:r>
          </w:p>
        </w:tc>
      </w:tr>
      <w:tr w:rsidR="00360B6B" w14:paraId="34308F0D"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60B6B" w14:paraId="2D3AEA78" w14:textId="77777777" w:rsidTr="0052424C">
              <w:trPr>
                <w:trHeight w:val="54"/>
                <w:jc w:val="center"/>
              </w:trPr>
              <w:tc>
                <w:tcPr>
                  <w:tcW w:w="2500" w:type="pct"/>
                  <w:tcBorders>
                    <w:top w:val="nil"/>
                    <w:bottom w:val="nil"/>
                  </w:tcBorders>
                </w:tcPr>
                <w:p w14:paraId="6007FADF" w14:textId="77777777" w:rsidR="00360B6B" w:rsidRPr="0072756B" w:rsidRDefault="00360B6B" w:rsidP="00360B6B">
                  <w:pPr>
                    <w:pStyle w:val="Figure"/>
                    <w:numPr>
                      <w:ilvl w:val="0"/>
                      <w:numId w:val="20"/>
                    </w:numPr>
                    <w:spacing w:before="60" w:after="60"/>
                    <w:rPr>
                      <w:rFonts w:ascii="Arial" w:hAnsi="Arial" w:cs="Arial"/>
                      <w:b/>
                      <w:sz w:val="18"/>
                      <w:szCs w:val="18"/>
                    </w:rPr>
                  </w:pPr>
                  <w:r w:rsidRPr="0072756B">
                    <w:rPr>
                      <w:rFonts w:ascii="Arial" w:hAnsi="Arial" w:cs="Arial"/>
                      <w:b/>
                      <w:sz w:val="18"/>
                      <w:szCs w:val="18"/>
                    </w:rPr>
                    <w:t>Health</w:t>
                  </w:r>
                </w:p>
                <w:p w14:paraId="2D302756" w14:textId="77777777" w:rsidR="00360B6B" w:rsidRPr="0072756B" w:rsidRDefault="00360B6B" w:rsidP="00360B6B">
                  <w:pPr>
                    <w:pStyle w:val="Figure"/>
                    <w:numPr>
                      <w:ilvl w:val="1"/>
                      <w:numId w:val="28"/>
                    </w:numPr>
                    <w:spacing w:before="60" w:after="60"/>
                    <w:rPr>
                      <w:rFonts w:ascii="Arial" w:hAnsi="Arial" w:cs="Arial"/>
                      <w:b/>
                      <w:sz w:val="18"/>
                      <w:szCs w:val="18"/>
                    </w:rPr>
                  </w:pPr>
                  <w:r w:rsidRPr="0072756B">
                    <w:rPr>
                      <w:rFonts w:ascii="Arial" w:hAnsi="Arial" w:cs="Arial"/>
                      <w:b/>
                      <w:sz w:val="18"/>
                      <w:szCs w:val="18"/>
                    </w:rPr>
                    <w:t xml:space="preserve"> dollars per person</w:t>
                  </w:r>
                </w:p>
              </w:tc>
              <w:tc>
                <w:tcPr>
                  <w:tcW w:w="2500" w:type="pct"/>
                  <w:tcBorders>
                    <w:top w:val="nil"/>
                    <w:bottom w:val="nil"/>
                  </w:tcBorders>
                </w:tcPr>
                <w:p w14:paraId="2B61DE6B" w14:textId="43D14CAF" w:rsidR="00360B6B" w:rsidRPr="0072756B" w:rsidRDefault="00360B6B" w:rsidP="00360B6B">
                  <w:pPr>
                    <w:pStyle w:val="Figure"/>
                    <w:numPr>
                      <w:ilvl w:val="0"/>
                      <w:numId w:val="20"/>
                    </w:numPr>
                    <w:spacing w:before="60" w:after="60"/>
                    <w:rPr>
                      <w:rFonts w:ascii="Arial" w:hAnsi="Arial" w:cs="Arial"/>
                      <w:b/>
                      <w:sz w:val="18"/>
                      <w:szCs w:val="18"/>
                    </w:rPr>
                  </w:pPr>
                  <w:r w:rsidRPr="0072756B">
                    <w:rPr>
                      <w:rFonts w:ascii="Arial" w:hAnsi="Arial" w:cs="Arial"/>
                      <w:b/>
                      <w:sz w:val="18"/>
                      <w:szCs w:val="18"/>
                    </w:rPr>
                    <w:t>All governments education expenditure</w:t>
                  </w:r>
                </w:p>
                <w:p w14:paraId="649E6FFB" w14:textId="77777777" w:rsidR="00360B6B" w:rsidRPr="0072756B" w:rsidRDefault="00360B6B" w:rsidP="0052424C">
                  <w:pPr>
                    <w:pStyle w:val="Figure"/>
                    <w:spacing w:before="60" w:after="60"/>
                    <w:rPr>
                      <w:rFonts w:ascii="Arial" w:hAnsi="Arial" w:cs="Arial"/>
                      <w:b/>
                      <w:sz w:val="18"/>
                      <w:szCs w:val="18"/>
                    </w:rPr>
                  </w:pPr>
                  <w:r w:rsidRPr="0072756B">
                    <w:rPr>
                      <w:rFonts w:ascii="Arial" w:hAnsi="Arial" w:cs="Arial"/>
                      <w:b/>
                      <w:sz w:val="18"/>
                      <w:szCs w:val="18"/>
                    </w:rPr>
                    <w:t>2013-14 dollars per person</w:t>
                  </w:r>
                </w:p>
              </w:tc>
            </w:tr>
            <w:tr w:rsidR="00360B6B" w14:paraId="052D8585" w14:textId="77777777" w:rsidTr="0052424C">
              <w:trPr>
                <w:trHeight w:val="48"/>
                <w:jc w:val="center"/>
              </w:trPr>
              <w:tc>
                <w:tcPr>
                  <w:tcW w:w="2500" w:type="pct"/>
                  <w:tcBorders>
                    <w:top w:val="nil"/>
                    <w:bottom w:val="nil"/>
                  </w:tcBorders>
                </w:tcPr>
                <w:p w14:paraId="4841C1DA" w14:textId="77777777" w:rsidR="00360B6B" w:rsidRDefault="00360B6B" w:rsidP="0052424C">
                  <w:pPr>
                    <w:pStyle w:val="Figure"/>
                    <w:spacing w:before="60" w:after="60"/>
                  </w:pPr>
                  <w:r w:rsidRPr="008100D9" w:rsidDel="008100D9">
                    <w:t xml:space="preserve"> </w:t>
                  </w:r>
                  <w:r>
                    <w:rPr>
                      <w:noProof/>
                    </w:rPr>
                    <w:drawing>
                      <wp:inline distT="0" distB="0" distL="0" distR="0" wp14:anchorId="2B7CE6A8" wp14:editId="760F5562">
                        <wp:extent cx="2628900" cy="2804160"/>
                        <wp:effectExtent l="0" t="0" r="0" b="0"/>
                        <wp:docPr id="9" name="Picture 9" descr="This figure shows the per person expenditure pyramids for health (panel a) and education (panel b) (adjusted to 2013-14 prices) in two panels. The pyramids show that the level of government expenditures on these services is sensitive to the population age structure, with the profiles for health being weighted towards the older age groups and education towards the young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2804160"/>
                                </a:xfrm>
                                <a:prstGeom prst="rect">
                                  <a:avLst/>
                                </a:prstGeom>
                                <a:noFill/>
                                <a:ln>
                                  <a:noFill/>
                                </a:ln>
                              </pic:spPr>
                            </pic:pic>
                          </a:graphicData>
                        </a:graphic>
                      </wp:inline>
                    </w:drawing>
                  </w:r>
                </w:p>
              </w:tc>
              <w:tc>
                <w:tcPr>
                  <w:tcW w:w="2500" w:type="pct"/>
                  <w:tcBorders>
                    <w:top w:val="nil"/>
                    <w:bottom w:val="nil"/>
                  </w:tcBorders>
                </w:tcPr>
                <w:p w14:paraId="1DB6B43F" w14:textId="77777777" w:rsidR="00360B6B" w:rsidRDefault="00360B6B" w:rsidP="0052424C">
                  <w:pPr>
                    <w:pStyle w:val="Figure"/>
                    <w:spacing w:before="60" w:after="60"/>
                  </w:pPr>
                  <w:r w:rsidRPr="008100D9" w:rsidDel="008100D9">
                    <w:t xml:space="preserve"> </w:t>
                  </w:r>
                  <w:r>
                    <w:rPr>
                      <w:noProof/>
                    </w:rPr>
                    <w:drawing>
                      <wp:inline distT="0" distB="0" distL="0" distR="0" wp14:anchorId="0FE3D628" wp14:editId="329B691D">
                        <wp:extent cx="2628900" cy="2804160"/>
                        <wp:effectExtent l="0" t="0" r="0" b="0"/>
                        <wp:docPr id="1" name="Picture 1" descr="See description for pane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900" cy="2804160"/>
                                </a:xfrm>
                                <a:prstGeom prst="rect">
                                  <a:avLst/>
                                </a:prstGeom>
                                <a:noFill/>
                                <a:ln>
                                  <a:noFill/>
                                </a:ln>
                              </pic:spPr>
                            </pic:pic>
                          </a:graphicData>
                        </a:graphic>
                      </wp:inline>
                    </w:drawing>
                  </w:r>
                </w:p>
              </w:tc>
            </w:tr>
          </w:tbl>
          <w:p w14:paraId="3E67EE5F" w14:textId="77777777" w:rsidR="00360B6B" w:rsidRDefault="00360B6B" w:rsidP="0052424C">
            <w:pPr>
              <w:pStyle w:val="Figure"/>
              <w:spacing w:after="0"/>
            </w:pPr>
          </w:p>
        </w:tc>
      </w:tr>
      <w:tr w:rsidR="00360B6B" w:rsidRPr="00176D3F" w14:paraId="229E159B" w14:textId="77777777" w:rsidTr="0052424C">
        <w:tc>
          <w:tcPr>
            <w:tcW w:w="8771" w:type="dxa"/>
            <w:tcBorders>
              <w:top w:val="nil"/>
              <w:left w:val="nil"/>
              <w:bottom w:val="nil"/>
              <w:right w:val="nil"/>
            </w:tcBorders>
            <w:shd w:val="clear" w:color="auto" w:fill="auto"/>
          </w:tcPr>
          <w:p w14:paraId="45ECA5B6" w14:textId="77777777" w:rsidR="00360B6B" w:rsidRPr="00176D3F" w:rsidRDefault="00360B6B" w:rsidP="0052424C">
            <w:pPr>
              <w:pStyle w:val="Note"/>
            </w:pPr>
            <w:r>
              <w:rPr>
                <w:rStyle w:val="NoteLabel"/>
              </w:rPr>
              <w:t>a</w:t>
            </w:r>
            <w:r>
              <w:t xml:space="preserve"> Productivity Commission estimates based on </w:t>
            </w:r>
            <w:r w:rsidRPr="003C26EE">
              <w:t>aged-related government spending for all governments per person</w:t>
            </w:r>
            <w:r>
              <w:t xml:space="preserve"> taken from </w:t>
            </w:r>
            <w:r w:rsidRPr="001E1B96">
              <w:rPr>
                <w:i/>
              </w:rPr>
              <w:t>Economic Impacts of Migration and Population Growth</w:t>
            </w:r>
            <w:r>
              <w:t xml:space="preserve"> PC (2013), adjusted to 2013</w:t>
            </w:r>
            <w:r>
              <w:noBreakHyphen/>
              <w:t xml:space="preserve">14 prices. </w:t>
            </w:r>
          </w:p>
        </w:tc>
      </w:tr>
      <w:tr w:rsidR="00360B6B" w:rsidRPr="00176D3F" w14:paraId="5B4D6375" w14:textId="77777777" w:rsidTr="0052424C">
        <w:tc>
          <w:tcPr>
            <w:tcW w:w="8771" w:type="dxa"/>
            <w:tcBorders>
              <w:top w:val="nil"/>
              <w:left w:val="nil"/>
              <w:bottom w:val="nil"/>
              <w:right w:val="nil"/>
            </w:tcBorders>
            <w:shd w:val="clear" w:color="auto" w:fill="auto"/>
          </w:tcPr>
          <w:p w14:paraId="25AF90A9" w14:textId="77777777" w:rsidR="00360B6B" w:rsidRPr="00176D3F" w:rsidRDefault="00360B6B" w:rsidP="0052424C">
            <w:pPr>
              <w:pStyle w:val="Source"/>
            </w:pPr>
            <w:r>
              <w:rPr>
                <w:i/>
              </w:rPr>
              <w:t>S</w:t>
            </w:r>
            <w:r w:rsidRPr="00784A05">
              <w:rPr>
                <w:i/>
              </w:rPr>
              <w:t>ource</w:t>
            </w:r>
            <w:r w:rsidRPr="00176D3F">
              <w:t xml:space="preserve">: </w:t>
            </w:r>
            <w:r>
              <w:t>Based on PC (2013)</w:t>
            </w:r>
            <w:r w:rsidRPr="00430FB3">
              <w:t>.</w:t>
            </w:r>
            <w:r>
              <w:rPr>
                <w:i/>
              </w:rPr>
              <w:t xml:space="preserve"> </w:t>
            </w:r>
          </w:p>
        </w:tc>
      </w:tr>
      <w:tr w:rsidR="00360B6B" w14:paraId="2846E299" w14:textId="77777777" w:rsidTr="0052424C">
        <w:tc>
          <w:tcPr>
            <w:tcW w:w="8771" w:type="dxa"/>
            <w:tcBorders>
              <w:top w:val="nil"/>
              <w:left w:val="nil"/>
              <w:bottom w:val="single" w:sz="6" w:space="0" w:color="78A22F"/>
              <w:right w:val="nil"/>
            </w:tcBorders>
            <w:shd w:val="clear" w:color="auto" w:fill="auto"/>
          </w:tcPr>
          <w:p w14:paraId="42ED64F5" w14:textId="77777777" w:rsidR="00360B6B" w:rsidRDefault="00360B6B" w:rsidP="0052424C">
            <w:pPr>
              <w:pStyle w:val="Figurespace"/>
            </w:pPr>
          </w:p>
        </w:tc>
      </w:tr>
      <w:tr w:rsidR="00360B6B" w:rsidRPr="000863A5" w14:paraId="555949BF" w14:textId="77777777" w:rsidTr="0052424C">
        <w:tc>
          <w:tcPr>
            <w:tcW w:w="8771" w:type="dxa"/>
            <w:tcBorders>
              <w:top w:val="single" w:sz="6" w:space="0" w:color="78A22F"/>
              <w:left w:val="nil"/>
              <w:bottom w:val="nil"/>
              <w:right w:val="nil"/>
            </w:tcBorders>
          </w:tcPr>
          <w:p w14:paraId="426FC805" w14:textId="726143E4" w:rsidR="00360B6B" w:rsidRPr="00626D32" w:rsidRDefault="00360B6B" w:rsidP="0052424C">
            <w:pPr>
              <w:pStyle w:val="BoxSpaceBelow"/>
            </w:pPr>
          </w:p>
        </w:tc>
      </w:tr>
    </w:tbl>
    <w:p w14:paraId="5D6F0DBC" w14:textId="77777777" w:rsidR="00360B6B" w:rsidRDefault="00360B6B" w:rsidP="00360B6B">
      <w:pPr>
        <w:pStyle w:val="BodyText"/>
      </w:pPr>
      <w:r>
        <w:t xml:space="preserve">Based on these expenditure profiles, the </w:t>
      </w:r>
      <w:proofErr w:type="spellStart"/>
      <w:r>
        <w:t>VUMR</w:t>
      </w:r>
      <w:proofErr w:type="spellEnd"/>
      <w:r>
        <w:t xml:space="preserve"> model has been augmented for this inquiry to take account of differences in age-specific expenditure on education and charges in the demographic structure of the population. Under the revised treatment, real government final consumption expenditure on health and education services varies in response to changes in national aggregate final consumption spending (as in the standard model) and changes in the age-gender structure of the population. The standard treatment of aged care services has been maintained, that is, real government final consumption expenditure on aged care services changes with national aggregate real household final consumption spending and the proportion of the population aged 65 years and over. </w:t>
      </w:r>
    </w:p>
    <w:p w14:paraId="086ECDFA" w14:textId="77777777" w:rsidR="00360B6B" w:rsidRDefault="00360B6B" w:rsidP="00360B6B">
      <w:pPr>
        <w:pStyle w:val="BodyText"/>
      </w:pPr>
      <w:r>
        <w:t xml:space="preserve">The main additional equations included in the </w:t>
      </w:r>
      <w:proofErr w:type="spellStart"/>
      <w:r>
        <w:t>VUMR</w:t>
      </w:r>
      <w:proofErr w:type="spellEnd"/>
      <w:r>
        <w:t xml:space="preserve"> model implementing this theory are listed in appendix B.</w:t>
      </w:r>
    </w:p>
    <w:p w14:paraId="1DE099C8" w14:textId="77777777" w:rsidR="00360B6B" w:rsidRPr="00351A93" w:rsidRDefault="00360B6B" w:rsidP="00360B6B">
      <w:pPr>
        <w:pStyle w:val="Heading3"/>
      </w:pPr>
      <w:r>
        <w:lastRenderedPageBreak/>
        <w:t>The economic environment (model closure)</w:t>
      </w:r>
    </w:p>
    <w:p w14:paraId="4C785CB5" w14:textId="77777777" w:rsidR="00360B6B" w:rsidRDefault="00360B6B" w:rsidP="00360B6B">
      <w:pPr>
        <w:pStyle w:val="BodyText"/>
      </w:pPr>
      <w:r>
        <w:t xml:space="preserve">The inquiry examines the question of ‘How might the Australian economy might differ as a result of NOM or varying migrant characteristics?’. Addressing this question </w:t>
      </w:r>
      <w:r>
        <w:rPr>
          <w:lang w:eastAsia="en-US"/>
        </w:rPr>
        <w:t>involves running the model through time in a series of one-year recursive-dynamic modelling</w:t>
      </w:r>
      <w:r w:rsidRPr="00DD4E79">
        <w:rPr>
          <w:lang w:eastAsia="en-US"/>
        </w:rPr>
        <w:t xml:space="preserve"> steps</w:t>
      </w:r>
      <w:r>
        <w:rPr>
          <w:lang w:eastAsia="en-US"/>
        </w:rPr>
        <w:t xml:space="preserve">. As noted, each step involves gradual adjustment in capital and labour markets to changes in the economic conditions. </w:t>
      </w:r>
      <w:r>
        <w:t xml:space="preserve">The projected model database is updated automatically at each annual iteration. </w:t>
      </w:r>
    </w:p>
    <w:p w14:paraId="4089576F" w14:textId="77777777" w:rsidR="00360B6B" w:rsidRDefault="00360B6B" w:rsidP="00360B6B">
      <w:pPr>
        <w:pStyle w:val="BodyText"/>
      </w:pPr>
      <w:r>
        <w:t>The modelling undertaken for this inquiry is based on a number of assumptions affecting the level and distribution of economic activity.</w:t>
      </w:r>
    </w:p>
    <w:p w14:paraId="6FEC0255" w14:textId="77777777" w:rsidR="00360B6B" w:rsidRDefault="00360B6B" w:rsidP="00360B6B">
      <w:pPr>
        <w:pStyle w:val="ListBullet"/>
      </w:pPr>
      <w:r>
        <w:t>The size and age structure of the population in each state and territory changes according to pre-determined state-specific assumptions about fertility, life expectancy and NOM.</w:t>
      </w:r>
    </w:p>
    <w:p w14:paraId="4C225BE2" w14:textId="77777777" w:rsidR="00360B6B" w:rsidRDefault="00360B6B" w:rsidP="00360B6B">
      <w:pPr>
        <w:pStyle w:val="ListBullet"/>
        <w:spacing w:line="320" w:lineRule="atLeast"/>
      </w:pPr>
      <w:r>
        <w:t xml:space="preserve">The aggregate supply of labour is determined by the state-specific working age population and labour force participation rates, as well as the unemployment rate by state and occupation. Labour enters each state labour force by occupation. The occupation of new labour force entrants is based on the occupational structure of incumbents, or a separate assumption about the occupational composition of new entrants. </w:t>
      </w:r>
    </w:p>
    <w:p w14:paraId="5D2BC13F" w14:textId="4F77BA34" w:rsidR="00360B6B" w:rsidRDefault="00360B6B" w:rsidP="00360B6B">
      <w:pPr>
        <w:pStyle w:val="ListBullet"/>
        <w:spacing w:line="320" w:lineRule="atLeast"/>
      </w:pPr>
      <w:r>
        <w:t xml:space="preserve">Employment by state, industry and occupation gradually responds to changes in the working age population, its participation in the labour force and real after tax wages accruing to households (governing labour supply), and changes in the costs and prices of regional industries and the real cost of labour to those industries (governing labour demand). </w:t>
      </w:r>
    </w:p>
    <w:p w14:paraId="72A1670C" w14:textId="77777777" w:rsidR="00360B6B" w:rsidRDefault="00360B6B" w:rsidP="00360B6B">
      <w:pPr>
        <w:pStyle w:val="ListBullet"/>
        <w:spacing w:after="200" w:line="320" w:lineRule="atLeast"/>
      </w:pPr>
      <w:r>
        <w:t xml:space="preserve">Investment, and with it the capital stock, in each industry gradually responds to differences between the expected and actual rates of return on capital. The reference expected rates of return are determined by values in the </w:t>
      </w:r>
      <w:proofErr w:type="spellStart"/>
      <w:r>
        <w:t>VUMR</w:t>
      </w:r>
      <w:proofErr w:type="spellEnd"/>
      <w:r>
        <w:t xml:space="preserve"> database. Real regional government investment is assumed to move in line with real regional investment.</w:t>
      </w:r>
    </w:p>
    <w:p w14:paraId="34FB3D68" w14:textId="77777777" w:rsidR="00360B6B" w:rsidRDefault="00360B6B" w:rsidP="00360B6B">
      <w:pPr>
        <w:pStyle w:val="ListBullet"/>
        <w:spacing w:after="200" w:line="320" w:lineRule="atLeast"/>
      </w:pPr>
      <w:r>
        <w:t xml:space="preserve">Nominal aggregate household consumption is determined by post-tax household disposable income, while the balance of trade as a ratio of GDP in local currency prices is allowed to vary. Household consumption by state is determined by state post-tax household disposable income. Expenditure on individual products varies according the relative purchasers’ prices of consumption items and household disposable income. </w:t>
      </w:r>
    </w:p>
    <w:p w14:paraId="256F96F9" w14:textId="77777777" w:rsidR="00360B6B" w:rsidRDefault="00360B6B" w:rsidP="00360B6B">
      <w:pPr>
        <w:pStyle w:val="ListBullet"/>
        <w:spacing w:after="200" w:line="320" w:lineRule="atLeast"/>
      </w:pPr>
      <w:r>
        <w:t>Nominal government expenditure (including government consumption and other outlays) moves in line with the underlying drivers of government expenditure activity (such as population, unemployment, aggregate economic activity and prices).</w:t>
      </w:r>
    </w:p>
    <w:p w14:paraId="44FFA047" w14:textId="77777777" w:rsidR="00360B6B" w:rsidRDefault="00360B6B" w:rsidP="00360B6B">
      <w:pPr>
        <w:pStyle w:val="ListBullet"/>
        <w:spacing w:after="200" w:line="320" w:lineRule="atLeast"/>
      </w:pPr>
      <w:r>
        <w:lastRenderedPageBreak/>
        <w:t>Government tax rates are assumed to remain fixed so that revenue moves in line with the various tax bases.</w:t>
      </w:r>
      <w:r w:rsidRPr="0001557C">
        <w:t xml:space="preserve"> </w:t>
      </w:r>
      <w:r>
        <w:t>The budget position is held fixed as a share of GDP or Gross State Product (GSP) through the use of lump-sum transfers to, or from, households.</w:t>
      </w:r>
    </w:p>
    <w:p w14:paraId="1DB4AB1F" w14:textId="77777777" w:rsidR="00360B6B" w:rsidRDefault="00360B6B" w:rsidP="00360B6B">
      <w:pPr>
        <w:pStyle w:val="ListBullet"/>
        <w:spacing w:after="200" w:line="320" w:lineRule="atLeast"/>
      </w:pPr>
      <w:r>
        <w:t>The aggregate terms of trade in Australian dollars is assumed to decline to its long-run trend by 2017-18 and then remain fixed thereafter, while the price of individual exported products in domestic and foreign currency prices can vary with changes in the competiveness of exporting industries. Import prices are assumed to be fixed in foreign currency prices.</w:t>
      </w:r>
    </w:p>
    <w:p w14:paraId="37158A3F" w14:textId="77777777" w:rsidR="00360B6B" w:rsidRDefault="00360B6B" w:rsidP="00360B6B">
      <w:pPr>
        <w:pStyle w:val="ListBullet"/>
        <w:spacing w:after="200" w:line="320" w:lineRule="atLeast"/>
      </w:pPr>
      <w:r>
        <w:t xml:space="preserve">The model index of consumer prices (CPI) is the model </w:t>
      </w:r>
      <w:proofErr w:type="spellStart"/>
      <w:r>
        <w:t>numeraire</w:t>
      </w:r>
      <w:proofErr w:type="spellEnd"/>
      <w:r>
        <w:t xml:space="preserve"> while the nominal foreign currency exchange rate varies. All domestic prices in the projection period are therefore real prices relative to the model CPI. </w:t>
      </w:r>
    </w:p>
    <w:p w14:paraId="50655F63" w14:textId="77777777" w:rsidR="00360B6B" w:rsidRDefault="00360B6B" w:rsidP="00360B6B">
      <w:pPr>
        <w:pStyle w:val="BodyText"/>
      </w:pPr>
      <w:r>
        <w:t>In this inquiry, the projection period is the 45 years from 2014</w:t>
      </w:r>
      <w:r>
        <w:noBreakHyphen/>
        <w:t>15 to 2059</w:t>
      </w:r>
      <w:r>
        <w:noBreakHyphen/>
        <w:t>60 (inclusive). Given the considerable uncertainty about future size and make-up of the economy, it is necessary to make assumptions about possible future directions of change in economic conditions. For this study, the following assumptions have been made.</w:t>
      </w:r>
    </w:p>
    <w:p w14:paraId="5C094443" w14:textId="77777777" w:rsidR="00360B6B" w:rsidRDefault="00360B6B" w:rsidP="00360B6B">
      <w:pPr>
        <w:pStyle w:val="ListBullet"/>
        <w:spacing w:after="200" w:line="320" w:lineRule="atLeast"/>
      </w:pPr>
      <w:r>
        <w:t>Growth in labour productivity for each industry returns from its current 2013</w:t>
      </w:r>
      <w:r>
        <w:noBreakHyphen/>
        <w:t>14 growth rate to its longer-term average by 2017</w:t>
      </w:r>
      <w:r>
        <w:noBreakHyphen/>
        <w:t>18, and is applied to the same industry in each region.</w:t>
      </w:r>
    </w:p>
    <w:p w14:paraId="6A8C9C5F" w14:textId="77777777" w:rsidR="00360B6B" w:rsidRDefault="00360B6B" w:rsidP="00360B6B">
      <w:pPr>
        <w:pStyle w:val="ListBullet"/>
        <w:spacing w:after="200" w:line="320" w:lineRule="atLeast"/>
      </w:pPr>
      <w:r>
        <w:t>The national terms of trade in Australian dollars is assumed to return from current high levels to the historical average level as represented by the 2005</w:t>
      </w:r>
      <w:r>
        <w:noBreakHyphen/>
        <w:t>06 level, and by 2016</w:t>
      </w:r>
      <w:r>
        <w:noBreakHyphen/>
        <w:t>17 to broadly align with the duration of previous terms of trade cycles.</w:t>
      </w:r>
    </w:p>
    <w:p w14:paraId="2F57E724" w14:textId="77777777" w:rsidR="00360B6B" w:rsidRDefault="00360B6B" w:rsidP="00360B6B">
      <w:pPr>
        <w:pStyle w:val="ListBullet"/>
        <w:spacing w:after="200" w:line="320" w:lineRule="atLeast"/>
      </w:pPr>
      <w:r>
        <w:t>NOM is assumed to return from current high levels as a proportion of the population to the longer term average of 0.6 per cent by 2024</w:t>
      </w:r>
      <w:r>
        <w:noBreakHyphen/>
        <w:t xml:space="preserve">25, and to broadly align with previous NOM cycles. </w:t>
      </w:r>
    </w:p>
    <w:p w14:paraId="5A4B28DE" w14:textId="77777777" w:rsidR="00360B6B" w:rsidRDefault="00360B6B" w:rsidP="00360B6B">
      <w:pPr>
        <w:pStyle w:val="BodyText"/>
      </w:pPr>
      <w:r>
        <w:t xml:space="preserve">As far as practicable, the modelling assumptions are aligned with historical experience in Australia. However, the economic conditions that will actual apply over the projection period are inherently uncertain, and the results must be treated as conditional projections for the purposes of estimating the effect of a variation in NOM and not as a forecast. </w:t>
      </w:r>
    </w:p>
    <w:p w14:paraId="106BAFDB" w14:textId="77777777" w:rsidR="00360B6B" w:rsidRDefault="00360B6B" w:rsidP="00D150F4">
      <w:pPr>
        <w:pStyle w:val="Heading3"/>
      </w:pPr>
      <w:r>
        <w:t>Model parameters</w:t>
      </w:r>
    </w:p>
    <w:p w14:paraId="0E462AEB" w14:textId="77777777" w:rsidR="00360B6B" w:rsidRDefault="00360B6B" w:rsidP="00360B6B">
      <w:pPr>
        <w:pStyle w:val="BodyText"/>
      </w:pPr>
      <w:r>
        <w:t xml:space="preserve">In </w:t>
      </w:r>
      <w:proofErr w:type="spellStart"/>
      <w:r>
        <w:t>CGE</w:t>
      </w:r>
      <w:proofErr w:type="spellEnd"/>
      <w:r>
        <w:t xml:space="preserve"> models such as </w:t>
      </w:r>
      <w:proofErr w:type="spellStart"/>
      <w:r>
        <w:t>VUMR</w:t>
      </w:r>
      <w:proofErr w:type="spellEnd"/>
      <w:r>
        <w:t>, the key parameters driving the adjustment to an external shock are the responsiveness of trade volumes to changes in the competitiveness of local industry, and the use of labour and capital between activities and across regions. Model parameters include:</w:t>
      </w:r>
    </w:p>
    <w:p w14:paraId="34E9425A" w14:textId="77777777" w:rsidR="00360B6B" w:rsidRDefault="00360B6B" w:rsidP="00360B6B">
      <w:pPr>
        <w:pStyle w:val="ListBullet"/>
        <w:spacing w:after="120" w:line="276" w:lineRule="auto"/>
        <w:jc w:val="left"/>
      </w:pPr>
      <w:r>
        <w:t xml:space="preserve">export demand </w:t>
      </w:r>
      <w:proofErr w:type="spellStart"/>
      <w:r>
        <w:t>elasticities</w:t>
      </w:r>
      <w:proofErr w:type="spellEnd"/>
    </w:p>
    <w:p w14:paraId="73A34D62" w14:textId="77777777" w:rsidR="00360B6B" w:rsidRDefault="00360B6B" w:rsidP="00360B6B">
      <w:pPr>
        <w:pStyle w:val="ListBullet"/>
        <w:spacing w:after="120" w:line="276" w:lineRule="auto"/>
        <w:jc w:val="left"/>
      </w:pPr>
      <w:r>
        <w:lastRenderedPageBreak/>
        <w:t xml:space="preserve">import substitution </w:t>
      </w:r>
      <w:proofErr w:type="spellStart"/>
      <w:r>
        <w:t>elasticities</w:t>
      </w:r>
      <w:proofErr w:type="spellEnd"/>
    </w:p>
    <w:p w14:paraId="5ADCAEDF" w14:textId="77777777" w:rsidR="00360B6B" w:rsidRPr="006C7BA7" w:rsidRDefault="00360B6B" w:rsidP="00360B6B">
      <w:pPr>
        <w:pStyle w:val="ListBullet"/>
        <w:spacing w:after="120" w:line="276" w:lineRule="auto"/>
        <w:jc w:val="left"/>
      </w:pPr>
      <w:r>
        <w:t xml:space="preserve">primary factor substitution </w:t>
      </w:r>
      <w:proofErr w:type="spellStart"/>
      <w:r>
        <w:t>elasticities</w:t>
      </w:r>
      <w:proofErr w:type="spellEnd"/>
      <w:r>
        <w:t xml:space="preserve">, and occupational transformation (supply-side) and substitution (demand-side) </w:t>
      </w:r>
      <w:proofErr w:type="spellStart"/>
      <w:r>
        <w:t>elasticities</w:t>
      </w:r>
      <w:proofErr w:type="spellEnd"/>
      <w:r>
        <w:t xml:space="preserve">. </w:t>
      </w:r>
    </w:p>
    <w:p w14:paraId="5F2D8E08" w14:textId="77777777" w:rsidR="00360B6B" w:rsidRDefault="00360B6B" w:rsidP="00360B6B">
      <w:pPr>
        <w:pStyle w:val="BodyText"/>
      </w:pPr>
      <w:r>
        <w:t xml:space="preserve">The standard benchmark </w:t>
      </w:r>
      <w:proofErr w:type="spellStart"/>
      <w:r>
        <w:t>VUMR</w:t>
      </w:r>
      <w:proofErr w:type="spellEnd"/>
      <w:r>
        <w:t xml:space="preserve"> parameter values have been used in the year-to-year dynamic modelling undertaken for the Migrant Intake Into Australia inquiry.</w:t>
      </w:r>
    </w:p>
    <w:p w14:paraId="71AEADC2" w14:textId="77777777" w:rsidR="00360B6B" w:rsidRDefault="00360B6B" w:rsidP="00360B6B">
      <w:pPr>
        <w:pStyle w:val="Heading4"/>
      </w:pPr>
      <w:r>
        <w:t xml:space="preserve">Export demand </w:t>
      </w:r>
      <w:proofErr w:type="spellStart"/>
      <w:r>
        <w:t>elasticities</w:t>
      </w:r>
      <w:proofErr w:type="spellEnd"/>
    </w:p>
    <w:p w14:paraId="554CD80C" w14:textId="77777777" w:rsidR="00360B6B" w:rsidRDefault="00360B6B" w:rsidP="00360B6B">
      <w:pPr>
        <w:pStyle w:val="BodyText"/>
      </w:pPr>
      <w:r>
        <w:t xml:space="preserve">Export demand </w:t>
      </w:r>
      <w:proofErr w:type="spellStart"/>
      <w:r>
        <w:t>elasticities</w:t>
      </w:r>
      <w:proofErr w:type="spellEnd"/>
      <w:r>
        <w:t xml:space="preserve"> </w:t>
      </w:r>
      <w:r w:rsidRPr="00EC4C93">
        <w:t xml:space="preserve">govern the extent to which greater export volumes </w:t>
      </w:r>
      <w:r>
        <w:t xml:space="preserve">respond to changes in export </w:t>
      </w:r>
      <w:r w:rsidRPr="00EC4C93">
        <w:t xml:space="preserve">price — the </w:t>
      </w:r>
      <w:r>
        <w:t>larger</w:t>
      </w:r>
      <w:r w:rsidRPr="00EC4C93">
        <w:t xml:space="preserve"> the </w:t>
      </w:r>
      <w:proofErr w:type="spellStart"/>
      <w:r w:rsidRPr="00EC4C93">
        <w:t>elasticities</w:t>
      </w:r>
      <w:proofErr w:type="spellEnd"/>
      <w:r w:rsidRPr="00EC4C93">
        <w:t>, the smaller the price declines</w:t>
      </w:r>
      <w:r>
        <w:t xml:space="preserve"> required for a given increase in export volume</w:t>
      </w:r>
      <w:r w:rsidRPr="00EC4C93">
        <w:t xml:space="preserve">. </w:t>
      </w:r>
    </w:p>
    <w:p w14:paraId="000925D8" w14:textId="1100195C" w:rsidR="00360B6B" w:rsidRDefault="00360B6B" w:rsidP="00360B6B">
      <w:pPr>
        <w:pStyle w:val="BodyText"/>
      </w:pPr>
      <w:r>
        <w:t xml:space="preserve">In year-to-year simulations, the reference value of minus five (-5) adopted by the </w:t>
      </w:r>
      <w:proofErr w:type="spellStart"/>
      <w:r>
        <w:t>CoPS</w:t>
      </w:r>
      <w:proofErr w:type="spellEnd"/>
      <w:r>
        <w:t xml:space="preserve"> is applied. This value assumes that Australia has some influence over prices it receives for its produce on global markets in the short term. For example, Australian producers might be able to increase prices in the short term by withholding supply of commodity exports. However, this capability would not be expected to continue into the long term. This is because other commodity exporters may respond to higher prices by increasing their own supply, or major importers may turn to domestic production — that is, in general Australia is a price taker. </w:t>
      </w:r>
    </w:p>
    <w:p w14:paraId="79FD8F01" w14:textId="77777777" w:rsidR="00360B6B" w:rsidRDefault="00360B6B" w:rsidP="00360B6B">
      <w:pPr>
        <w:pStyle w:val="BodyText"/>
      </w:pPr>
      <w:r>
        <w:t xml:space="preserve">The year-to-year export demand elasticity value of -5 was adopted by the Commission in its assessment of the impacts of COAG reforms </w:t>
      </w:r>
      <w:r>
        <w:rPr>
          <w:lang w:eastAsia="en-US"/>
        </w:rPr>
        <w:fldChar w:fldCharType="begin"/>
      </w:r>
      <w:r>
        <w:rPr>
          <w:lang w:eastAsia="en-US"/>
        </w:rPr>
        <w:instrText xml:space="preserve"> ADDIN ZOTERO_ITEM CSL_CITATION {"citationID":"ssJiEioP","properties":{"formattedCitation":"{\\rtf (PC\\uc0\\u160{}2012)}","plainCitation":"(PC 2012)"},"citationItems":[{"id":2356,"uris":["http://zotero.org/groups/164861/items/FXMDINUD"],"uri":["http://zotero.org/groups/164861/items/FXMDINUD"],"itemData":{"id":2356,"type":"report","title":"Impacts and Benefits of COAG Reforms: Business Regulation and VET.","publisher-place":"Canberra","genre":"Research report","event-place":"Canberra","author":[{"family":"Productivity Commission","given":""}],"translator":[{"family":"PC","given":""}],"issued":{"date-parts":[["2012"]]}}}],"schema":"https://github.com/citation-style-language/schema/raw/master/csl-citation.json"} </w:instrText>
      </w:r>
      <w:r>
        <w:rPr>
          <w:lang w:eastAsia="en-US"/>
        </w:rPr>
        <w:fldChar w:fldCharType="separate"/>
      </w:r>
      <w:r w:rsidRPr="00FF5B2E">
        <w:rPr>
          <w:szCs w:val="24"/>
        </w:rPr>
        <w:t>(PC 2012</w:t>
      </w:r>
      <w:r>
        <w:rPr>
          <w:szCs w:val="24"/>
        </w:rPr>
        <w:t>b</w:t>
      </w:r>
      <w:r w:rsidRPr="00FF5B2E">
        <w:rPr>
          <w:szCs w:val="24"/>
        </w:rPr>
        <w:t>)</w:t>
      </w:r>
      <w:r>
        <w:rPr>
          <w:lang w:eastAsia="en-US"/>
        </w:rPr>
        <w:fldChar w:fldCharType="end"/>
      </w:r>
      <w:r>
        <w:rPr>
          <w:lang w:eastAsia="en-US"/>
        </w:rPr>
        <w:t xml:space="preserve"> and in the assessment of the impacts of closure of passenger motor vehicle manufacturers (PC 2014)</w:t>
      </w:r>
      <w:r>
        <w:t>.</w:t>
      </w:r>
    </w:p>
    <w:p w14:paraId="0F641AC5" w14:textId="77777777" w:rsidR="00360B6B" w:rsidRDefault="00360B6B" w:rsidP="00360B6B">
      <w:pPr>
        <w:pStyle w:val="Heading4"/>
      </w:pPr>
      <w:r>
        <w:t>Domestic</w:t>
      </w:r>
      <w:r>
        <w:noBreakHyphen/>
        <w:t xml:space="preserve">import substitution </w:t>
      </w:r>
      <w:proofErr w:type="spellStart"/>
      <w:r>
        <w:t>elasticities</w:t>
      </w:r>
      <w:proofErr w:type="spellEnd"/>
    </w:p>
    <w:p w14:paraId="0E63ACFE" w14:textId="77777777" w:rsidR="00360B6B" w:rsidRDefault="00360B6B" w:rsidP="00360B6B">
      <w:pPr>
        <w:pStyle w:val="BodyText"/>
      </w:pPr>
      <w:r>
        <w:t xml:space="preserve">Domestic-import substitution </w:t>
      </w:r>
      <w:proofErr w:type="spellStart"/>
      <w:r>
        <w:t>elasticities</w:t>
      </w:r>
      <w:proofErr w:type="spellEnd"/>
      <w:r>
        <w:t xml:space="preserve"> determine the degree of substitutability between domestically produced and imported products (</w:t>
      </w:r>
      <w:proofErr w:type="spellStart"/>
      <w:r>
        <w:t>Armington</w:t>
      </w:r>
      <w:proofErr w:type="spellEnd"/>
      <w:r>
        <w:t xml:space="preserve"> </w:t>
      </w:r>
      <w:proofErr w:type="spellStart"/>
      <w:r>
        <w:t>elasticities</w:t>
      </w:r>
      <w:proofErr w:type="spellEnd"/>
      <w:r>
        <w:t xml:space="preserve">). More specifically, the </w:t>
      </w:r>
      <w:proofErr w:type="spellStart"/>
      <w:r>
        <w:t>elasticities</w:t>
      </w:r>
      <w:proofErr w:type="spellEnd"/>
      <w:r>
        <w:t xml:space="preserve"> determine the sensitivity of: </w:t>
      </w:r>
    </w:p>
    <w:p w14:paraId="20F0534F" w14:textId="77777777" w:rsidR="00360B6B" w:rsidRDefault="00360B6B" w:rsidP="00360B6B">
      <w:pPr>
        <w:pStyle w:val="ListBullet"/>
        <w:spacing w:after="120" w:line="276" w:lineRule="auto"/>
        <w:jc w:val="left"/>
      </w:pPr>
      <w:r>
        <w:t>domestic demand for imports to changes in the price of imports (relative to the price of domestic production)</w:t>
      </w:r>
    </w:p>
    <w:p w14:paraId="3EB8B8AB" w14:textId="77777777" w:rsidR="00360B6B" w:rsidRDefault="00360B6B" w:rsidP="00360B6B">
      <w:pPr>
        <w:pStyle w:val="ListBullet"/>
        <w:spacing w:after="120" w:line="276" w:lineRule="auto"/>
        <w:jc w:val="left"/>
      </w:pPr>
      <w:r>
        <w:t>domestic demand for domestic production to changes in the price of domestic products (relative to price of imports).</w:t>
      </w:r>
    </w:p>
    <w:p w14:paraId="4F915016" w14:textId="77777777" w:rsidR="00360B6B" w:rsidRDefault="00360B6B" w:rsidP="00360B6B">
      <w:pPr>
        <w:pStyle w:val="BodyText"/>
      </w:pPr>
      <w:r>
        <w:t xml:space="preserve">The values adopted in this study are the standard values incorporated by the </w:t>
      </w:r>
      <w:proofErr w:type="spellStart"/>
      <w:r>
        <w:t>CoPS</w:t>
      </w:r>
      <w:proofErr w:type="spellEnd"/>
      <w:r>
        <w:t xml:space="preserve"> in the </w:t>
      </w:r>
      <w:proofErr w:type="spellStart"/>
      <w:r>
        <w:t>VUMR</w:t>
      </w:r>
      <w:proofErr w:type="spellEnd"/>
      <w:r>
        <w:t xml:space="preserve"> model. The values range between 0 (for products with little or no imports) and 10 (for products with a high degree of flexibility). </w:t>
      </w:r>
    </w:p>
    <w:p w14:paraId="14BA3F46" w14:textId="77777777" w:rsidR="00360B6B" w:rsidRDefault="00360B6B" w:rsidP="00360B6B">
      <w:pPr>
        <w:pStyle w:val="Heading4"/>
      </w:pPr>
      <w:r>
        <w:lastRenderedPageBreak/>
        <w:t>Primary factor substitution and occupational mobility parameters</w:t>
      </w:r>
    </w:p>
    <w:p w14:paraId="481A2DC1" w14:textId="77777777" w:rsidR="00360B6B" w:rsidRDefault="00360B6B" w:rsidP="00360B6B">
      <w:pPr>
        <w:pStyle w:val="BodyText"/>
      </w:pPr>
      <w:r>
        <w:t xml:space="preserve">On the demand side, substitution </w:t>
      </w:r>
      <w:proofErr w:type="spellStart"/>
      <w:r>
        <w:t>elasticities</w:t>
      </w:r>
      <w:proofErr w:type="spellEnd"/>
      <w:r>
        <w:t xml:space="preserve"> determine the degree to which labour and capital inputs can be substituted for each other in production. The benchmark values for year-to-year simulations in the </w:t>
      </w:r>
      <w:proofErr w:type="spellStart"/>
      <w:r>
        <w:t>VUMR</w:t>
      </w:r>
      <w:proofErr w:type="spellEnd"/>
      <w:r>
        <w:t xml:space="preserve"> model are 0.5 for all industries and regions.</w:t>
      </w:r>
      <w:r>
        <w:rPr>
          <w:rStyle w:val="FootnoteReference"/>
        </w:rPr>
        <w:footnoteReference w:id="2"/>
      </w:r>
      <w:r>
        <w:t xml:space="preserve"> </w:t>
      </w:r>
    </w:p>
    <w:p w14:paraId="2F5A3056" w14:textId="77777777" w:rsidR="00360B6B" w:rsidRDefault="00360B6B" w:rsidP="00360B6B">
      <w:pPr>
        <w:pStyle w:val="BodyText"/>
      </w:pPr>
      <w:proofErr w:type="spellStart"/>
      <w:r>
        <w:t>VUMR</w:t>
      </w:r>
      <w:proofErr w:type="spellEnd"/>
      <w:r>
        <w:t xml:space="preserve"> also includes </w:t>
      </w:r>
      <w:proofErr w:type="spellStart"/>
      <w:r>
        <w:t>elasticities</w:t>
      </w:r>
      <w:proofErr w:type="spellEnd"/>
      <w:r>
        <w:t xml:space="preserve"> governing the degree of substitutability in the use of labour in the eight different occupations in production. The benchmark values for year-to-year simulations are 0.35. The selection of these values reflects an assumption that employers have limited flexibility to alter the occupational mix used in production on a year-to-year basis.</w:t>
      </w:r>
      <w:r>
        <w:rPr>
          <w:rStyle w:val="FootnoteReference"/>
        </w:rPr>
        <w:footnoteReference w:id="3"/>
      </w:r>
    </w:p>
    <w:p w14:paraId="31FD2A4F" w14:textId="77777777" w:rsidR="00360B6B" w:rsidRDefault="00360B6B" w:rsidP="00360B6B">
      <w:pPr>
        <w:pStyle w:val="BodyText"/>
      </w:pPr>
      <w:r>
        <w:t xml:space="preserve">On the supply side, transformation </w:t>
      </w:r>
      <w:proofErr w:type="spellStart"/>
      <w:r>
        <w:t>elasticities</w:t>
      </w:r>
      <w:proofErr w:type="spellEnd"/>
      <w:r>
        <w:t xml:space="preserve"> determine the extent to which the supply of labour, including immigrant labour, can move between the eight occupational groups. The benchmark value for year-to-year simulations is set at 0.1. The selection of this value reflects an assumption that, on a year-to-year basis, employees have limited potential to change their occupation.</w:t>
      </w:r>
      <w:r>
        <w:rPr>
          <w:rStyle w:val="FootnoteReference"/>
        </w:rPr>
        <w:footnoteReference w:id="4"/>
      </w:r>
    </w:p>
    <w:p w14:paraId="584CF516" w14:textId="77777777" w:rsidR="00360B6B" w:rsidRDefault="00360B6B" w:rsidP="00D150F4">
      <w:pPr>
        <w:pStyle w:val="Heading4"/>
      </w:pPr>
      <w:r>
        <w:t>Model database</w:t>
      </w:r>
    </w:p>
    <w:p w14:paraId="1B632569" w14:textId="77777777" w:rsidR="00360B6B" w:rsidRDefault="00360B6B" w:rsidP="00360B6B">
      <w:pPr>
        <w:pStyle w:val="BodyText"/>
        <w:rPr>
          <w:rFonts w:ascii="Arial" w:hAnsi="Arial"/>
        </w:rPr>
      </w:pPr>
      <w:r w:rsidRPr="00B7414A">
        <w:t xml:space="preserve">The database </w:t>
      </w:r>
      <w:r>
        <w:t xml:space="preserve">used for this inquiry </w:t>
      </w:r>
      <w:r w:rsidRPr="00B7414A">
        <w:t>was created f</w:t>
      </w:r>
      <w:r>
        <w:t xml:space="preserve">rom the standard </w:t>
      </w:r>
      <w:proofErr w:type="spellStart"/>
      <w:r>
        <w:t>VUMR</w:t>
      </w:r>
      <w:proofErr w:type="spellEnd"/>
      <w:r>
        <w:t xml:space="preserve"> model database, which aligns with the </w:t>
      </w:r>
      <w:r w:rsidRPr="00B7414A">
        <w:t>20</w:t>
      </w:r>
      <w:r>
        <w:t>09</w:t>
      </w:r>
      <w:r w:rsidRPr="00B7414A">
        <w:noBreakHyphen/>
      </w:r>
      <w:r>
        <w:t xml:space="preserve">10 ABS </w:t>
      </w:r>
      <w:r w:rsidRPr="0023097E">
        <w:rPr>
          <w:i/>
        </w:rPr>
        <w:t>Input-Output Tables</w:t>
      </w:r>
      <w:r>
        <w:t>. The database has been updated to 2013-14 based on population, terms of trade and other changes over the period 2009-10 to 2013-14.</w:t>
      </w:r>
    </w:p>
    <w:p w14:paraId="7D0A6F30" w14:textId="77777777" w:rsidR="00360B6B" w:rsidRDefault="00D971D1" w:rsidP="00360B6B">
      <w:pPr>
        <w:pStyle w:val="Heading2"/>
      </w:pPr>
      <w:r>
        <w:fldChar w:fldCharType="begin"/>
      </w:r>
      <w:r>
        <w:instrText xml:space="preserve"> COMMENTS  \* MERGEFORMAT </w:instrText>
      </w:r>
      <w:r>
        <w:fldChar w:fldCharType="separate"/>
      </w:r>
      <w:proofErr w:type="spellStart"/>
      <w:r w:rsidR="00360B6B">
        <w:t>A.</w:t>
      </w:r>
      <w:r>
        <w:fldChar w:fldCharType="end"/>
      </w:r>
      <w:r>
        <w:fldChar w:fldCharType="begin"/>
      </w:r>
      <w:r>
        <w:instrText xml:space="preserve"> SEQ Heading2 </w:instrText>
      </w:r>
      <w:r>
        <w:fldChar w:fldCharType="separate"/>
      </w:r>
      <w:r w:rsidR="008846C7">
        <w:rPr>
          <w:noProof/>
        </w:rPr>
        <w:t>2</w:t>
      </w:r>
      <w:proofErr w:type="spellEnd"/>
      <w:r>
        <w:rPr>
          <w:noProof/>
        </w:rPr>
        <w:fldChar w:fldCharType="end"/>
      </w:r>
      <w:r w:rsidR="00360B6B">
        <w:tab/>
        <w:t xml:space="preserve">Modelling scenarios </w:t>
      </w:r>
    </w:p>
    <w:p w14:paraId="145871E9" w14:textId="77777777" w:rsidR="00360B6B" w:rsidRDefault="00360B6B" w:rsidP="00360B6B">
      <w:pPr>
        <w:pStyle w:val="BodyText"/>
      </w:pPr>
      <w:r>
        <w:t xml:space="preserve">This section outlines </w:t>
      </w:r>
      <w:r w:rsidRPr="00B456E0">
        <w:t>key aspects</w:t>
      </w:r>
      <w:r>
        <w:t xml:space="preserve"> of each of the four preliminary scenarios modelled in the draft report. </w:t>
      </w:r>
    </w:p>
    <w:p w14:paraId="2016B9A9" w14:textId="77777777" w:rsidR="00360B6B" w:rsidRDefault="00360B6B" w:rsidP="00360B6B">
      <w:pPr>
        <w:pStyle w:val="BodyText"/>
      </w:pPr>
      <w:r>
        <w:t>The key demographic assumptions of the projections compared to data for 2013</w:t>
      </w:r>
      <w:r>
        <w:noBreakHyphen/>
        <w:t>14 (the benchmark year used in each scenario modelled) are reported in table </w:t>
      </w:r>
      <w:proofErr w:type="spellStart"/>
      <w:r>
        <w:t>A.1</w:t>
      </w:r>
      <w:proofErr w:type="spellEnd"/>
      <w:r>
        <w:t>. The demographic projections are based on c</w:t>
      </w:r>
      <w:r w:rsidRPr="00D13120">
        <w:t xml:space="preserve">urrent </w:t>
      </w:r>
      <w:r>
        <w:t xml:space="preserve">age, state- and gender-specific </w:t>
      </w:r>
      <w:r w:rsidRPr="00D13120">
        <w:t xml:space="preserve">fertility and </w:t>
      </w:r>
      <w:r>
        <w:t>life expectancy projections</w:t>
      </w:r>
      <w:r w:rsidRPr="00D13120">
        <w:t xml:space="preserve">. </w:t>
      </w:r>
      <w:r>
        <w:t>These assumptions accord with those generally applied in demographic modelling.</w:t>
      </w:r>
    </w:p>
    <w:p w14:paraId="4309B2BE" w14:textId="77777777" w:rsidR="00D971D1" w:rsidRDefault="00D971D1" w:rsidP="00D971D1">
      <w:pPr>
        <w:pStyle w:val="BodyText"/>
      </w:pPr>
      <w:r>
        <w:t xml:space="preserve">The working age population contributes to productive activity through participation in the labour force and employment in various occupations. Males and females aged between 20 and 60 years have the highest rate of labour force participation, with participation rates </w:t>
      </w:r>
      <w:r>
        <w:lastRenderedPageBreak/>
        <w:t>tapering off thereafter (figure </w:t>
      </w:r>
      <w:proofErr w:type="spellStart"/>
      <w:r>
        <w:t>A.3</w:t>
      </w:r>
      <w:proofErr w:type="spellEnd"/>
      <w:r>
        <w:t>, panel a). A higher portion of the labour force participation is engaged in higher-skilled, higher income occupations (figure </w:t>
      </w:r>
      <w:proofErr w:type="spellStart"/>
      <w:r>
        <w:t>A.3</w:t>
      </w:r>
      <w:proofErr w:type="spellEnd"/>
      <w:r>
        <w:t>, panels b and c) than other occupations. However, not all labour force participants are employed at any one time, with the higher unemployment rates experienced by the lower income occupations and the lower unemployment rates experienced by the higher income occupations (figure </w:t>
      </w:r>
      <w:proofErr w:type="spellStart"/>
      <w:r>
        <w:t>A.3</w:t>
      </w:r>
      <w:proofErr w:type="spellEnd"/>
      <w:r>
        <w:t xml:space="preserve">, panel d). </w:t>
      </w:r>
    </w:p>
    <w:p w14:paraId="3BABA5F0" w14:textId="77777777" w:rsidR="00D971D1" w:rsidRDefault="00D971D1" w:rsidP="00360B6B">
      <w:pPr>
        <w:pStyle w:val="BodyText"/>
      </w:pPr>
    </w:p>
    <w:p w14:paraId="22DD3CD9" w14:textId="187669FB" w:rsidR="00360B6B" w:rsidRDefault="00360B6B" w:rsidP="00360B6B">
      <w:pPr>
        <w:pStyle w:val="BoxSpaceAbove"/>
      </w:pPr>
      <w:r>
        <w:t xml:space="preserve"> </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60B6B" w14:paraId="2AB0928B" w14:textId="77777777" w:rsidTr="0052424C">
        <w:tc>
          <w:tcPr>
            <w:tcW w:w="8771" w:type="dxa"/>
            <w:tcBorders>
              <w:top w:val="single" w:sz="6" w:space="0" w:color="78A22F"/>
              <w:left w:val="nil"/>
              <w:bottom w:val="nil"/>
              <w:right w:val="nil"/>
            </w:tcBorders>
            <w:shd w:val="clear" w:color="auto" w:fill="auto"/>
          </w:tcPr>
          <w:p w14:paraId="1C740A01" w14:textId="77777777" w:rsidR="00360B6B" w:rsidRPr="00784A05" w:rsidRDefault="00360B6B" w:rsidP="0052424C">
            <w:pPr>
              <w:pStyle w:val="TableTitle"/>
            </w:pPr>
            <w:r>
              <w:rPr>
                <w:b w:val="0"/>
              </w:rPr>
              <w:t xml:space="preserve">Table </w:t>
            </w:r>
            <w:r w:rsidRPr="003774FF">
              <w:fldChar w:fldCharType="begin"/>
            </w:r>
            <w:r w:rsidRPr="003774FF">
              <w:rPr>
                <w:b w:val="0"/>
              </w:rPr>
              <w:instrText xml:space="preserve"> COMMENTS  \* MERGEFORMAT </w:instrText>
            </w:r>
            <w:r w:rsidRPr="003774FF">
              <w:fldChar w:fldCharType="separate"/>
            </w:r>
            <w:proofErr w:type="spellStart"/>
            <w:r>
              <w:rPr>
                <w:b w:val="0"/>
              </w:rPr>
              <w:t>A.</w:t>
            </w:r>
            <w:r w:rsidRPr="003774FF">
              <w:fldChar w:fldCharType="end"/>
            </w:r>
            <w:r w:rsidRPr="003774FF">
              <w:fldChar w:fldCharType="begin"/>
            </w:r>
            <w:r w:rsidRPr="003774FF">
              <w:rPr>
                <w:b w:val="0"/>
              </w:rPr>
              <w:instrText xml:space="preserve"> SEQ Table \* ARABIC </w:instrText>
            </w:r>
            <w:r w:rsidRPr="003774FF">
              <w:fldChar w:fldCharType="separate"/>
            </w:r>
            <w:r w:rsidR="008846C7">
              <w:rPr>
                <w:b w:val="0"/>
                <w:noProof/>
              </w:rPr>
              <w:t>1</w:t>
            </w:r>
            <w:proofErr w:type="spellEnd"/>
            <w:r w:rsidRPr="003774FF">
              <w:fldChar w:fldCharType="end"/>
            </w:r>
            <w:r>
              <w:tab/>
              <w:t>Key demographic assumptions</w:t>
            </w:r>
          </w:p>
        </w:tc>
      </w:tr>
      <w:tr w:rsidR="00360B6B" w14:paraId="7F068FD4" w14:textId="77777777" w:rsidTr="0052424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799"/>
              <w:gridCol w:w="1382"/>
              <w:gridCol w:w="1215"/>
              <w:gridCol w:w="1091"/>
            </w:tblGrid>
            <w:tr w:rsidR="00360B6B" w14:paraId="71DBAFB2" w14:textId="77777777" w:rsidTr="0052424C">
              <w:tc>
                <w:tcPr>
                  <w:tcW w:w="2827" w:type="pct"/>
                  <w:tcBorders>
                    <w:top w:val="single" w:sz="6" w:space="0" w:color="BFBFBF"/>
                    <w:bottom w:val="single" w:sz="6" w:space="0" w:color="BFBFBF"/>
                  </w:tcBorders>
                  <w:shd w:val="clear" w:color="auto" w:fill="auto"/>
                  <w:tcMar>
                    <w:top w:w="28" w:type="dxa"/>
                  </w:tcMar>
                </w:tcPr>
                <w:p w14:paraId="52F2B197" w14:textId="77777777" w:rsidR="00360B6B" w:rsidRDefault="00360B6B" w:rsidP="0052424C">
                  <w:pPr>
                    <w:pStyle w:val="TableColumnHeading"/>
                    <w:jc w:val="left"/>
                  </w:pPr>
                </w:p>
              </w:tc>
              <w:tc>
                <w:tcPr>
                  <w:tcW w:w="814" w:type="pct"/>
                  <w:tcBorders>
                    <w:top w:val="single" w:sz="6" w:space="0" w:color="BFBFBF"/>
                    <w:bottom w:val="single" w:sz="6" w:space="0" w:color="BFBFBF"/>
                  </w:tcBorders>
                  <w:vAlign w:val="bottom"/>
                </w:tcPr>
                <w:p w14:paraId="4393D88E" w14:textId="77777777" w:rsidR="00360B6B" w:rsidRDefault="00360B6B" w:rsidP="0052424C">
                  <w:pPr>
                    <w:pStyle w:val="TableColumnHeading"/>
                  </w:pPr>
                  <w:proofErr w:type="spellStart"/>
                  <w:r>
                    <w:t>VUMR</w:t>
                  </w:r>
                  <w:proofErr w:type="spellEnd"/>
                  <w:r>
                    <w:t xml:space="preserve"> variable</w:t>
                  </w:r>
                </w:p>
              </w:tc>
              <w:tc>
                <w:tcPr>
                  <w:tcW w:w="716" w:type="pct"/>
                  <w:tcBorders>
                    <w:top w:val="single" w:sz="6" w:space="0" w:color="BFBFBF"/>
                    <w:bottom w:val="single" w:sz="6" w:space="0" w:color="BFBFBF"/>
                  </w:tcBorders>
                  <w:shd w:val="clear" w:color="auto" w:fill="auto"/>
                  <w:tcMar>
                    <w:top w:w="28" w:type="dxa"/>
                  </w:tcMar>
                  <w:vAlign w:val="bottom"/>
                </w:tcPr>
                <w:p w14:paraId="19E78C3D" w14:textId="77777777" w:rsidR="00360B6B" w:rsidRDefault="00360B6B" w:rsidP="0052424C">
                  <w:pPr>
                    <w:pStyle w:val="TableColumnHeading"/>
                    <w:ind w:right="227"/>
                  </w:pPr>
                  <w:r>
                    <w:t>2013-14</w:t>
                  </w:r>
                </w:p>
              </w:tc>
              <w:tc>
                <w:tcPr>
                  <w:tcW w:w="644" w:type="pct"/>
                  <w:tcBorders>
                    <w:top w:val="single" w:sz="6" w:space="0" w:color="BFBFBF"/>
                    <w:bottom w:val="single" w:sz="6" w:space="0" w:color="BFBFBF"/>
                  </w:tcBorders>
                  <w:vAlign w:val="bottom"/>
                </w:tcPr>
                <w:p w14:paraId="62FBD307" w14:textId="77777777" w:rsidR="00360B6B" w:rsidRDefault="00360B6B" w:rsidP="0052424C">
                  <w:pPr>
                    <w:pStyle w:val="TableColumnHeading"/>
                  </w:pPr>
                  <w:r>
                    <w:t>2059-60</w:t>
                  </w:r>
                </w:p>
              </w:tc>
            </w:tr>
            <w:tr w:rsidR="00360B6B" w:rsidRPr="00D3339E" w14:paraId="03019AE3" w14:textId="77777777" w:rsidTr="0052424C">
              <w:tc>
                <w:tcPr>
                  <w:tcW w:w="2827" w:type="pct"/>
                  <w:tcBorders>
                    <w:top w:val="single" w:sz="6" w:space="0" w:color="BFBFBF"/>
                  </w:tcBorders>
                </w:tcPr>
                <w:p w14:paraId="13F03F0C" w14:textId="77777777" w:rsidR="00360B6B" w:rsidRDefault="00360B6B" w:rsidP="0052424C">
                  <w:pPr>
                    <w:pStyle w:val="TableUnitsRow"/>
                    <w:jc w:val="left"/>
                  </w:pPr>
                  <w:r>
                    <w:t>Starting population (million)</w:t>
                  </w:r>
                </w:p>
              </w:tc>
              <w:tc>
                <w:tcPr>
                  <w:tcW w:w="814" w:type="pct"/>
                  <w:tcBorders>
                    <w:top w:val="single" w:sz="6" w:space="0" w:color="BFBFBF"/>
                  </w:tcBorders>
                </w:tcPr>
                <w:p w14:paraId="02AF5ABF" w14:textId="77777777" w:rsidR="00360B6B" w:rsidRDefault="00360B6B" w:rsidP="0052424C">
                  <w:pPr>
                    <w:pStyle w:val="TableBodyText"/>
                  </w:pPr>
                  <w:proofErr w:type="spellStart"/>
                  <w:r>
                    <w:t>natpop</w:t>
                  </w:r>
                  <w:proofErr w:type="spellEnd"/>
                </w:p>
              </w:tc>
              <w:tc>
                <w:tcPr>
                  <w:tcW w:w="716" w:type="pct"/>
                  <w:tcBorders>
                    <w:top w:val="single" w:sz="6" w:space="0" w:color="BFBFBF"/>
                  </w:tcBorders>
                </w:tcPr>
                <w:p w14:paraId="1C390B62" w14:textId="77777777" w:rsidR="00360B6B" w:rsidRDefault="00360B6B" w:rsidP="0052424C">
                  <w:pPr>
                    <w:pStyle w:val="TableBodyText"/>
                    <w:ind w:right="227"/>
                  </w:pPr>
                  <w:r>
                    <w:t>23</w:t>
                  </w:r>
                </w:p>
              </w:tc>
              <w:tc>
                <w:tcPr>
                  <w:tcW w:w="644" w:type="pct"/>
                  <w:tcBorders>
                    <w:top w:val="single" w:sz="6" w:space="0" w:color="BFBFBF"/>
                  </w:tcBorders>
                  <w:shd w:val="clear" w:color="auto" w:fill="auto"/>
                </w:tcPr>
                <w:p w14:paraId="537678B5" w14:textId="77777777" w:rsidR="00360B6B" w:rsidRPr="00D3339E" w:rsidRDefault="00360B6B" w:rsidP="0052424C">
                  <w:pPr>
                    <w:pStyle w:val="TableBodyText"/>
                  </w:pPr>
                  <w:proofErr w:type="spellStart"/>
                  <w:r w:rsidRPr="00D3339E">
                    <w:t>na</w:t>
                  </w:r>
                  <w:proofErr w:type="spellEnd"/>
                </w:p>
              </w:tc>
            </w:tr>
            <w:tr w:rsidR="00360B6B" w14:paraId="2A04C38F" w14:textId="77777777" w:rsidTr="0052424C">
              <w:tc>
                <w:tcPr>
                  <w:tcW w:w="2827" w:type="pct"/>
                </w:tcPr>
                <w:p w14:paraId="6F9FB5DA" w14:textId="77777777" w:rsidR="00360B6B" w:rsidRDefault="00360B6B" w:rsidP="0052424C">
                  <w:pPr>
                    <w:pStyle w:val="TableBodyText"/>
                    <w:jc w:val="left"/>
                  </w:pPr>
                  <w:r>
                    <w:t xml:space="preserve">Total fertility rate (average of states) (births per woman) </w:t>
                  </w:r>
                </w:p>
              </w:tc>
              <w:tc>
                <w:tcPr>
                  <w:tcW w:w="814" w:type="pct"/>
                </w:tcPr>
                <w:p w14:paraId="5D105FA9" w14:textId="77777777" w:rsidR="00360B6B" w:rsidRDefault="00360B6B" w:rsidP="0052424C">
                  <w:pPr>
                    <w:pStyle w:val="TableBodyText"/>
                  </w:pPr>
                  <w:proofErr w:type="spellStart"/>
                  <w:r>
                    <w:t>LRT_TFR</w:t>
                  </w:r>
                  <w:proofErr w:type="spellEnd"/>
                </w:p>
              </w:tc>
              <w:tc>
                <w:tcPr>
                  <w:tcW w:w="716" w:type="pct"/>
                </w:tcPr>
                <w:p w14:paraId="5832C3B7" w14:textId="77777777" w:rsidR="00360B6B" w:rsidRDefault="00360B6B" w:rsidP="0052424C">
                  <w:pPr>
                    <w:pStyle w:val="TableBodyText"/>
                    <w:ind w:right="227"/>
                  </w:pPr>
                  <w:r>
                    <w:t>1.86</w:t>
                  </w:r>
                </w:p>
              </w:tc>
              <w:tc>
                <w:tcPr>
                  <w:tcW w:w="644" w:type="pct"/>
                </w:tcPr>
                <w:p w14:paraId="2E8B1DD8" w14:textId="77777777" w:rsidR="00360B6B" w:rsidRDefault="00360B6B" w:rsidP="0052424C">
                  <w:pPr>
                    <w:pStyle w:val="TableBodyText"/>
                  </w:pPr>
                  <w:r>
                    <w:t>1.86</w:t>
                  </w:r>
                </w:p>
              </w:tc>
            </w:tr>
            <w:tr w:rsidR="00360B6B" w14:paraId="3066C656" w14:textId="77777777" w:rsidTr="0052424C">
              <w:tc>
                <w:tcPr>
                  <w:tcW w:w="2827" w:type="pct"/>
                  <w:shd w:val="clear" w:color="auto" w:fill="auto"/>
                </w:tcPr>
                <w:p w14:paraId="13CF017F" w14:textId="77777777" w:rsidR="00360B6B" w:rsidRDefault="00360B6B" w:rsidP="0052424C">
                  <w:pPr>
                    <w:pStyle w:val="TableBodyText"/>
                    <w:jc w:val="left"/>
                  </w:pPr>
                  <w:r>
                    <w:t>Male births per 100 female births</w:t>
                  </w:r>
                </w:p>
              </w:tc>
              <w:tc>
                <w:tcPr>
                  <w:tcW w:w="814" w:type="pct"/>
                </w:tcPr>
                <w:p w14:paraId="07790FA0" w14:textId="77777777" w:rsidR="00360B6B" w:rsidRDefault="00360B6B" w:rsidP="0052424C">
                  <w:pPr>
                    <w:pStyle w:val="TableBodyText"/>
                  </w:pPr>
                  <w:proofErr w:type="spellStart"/>
                  <w:r>
                    <w:t>POPALPHA</w:t>
                  </w:r>
                  <w:proofErr w:type="spellEnd"/>
                </w:p>
              </w:tc>
              <w:tc>
                <w:tcPr>
                  <w:tcW w:w="716" w:type="pct"/>
                  <w:shd w:val="clear" w:color="auto" w:fill="auto"/>
                </w:tcPr>
                <w:p w14:paraId="4A59203A" w14:textId="77777777" w:rsidR="00360B6B" w:rsidRDefault="00360B6B" w:rsidP="0052424C">
                  <w:pPr>
                    <w:pStyle w:val="TableBodyText"/>
                    <w:ind w:right="227"/>
                  </w:pPr>
                  <w:r>
                    <w:t>105.6</w:t>
                  </w:r>
                </w:p>
              </w:tc>
              <w:tc>
                <w:tcPr>
                  <w:tcW w:w="644" w:type="pct"/>
                </w:tcPr>
                <w:p w14:paraId="58362643" w14:textId="77777777" w:rsidR="00360B6B" w:rsidRDefault="00360B6B" w:rsidP="0052424C">
                  <w:pPr>
                    <w:pStyle w:val="TableBodyText"/>
                  </w:pPr>
                  <w:r>
                    <w:t>105.6</w:t>
                  </w:r>
                </w:p>
              </w:tc>
            </w:tr>
            <w:tr w:rsidR="00360B6B" w14:paraId="7400FF6C" w14:textId="77777777" w:rsidTr="0052424C">
              <w:tc>
                <w:tcPr>
                  <w:tcW w:w="2827" w:type="pct"/>
                  <w:shd w:val="clear" w:color="auto" w:fill="auto"/>
                </w:tcPr>
                <w:p w14:paraId="71D39D97" w14:textId="77777777" w:rsidR="00360B6B" w:rsidRDefault="00360B6B" w:rsidP="0052424C">
                  <w:pPr>
                    <w:pStyle w:val="TableBodyText"/>
                    <w:jc w:val="left"/>
                  </w:pPr>
                  <w:r>
                    <w:t>Average life expectancy at birth</w:t>
                  </w:r>
                </w:p>
              </w:tc>
              <w:tc>
                <w:tcPr>
                  <w:tcW w:w="814" w:type="pct"/>
                </w:tcPr>
                <w:p w14:paraId="5E51AD94" w14:textId="77777777" w:rsidR="00360B6B" w:rsidRDefault="00360B6B" w:rsidP="0052424C">
                  <w:pPr>
                    <w:pStyle w:val="TableBodyText"/>
                  </w:pPr>
                  <w:proofErr w:type="spellStart"/>
                  <w:r>
                    <w:t>EXTB</w:t>
                  </w:r>
                  <w:proofErr w:type="spellEnd"/>
                </w:p>
              </w:tc>
              <w:tc>
                <w:tcPr>
                  <w:tcW w:w="716" w:type="pct"/>
                  <w:shd w:val="clear" w:color="auto" w:fill="auto"/>
                </w:tcPr>
                <w:p w14:paraId="7E7CED0A" w14:textId="77777777" w:rsidR="00360B6B" w:rsidRDefault="00360B6B" w:rsidP="0052424C">
                  <w:pPr>
                    <w:pStyle w:val="TableBodyText"/>
                    <w:ind w:right="227"/>
                    <w:rPr>
                      <w:szCs w:val="24"/>
                    </w:rPr>
                  </w:pPr>
                </w:p>
              </w:tc>
              <w:tc>
                <w:tcPr>
                  <w:tcW w:w="644" w:type="pct"/>
                </w:tcPr>
                <w:p w14:paraId="199E9684" w14:textId="77777777" w:rsidR="00360B6B" w:rsidRDefault="00360B6B" w:rsidP="0052424C">
                  <w:pPr>
                    <w:pStyle w:val="TableBodyText"/>
                    <w:rPr>
                      <w:szCs w:val="24"/>
                    </w:rPr>
                  </w:pPr>
                </w:p>
              </w:tc>
            </w:tr>
            <w:tr w:rsidR="00360B6B" w14:paraId="1028905C" w14:textId="77777777" w:rsidTr="0052424C">
              <w:tc>
                <w:tcPr>
                  <w:tcW w:w="2827" w:type="pct"/>
                  <w:shd w:val="clear" w:color="auto" w:fill="auto"/>
                </w:tcPr>
                <w:p w14:paraId="6553B849" w14:textId="77777777" w:rsidR="00360B6B" w:rsidRDefault="00360B6B" w:rsidP="0052424C">
                  <w:pPr>
                    <w:pStyle w:val="TableBodyText"/>
                    <w:jc w:val="left"/>
                  </w:pPr>
                  <w:r>
                    <w:tab/>
                    <w:t>Males</w:t>
                  </w:r>
                </w:p>
              </w:tc>
              <w:tc>
                <w:tcPr>
                  <w:tcW w:w="814" w:type="pct"/>
                </w:tcPr>
                <w:p w14:paraId="57D1B17E" w14:textId="77777777" w:rsidR="00360B6B" w:rsidRDefault="00360B6B" w:rsidP="0052424C">
                  <w:pPr>
                    <w:pStyle w:val="TableBodyText"/>
                    <w:rPr>
                      <w:szCs w:val="24"/>
                    </w:rPr>
                  </w:pPr>
                </w:p>
              </w:tc>
              <w:tc>
                <w:tcPr>
                  <w:tcW w:w="716" w:type="pct"/>
                  <w:shd w:val="clear" w:color="auto" w:fill="auto"/>
                </w:tcPr>
                <w:p w14:paraId="22931AF9" w14:textId="77777777" w:rsidR="00360B6B" w:rsidRDefault="00360B6B" w:rsidP="0052424C">
                  <w:pPr>
                    <w:pStyle w:val="TableBodyText"/>
                    <w:ind w:right="227"/>
                  </w:pPr>
                  <w:r>
                    <w:t>79</w:t>
                  </w:r>
                </w:p>
              </w:tc>
              <w:tc>
                <w:tcPr>
                  <w:tcW w:w="644" w:type="pct"/>
                </w:tcPr>
                <w:p w14:paraId="007E8107" w14:textId="77777777" w:rsidR="00360B6B" w:rsidRDefault="00360B6B" w:rsidP="0052424C">
                  <w:pPr>
                    <w:pStyle w:val="TableBodyText"/>
                  </w:pPr>
                  <w:r>
                    <w:t>88</w:t>
                  </w:r>
                </w:p>
              </w:tc>
            </w:tr>
            <w:tr w:rsidR="00360B6B" w14:paraId="4A90FF63" w14:textId="77777777" w:rsidTr="0052424C">
              <w:tc>
                <w:tcPr>
                  <w:tcW w:w="2827" w:type="pct"/>
                  <w:shd w:val="clear" w:color="auto" w:fill="auto"/>
                </w:tcPr>
                <w:p w14:paraId="7F36D058" w14:textId="77777777" w:rsidR="00360B6B" w:rsidRDefault="00360B6B" w:rsidP="0052424C">
                  <w:pPr>
                    <w:pStyle w:val="TableBodyText"/>
                    <w:jc w:val="left"/>
                  </w:pPr>
                  <w:r>
                    <w:tab/>
                    <w:t>Females</w:t>
                  </w:r>
                </w:p>
              </w:tc>
              <w:tc>
                <w:tcPr>
                  <w:tcW w:w="814" w:type="pct"/>
                </w:tcPr>
                <w:p w14:paraId="74E3AAC7" w14:textId="77777777" w:rsidR="00360B6B" w:rsidRDefault="00360B6B" w:rsidP="0052424C">
                  <w:pPr>
                    <w:pStyle w:val="TableBodyText"/>
                    <w:rPr>
                      <w:szCs w:val="24"/>
                    </w:rPr>
                  </w:pPr>
                </w:p>
              </w:tc>
              <w:tc>
                <w:tcPr>
                  <w:tcW w:w="716" w:type="pct"/>
                  <w:shd w:val="clear" w:color="auto" w:fill="auto"/>
                </w:tcPr>
                <w:p w14:paraId="5D1B7E9D" w14:textId="77777777" w:rsidR="00360B6B" w:rsidRDefault="00360B6B" w:rsidP="0052424C">
                  <w:pPr>
                    <w:pStyle w:val="TableBodyText"/>
                    <w:ind w:right="227"/>
                  </w:pPr>
                  <w:r>
                    <w:t>84</w:t>
                  </w:r>
                </w:p>
              </w:tc>
              <w:tc>
                <w:tcPr>
                  <w:tcW w:w="644" w:type="pct"/>
                </w:tcPr>
                <w:p w14:paraId="02D543A7" w14:textId="77777777" w:rsidR="00360B6B" w:rsidRDefault="00360B6B" w:rsidP="0052424C">
                  <w:pPr>
                    <w:pStyle w:val="TableBodyText"/>
                  </w:pPr>
                  <w:r>
                    <w:t>95</w:t>
                  </w:r>
                </w:p>
              </w:tc>
            </w:tr>
            <w:tr w:rsidR="00360B6B" w14:paraId="683E3DC1" w14:textId="77777777" w:rsidTr="0052424C">
              <w:tc>
                <w:tcPr>
                  <w:tcW w:w="2827" w:type="pct"/>
                  <w:tcBorders>
                    <w:bottom w:val="single" w:sz="4" w:space="0" w:color="C8C8C8" w:themeColor="background2"/>
                  </w:tcBorders>
                  <w:shd w:val="clear" w:color="auto" w:fill="auto"/>
                </w:tcPr>
                <w:p w14:paraId="37A248C4" w14:textId="77777777" w:rsidR="00360B6B" w:rsidRDefault="00360B6B" w:rsidP="0052424C">
                  <w:pPr>
                    <w:pStyle w:val="TableBodyText"/>
                    <w:jc w:val="left"/>
                  </w:pPr>
                  <w:r>
                    <w:t>NOM (‘000)</w:t>
                  </w:r>
                </w:p>
              </w:tc>
              <w:tc>
                <w:tcPr>
                  <w:tcW w:w="814" w:type="pct"/>
                  <w:tcBorders>
                    <w:bottom w:val="single" w:sz="4" w:space="0" w:color="C8C8C8" w:themeColor="background2"/>
                  </w:tcBorders>
                </w:tcPr>
                <w:p w14:paraId="67CE62D7" w14:textId="77777777" w:rsidR="00360B6B" w:rsidRDefault="00360B6B" w:rsidP="0052424C">
                  <w:pPr>
                    <w:pStyle w:val="TableBodyText"/>
                    <w:rPr>
                      <w:szCs w:val="24"/>
                    </w:rPr>
                  </w:pPr>
                  <w:proofErr w:type="spellStart"/>
                  <w:r>
                    <w:t>Projectnom</w:t>
                  </w:r>
                  <w:proofErr w:type="spellEnd"/>
                </w:p>
              </w:tc>
              <w:tc>
                <w:tcPr>
                  <w:tcW w:w="716" w:type="pct"/>
                  <w:tcBorders>
                    <w:bottom w:val="single" w:sz="4" w:space="0" w:color="C8C8C8" w:themeColor="background2"/>
                  </w:tcBorders>
                  <w:shd w:val="clear" w:color="auto" w:fill="auto"/>
                </w:tcPr>
                <w:p w14:paraId="73B2B190" w14:textId="77777777" w:rsidR="00360B6B" w:rsidRDefault="00360B6B" w:rsidP="0052424C">
                  <w:pPr>
                    <w:pStyle w:val="TableBodyText"/>
                    <w:ind w:right="227"/>
                  </w:pPr>
                  <w:r>
                    <w:t>206</w:t>
                  </w:r>
                </w:p>
              </w:tc>
              <w:tc>
                <w:tcPr>
                  <w:tcW w:w="644" w:type="pct"/>
                  <w:tcBorders>
                    <w:bottom w:val="single" w:sz="4" w:space="0" w:color="C8C8C8" w:themeColor="background2"/>
                  </w:tcBorders>
                </w:tcPr>
                <w:p w14:paraId="2952CAE3" w14:textId="77777777" w:rsidR="00360B6B" w:rsidRDefault="00360B6B" w:rsidP="0052424C">
                  <w:pPr>
                    <w:pStyle w:val="TableBodyText"/>
                  </w:pPr>
                  <w:r>
                    <w:t>0.6 per cent of the population</w:t>
                  </w:r>
                </w:p>
              </w:tc>
            </w:tr>
          </w:tbl>
          <w:p w14:paraId="36D40668" w14:textId="77777777" w:rsidR="00360B6B" w:rsidRDefault="00360B6B" w:rsidP="0052424C">
            <w:pPr>
              <w:pStyle w:val="Box"/>
            </w:pPr>
          </w:p>
        </w:tc>
      </w:tr>
      <w:tr w:rsidR="00360B6B" w14:paraId="7BA5E265" w14:textId="77777777" w:rsidTr="0052424C">
        <w:trPr>
          <w:cantSplit/>
        </w:trPr>
        <w:tc>
          <w:tcPr>
            <w:tcW w:w="8771" w:type="dxa"/>
            <w:tcBorders>
              <w:top w:val="nil"/>
              <w:left w:val="nil"/>
              <w:bottom w:val="nil"/>
              <w:right w:val="nil"/>
            </w:tcBorders>
            <w:shd w:val="clear" w:color="auto" w:fill="auto"/>
          </w:tcPr>
          <w:p w14:paraId="39C8C63B" w14:textId="7C9133EB" w:rsidR="00360B6B" w:rsidRDefault="00360B6B" w:rsidP="0052424C">
            <w:pPr>
              <w:pStyle w:val="Note"/>
              <w:rPr>
                <w:i/>
              </w:rPr>
            </w:pPr>
            <w:proofErr w:type="spellStart"/>
            <w:r w:rsidRPr="0052424C">
              <w:rPr>
                <w:b/>
              </w:rPr>
              <w:t>na</w:t>
            </w:r>
            <w:proofErr w:type="spellEnd"/>
            <w:r>
              <w:t xml:space="preserve"> not applicable</w:t>
            </w:r>
            <w:r w:rsidR="0052424C">
              <w:t>.</w:t>
            </w:r>
          </w:p>
          <w:p w14:paraId="666995D4" w14:textId="77777777" w:rsidR="00360B6B" w:rsidRPr="00AD27E4" w:rsidRDefault="00360B6B" w:rsidP="0052424C">
            <w:pPr>
              <w:pStyle w:val="Source"/>
            </w:pPr>
            <w:r>
              <w:rPr>
                <w:i/>
              </w:rPr>
              <w:t>Sources</w:t>
            </w:r>
            <w:r w:rsidRPr="00167F06">
              <w:t xml:space="preserve">: </w:t>
            </w:r>
            <w:r>
              <w:t xml:space="preserve">Productivity Commission estimates based on </w:t>
            </w:r>
            <w:r w:rsidRPr="007D2264">
              <w:t>ABS (</w:t>
            </w:r>
            <w:r w:rsidRPr="00364CE1">
              <w:rPr>
                <w:i/>
              </w:rPr>
              <w:t>Australian Historical Population Statistics, 2014</w:t>
            </w:r>
            <w:r w:rsidRPr="007D2264">
              <w:t>, Cat. no. 3105.0.65.001); ABS (</w:t>
            </w:r>
            <w:r w:rsidRPr="00364CE1">
              <w:rPr>
                <w:i/>
              </w:rPr>
              <w:t>Australian Demographic Statistics, September 2014</w:t>
            </w:r>
            <w:r w:rsidRPr="007D2264">
              <w:t>, Cat. no. 3101.0)</w:t>
            </w:r>
            <w:r>
              <w:t>.</w:t>
            </w:r>
          </w:p>
        </w:tc>
      </w:tr>
      <w:tr w:rsidR="00360B6B" w14:paraId="49CE8E7E" w14:textId="77777777" w:rsidTr="0052424C">
        <w:trPr>
          <w:cantSplit/>
        </w:trPr>
        <w:tc>
          <w:tcPr>
            <w:tcW w:w="8771" w:type="dxa"/>
            <w:tcBorders>
              <w:top w:val="nil"/>
              <w:left w:val="nil"/>
              <w:bottom w:val="single" w:sz="6" w:space="0" w:color="78A22F"/>
              <w:right w:val="nil"/>
            </w:tcBorders>
            <w:shd w:val="clear" w:color="auto" w:fill="auto"/>
          </w:tcPr>
          <w:p w14:paraId="25EB2A9D" w14:textId="77777777" w:rsidR="00360B6B" w:rsidRDefault="00360B6B" w:rsidP="0052424C">
            <w:pPr>
              <w:pStyle w:val="Box"/>
              <w:spacing w:before="0" w:line="120" w:lineRule="exact"/>
            </w:pPr>
          </w:p>
        </w:tc>
      </w:tr>
      <w:tr w:rsidR="00360B6B" w:rsidRPr="000863A5" w14:paraId="11A14C7E" w14:textId="77777777" w:rsidTr="0052424C">
        <w:tc>
          <w:tcPr>
            <w:tcW w:w="8771" w:type="dxa"/>
            <w:tcBorders>
              <w:top w:val="single" w:sz="6" w:space="0" w:color="78A22F"/>
              <w:left w:val="nil"/>
              <w:bottom w:val="nil"/>
              <w:right w:val="nil"/>
            </w:tcBorders>
          </w:tcPr>
          <w:p w14:paraId="143D603A" w14:textId="11CC8818" w:rsidR="00360B6B" w:rsidRPr="00626D32" w:rsidRDefault="00360B6B" w:rsidP="0052424C">
            <w:pPr>
              <w:pStyle w:val="BoxSpaceBelow"/>
            </w:pPr>
          </w:p>
        </w:tc>
      </w:tr>
    </w:tbl>
    <w:p w14:paraId="7511C1E2" w14:textId="77777777" w:rsidR="00D971D1" w:rsidRDefault="00D971D1" w:rsidP="00D971D1">
      <w:pPr>
        <w:pStyle w:val="Heading3"/>
      </w:pPr>
      <w:r>
        <w:t>Scenario 1 — Without NOM</w:t>
      </w:r>
    </w:p>
    <w:p w14:paraId="4547FC0E" w14:textId="77777777" w:rsidR="00D971D1" w:rsidRDefault="00D971D1" w:rsidP="00D971D1">
      <w:pPr>
        <w:pStyle w:val="BodyText"/>
      </w:pPr>
      <w:r>
        <w:t xml:space="preserve">Scenario 1 </w:t>
      </w:r>
      <w:r w:rsidRPr="006B79EA">
        <w:t>illustrate</w:t>
      </w:r>
      <w:r>
        <w:t>s</w:t>
      </w:r>
      <w:r w:rsidRPr="006B79EA">
        <w:t xml:space="preserve"> the implications</w:t>
      </w:r>
      <w:r>
        <w:t xml:space="preserve"> for the evolution of the Australian population and economy</w:t>
      </w:r>
      <w:r w:rsidRPr="006B79EA">
        <w:t xml:space="preserve"> </w:t>
      </w:r>
      <w:r>
        <w:t>as a result of</w:t>
      </w:r>
      <w:r w:rsidRPr="006B79EA">
        <w:t xml:space="preserve"> </w:t>
      </w:r>
      <w:r>
        <w:t xml:space="preserve">natural </w:t>
      </w:r>
      <w:r w:rsidRPr="006B79EA">
        <w:t xml:space="preserve">population increases </w:t>
      </w:r>
      <w:r>
        <w:t>alone — that is, assuming zero NOM from 2014</w:t>
      </w:r>
      <w:r>
        <w:noBreakHyphen/>
        <w:t>15 onwards. This scenario is used as a reference against which to report on the economywide impacts of NOM.</w:t>
      </w:r>
    </w:p>
    <w:p w14:paraId="759D6FC9" w14:textId="77777777" w:rsidR="00D971D1" w:rsidRDefault="00D971D1" w:rsidP="00D971D1">
      <w:pPr>
        <w:pStyle w:val="BodyText"/>
      </w:pPr>
      <w:r>
        <w:t>These labour market characteristics presented in Table </w:t>
      </w:r>
      <w:proofErr w:type="spellStart"/>
      <w:r>
        <w:t>A.1</w:t>
      </w:r>
      <w:proofErr w:type="spellEnd"/>
      <w:r>
        <w:t xml:space="preserve"> are applied in scenario 1. Over time, consistent with historical trends, it is assumed that labour force participation will increase fractionally (mainly through increased participation by older people and females) while workers will move between occupations based on changes in after-tax real wage and real unit labour costs of occupations. The unemployment rate in each occupation by state is assumed to be exogenous and fixed at current 2013-14 levels by state and occupation over the projection period.</w:t>
      </w:r>
    </w:p>
    <w:p w14:paraId="33D675E5" w14:textId="77777777" w:rsidR="00D971D1" w:rsidRDefault="00D971D1" w:rsidP="00D971D1">
      <w:pPr>
        <w:pStyle w:val="BodyText"/>
      </w:pPr>
      <w:r>
        <w:t>The variables shocked and the associated endogenous variable used in the dynamic modelling of the without NOM scenario (that is, zero NOM) are shown in table </w:t>
      </w:r>
      <w:proofErr w:type="spellStart"/>
      <w:r>
        <w:t>A.2</w:t>
      </w:r>
      <w:proofErr w:type="spellEnd"/>
      <w:r>
        <w:t>.</w:t>
      </w:r>
    </w:p>
    <w:p w14:paraId="120F6E93" w14:textId="77777777" w:rsidR="00D971D1" w:rsidRDefault="00D971D1" w:rsidP="00360B6B">
      <w:pPr>
        <w:pStyle w:val="BodyText"/>
      </w:pPr>
    </w:p>
    <w:p w14:paraId="46AA9335" w14:textId="6E8DC640"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29C55897" w14:textId="77777777" w:rsidTr="0052424C">
        <w:tc>
          <w:tcPr>
            <w:tcW w:w="8771" w:type="dxa"/>
            <w:tcBorders>
              <w:top w:val="single" w:sz="6" w:space="0" w:color="78A22F"/>
              <w:left w:val="nil"/>
              <w:bottom w:val="nil"/>
              <w:right w:val="nil"/>
            </w:tcBorders>
            <w:shd w:val="clear" w:color="auto" w:fill="auto"/>
          </w:tcPr>
          <w:p w14:paraId="1DADA5FB" w14:textId="3CD2300C" w:rsidR="00360B6B" w:rsidRPr="00176D3F"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3</w:t>
            </w:r>
            <w:proofErr w:type="spellEnd"/>
            <w:r w:rsidRPr="00784A05">
              <w:rPr>
                <w:b w:val="0"/>
              </w:rPr>
              <w:fldChar w:fldCharType="end"/>
            </w:r>
            <w:r>
              <w:tab/>
              <w:t>Labour market characteristics of the Australian labour force, 2009-10</w:t>
            </w:r>
            <w:r w:rsidRPr="0052424C">
              <w:rPr>
                <w:rStyle w:val="NoteLabel"/>
                <w:b/>
              </w:rPr>
              <w:t>a</w:t>
            </w:r>
          </w:p>
        </w:tc>
      </w:tr>
      <w:tr w:rsidR="00360B6B" w14:paraId="11BDF3C9"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60B6B" w14:paraId="3DD669F3" w14:textId="77777777" w:rsidTr="0052424C">
              <w:trPr>
                <w:trHeight w:val="99"/>
                <w:jc w:val="center"/>
              </w:trPr>
              <w:tc>
                <w:tcPr>
                  <w:tcW w:w="2500" w:type="pct"/>
                  <w:tcBorders>
                    <w:top w:val="nil"/>
                    <w:bottom w:val="nil"/>
                  </w:tcBorders>
                </w:tcPr>
                <w:p w14:paraId="12E45A7F" w14:textId="77777777" w:rsidR="00360B6B" w:rsidRPr="00B201AD" w:rsidRDefault="00360B6B" w:rsidP="00360B6B">
                  <w:pPr>
                    <w:pStyle w:val="Figure"/>
                    <w:numPr>
                      <w:ilvl w:val="0"/>
                      <w:numId w:val="29"/>
                    </w:numPr>
                    <w:spacing w:before="60" w:after="60"/>
                    <w:rPr>
                      <w:rFonts w:ascii="Arial" w:hAnsi="Arial" w:cs="Arial"/>
                      <w:b/>
                      <w:sz w:val="18"/>
                      <w:szCs w:val="18"/>
                    </w:rPr>
                  </w:pPr>
                  <w:r w:rsidRPr="00B201AD">
                    <w:rPr>
                      <w:rFonts w:ascii="Arial" w:hAnsi="Arial" w:cs="Arial"/>
                      <w:b/>
                      <w:sz w:val="18"/>
                      <w:szCs w:val="18"/>
                    </w:rPr>
                    <w:t>Labour market participation</w:t>
                  </w:r>
                </w:p>
              </w:tc>
              <w:tc>
                <w:tcPr>
                  <w:tcW w:w="2500" w:type="pct"/>
                  <w:tcBorders>
                    <w:top w:val="nil"/>
                    <w:bottom w:val="nil"/>
                  </w:tcBorders>
                </w:tcPr>
                <w:p w14:paraId="5D70721B" w14:textId="77777777" w:rsidR="00360B6B" w:rsidRPr="00B201AD" w:rsidRDefault="00360B6B" w:rsidP="00360B6B">
                  <w:pPr>
                    <w:pStyle w:val="Figure"/>
                    <w:numPr>
                      <w:ilvl w:val="0"/>
                      <w:numId w:val="29"/>
                    </w:numPr>
                    <w:spacing w:before="60" w:after="60"/>
                    <w:rPr>
                      <w:rFonts w:ascii="Arial" w:hAnsi="Arial" w:cs="Arial"/>
                      <w:b/>
                      <w:sz w:val="18"/>
                      <w:szCs w:val="18"/>
                    </w:rPr>
                  </w:pPr>
                  <w:r w:rsidRPr="00B201AD">
                    <w:rPr>
                      <w:rFonts w:ascii="Arial" w:hAnsi="Arial" w:cs="Arial"/>
                      <w:b/>
                      <w:sz w:val="18"/>
                      <w:szCs w:val="18"/>
                    </w:rPr>
                    <w:t xml:space="preserve">Occupational structure of the Australian </w:t>
                  </w:r>
                  <w:r>
                    <w:rPr>
                      <w:rFonts w:ascii="Arial" w:hAnsi="Arial" w:cs="Arial"/>
                      <w:b/>
                      <w:sz w:val="18"/>
                      <w:szCs w:val="18"/>
                    </w:rPr>
                    <w:t>labour</w:t>
                  </w:r>
                  <w:r w:rsidRPr="00B201AD">
                    <w:rPr>
                      <w:rFonts w:ascii="Arial" w:hAnsi="Arial" w:cs="Arial"/>
                      <w:b/>
                      <w:sz w:val="18"/>
                      <w:szCs w:val="18"/>
                    </w:rPr>
                    <w:t xml:space="preserve"> force</w:t>
                  </w:r>
                </w:p>
              </w:tc>
            </w:tr>
            <w:tr w:rsidR="00360B6B" w14:paraId="6D0A7103" w14:textId="77777777" w:rsidTr="0052424C">
              <w:trPr>
                <w:trHeight w:val="97"/>
                <w:jc w:val="center"/>
              </w:trPr>
              <w:tc>
                <w:tcPr>
                  <w:tcW w:w="2500" w:type="pct"/>
                  <w:tcBorders>
                    <w:top w:val="nil"/>
                    <w:bottom w:val="nil"/>
                  </w:tcBorders>
                </w:tcPr>
                <w:p w14:paraId="65AB5795" w14:textId="77777777" w:rsidR="00360B6B" w:rsidRDefault="00360B6B" w:rsidP="0052424C">
                  <w:pPr>
                    <w:pStyle w:val="Figure"/>
                    <w:spacing w:before="60" w:after="60"/>
                  </w:pPr>
                  <w:r>
                    <w:t xml:space="preserve"> </w:t>
                  </w:r>
                  <w:r w:rsidRPr="00921008" w:rsidDel="00921008">
                    <w:t xml:space="preserve"> </w:t>
                  </w:r>
                  <w:r>
                    <w:rPr>
                      <w:noProof/>
                    </w:rPr>
                    <w:drawing>
                      <wp:inline distT="0" distB="0" distL="0" distR="0" wp14:anchorId="0F1C5A4D" wp14:editId="4DC0EA81">
                        <wp:extent cx="2522220" cy="2697480"/>
                        <wp:effectExtent l="0" t="0" r="0" b="7620"/>
                        <wp:docPr id="3" name="Picture 3" descr="This figure shows labour market characteristics of the Australian workforce in 2009-10. It contains 4 panels (labelled a to d). Panel a shows that males and females aged between 20 and 60 years have the highest rate of workforce participation, with participation rates tapering off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2220" cy="2697480"/>
                                </a:xfrm>
                                <a:prstGeom prst="rect">
                                  <a:avLst/>
                                </a:prstGeom>
                                <a:noFill/>
                                <a:ln>
                                  <a:noFill/>
                                </a:ln>
                              </pic:spPr>
                            </pic:pic>
                          </a:graphicData>
                        </a:graphic>
                      </wp:inline>
                    </w:drawing>
                  </w:r>
                </w:p>
              </w:tc>
              <w:tc>
                <w:tcPr>
                  <w:tcW w:w="2500" w:type="pct"/>
                  <w:tcBorders>
                    <w:top w:val="nil"/>
                    <w:bottom w:val="nil"/>
                  </w:tcBorders>
                </w:tcPr>
                <w:p w14:paraId="794BD3D4" w14:textId="77777777" w:rsidR="00360B6B" w:rsidRDefault="00360B6B" w:rsidP="0052424C">
                  <w:pPr>
                    <w:pStyle w:val="Figure"/>
                    <w:spacing w:before="60" w:after="60"/>
                  </w:pPr>
                  <w:r w:rsidRPr="00A75D0F" w:rsidDel="000C699E">
                    <w:t xml:space="preserve"> </w:t>
                  </w:r>
                  <w:r>
                    <w:rPr>
                      <w:noProof/>
                    </w:rPr>
                    <w:drawing>
                      <wp:inline distT="0" distB="0" distL="0" distR="0" wp14:anchorId="7CF128FB" wp14:editId="4ABE2862">
                        <wp:extent cx="2520950" cy="2698750"/>
                        <wp:effectExtent l="0" t="0" r="0" b="6350"/>
                        <wp:docPr id="54" name="Picture 54" descr="Panel b shows that the occupational structure of the Australian workforce. It shows that a higher portion of the workforce participation is engaged in higher-skilled occupation than other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950" cy="2698750"/>
                                </a:xfrm>
                                <a:prstGeom prst="rect">
                                  <a:avLst/>
                                </a:prstGeom>
                                <a:noFill/>
                                <a:ln>
                                  <a:noFill/>
                                </a:ln>
                              </pic:spPr>
                            </pic:pic>
                          </a:graphicData>
                        </a:graphic>
                      </wp:inline>
                    </w:drawing>
                  </w:r>
                </w:p>
              </w:tc>
            </w:tr>
            <w:tr w:rsidR="00360B6B" w14:paraId="2F726F6F" w14:textId="77777777" w:rsidTr="0052424C">
              <w:trPr>
                <w:trHeight w:val="97"/>
                <w:jc w:val="center"/>
              </w:trPr>
              <w:tc>
                <w:tcPr>
                  <w:tcW w:w="2500" w:type="pct"/>
                  <w:tcBorders>
                    <w:top w:val="nil"/>
                    <w:bottom w:val="nil"/>
                  </w:tcBorders>
                </w:tcPr>
                <w:p w14:paraId="449E69D0" w14:textId="77777777" w:rsidR="00360B6B" w:rsidRPr="00B201AD" w:rsidRDefault="00360B6B" w:rsidP="00360B6B">
                  <w:pPr>
                    <w:pStyle w:val="Figure"/>
                    <w:keepLines/>
                    <w:numPr>
                      <w:ilvl w:val="0"/>
                      <w:numId w:val="29"/>
                    </w:numPr>
                    <w:spacing w:before="60" w:after="60"/>
                    <w:rPr>
                      <w:rFonts w:ascii="Arial" w:hAnsi="Arial" w:cs="Arial"/>
                      <w:b/>
                      <w:i/>
                      <w:sz w:val="18"/>
                      <w:szCs w:val="18"/>
                    </w:rPr>
                  </w:pPr>
                  <w:r w:rsidRPr="00B201AD">
                    <w:rPr>
                      <w:rFonts w:ascii="Arial" w:hAnsi="Arial" w:cs="Arial"/>
                      <w:b/>
                      <w:sz w:val="18"/>
                      <w:szCs w:val="18"/>
                    </w:rPr>
                    <w:t>Average weekly wages of occupational groups</w:t>
                  </w:r>
                </w:p>
              </w:tc>
              <w:tc>
                <w:tcPr>
                  <w:tcW w:w="2500" w:type="pct"/>
                  <w:tcBorders>
                    <w:top w:val="nil"/>
                    <w:bottom w:val="nil"/>
                  </w:tcBorders>
                </w:tcPr>
                <w:p w14:paraId="0C4E35CB" w14:textId="77777777" w:rsidR="00360B6B" w:rsidRPr="00B201AD" w:rsidRDefault="00360B6B" w:rsidP="00360B6B">
                  <w:pPr>
                    <w:pStyle w:val="Figure"/>
                    <w:keepLines/>
                    <w:numPr>
                      <w:ilvl w:val="0"/>
                      <w:numId w:val="29"/>
                    </w:numPr>
                    <w:spacing w:before="60" w:after="60"/>
                    <w:rPr>
                      <w:rFonts w:ascii="Arial" w:hAnsi="Arial" w:cs="Arial"/>
                      <w:b/>
                      <w:sz w:val="18"/>
                      <w:szCs w:val="18"/>
                    </w:rPr>
                  </w:pPr>
                  <w:r w:rsidRPr="00B201AD">
                    <w:rPr>
                      <w:rFonts w:ascii="Arial" w:hAnsi="Arial" w:cs="Arial"/>
                      <w:b/>
                      <w:sz w:val="18"/>
                      <w:szCs w:val="18"/>
                    </w:rPr>
                    <w:t>Unemployment by occupational group</w:t>
                  </w:r>
                  <w:r w:rsidRPr="00654E86">
                    <w:rPr>
                      <w:rStyle w:val="NoteLabel"/>
                      <w:rFonts w:cs="Arial"/>
                      <w:szCs w:val="18"/>
                    </w:rPr>
                    <w:t>b</w:t>
                  </w:r>
                </w:p>
              </w:tc>
            </w:tr>
            <w:tr w:rsidR="00360B6B" w14:paraId="37143DE0" w14:textId="77777777" w:rsidTr="0052424C">
              <w:trPr>
                <w:trHeight w:val="97"/>
                <w:jc w:val="center"/>
              </w:trPr>
              <w:tc>
                <w:tcPr>
                  <w:tcW w:w="2500" w:type="pct"/>
                  <w:tcBorders>
                    <w:top w:val="nil"/>
                    <w:bottom w:val="nil"/>
                  </w:tcBorders>
                </w:tcPr>
                <w:p w14:paraId="5429C220" w14:textId="77777777" w:rsidR="00360B6B" w:rsidRDefault="00360B6B" w:rsidP="0052424C">
                  <w:pPr>
                    <w:pStyle w:val="Figure"/>
                    <w:spacing w:before="60" w:after="60"/>
                  </w:pPr>
                  <w:r>
                    <w:rPr>
                      <w:noProof/>
                    </w:rPr>
                    <w:drawing>
                      <wp:inline distT="0" distB="0" distL="0" distR="0" wp14:anchorId="7C201389" wp14:editId="759A6A19">
                        <wp:extent cx="2520950" cy="2698750"/>
                        <wp:effectExtent l="0" t="0" r="0" b="6350"/>
                        <wp:docPr id="55" name="Picture 55" descr="Panel c presents average weekly wages by occupational groups. The figures in this panel show that a higher proportion of the workforce participation is engaged in higher income occupations than other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950" cy="2698750"/>
                                </a:xfrm>
                                <a:prstGeom prst="rect">
                                  <a:avLst/>
                                </a:prstGeom>
                                <a:noFill/>
                                <a:ln>
                                  <a:noFill/>
                                </a:ln>
                              </pic:spPr>
                            </pic:pic>
                          </a:graphicData>
                        </a:graphic>
                      </wp:inline>
                    </w:drawing>
                  </w:r>
                  <w:r w:rsidRPr="00507D33" w:rsidDel="00507D33">
                    <w:t xml:space="preserve"> </w:t>
                  </w:r>
                </w:p>
              </w:tc>
              <w:tc>
                <w:tcPr>
                  <w:tcW w:w="2500" w:type="pct"/>
                  <w:tcBorders>
                    <w:top w:val="nil"/>
                    <w:bottom w:val="nil"/>
                  </w:tcBorders>
                </w:tcPr>
                <w:p w14:paraId="6109266E" w14:textId="77777777" w:rsidR="00360B6B" w:rsidRDefault="00360B6B" w:rsidP="0052424C">
                  <w:pPr>
                    <w:pStyle w:val="Figure"/>
                    <w:spacing w:before="60" w:after="60"/>
                  </w:pPr>
                  <w:r>
                    <w:t xml:space="preserve">  </w:t>
                  </w:r>
                  <w:r w:rsidRPr="00921008" w:rsidDel="00921008">
                    <w:t xml:space="preserve"> </w:t>
                  </w:r>
                  <w:r>
                    <w:rPr>
                      <w:noProof/>
                    </w:rPr>
                    <w:drawing>
                      <wp:inline distT="0" distB="0" distL="0" distR="0" wp14:anchorId="3FE54089" wp14:editId="58E9A08F">
                        <wp:extent cx="2514600" cy="2705100"/>
                        <wp:effectExtent l="0" t="0" r="0" b="0"/>
                        <wp:docPr id="36" name="Picture 36" descr="Panel d shows unemployment by occupational groups. It shows that, on average, higher unemployment rates are experienced by the lower income occupations and that lower unemployment rates are experienced by the higher income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0" cy="2705100"/>
                                </a:xfrm>
                                <a:prstGeom prst="rect">
                                  <a:avLst/>
                                </a:prstGeom>
                                <a:noFill/>
                                <a:ln>
                                  <a:noFill/>
                                </a:ln>
                              </pic:spPr>
                            </pic:pic>
                          </a:graphicData>
                        </a:graphic>
                      </wp:inline>
                    </w:drawing>
                  </w:r>
                </w:p>
              </w:tc>
            </w:tr>
          </w:tbl>
          <w:p w14:paraId="1E969424" w14:textId="77777777" w:rsidR="00360B6B" w:rsidRDefault="00360B6B" w:rsidP="0052424C">
            <w:pPr>
              <w:pStyle w:val="Figure"/>
            </w:pPr>
          </w:p>
        </w:tc>
      </w:tr>
      <w:tr w:rsidR="00360B6B" w:rsidRPr="00176D3F" w14:paraId="4CF1C879" w14:textId="77777777" w:rsidTr="0052424C">
        <w:tc>
          <w:tcPr>
            <w:tcW w:w="8771" w:type="dxa"/>
            <w:tcBorders>
              <w:top w:val="nil"/>
              <w:left w:val="nil"/>
              <w:bottom w:val="nil"/>
              <w:right w:val="nil"/>
            </w:tcBorders>
            <w:shd w:val="clear" w:color="auto" w:fill="auto"/>
          </w:tcPr>
          <w:p w14:paraId="3F3E1D2B" w14:textId="77777777" w:rsidR="00360B6B" w:rsidRPr="00176D3F" w:rsidRDefault="00360B6B" w:rsidP="0052424C">
            <w:pPr>
              <w:pStyle w:val="Note"/>
            </w:pPr>
            <w:r>
              <w:rPr>
                <w:rStyle w:val="NoteLabel"/>
              </w:rPr>
              <w:t>a</w:t>
            </w:r>
            <w:r>
              <w:t xml:space="preserve"> 2009-10 is the first year in the </w:t>
            </w:r>
            <w:proofErr w:type="spellStart"/>
            <w:r>
              <w:t>VUMR</w:t>
            </w:r>
            <w:proofErr w:type="spellEnd"/>
            <w:r>
              <w:t xml:space="preserve"> database used in the modelling. Projection period for this inquiry is from 2013-14 to 2059-60. </w:t>
            </w:r>
            <w:r>
              <w:rPr>
                <w:rStyle w:val="NoteLabel"/>
              </w:rPr>
              <w:t>b</w:t>
            </w:r>
            <w:r>
              <w:t xml:space="preserve"> The figure is based on the distribution of persons unemployed who are able to identify their own occupations. This group accounted for 64 per cent of the unemployed in 2009-10. The remaining 36  per cent of the unemployment are recorded as ‘unallocated’. </w:t>
            </w:r>
          </w:p>
        </w:tc>
      </w:tr>
      <w:tr w:rsidR="00360B6B" w:rsidRPr="00176D3F" w14:paraId="2F974D04" w14:textId="77777777" w:rsidTr="0052424C">
        <w:tc>
          <w:tcPr>
            <w:tcW w:w="8771" w:type="dxa"/>
            <w:tcBorders>
              <w:top w:val="nil"/>
              <w:left w:val="nil"/>
              <w:bottom w:val="nil"/>
              <w:right w:val="nil"/>
            </w:tcBorders>
            <w:shd w:val="clear" w:color="auto" w:fill="auto"/>
          </w:tcPr>
          <w:p w14:paraId="72A4993A" w14:textId="77777777" w:rsidR="00360B6B" w:rsidRPr="00A94352" w:rsidRDefault="00360B6B" w:rsidP="0052424C">
            <w:pPr>
              <w:pStyle w:val="Source"/>
            </w:pPr>
            <w:r>
              <w:rPr>
                <w:i/>
              </w:rPr>
              <w:t>S</w:t>
            </w:r>
            <w:r w:rsidRPr="00784A05">
              <w:rPr>
                <w:i/>
              </w:rPr>
              <w:t>ource</w:t>
            </w:r>
            <w:r w:rsidRPr="00176D3F">
              <w:t xml:space="preserve">: </w:t>
            </w:r>
            <w:r>
              <w:t xml:space="preserve">estimates based on  </w:t>
            </w:r>
            <w:r w:rsidRPr="00AF7AE3">
              <w:t>ABS (</w:t>
            </w:r>
            <w:r w:rsidRPr="0037676B">
              <w:rPr>
                <w:i/>
              </w:rPr>
              <w:t>Labour Force, Australia, May 2015</w:t>
            </w:r>
            <w:r w:rsidRPr="00AF7AE3">
              <w:t xml:space="preserve">, </w:t>
            </w:r>
            <w:r>
              <w:t>c</w:t>
            </w:r>
            <w:r w:rsidRPr="00AF7AE3">
              <w:t>at. no. 6202.0)</w:t>
            </w:r>
            <w:r>
              <w:t xml:space="preserve"> and </w:t>
            </w:r>
            <w:r w:rsidRPr="00AF7AE3">
              <w:t>ABS (</w:t>
            </w:r>
            <w:r w:rsidRPr="0037676B">
              <w:rPr>
                <w:i/>
              </w:rPr>
              <w:t>Labour Force, Australia, Detailed, Quarterly, February 2015</w:t>
            </w:r>
            <w:r w:rsidRPr="00AF7AE3">
              <w:t xml:space="preserve">, </w:t>
            </w:r>
            <w:r>
              <w:t>c</w:t>
            </w:r>
            <w:r w:rsidRPr="00AF7AE3">
              <w:t>at. no. 6291.0.55.003)</w:t>
            </w:r>
            <w:r>
              <w:t>.</w:t>
            </w:r>
          </w:p>
        </w:tc>
      </w:tr>
      <w:tr w:rsidR="00360B6B" w14:paraId="737A81DD" w14:textId="77777777" w:rsidTr="0052424C">
        <w:tc>
          <w:tcPr>
            <w:tcW w:w="8771" w:type="dxa"/>
            <w:tcBorders>
              <w:top w:val="nil"/>
              <w:left w:val="nil"/>
              <w:bottom w:val="single" w:sz="6" w:space="0" w:color="78A22F"/>
              <w:right w:val="nil"/>
            </w:tcBorders>
            <w:shd w:val="clear" w:color="auto" w:fill="auto"/>
          </w:tcPr>
          <w:p w14:paraId="5A727189" w14:textId="77777777" w:rsidR="00360B6B" w:rsidRDefault="00360B6B" w:rsidP="0052424C">
            <w:pPr>
              <w:pStyle w:val="Figurespace"/>
            </w:pPr>
          </w:p>
        </w:tc>
      </w:tr>
      <w:tr w:rsidR="00360B6B" w:rsidRPr="000863A5" w14:paraId="2BB2DF56" w14:textId="77777777" w:rsidTr="0052424C">
        <w:tc>
          <w:tcPr>
            <w:tcW w:w="8771" w:type="dxa"/>
            <w:tcBorders>
              <w:top w:val="single" w:sz="6" w:space="0" w:color="78A22F"/>
              <w:left w:val="nil"/>
              <w:bottom w:val="nil"/>
              <w:right w:val="nil"/>
            </w:tcBorders>
          </w:tcPr>
          <w:p w14:paraId="3DD4E71C" w14:textId="4FFB74AB" w:rsidR="00360B6B" w:rsidRPr="00626D32" w:rsidRDefault="00360B6B" w:rsidP="0052424C">
            <w:pPr>
              <w:pStyle w:val="BoxSpaceBelow"/>
            </w:pPr>
          </w:p>
        </w:tc>
      </w:tr>
    </w:tbl>
    <w:p w14:paraId="08404BDA" w14:textId="2BC93151" w:rsidR="00360B6B" w:rsidRPr="004756FD" w:rsidRDefault="00360B6B" w:rsidP="00360B6B">
      <w:pPr>
        <w:pStyle w:val="BoxSpaceAbove"/>
        <w:rPr>
          <w:highlight w:val="yellow"/>
        </w:rPr>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60B6B" w:rsidRPr="00DA5B73" w14:paraId="05C74945" w14:textId="77777777" w:rsidTr="0052424C">
        <w:tc>
          <w:tcPr>
            <w:tcW w:w="8771" w:type="dxa"/>
            <w:tcBorders>
              <w:top w:val="single" w:sz="6" w:space="0" w:color="78A22F"/>
              <w:left w:val="nil"/>
              <w:bottom w:val="nil"/>
              <w:right w:val="nil"/>
            </w:tcBorders>
            <w:shd w:val="clear" w:color="auto" w:fill="auto"/>
          </w:tcPr>
          <w:p w14:paraId="1E38D81B" w14:textId="668A1DD7" w:rsidR="00360B6B" w:rsidRPr="00FD6F61" w:rsidRDefault="00360B6B" w:rsidP="0052424C">
            <w:pPr>
              <w:pStyle w:val="TableTitle"/>
            </w:pPr>
            <w:r w:rsidRPr="00FD6F61">
              <w:rPr>
                <w:b w:val="0"/>
              </w:rPr>
              <w:t xml:space="preserve">Table </w:t>
            </w:r>
            <w:r w:rsidRPr="00FD6F61">
              <w:rPr>
                <w:b w:val="0"/>
              </w:rPr>
              <w:fldChar w:fldCharType="begin"/>
            </w:r>
            <w:r w:rsidRPr="00FD6F61">
              <w:rPr>
                <w:b w:val="0"/>
              </w:rPr>
              <w:instrText xml:space="preserve"> COMMENTS  \* MERGEFORMAT </w:instrText>
            </w:r>
            <w:r w:rsidRPr="00FD6F61">
              <w:rPr>
                <w:b w:val="0"/>
              </w:rPr>
              <w:fldChar w:fldCharType="separate"/>
            </w:r>
            <w:proofErr w:type="spellStart"/>
            <w:r>
              <w:rPr>
                <w:b w:val="0"/>
              </w:rPr>
              <w:t>A.</w:t>
            </w:r>
            <w:r w:rsidRPr="00FD6F61">
              <w:rPr>
                <w:b w:val="0"/>
              </w:rPr>
              <w:fldChar w:fldCharType="end"/>
            </w:r>
            <w:r w:rsidRPr="00FD6F61">
              <w:rPr>
                <w:b w:val="0"/>
              </w:rPr>
              <w:fldChar w:fldCharType="begin"/>
            </w:r>
            <w:r w:rsidRPr="00FD6F61">
              <w:rPr>
                <w:b w:val="0"/>
              </w:rPr>
              <w:instrText xml:space="preserve"> SEQ Table \* ARABIC </w:instrText>
            </w:r>
            <w:r w:rsidRPr="00FD6F61">
              <w:rPr>
                <w:b w:val="0"/>
              </w:rPr>
              <w:fldChar w:fldCharType="separate"/>
            </w:r>
            <w:r w:rsidR="008846C7">
              <w:rPr>
                <w:b w:val="0"/>
                <w:noProof/>
              </w:rPr>
              <w:t>2</w:t>
            </w:r>
            <w:proofErr w:type="spellEnd"/>
            <w:r w:rsidRPr="00FD6F61">
              <w:rPr>
                <w:b w:val="0"/>
              </w:rPr>
              <w:fldChar w:fldCharType="end"/>
            </w:r>
            <w:r w:rsidRPr="00FD6F61">
              <w:tab/>
              <w:t xml:space="preserve">Modelling of </w:t>
            </w:r>
            <w:r>
              <w:t xml:space="preserve">the zero </w:t>
            </w:r>
            <w:r w:rsidRPr="00FD6F61">
              <w:t>NOM</w:t>
            </w:r>
            <w:r>
              <w:t xml:space="preserve"> scenario (scenario 1)</w:t>
            </w:r>
          </w:p>
        </w:tc>
      </w:tr>
      <w:tr w:rsidR="00360B6B" w14:paraId="4732BB56" w14:textId="77777777" w:rsidTr="0052424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29"/>
              <w:gridCol w:w="2830"/>
              <w:gridCol w:w="2828"/>
            </w:tblGrid>
            <w:tr w:rsidR="00360B6B" w:rsidRPr="00FD6F61" w14:paraId="1BA0B8DC" w14:textId="77777777" w:rsidTr="0052424C">
              <w:tc>
                <w:tcPr>
                  <w:tcW w:w="1667" w:type="pct"/>
                  <w:tcBorders>
                    <w:top w:val="single" w:sz="6" w:space="0" w:color="BFBFBF"/>
                    <w:bottom w:val="single" w:sz="6" w:space="0" w:color="BFBFBF"/>
                  </w:tcBorders>
                  <w:shd w:val="clear" w:color="auto" w:fill="auto"/>
                  <w:tcMar>
                    <w:top w:w="28" w:type="dxa"/>
                  </w:tcMar>
                </w:tcPr>
                <w:p w14:paraId="49529E27" w14:textId="77777777" w:rsidR="00360B6B" w:rsidRPr="00FD6F61" w:rsidRDefault="00360B6B" w:rsidP="0052424C">
                  <w:pPr>
                    <w:pStyle w:val="TableColumnHeading"/>
                    <w:jc w:val="left"/>
                  </w:pPr>
                  <w:r w:rsidRPr="00FD6F61">
                    <w:t>Rationale</w:t>
                  </w:r>
                </w:p>
              </w:tc>
              <w:tc>
                <w:tcPr>
                  <w:tcW w:w="1667" w:type="pct"/>
                  <w:tcBorders>
                    <w:top w:val="single" w:sz="6" w:space="0" w:color="BFBFBF"/>
                    <w:bottom w:val="single" w:sz="6" w:space="0" w:color="BFBFBF"/>
                  </w:tcBorders>
                  <w:shd w:val="clear" w:color="auto" w:fill="auto"/>
                  <w:tcMar>
                    <w:top w:w="28" w:type="dxa"/>
                  </w:tcMar>
                </w:tcPr>
                <w:p w14:paraId="018A1FF4" w14:textId="77777777" w:rsidR="00360B6B" w:rsidRPr="00FD6F61" w:rsidRDefault="00360B6B" w:rsidP="0052424C">
                  <w:pPr>
                    <w:pStyle w:val="TableColumnHeading"/>
                    <w:ind w:left="113" w:right="227"/>
                    <w:jc w:val="left"/>
                  </w:pPr>
                  <w:proofErr w:type="spellStart"/>
                  <w:r w:rsidRPr="00FD6F61">
                    <w:t>VUM</w:t>
                  </w:r>
                  <w:r>
                    <w:t>R</w:t>
                  </w:r>
                  <w:proofErr w:type="spellEnd"/>
                  <w:r w:rsidRPr="00FD6F61">
                    <w:t xml:space="preserve"> exogenous variable</w:t>
                  </w:r>
                </w:p>
              </w:tc>
              <w:tc>
                <w:tcPr>
                  <w:tcW w:w="1666" w:type="pct"/>
                  <w:tcBorders>
                    <w:top w:val="single" w:sz="6" w:space="0" w:color="BFBFBF"/>
                    <w:bottom w:val="single" w:sz="6" w:space="0" w:color="BFBFBF"/>
                  </w:tcBorders>
                  <w:shd w:val="clear" w:color="auto" w:fill="auto"/>
                  <w:tcMar>
                    <w:top w:w="28" w:type="dxa"/>
                  </w:tcMar>
                </w:tcPr>
                <w:p w14:paraId="2AF888B1" w14:textId="77777777" w:rsidR="00360B6B" w:rsidRPr="00FD6F61" w:rsidRDefault="00360B6B" w:rsidP="0052424C">
                  <w:pPr>
                    <w:pStyle w:val="TableColumnHeading"/>
                    <w:ind w:right="28"/>
                    <w:jc w:val="left"/>
                  </w:pPr>
                  <w:proofErr w:type="spellStart"/>
                  <w:r w:rsidRPr="00FD6F61">
                    <w:t>VUMR</w:t>
                  </w:r>
                  <w:proofErr w:type="spellEnd"/>
                  <w:r w:rsidRPr="00FD6F61">
                    <w:t xml:space="preserve"> endogenous variable</w:t>
                  </w:r>
                </w:p>
              </w:tc>
            </w:tr>
            <w:tr w:rsidR="00360B6B" w:rsidRPr="00FD6F61" w14:paraId="2603E729" w14:textId="77777777" w:rsidTr="0052424C">
              <w:tc>
                <w:tcPr>
                  <w:tcW w:w="1667" w:type="pct"/>
                  <w:tcBorders>
                    <w:top w:val="single" w:sz="6" w:space="0" w:color="BFBFBF"/>
                    <w:bottom w:val="single" w:sz="6" w:space="0" w:color="BFBFBF"/>
                  </w:tcBorders>
                </w:tcPr>
                <w:p w14:paraId="7FE084A1" w14:textId="6E91E4E7" w:rsidR="00360B6B" w:rsidRPr="004756FD" w:rsidRDefault="00360B6B" w:rsidP="0052424C">
                  <w:pPr>
                    <w:pStyle w:val="TableUnitsRow"/>
                    <w:jc w:val="left"/>
                  </w:pPr>
                  <w:r w:rsidRPr="004756FD">
                    <w:t>NOM by age, gender and state of entry is introduced as a source of population change. Population by region changes through natural increase</w:t>
                  </w:r>
                  <w:r w:rsidR="0052424C">
                    <w:t>, NOM and interstate migration.</w:t>
                  </w:r>
                </w:p>
                <w:p w14:paraId="634D1F97" w14:textId="77777777" w:rsidR="00360B6B" w:rsidRDefault="00360B6B" w:rsidP="0052424C">
                  <w:pPr>
                    <w:pStyle w:val="TableUnitsRow"/>
                    <w:jc w:val="left"/>
                  </w:pPr>
                  <w:r w:rsidRPr="004756FD">
                    <w:t>The direct effect of NOM (model shock) is introduced as an increment in persons by age, gender and state.</w:t>
                  </w:r>
                  <w:r>
                    <w:t xml:space="preserve"> </w:t>
                  </w:r>
                </w:p>
                <w:p w14:paraId="20C1D91F" w14:textId="77777777" w:rsidR="00360B6B" w:rsidRPr="00FD6F61" w:rsidRDefault="00360B6B" w:rsidP="0052424C">
                  <w:pPr>
                    <w:pStyle w:val="TableUnitsRow"/>
                    <w:jc w:val="left"/>
                  </w:pPr>
                  <w:r>
                    <w:t>For this scenario, NOM is set at  zero.</w:t>
                  </w:r>
                  <w:r w:rsidRPr="00FD6F61">
                    <w:t xml:space="preserve"> </w:t>
                  </w:r>
                </w:p>
              </w:tc>
              <w:tc>
                <w:tcPr>
                  <w:tcW w:w="1667" w:type="pct"/>
                  <w:tcBorders>
                    <w:top w:val="single" w:sz="6" w:space="0" w:color="BFBFBF"/>
                    <w:bottom w:val="single" w:sz="6" w:space="0" w:color="BFBFBF"/>
                  </w:tcBorders>
                </w:tcPr>
                <w:p w14:paraId="47B33801" w14:textId="77777777" w:rsidR="00360B6B" w:rsidRPr="002D6820" w:rsidRDefault="00360B6B" w:rsidP="0052424C">
                  <w:pPr>
                    <w:pStyle w:val="TableUnitsRow"/>
                    <w:ind w:left="113"/>
                    <w:jc w:val="left"/>
                  </w:pPr>
                  <w:r w:rsidRPr="00C55C18">
                    <w:t>National net overseas migration in projection period (000)</w:t>
                  </w:r>
                </w:p>
                <w:p w14:paraId="41784B9D" w14:textId="77777777" w:rsidR="00360B6B" w:rsidRPr="00FD6F61" w:rsidRDefault="00360B6B" w:rsidP="0052424C">
                  <w:pPr>
                    <w:pStyle w:val="TableUnitsRow"/>
                    <w:ind w:left="113"/>
                    <w:jc w:val="left"/>
                  </w:pPr>
                  <w:r>
                    <w:t>(</w:t>
                  </w:r>
                  <w:proofErr w:type="spellStart"/>
                  <w:r>
                    <w:t>projectnom</w:t>
                  </w:r>
                  <w:proofErr w:type="spellEnd"/>
                  <w:r>
                    <w:t>)</w:t>
                  </w:r>
                </w:p>
              </w:tc>
              <w:tc>
                <w:tcPr>
                  <w:tcW w:w="1666" w:type="pct"/>
                  <w:tcBorders>
                    <w:top w:val="single" w:sz="6" w:space="0" w:color="BFBFBF"/>
                    <w:bottom w:val="single" w:sz="6" w:space="0" w:color="BFBFBF"/>
                  </w:tcBorders>
                </w:tcPr>
                <w:p w14:paraId="3EF9AA4A" w14:textId="77777777" w:rsidR="00360B6B" w:rsidRDefault="00360B6B" w:rsidP="0052424C">
                  <w:pPr>
                    <w:pStyle w:val="TableUnitsRow"/>
                    <w:ind w:right="28"/>
                    <w:jc w:val="left"/>
                  </w:pPr>
                  <w:r>
                    <w:t>National net overseas migration shift term (000)</w:t>
                  </w:r>
                </w:p>
                <w:p w14:paraId="0B06B413" w14:textId="77777777" w:rsidR="00360B6B" w:rsidRDefault="00360B6B" w:rsidP="0052424C">
                  <w:pPr>
                    <w:pStyle w:val="TableUnitsRow"/>
                    <w:ind w:right="28"/>
                    <w:jc w:val="left"/>
                  </w:pPr>
                  <w:r>
                    <w:t>(</w:t>
                  </w:r>
                  <w:proofErr w:type="spellStart"/>
                  <w:r>
                    <w:t>f_natnom</w:t>
                  </w:r>
                  <w:proofErr w:type="spellEnd"/>
                  <w:r>
                    <w:t>)</w:t>
                  </w:r>
                </w:p>
                <w:p w14:paraId="1B36F28E" w14:textId="77777777" w:rsidR="00360B6B" w:rsidRPr="00FD6F61" w:rsidRDefault="00360B6B" w:rsidP="0052424C">
                  <w:pPr>
                    <w:pStyle w:val="TableUnitsRow"/>
                    <w:ind w:right="28"/>
                    <w:jc w:val="left"/>
                  </w:pPr>
                </w:p>
              </w:tc>
            </w:tr>
            <w:tr w:rsidR="00360B6B" w:rsidRPr="00FD6F61" w14:paraId="1E462EF7" w14:textId="77777777" w:rsidTr="0052424C">
              <w:tc>
                <w:tcPr>
                  <w:tcW w:w="1667" w:type="pct"/>
                  <w:tcBorders>
                    <w:top w:val="single" w:sz="6" w:space="0" w:color="BFBFBF"/>
                  </w:tcBorders>
                </w:tcPr>
                <w:p w14:paraId="7EC7E4DC" w14:textId="77777777" w:rsidR="00360B6B" w:rsidRPr="004756FD" w:rsidRDefault="00360B6B" w:rsidP="0052424C">
                  <w:pPr>
                    <w:pStyle w:val="TableUnitsRow"/>
                    <w:jc w:val="left"/>
                  </w:pPr>
                </w:p>
              </w:tc>
              <w:tc>
                <w:tcPr>
                  <w:tcW w:w="1667" w:type="pct"/>
                  <w:tcBorders>
                    <w:top w:val="single" w:sz="6" w:space="0" w:color="BFBFBF"/>
                  </w:tcBorders>
                </w:tcPr>
                <w:p w14:paraId="55A3CB60" w14:textId="77777777" w:rsidR="00360B6B" w:rsidRPr="00C55C18" w:rsidRDefault="00360B6B" w:rsidP="0052424C">
                  <w:pPr>
                    <w:pStyle w:val="TableUnitsRow"/>
                  </w:pPr>
                </w:p>
              </w:tc>
              <w:tc>
                <w:tcPr>
                  <w:tcW w:w="1666" w:type="pct"/>
                  <w:tcBorders>
                    <w:top w:val="single" w:sz="6" w:space="0" w:color="BFBFBF"/>
                  </w:tcBorders>
                </w:tcPr>
                <w:p w14:paraId="07BDFAAB" w14:textId="77777777" w:rsidR="00360B6B" w:rsidRDefault="00360B6B" w:rsidP="0052424C">
                  <w:pPr>
                    <w:pStyle w:val="TableUnitsRow"/>
                    <w:ind w:right="28"/>
                  </w:pPr>
                </w:p>
              </w:tc>
            </w:tr>
          </w:tbl>
          <w:p w14:paraId="05848018" w14:textId="77777777" w:rsidR="00360B6B" w:rsidRPr="00FD6F61" w:rsidRDefault="00360B6B" w:rsidP="0052424C">
            <w:pPr>
              <w:pStyle w:val="Box"/>
            </w:pPr>
          </w:p>
        </w:tc>
      </w:tr>
      <w:tr w:rsidR="00360B6B" w:rsidRPr="000863A5" w14:paraId="24E2B8BC" w14:textId="77777777" w:rsidTr="0052424C">
        <w:tc>
          <w:tcPr>
            <w:tcW w:w="8771" w:type="dxa"/>
            <w:tcBorders>
              <w:top w:val="single" w:sz="6" w:space="0" w:color="78A22F"/>
              <w:left w:val="nil"/>
              <w:bottom w:val="nil"/>
              <w:right w:val="nil"/>
            </w:tcBorders>
          </w:tcPr>
          <w:p w14:paraId="0049A8F0" w14:textId="6075B356" w:rsidR="00360B6B" w:rsidRPr="00626D32" w:rsidRDefault="00360B6B" w:rsidP="0052424C">
            <w:pPr>
              <w:pStyle w:val="BoxSpaceBelow"/>
            </w:pPr>
          </w:p>
        </w:tc>
      </w:tr>
    </w:tbl>
    <w:p w14:paraId="28D5CAF5" w14:textId="77777777" w:rsidR="00360B6B" w:rsidRDefault="00360B6B" w:rsidP="00360B6B">
      <w:pPr>
        <w:pStyle w:val="Heading3"/>
      </w:pPr>
      <w:r w:rsidRPr="006B79EA">
        <w:t>Scenario</w:t>
      </w:r>
      <w:r>
        <w:t> </w:t>
      </w:r>
      <w:r w:rsidRPr="006B79EA">
        <w:t xml:space="preserve">2 </w:t>
      </w:r>
      <w:r>
        <w:t xml:space="preserve">— Population and cohort effect of NOM </w:t>
      </w:r>
    </w:p>
    <w:p w14:paraId="2CD7E5E2" w14:textId="77777777" w:rsidR="00360B6B" w:rsidRDefault="00360B6B" w:rsidP="00360B6B">
      <w:pPr>
        <w:pStyle w:val="BodyText"/>
      </w:pPr>
      <w:r>
        <w:t xml:space="preserve">Scenario 2 introduces a positive (long-term average) NOM into the growth of the Australian population. It illustrates the possible effects of NOM on the size of the population and its effects on demography and changing labour force participation.  </w:t>
      </w:r>
    </w:p>
    <w:p w14:paraId="719AD083" w14:textId="77777777" w:rsidR="00360B6B" w:rsidRDefault="00360B6B" w:rsidP="00360B6B">
      <w:pPr>
        <w:pStyle w:val="Heading4"/>
      </w:pPr>
      <w:r>
        <w:t>The demographic projection</w:t>
      </w:r>
    </w:p>
    <w:p w14:paraId="5B3E2162" w14:textId="77777777" w:rsidR="00360B6B" w:rsidRDefault="00360B6B" w:rsidP="00360B6B">
      <w:pPr>
        <w:pStyle w:val="BodyText"/>
      </w:pPr>
      <w:r>
        <w:t>NOM has varied substantially over time both in absolute terms and as a share of the population (figure </w:t>
      </w:r>
      <w:proofErr w:type="spellStart"/>
      <w:r>
        <w:t>A.4</w:t>
      </w:r>
      <w:proofErr w:type="spellEnd"/>
      <w:r>
        <w:t xml:space="preserve">, panel a). Over the period from the </w:t>
      </w:r>
      <w:proofErr w:type="spellStart"/>
      <w:r>
        <w:t>1920s</w:t>
      </w:r>
      <w:proofErr w:type="spellEnd"/>
      <w:r>
        <w:t xml:space="preserve"> to the present, NOM has averaged close to 0.6 per cent of the population since 1921, although in sub-periods it has varied substantially around this rate (figure </w:t>
      </w:r>
      <w:proofErr w:type="spellStart"/>
      <w:r>
        <w:t>A.4</w:t>
      </w:r>
      <w:proofErr w:type="spellEnd"/>
      <w:r>
        <w:t>, panel b), including over recent years.</w:t>
      </w:r>
      <w:r>
        <w:rPr>
          <w:rStyle w:val="FootnoteReference"/>
        </w:rPr>
        <w:footnoteReference w:id="5"/>
      </w:r>
      <w:r>
        <w:t xml:space="preserve"> </w:t>
      </w:r>
    </w:p>
    <w:p w14:paraId="3E5784EE" w14:textId="77777777" w:rsidR="00D971D1" w:rsidRDefault="00D971D1" w:rsidP="00D971D1">
      <w:pPr>
        <w:pStyle w:val="BodyText"/>
      </w:pPr>
      <w:r>
        <w:t xml:space="preserve">Against this background, the demographic projections have assumed that NOM as a share of the population converges from current historically high levels to </w:t>
      </w:r>
      <w:r w:rsidRPr="006B79EA">
        <w:t xml:space="preserve">the </w:t>
      </w:r>
      <w:r>
        <w:t xml:space="preserve">annual </w:t>
      </w:r>
      <w:r w:rsidRPr="006B79EA">
        <w:t xml:space="preserve">historical average </w:t>
      </w:r>
      <w:r>
        <w:t xml:space="preserve">of </w:t>
      </w:r>
      <w:r w:rsidRPr="006B79EA">
        <w:t>0.6 per cent</w:t>
      </w:r>
      <w:r>
        <w:t xml:space="preserve"> of the population</w:t>
      </w:r>
      <w:r w:rsidRPr="006B79EA">
        <w:t xml:space="preserve"> </w:t>
      </w:r>
      <w:r>
        <w:t>by 2024-25. From 2025</w:t>
      </w:r>
      <w:r>
        <w:noBreakHyphen/>
        <w:t>26 onwards, NOM is assumed to continue at a rate of 0.6 per cent of the population to 2059</w:t>
      </w:r>
      <w:r>
        <w:noBreakHyphen/>
        <w:t xml:space="preserve">60. The period of convergence is based on the amplitude of past migration cycles. </w:t>
      </w:r>
    </w:p>
    <w:p w14:paraId="32D9ADAD" w14:textId="77777777" w:rsidR="00D971D1" w:rsidRDefault="00D971D1" w:rsidP="00D971D1">
      <w:pPr>
        <w:pStyle w:val="BodyText"/>
      </w:pPr>
      <w:r>
        <w:t>Scenario 2 assumes</w:t>
      </w:r>
      <w:r w:rsidRPr="006B79EA">
        <w:t xml:space="preserve"> that </w:t>
      </w:r>
      <w:r>
        <w:t xml:space="preserve">over the projected period, each annual </w:t>
      </w:r>
      <w:r w:rsidRPr="006B79EA">
        <w:t xml:space="preserve">migrant </w:t>
      </w:r>
      <w:r>
        <w:t xml:space="preserve">intake </w:t>
      </w:r>
      <w:r w:rsidRPr="006B79EA">
        <w:t>ha</w:t>
      </w:r>
      <w:r>
        <w:t>s</w:t>
      </w:r>
      <w:r w:rsidRPr="006B79EA">
        <w:t xml:space="preserve"> the same demographic characteristics as the current migrant intake</w:t>
      </w:r>
      <w:r>
        <w:t xml:space="preserve"> (figure </w:t>
      </w:r>
      <w:proofErr w:type="spellStart"/>
      <w:r>
        <w:t>A.5</w:t>
      </w:r>
      <w:proofErr w:type="spellEnd"/>
      <w:r>
        <w:t>, panel a)</w:t>
      </w:r>
      <w:r w:rsidRPr="006B79EA">
        <w:t xml:space="preserve">. </w:t>
      </w:r>
      <w:r>
        <w:t xml:space="preserve">As a result, </w:t>
      </w:r>
      <w:r>
        <w:lastRenderedPageBreak/>
        <w:t xml:space="preserve">modelling of the future migrant intake is heavily weighted towards the 20 to 40 year old age groups. </w:t>
      </w:r>
    </w:p>
    <w:p w14:paraId="4C899545" w14:textId="77777777" w:rsidR="00D971D1" w:rsidRDefault="00D971D1" w:rsidP="00360B6B">
      <w:pPr>
        <w:pStyle w:val="BodyText"/>
      </w:pPr>
    </w:p>
    <w:p w14:paraId="799386BD" w14:textId="1E6DCBF3"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1F6B649F" w14:textId="77777777" w:rsidTr="0052424C">
        <w:tc>
          <w:tcPr>
            <w:tcW w:w="8771" w:type="dxa"/>
            <w:tcBorders>
              <w:top w:val="single" w:sz="6" w:space="0" w:color="78A22F"/>
              <w:left w:val="nil"/>
              <w:bottom w:val="nil"/>
              <w:right w:val="nil"/>
            </w:tcBorders>
            <w:shd w:val="clear" w:color="auto" w:fill="auto"/>
          </w:tcPr>
          <w:p w14:paraId="71533028" w14:textId="6E075FAF" w:rsidR="00360B6B" w:rsidRPr="00176D3F"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4</w:t>
            </w:r>
            <w:proofErr w:type="spellEnd"/>
            <w:r w:rsidRPr="00784A05">
              <w:rPr>
                <w:b w:val="0"/>
              </w:rPr>
              <w:fldChar w:fldCharType="end"/>
            </w:r>
            <w:r>
              <w:tab/>
            </w:r>
            <w:r w:rsidRPr="00B91466">
              <w:rPr>
                <w:bCs/>
                <w:lang w:val="en-US"/>
              </w:rPr>
              <w:t>Net overseas migration has been highly variable</w:t>
            </w:r>
          </w:p>
        </w:tc>
      </w:tr>
      <w:tr w:rsidR="00360B6B" w14:paraId="4709B152"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60B6B" w14:paraId="397EF9E6" w14:textId="77777777" w:rsidTr="0052424C">
              <w:trPr>
                <w:trHeight w:val="111"/>
                <w:jc w:val="center"/>
              </w:trPr>
              <w:tc>
                <w:tcPr>
                  <w:tcW w:w="2500" w:type="pct"/>
                  <w:tcBorders>
                    <w:top w:val="nil"/>
                    <w:bottom w:val="nil"/>
                  </w:tcBorders>
                </w:tcPr>
                <w:p w14:paraId="75FFE56D" w14:textId="77777777" w:rsidR="00360B6B" w:rsidRPr="00323ABD" w:rsidRDefault="00360B6B" w:rsidP="004148F5">
                  <w:pPr>
                    <w:pStyle w:val="Figure"/>
                    <w:numPr>
                      <w:ilvl w:val="0"/>
                      <w:numId w:val="24"/>
                    </w:numPr>
                    <w:spacing w:before="0" w:after="0"/>
                    <w:ind w:left="227" w:right="-130" w:hanging="227"/>
                    <w:rPr>
                      <w:rFonts w:ascii="Arial" w:hAnsi="Arial" w:cs="Arial"/>
                      <w:b/>
                      <w:sz w:val="18"/>
                      <w:szCs w:val="18"/>
                    </w:rPr>
                  </w:pPr>
                  <w:r w:rsidRPr="00323ABD">
                    <w:rPr>
                      <w:rFonts w:ascii="Arial" w:hAnsi="Arial" w:cs="Arial"/>
                      <w:b/>
                      <w:sz w:val="18"/>
                      <w:szCs w:val="18"/>
                    </w:rPr>
                    <w:t xml:space="preserve">NOM </w:t>
                  </w:r>
                  <w:r w:rsidRPr="004148F5">
                    <w:rPr>
                      <w:rFonts w:ascii="Arial" w:hAnsi="Arial" w:cs="Arial"/>
                      <w:b/>
                      <w:spacing w:val="-4"/>
                      <w:sz w:val="18"/>
                      <w:szCs w:val="18"/>
                    </w:rPr>
                    <w:t>over</w:t>
                  </w:r>
                  <w:r w:rsidRPr="00323ABD">
                    <w:rPr>
                      <w:rFonts w:ascii="Arial" w:hAnsi="Arial" w:cs="Arial"/>
                      <w:b/>
                      <w:sz w:val="18"/>
                      <w:szCs w:val="18"/>
                    </w:rPr>
                    <w:t xml:space="preserve"> time</w:t>
                  </w:r>
                </w:p>
              </w:tc>
              <w:tc>
                <w:tcPr>
                  <w:tcW w:w="2500" w:type="pct"/>
                  <w:tcBorders>
                    <w:top w:val="nil"/>
                    <w:bottom w:val="nil"/>
                  </w:tcBorders>
                </w:tcPr>
                <w:p w14:paraId="7511733E" w14:textId="12689E8D" w:rsidR="00360B6B" w:rsidRPr="004148F5" w:rsidRDefault="00360B6B" w:rsidP="004148F5">
                  <w:pPr>
                    <w:pStyle w:val="Figure"/>
                    <w:numPr>
                      <w:ilvl w:val="0"/>
                      <w:numId w:val="24"/>
                    </w:numPr>
                    <w:spacing w:before="0" w:after="0"/>
                    <w:ind w:left="227" w:right="-130" w:hanging="227"/>
                    <w:rPr>
                      <w:rFonts w:ascii="Arial" w:hAnsi="Arial" w:cs="Arial"/>
                      <w:b/>
                      <w:spacing w:val="-4"/>
                      <w:sz w:val="18"/>
                      <w:szCs w:val="18"/>
                    </w:rPr>
                  </w:pPr>
                  <w:r w:rsidRPr="004148F5">
                    <w:rPr>
                      <w:rFonts w:ascii="Arial" w:hAnsi="Arial" w:cs="Arial"/>
                      <w:b/>
                      <w:spacing w:val="-4"/>
                      <w:sz w:val="18"/>
                      <w:szCs w:val="18"/>
                    </w:rPr>
                    <w:t xml:space="preserve">The average of NOM to population </w:t>
                  </w:r>
                  <w:r w:rsidR="004148F5">
                    <w:rPr>
                      <w:rFonts w:ascii="Arial" w:hAnsi="Arial" w:cs="Arial"/>
                      <w:b/>
                      <w:spacing w:val="-4"/>
                      <w:sz w:val="18"/>
                      <w:szCs w:val="18"/>
                    </w:rPr>
                    <w:br/>
                  </w:r>
                  <w:r w:rsidRPr="004148F5">
                    <w:rPr>
                      <w:rFonts w:ascii="Arial" w:hAnsi="Arial" w:cs="Arial"/>
                      <w:b/>
                      <w:spacing w:val="-4"/>
                      <w:sz w:val="18"/>
                      <w:szCs w:val="18"/>
                    </w:rPr>
                    <w:t>in sub-periods</w:t>
                  </w:r>
                </w:p>
              </w:tc>
            </w:tr>
            <w:tr w:rsidR="00360B6B" w14:paraId="654AADA4" w14:textId="77777777" w:rsidTr="0052424C">
              <w:trPr>
                <w:trHeight w:val="4042"/>
                <w:jc w:val="center"/>
              </w:trPr>
              <w:tc>
                <w:tcPr>
                  <w:tcW w:w="2500" w:type="pct"/>
                  <w:tcBorders>
                    <w:top w:val="nil"/>
                    <w:bottom w:val="nil"/>
                  </w:tcBorders>
                </w:tcPr>
                <w:p w14:paraId="5745C771" w14:textId="77777777" w:rsidR="00360B6B" w:rsidRDefault="00360B6B" w:rsidP="0052424C">
                  <w:pPr>
                    <w:pStyle w:val="Figure"/>
                    <w:spacing w:before="60" w:after="60"/>
                  </w:pPr>
                  <w:r>
                    <w:rPr>
                      <w:noProof/>
                    </w:rPr>
                    <w:drawing>
                      <wp:inline distT="0" distB="0" distL="0" distR="0" wp14:anchorId="15C17128" wp14:editId="391ED1E4">
                        <wp:extent cx="2772000" cy="2448000"/>
                        <wp:effectExtent l="0" t="0" r="0" b="0"/>
                        <wp:docPr id="52" name="Chart 52" descr="This figures contains two panels. Panel a shows the annual variation in the number of net overseas migrants (in thousand persons) between 1920 and 2014 — with a notable spike in NOM over the last decade. Despite variation in the level of NOM over the period, the figure demonstrates that as a share of the population NOM has averaged at around 0.6 per cent since the 1920s (also plotted on the fig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500" w:type="pct"/>
                  <w:tcBorders>
                    <w:top w:val="nil"/>
                    <w:bottom w:val="nil"/>
                  </w:tcBorders>
                  <w:vAlign w:val="bottom"/>
                </w:tcPr>
                <w:p w14:paraId="2B01208E" w14:textId="77777777" w:rsidR="00360B6B" w:rsidRDefault="00360B6B" w:rsidP="004148F5">
                  <w:pPr>
                    <w:pStyle w:val="TableColumnHeading"/>
                    <w:spacing w:before="0"/>
                    <w:rPr>
                      <w:szCs w:val="24"/>
                    </w:rPr>
                  </w:pPr>
                  <w:r>
                    <w:rPr>
                      <w:noProof/>
                      <w:szCs w:val="24"/>
                    </w:rPr>
                    <w:drawing>
                      <wp:inline distT="0" distB="0" distL="0" distR="0" wp14:anchorId="6E66E0CE" wp14:editId="4FAE3BE6">
                        <wp:extent cx="2346960" cy="2522220"/>
                        <wp:effectExtent l="0" t="0" r="0" b="0"/>
                        <wp:docPr id="6" name="Picture 6" descr="See description for pane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6960" cy="2522220"/>
                                </a:xfrm>
                                <a:prstGeom prst="rect">
                                  <a:avLst/>
                                </a:prstGeom>
                                <a:noFill/>
                                <a:ln>
                                  <a:noFill/>
                                </a:ln>
                              </pic:spPr>
                            </pic:pic>
                          </a:graphicData>
                        </a:graphic>
                      </wp:inline>
                    </w:drawing>
                  </w:r>
                </w:p>
              </w:tc>
            </w:tr>
          </w:tbl>
          <w:p w14:paraId="7CF46668" w14:textId="77777777" w:rsidR="00360B6B" w:rsidRDefault="00360B6B" w:rsidP="0052424C">
            <w:pPr>
              <w:pStyle w:val="Figure"/>
            </w:pPr>
          </w:p>
        </w:tc>
      </w:tr>
      <w:tr w:rsidR="00360B6B" w:rsidRPr="00176D3F" w14:paraId="3CCFA351" w14:textId="77777777" w:rsidTr="0052424C">
        <w:tc>
          <w:tcPr>
            <w:tcW w:w="8771" w:type="dxa"/>
            <w:tcBorders>
              <w:top w:val="nil"/>
              <w:left w:val="nil"/>
              <w:bottom w:val="nil"/>
              <w:right w:val="nil"/>
            </w:tcBorders>
            <w:shd w:val="clear" w:color="auto" w:fill="auto"/>
          </w:tcPr>
          <w:p w14:paraId="73847D81" w14:textId="77777777" w:rsidR="00360B6B" w:rsidRPr="00D26588" w:rsidRDefault="00360B6B" w:rsidP="0052424C">
            <w:pPr>
              <w:pStyle w:val="Source"/>
              <w:rPr>
                <w:i/>
              </w:rPr>
            </w:pPr>
            <w:r>
              <w:rPr>
                <w:i/>
              </w:rPr>
              <w:t>S</w:t>
            </w:r>
            <w:r w:rsidRPr="00784A05">
              <w:rPr>
                <w:i/>
              </w:rPr>
              <w:t>ource</w:t>
            </w:r>
            <w:r>
              <w:rPr>
                <w:i/>
              </w:rPr>
              <w:t>s</w:t>
            </w:r>
            <w:r w:rsidRPr="00176D3F">
              <w:t xml:space="preserve">: </w:t>
            </w:r>
            <w:r>
              <w:t>Productivity Commission e</w:t>
            </w:r>
            <w:r w:rsidRPr="00AF7AE3">
              <w:t>stimates based on ABS (</w:t>
            </w:r>
            <w:r w:rsidRPr="0037676B">
              <w:rPr>
                <w:i/>
              </w:rPr>
              <w:t>Australian Historical Population Statistics, 2014</w:t>
            </w:r>
            <w:r w:rsidRPr="00AF7AE3">
              <w:t>, Cat. no. 3105.0.65.001); ABS (</w:t>
            </w:r>
            <w:r w:rsidRPr="0037676B">
              <w:rPr>
                <w:i/>
              </w:rPr>
              <w:t>Australian Demographic Statistics, September 2014</w:t>
            </w:r>
            <w:r w:rsidRPr="00AF7AE3">
              <w:t xml:space="preserve">, Cat. no. 3101.0); Phillips, </w:t>
            </w:r>
            <w:proofErr w:type="spellStart"/>
            <w:r w:rsidRPr="00AF7AE3">
              <w:t>Klapdor</w:t>
            </w:r>
            <w:proofErr w:type="spellEnd"/>
            <w:r w:rsidRPr="00AF7AE3">
              <w:t xml:space="preserve"> and Simon-Davies (2010)</w:t>
            </w:r>
            <w:r>
              <w:t>.</w:t>
            </w:r>
          </w:p>
        </w:tc>
      </w:tr>
      <w:tr w:rsidR="00360B6B" w14:paraId="4FC0AA41" w14:textId="77777777" w:rsidTr="0052424C">
        <w:tc>
          <w:tcPr>
            <w:tcW w:w="8771" w:type="dxa"/>
            <w:tcBorders>
              <w:top w:val="nil"/>
              <w:left w:val="nil"/>
              <w:bottom w:val="single" w:sz="6" w:space="0" w:color="78A22F"/>
              <w:right w:val="nil"/>
            </w:tcBorders>
            <w:shd w:val="clear" w:color="auto" w:fill="auto"/>
          </w:tcPr>
          <w:p w14:paraId="04B93205" w14:textId="77777777" w:rsidR="00360B6B" w:rsidRDefault="00360B6B" w:rsidP="0052424C">
            <w:pPr>
              <w:pStyle w:val="Figurespace"/>
            </w:pPr>
          </w:p>
        </w:tc>
      </w:tr>
      <w:tr w:rsidR="00360B6B" w:rsidRPr="000863A5" w14:paraId="7FBAFAD7" w14:textId="77777777" w:rsidTr="0052424C">
        <w:tc>
          <w:tcPr>
            <w:tcW w:w="8771" w:type="dxa"/>
            <w:tcBorders>
              <w:top w:val="single" w:sz="6" w:space="0" w:color="78A22F"/>
              <w:left w:val="nil"/>
              <w:bottom w:val="nil"/>
              <w:right w:val="nil"/>
            </w:tcBorders>
          </w:tcPr>
          <w:p w14:paraId="2D50618C" w14:textId="7535FDB8" w:rsidR="00360B6B" w:rsidRPr="00626D32" w:rsidRDefault="00360B6B" w:rsidP="0052424C">
            <w:pPr>
              <w:pStyle w:val="BoxSpaceBelow"/>
            </w:pPr>
          </w:p>
        </w:tc>
      </w:tr>
    </w:tbl>
    <w:p w14:paraId="0748BE20" w14:textId="2E9F74AB" w:rsidR="00360B6B" w:rsidRDefault="00360B6B" w:rsidP="00360B6B">
      <w:pPr>
        <w:pStyle w:val="BodyText"/>
      </w:pPr>
      <w:r>
        <w:t>Panel b of figure </w:t>
      </w:r>
      <w:proofErr w:type="spellStart"/>
      <w:r>
        <w:t>A.5</w:t>
      </w:r>
      <w:proofErr w:type="spellEnd"/>
      <w:r>
        <w:t xml:space="preserve"> shows that the age and gender structure of immigrants closely aligns with the age and gender structure of NOM, that is, the age and gender profile of emigrants is similar to that of immigrants. Given this, the Commission has projected the economywide impacts of Australia’s migrant intake by modelling changes in NOM</w:t>
      </w:r>
      <w:r w:rsidR="00D971D1">
        <w:t>.</w:t>
      </w:r>
    </w:p>
    <w:p w14:paraId="364B9412" w14:textId="77777777" w:rsidR="00D971D1" w:rsidRDefault="00D971D1" w:rsidP="00D971D1">
      <w:pPr>
        <w:pStyle w:val="BodyText"/>
      </w:pPr>
      <w:r>
        <w:t xml:space="preserve">The demographic modelling also accounts for second-generation migrants. In this regard, the modelling assumes that migrants once having joined the population, have the same age-specific fertility and mortality rates as the incumbent population. </w:t>
      </w:r>
    </w:p>
    <w:p w14:paraId="0C7C491D" w14:textId="77777777" w:rsidR="00D971D1" w:rsidRDefault="00D971D1" w:rsidP="00D971D1">
      <w:pPr>
        <w:pStyle w:val="BodyText"/>
      </w:pPr>
      <w:r>
        <w:t xml:space="preserve">Because migrants are on average younger than the incumbent population, NOM is projected to shift the age structure of the Australian population and delay the ageing of the population. </w:t>
      </w:r>
    </w:p>
    <w:p w14:paraId="170D9775" w14:textId="77777777" w:rsidR="00D971D1" w:rsidRDefault="00D971D1" w:rsidP="00D971D1">
      <w:pPr>
        <w:pStyle w:val="BodyText"/>
      </w:pPr>
      <w:r>
        <w:t>The variables shocked and the associated endogenous variable used in the dynamic modelling of NOM are shown in table </w:t>
      </w:r>
      <w:proofErr w:type="spellStart"/>
      <w:r>
        <w:t>A.3</w:t>
      </w:r>
      <w:proofErr w:type="spellEnd"/>
      <w:r>
        <w:t xml:space="preserve">. </w:t>
      </w:r>
    </w:p>
    <w:p w14:paraId="72868B6B" w14:textId="77777777" w:rsidR="00D971D1" w:rsidRDefault="00D971D1" w:rsidP="00360B6B">
      <w:pPr>
        <w:pStyle w:val="BodyText"/>
      </w:pPr>
    </w:p>
    <w:p w14:paraId="0CB2992F" w14:textId="335370E2"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6DF81B72" w14:textId="77777777" w:rsidTr="0052424C">
        <w:tc>
          <w:tcPr>
            <w:tcW w:w="8771" w:type="dxa"/>
            <w:tcBorders>
              <w:top w:val="single" w:sz="6" w:space="0" w:color="78A22F"/>
              <w:left w:val="nil"/>
              <w:bottom w:val="nil"/>
              <w:right w:val="nil"/>
            </w:tcBorders>
            <w:shd w:val="clear" w:color="auto" w:fill="auto"/>
          </w:tcPr>
          <w:p w14:paraId="5C601AFC" w14:textId="0168290F" w:rsidR="00360B6B" w:rsidRPr="00176D3F"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5</w:t>
            </w:r>
            <w:proofErr w:type="spellEnd"/>
            <w:r w:rsidRPr="00784A05">
              <w:rPr>
                <w:b w:val="0"/>
              </w:rPr>
              <w:fldChar w:fldCharType="end"/>
            </w:r>
            <w:r>
              <w:tab/>
              <w:t>Immigrants, emigrants and NOM have similar age and gender profiles</w:t>
            </w:r>
            <w:r w:rsidRPr="0052424C">
              <w:rPr>
                <w:rStyle w:val="NoteLabel"/>
                <w:b/>
              </w:rPr>
              <w:t>a</w:t>
            </w:r>
          </w:p>
        </w:tc>
      </w:tr>
      <w:tr w:rsidR="00360B6B" w14:paraId="07F71F2A"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60B6B" w14:paraId="2DA5310D" w14:textId="77777777" w:rsidTr="0052424C">
              <w:trPr>
                <w:trHeight w:val="111"/>
                <w:jc w:val="center"/>
              </w:trPr>
              <w:tc>
                <w:tcPr>
                  <w:tcW w:w="2500" w:type="pct"/>
                  <w:tcBorders>
                    <w:top w:val="nil"/>
                    <w:bottom w:val="nil"/>
                  </w:tcBorders>
                </w:tcPr>
                <w:p w14:paraId="6241E5D0" w14:textId="77777777" w:rsidR="00360B6B" w:rsidRPr="00323ABD" w:rsidRDefault="00360B6B" w:rsidP="004148F5">
                  <w:pPr>
                    <w:pStyle w:val="Figure"/>
                    <w:numPr>
                      <w:ilvl w:val="0"/>
                      <w:numId w:val="21"/>
                    </w:numPr>
                    <w:spacing w:before="0" w:after="0"/>
                    <w:rPr>
                      <w:rFonts w:ascii="Arial" w:hAnsi="Arial" w:cs="Arial"/>
                      <w:b/>
                      <w:sz w:val="18"/>
                      <w:szCs w:val="18"/>
                    </w:rPr>
                  </w:pPr>
                  <w:r w:rsidRPr="00323ABD">
                    <w:rPr>
                      <w:rFonts w:ascii="Arial" w:hAnsi="Arial" w:cs="Arial"/>
                      <w:b/>
                      <w:sz w:val="18"/>
                      <w:szCs w:val="18"/>
                    </w:rPr>
                    <w:t xml:space="preserve">Immigrants and emigrants </w:t>
                  </w:r>
                </w:p>
              </w:tc>
              <w:tc>
                <w:tcPr>
                  <w:tcW w:w="2500" w:type="pct"/>
                  <w:tcBorders>
                    <w:top w:val="nil"/>
                    <w:bottom w:val="nil"/>
                  </w:tcBorders>
                </w:tcPr>
                <w:p w14:paraId="151A5114" w14:textId="77777777" w:rsidR="00360B6B" w:rsidRPr="00323ABD" w:rsidRDefault="00360B6B" w:rsidP="004148F5">
                  <w:pPr>
                    <w:pStyle w:val="Figure"/>
                    <w:numPr>
                      <w:ilvl w:val="0"/>
                      <w:numId w:val="21"/>
                    </w:numPr>
                    <w:spacing w:before="0" w:after="0"/>
                    <w:rPr>
                      <w:rFonts w:ascii="Arial" w:hAnsi="Arial" w:cs="Arial"/>
                      <w:b/>
                      <w:sz w:val="18"/>
                      <w:szCs w:val="18"/>
                    </w:rPr>
                  </w:pPr>
                  <w:r w:rsidRPr="00323ABD">
                    <w:rPr>
                      <w:rFonts w:ascii="Arial" w:hAnsi="Arial" w:cs="Arial"/>
                      <w:b/>
                      <w:sz w:val="18"/>
                      <w:szCs w:val="18"/>
                    </w:rPr>
                    <w:t>Immigrants and NOM</w:t>
                  </w:r>
                </w:p>
              </w:tc>
            </w:tr>
            <w:tr w:rsidR="00360B6B" w14:paraId="46A9A926" w14:textId="77777777" w:rsidTr="0052424C">
              <w:trPr>
                <w:trHeight w:val="108"/>
                <w:jc w:val="center"/>
              </w:trPr>
              <w:tc>
                <w:tcPr>
                  <w:tcW w:w="2500" w:type="pct"/>
                  <w:tcBorders>
                    <w:top w:val="nil"/>
                    <w:bottom w:val="nil"/>
                  </w:tcBorders>
                </w:tcPr>
                <w:p w14:paraId="35578FD2" w14:textId="77777777" w:rsidR="00360B6B" w:rsidRDefault="00360B6B" w:rsidP="004148F5">
                  <w:pPr>
                    <w:pStyle w:val="Figure"/>
                    <w:spacing w:before="0" w:after="0"/>
                  </w:pPr>
                  <w:r>
                    <w:t xml:space="preserve"> </w:t>
                  </w:r>
                  <w:r>
                    <w:rPr>
                      <w:noProof/>
                    </w:rPr>
                    <w:drawing>
                      <wp:inline distT="0" distB="0" distL="0" distR="0" wp14:anchorId="3EC579D0" wp14:editId="33DC0CF4">
                        <wp:extent cx="2587473" cy="3248809"/>
                        <wp:effectExtent l="0" t="0" r="3810" b="8890"/>
                        <wp:docPr id="22" name="Picture 22" descr="This figure contains two panels and each contains a pyramid of an age by gender profile relating to migration. Panel a shows an age by gender profile of immigrants and emigrants. It shows that the migration flows are concentrated in the mid-teens to the 40 year old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6790"/>
                                <a:stretch/>
                              </pic:blipFill>
                              <pic:spPr bwMode="auto">
                                <a:xfrm>
                                  <a:off x="0" y="0"/>
                                  <a:ext cx="2590800" cy="3252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7B354BCB" w14:textId="77777777" w:rsidR="00360B6B" w:rsidRDefault="00360B6B" w:rsidP="004148F5">
                  <w:pPr>
                    <w:pStyle w:val="Figure"/>
                    <w:spacing w:before="0" w:after="0"/>
                  </w:pPr>
                  <w:r>
                    <w:t xml:space="preserve"> </w:t>
                  </w:r>
                  <w:r>
                    <w:rPr>
                      <w:noProof/>
                    </w:rPr>
                    <w:drawing>
                      <wp:inline distT="0" distB="0" distL="0" distR="0" wp14:anchorId="5B67680A" wp14:editId="43F60E83">
                        <wp:extent cx="2587473" cy="3248809"/>
                        <wp:effectExtent l="0" t="0" r="3810" b="8890"/>
                        <wp:docPr id="23" name="Picture 23" descr="Panel b shows that the age and gender structure of immigrants closely aligns with the age and gender structure of N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6790"/>
                                <a:stretch/>
                              </pic:blipFill>
                              <pic:spPr bwMode="auto">
                                <a:xfrm>
                                  <a:off x="0" y="0"/>
                                  <a:ext cx="2590800" cy="32529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CB0120" w14:textId="77777777" w:rsidR="00360B6B" w:rsidRDefault="00360B6B" w:rsidP="004148F5">
            <w:pPr>
              <w:pStyle w:val="Figure"/>
              <w:spacing w:after="0"/>
            </w:pPr>
          </w:p>
        </w:tc>
      </w:tr>
      <w:tr w:rsidR="00360B6B" w:rsidRPr="00176D3F" w14:paraId="18B8C36F" w14:textId="77777777" w:rsidTr="0052424C">
        <w:tblPrEx>
          <w:tblCellMar>
            <w:left w:w="108" w:type="dxa"/>
            <w:right w:w="108" w:type="dxa"/>
          </w:tblCellMar>
        </w:tblPrEx>
        <w:trPr>
          <w:trHeight w:val="624"/>
        </w:trPr>
        <w:tc>
          <w:tcPr>
            <w:tcW w:w="8771" w:type="dxa"/>
            <w:tcBorders>
              <w:top w:val="nil"/>
              <w:left w:val="nil"/>
              <w:bottom w:val="nil"/>
              <w:right w:val="nil"/>
            </w:tcBorders>
            <w:shd w:val="clear" w:color="auto" w:fill="auto"/>
          </w:tcPr>
          <w:p w14:paraId="2E734F5F" w14:textId="4BD995DE" w:rsidR="00360B6B" w:rsidRPr="00BE426B" w:rsidRDefault="00483F24" w:rsidP="004148F5">
            <w:pPr>
              <w:pStyle w:val="BodyText"/>
              <w:spacing w:before="0"/>
              <w:jc w:val="center"/>
            </w:pPr>
            <w:r>
              <w:rPr>
                <w:noProof/>
              </w:rPr>
              <w:drawing>
                <wp:inline distT="0" distB="0" distL="0" distR="0" wp14:anchorId="1F4798AE" wp14:editId="148E518C">
                  <wp:extent cx="5399405" cy="359410"/>
                  <wp:effectExtent l="0" t="0" r="0" b="2540"/>
                  <wp:docPr id="7" name="Picture 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9405" cy="359410"/>
                          </a:xfrm>
                          <a:prstGeom prst="rect">
                            <a:avLst/>
                          </a:prstGeom>
                          <a:noFill/>
                          <a:ln>
                            <a:noFill/>
                          </a:ln>
                        </pic:spPr>
                      </pic:pic>
                    </a:graphicData>
                  </a:graphic>
                </wp:inline>
              </w:drawing>
            </w:r>
          </w:p>
        </w:tc>
      </w:tr>
      <w:tr w:rsidR="00360B6B" w:rsidRPr="00176D3F" w14:paraId="64D18806" w14:textId="77777777" w:rsidTr="0052424C">
        <w:tc>
          <w:tcPr>
            <w:tcW w:w="8771" w:type="dxa"/>
            <w:tcBorders>
              <w:top w:val="nil"/>
              <w:left w:val="nil"/>
              <w:bottom w:val="nil"/>
              <w:right w:val="nil"/>
            </w:tcBorders>
            <w:shd w:val="clear" w:color="auto" w:fill="auto"/>
          </w:tcPr>
          <w:p w14:paraId="57B8BA57" w14:textId="77777777" w:rsidR="00360B6B" w:rsidRPr="00176D3F" w:rsidRDefault="00360B6B" w:rsidP="004148F5">
            <w:pPr>
              <w:pStyle w:val="Note"/>
              <w:spacing w:before="0"/>
            </w:pPr>
            <w:proofErr w:type="spellStart"/>
            <w:r>
              <w:rPr>
                <w:rStyle w:val="NoteLabel"/>
              </w:rPr>
              <w:t>a</w:t>
            </w:r>
            <w:proofErr w:type="spellEnd"/>
            <w:r>
              <w:t xml:space="preserve"> Estimated from 2013-14 information drawn from </w:t>
            </w:r>
            <w:r w:rsidRPr="004756FD">
              <w:t>ABS (</w:t>
            </w:r>
            <w:r w:rsidRPr="0037676B">
              <w:rPr>
                <w:i/>
              </w:rPr>
              <w:t>Migration, Australia, 2012-13</w:t>
            </w:r>
            <w:r w:rsidRPr="004756FD">
              <w:t xml:space="preserve">, Cat. no. </w:t>
            </w:r>
            <w:r w:rsidRPr="00DA5B73">
              <w:t>3412.0</w:t>
            </w:r>
            <w:r w:rsidRPr="004756FD">
              <w:t>)</w:t>
            </w:r>
            <w:r>
              <w:t xml:space="preserve"> classified by 5 yearly NOM age groups. The age group information is prorated to age cohorts on the basis of information about the age distribution of the population as a whole. </w:t>
            </w:r>
          </w:p>
        </w:tc>
      </w:tr>
      <w:tr w:rsidR="00360B6B" w:rsidRPr="00176D3F" w14:paraId="50438244" w14:textId="77777777" w:rsidTr="0052424C">
        <w:tc>
          <w:tcPr>
            <w:tcW w:w="8771" w:type="dxa"/>
            <w:tcBorders>
              <w:top w:val="nil"/>
              <w:left w:val="nil"/>
              <w:bottom w:val="nil"/>
              <w:right w:val="nil"/>
            </w:tcBorders>
            <w:shd w:val="clear" w:color="auto" w:fill="auto"/>
          </w:tcPr>
          <w:p w14:paraId="555C4803" w14:textId="77777777" w:rsidR="00360B6B" w:rsidRPr="00D26588" w:rsidRDefault="00360B6B" w:rsidP="0052424C">
            <w:pPr>
              <w:pStyle w:val="Source"/>
              <w:rPr>
                <w:szCs w:val="24"/>
              </w:rPr>
            </w:pPr>
            <w:r>
              <w:rPr>
                <w:i/>
              </w:rPr>
              <w:t>S</w:t>
            </w:r>
            <w:r w:rsidRPr="00784A05">
              <w:rPr>
                <w:i/>
              </w:rPr>
              <w:t>ource</w:t>
            </w:r>
            <w:r w:rsidRPr="00176D3F">
              <w:t xml:space="preserve">: </w:t>
            </w:r>
            <w:r>
              <w:t>Productivity Commission e</w:t>
            </w:r>
            <w:r w:rsidRPr="004756FD">
              <w:t>stimates based on ABS (</w:t>
            </w:r>
            <w:r w:rsidRPr="0037676B">
              <w:rPr>
                <w:i/>
              </w:rPr>
              <w:t>Migration, Australia, 2012-13</w:t>
            </w:r>
            <w:r w:rsidRPr="004756FD">
              <w:t xml:space="preserve">, Cat. no. </w:t>
            </w:r>
            <w:r w:rsidRPr="00DA5B73">
              <w:t>3412.0</w:t>
            </w:r>
            <w:r>
              <w:t>)</w:t>
            </w:r>
          </w:p>
        </w:tc>
      </w:tr>
      <w:tr w:rsidR="00360B6B" w14:paraId="38A6B248" w14:textId="77777777" w:rsidTr="0052424C">
        <w:tc>
          <w:tcPr>
            <w:tcW w:w="8771" w:type="dxa"/>
            <w:tcBorders>
              <w:top w:val="nil"/>
              <w:left w:val="nil"/>
              <w:bottom w:val="single" w:sz="6" w:space="0" w:color="78A22F"/>
              <w:right w:val="nil"/>
            </w:tcBorders>
            <w:shd w:val="clear" w:color="auto" w:fill="auto"/>
          </w:tcPr>
          <w:p w14:paraId="48E9491D" w14:textId="77777777" w:rsidR="00360B6B" w:rsidRDefault="00360B6B" w:rsidP="0052424C">
            <w:pPr>
              <w:pStyle w:val="Figurespace"/>
            </w:pPr>
          </w:p>
        </w:tc>
      </w:tr>
      <w:tr w:rsidR="00360B6B" w:rsidRPr="000863A5" w14:paraId="4C0846AF" w14:textId="77777777" w:rsidTr="0052424C">
        <w:tc>
          <w:tcPr>
            <w:tcW w:w="8771" w:type="dxa"/>
            <w:tcBorders>
              <w:top w:val="single" w:sz="6" w:space="0" w:color="78A22F"/>
              <w:left w:val="nil"/>
              <w:bottom w:val="nil"/>
              <w:right w:val="nil"/>
            </w:tcBorders>
          </w:tcPr>
          <w:p w14:paraId="6E123857" w14:textId="231E5D4E" w:rsidR="00360B6B" w:rsidRPr="00626D32" w:rsidRDefault="00360B6B" w:rsidP="0052424C">
            <w:pPr>
              <w:pStyle w:val="BoxSpaceBelow"/>
            </w:pPr>
          </w:p>
        </w:tc>
      </w:tr>
    </w:tbl>
    <w:p w14:paraId="3F6F31D4" w14:textId="6BE50420" w:rsidR="00D971D1" w:rsidRDefault="00D971D1" w:rsidP="00360B6B">
      <w:pPr>
        <w:pStyle w:val="BoxSpaceAbove"/>
        <w:rPr>
          <w:highlight w:val="yellow"/>
        </w:rPr>
      </w:pPr>
    </w:p>
    <w:p w14:paraId="4BDC33D7" w14:textId="77777777" w:rsidR="00D971D1" w:rsidRDefault="00D971D1">
      <w:pPr>
        <w:rPr>
          <w:szCs w:val="20"/>
          <w:highlight w:val="yellow"/>
        </w:rPr>
      </w:pPr>
      <w:r>
        <w:rPr>
          <w:highlight w:val="yellow"/>
        </w:rPr>
        <w:br w:type="page"/>
      </w:r>
    </w:p>
    <w:p w14:paraId="23115B37" w14:textId="77777777" w:rsidR="00360B6B" w:rsidRPr="004756FD" w:rsidRDefault="00360B6B" w:rsidP="00360B6B">
      <w:pPr>
        <w:pStyle w:val="BoxSpaceAbove"/>
        <w:rPr>
          <w:highlight w:val="yellow"/>
        </w:rPr>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0"/>
        <w:gridCol w:w="129"/>
      </w:tblGrid>
      <w:tr w:rsidR="00360B6B" w:rsidRPr="00DA5B73" w14:paraId="12394E61" w14:textId="77777777" w:rsidTr="00FB41B6">
        <w:tc>
          <w:tcPr>
            <w:tcW w:w="8909" w:type="dxa"/>
            <w:gridSpan w:val="2"/>
            <w:tcBorders>
              <w:top w:val="single" w:sz="6" w:space="0" w:color="78A22F"/>
              <w:left w:val="nil"/>
              <w:bottom w:val="nil"/>
              <w:right w:val="nil"/>
            </w:tcBorders>
            <w:shd w:val="clear" w:color="auto" w:fill="auto"/>
          </w:tcPr>
          <w:p w14:paraId="69B65073" w14:textId="6C9AB731" w:rsidR="00360B6B" w:rsidRPr="00FD6F61" w:rsidRDefault="00360B6B" w:rsidP="00FB41B6">
            <w:pPr>
              <w:pStyle w:val="TableTitle"/>
            </w:pPr>
            <w:r w:rsidRPr="00FD6F61">
              <w:rPr>
                <w:b w:val="0"/>
              </w:rPr>
              <w:t xml:space="preserve">Table </w:t>
            </w:r>
            <w:r w:rsidRPr="00FD6F61">
              <w:rPr>
                <w:b w:val="0"/>
              </w:rPr>
              <w:fldChar w:fldCharType="begin"/>
            </w:r>
            <w:r w:rsidRPr="00FD6F61">
              <w:rPr>
                <w:b w:val="0"/>
              </w:rPr>
              <w:instrText xml:space="preserve"> COMMENTS  \* MERGEFORMAT </w:instrText>
            </w:r>
            <w:r w:rsidRPr="00FD6F61">
              <w:rPr>
                <w:b w:val="0"/>
              </w:rPr>
              <w:fldChar w:fldCharType="separate"/>
            </w:r>
            <w:proofErr w:type="spellStart"/>
            <w:r>
              <w:rPr>
                <w:b w:val="0"/>
              </w:rPr>
              <w:t>A.</w:t>
            </w:r>
            <w:r w:rsidRPr="00FD6F61">
              <w:rPr>
                <w:b w:val="0"/>
              </w:rPr>
              <w:fldChar w:fldCharType="end"/>
            </w:r>
            <w:r w:rsidRPr="00FD6F61">
              <w:rPr>
                <w:b w:val="0"/>
              </w:rPr>
              <w:fldChar w:fldCharType="begin"/>
            </w:r>
            <w:r w:rsidRPr="00FD6F61">
              <w:rPr>
                <w:b w:val="0"/>
              </w:rPr>
              <w:instrText xml:space="preserve"> SEQ Table \* ARABIC </w:instrText>
            </w:r>
            <w:r w:rsidRPr="00FD6F61">
              <w:rPr>
                <w:b w:val="0"/>
              </w:rPr>
              <w:fldChar w:fldCharType="separate"/>
            </w:r>
            <w:r w:rsidR="008846C7">
              <w:rPr>
                <w:b w:val="0"/>
                <w:noProof/>
              </w:rPr>
              <w:t>3</w:t>
            </w:r>
            <w:proofErr w:type="spellEnd"/>
            <w:r w:rsidRPr="00FD6F61">
              <w:rPr>
                <w:b w:val="0"/>
              </w:rPr>
              <w:fldChar w:fldCharType="end"/>
            </w:r>
            <w:r w:rsidRPr="00FD6F61">
              <w:tab/>
              <w:t>Modelling of</w:t>
            </w:r>
            <w:r>
              <w:t xml:space="preserve"> </w:t>
            </w:r>
            <w:r w:rsidRPr="00FD6F61">
              <w:t>NOM</w:t>
            </w:r>
            <w:r>
              <w:t xml:space="preserve"> at the long-term average (scenario 2)</w:t>
            </w:r>
          </w:p>
        </w:tc>
      </w:tr>
      <w:tr w:rsidR="00360B6B" w14:paraId="018C6E5D" w14:textId="77777777" w:rsidTr="00FB41B6">
        <w:trPr>
          <w:cantSplit/>
        </w:trPr>
        <w:tc>
          <w:tcPr>
            <w:tcW w:w="8909" w:type="dxa"/>
            <w:gridSpan w:val="2"/>
            <w:tcBorders>
              <w:top w:val="nil"/>
              <w:left w:val="nil"/>
              <w:bottom w:val="nil"/>
              <w:right w:val="nil"/>
            </w:tcBorders>
            <w:shd w:val="clear" w:color="auto" w:fill="auto"/>
          </w:tcPr>
          <w:tbl>
            <w:tblPr>
              <w:tblW w:w="8487" w:type="dxa"/>
              <w:tblCellMar>
                <w:top w:w="28" w:type="dxa"/>
                <w:left w:w="0" w:type="dxa"/>
                <w:right w:w="0" w:type="dxa"/>
              </w:tblCellMar>
              <w:tblLook w:val="0000" w:firstRow="0" w:lastRow="0" w:firstColumn="0" w:lastColumn="0" w:noHBand="0" w:noVBand="0"/>
            </w:tblPr>
            <w:tblGrid>
              <w:gridCol w:w="2829"/>
              <w:gridCol w:w="2830"/>
              <w:gridCol w:w="2828"/>
            </w:tblGrid>
            <w:tr w:rsidR="00360B6B" w:rsidRPr="00FD6F61" w14:paraId="67A83F6C" w14:textId="77777777" w:rsidTr="00FB41B6">
              <w:tc>
                <w:tcPr>
                  <w:tcW w:w="1667" w:type="pct"/>
                  <w:tcBorders>
                    <w:top w:val="single" w:sz="6" w:space="0" w:color="BFBFBF"/>
                    <w:bottom w:val="single" w:sz="6" w:space="0" w:color="BFBFBF"/>
                  </w:tcBorders>
                  <w:shd w:val="clear" w:color="auto" w:fill="auto"/>
                  <w:tcMar>
                    <w:top w:w="28" w:type="dxa"/>
                  </w:tcMar>
                </w:tcPr>
                <w:p w14:paraId="3B80A9B8" w14:textId="77777777" w:rsidR="00360B6B" w:rsidRPr="00FD6F61" w:rsidRDefault="00360B6B" w:rsidP="0052424C">
                  <w:pPr>
                    <w:pStyle w:val="TableColumnHeading"/>
                    <w:jc w:val="left"/>
                  </w:pPr>
                  <w:r>
                    <w:t>Description</w:t>
                  </w:r>
                </w:p>
              </w:tc>
              <w:tc>
                <w:tcPr>
                  <w:tcW w:w="1667" w:type="pct"/>
                  <w:tcBorders>
                    <w:top w:val="single" w:sz="6" w:space="0" w:color="BFBFBF"/>
                    <w:bottom w:val="single" w:sz="6" w:space="0" w:color="BFBFBF"/>
                  </w:tcBorders>
                  <w:shd w:val="clear" w:color="auto" w:fill="auto"/>
                  <w:tcMar>
                    <w:top w:w="28" w:type="dxa"/>
                  </w:tcMar>
                </w:tcPr>
                <w:p w14:paraId="51FBC073" w14:textId="77777777" w:rsidR="00360B6B" w:rsidRPr="00FD6F61" w:rsidRDefault="00360B6B" w:rsidP="00FB41B6">
                  <w:pPr>
                    <w:pStyle w:val="TableColumnHeading"/>
                    <w:ind w:left="113"/>
                    <w:jc w:val="left"/>
                  </w:pPr>
                  <w:proofErr w:type="spellStart"/>
                  <w:r w:rsidRPr="00FD6F61">
                    <w:t>VUM</w:t>
                  </w:r>
                  <w:r>
                    <w:t>R</w:t>
                  </w:r>
                  <w:proofErr w:type="spellEnd"/>
                  <w:r w:rsidRPr="00FD6F61">
                    <w:t xml:space="preserve"> exogenous variable</w:t>
                  </w:r>
                </w:p>
              </w:tc>
              <w:tc>
                <w:tcPr>
                  <w:tcW w:w="1666" w:type="pct"/>
                  <w:tcBorders>
                    <w:top w:val="single" w:sz="6" w:space="0" w:color="BFBFBF"/>
                    <w:bottom w:val="single" w:sz="6" w:space="0" w:color="BFBFBF"/>
                  </w:tcBorders>
                  <w:shd w:val="clear" w:color="auto" w:fill="auto"/>
                  <w:tcMar>
                    <w:top w:w="28" w:type="dxa"/>
                  </w:tcMar>
                </w:tcPr>
                <w:p w14:paraId="4212D5FE" w14:textId="77777777" w:rsidR="00360B6B" w:rsidRPr="00FD6F61" w:rsidRDefault="00360B6B" w:rsidP="00FB41B6">
                  <w:pPr>
                    <w:pStyle w:val="TableColumnHeading"/>
                    <w:ind w:left="57" w:right="28"/>
                    <w:jc w:val="left"/>
                  </w:pPr>
                  <w:proofErr w:type="spellStart"/>
                  <w:r w:rsidRPr="00FD6F61">
                    <w:t>VUMR</w:t>
                  </w:r>
                  <w:proofErr w:type="spellEnd"/>
                  <w:r w:rsidRPr="00FD6F61">
                    <w:t xml:space="preserve"> endogenous variable</w:t>
                  </w:r>
                </w:p>
              </w:tc>
            </w:tr>
            <w:tr w:rsidR="00360B6B" w:rsidRPr="00FD6F61" w14:paraId="62F29FAC" w14:textId="77777777" w:rsidTr="00FB41B6">
              <w:tc>
                <w:tcPr>
                  <w:tcW w:w="1667" w:type="pct"/>
                  <w:tcBorders>
                    <w:top w:val="single" w:sz="6" w:space="0" w:color="BFBFBF"/>
                    <w:bottom w:val="single" w:sz="6" w:space="0" w:color="BFBFBF"/>
                  </w:tcBorders>
                </w:tcPr>
                <w:p w14:paraId="3C95FD62" w14:textId="77777777" w:rsidR="00360B6B" w:rsidRPr="004756FD" w:rsidRDefault="00360B6B" w:rsidP="0052424C">
                  <w:pPr>
                    <w:pStyle w:val="TableUnitsRow"/>
                    <w:jc w:val="left"/>
                  </w:pPr>
                  <w:r w:rsidRPr="004756FD">
                    <w:t xml:space="preserve">NOM by age, gender and state of entry is introduced as a source of population change. Population by region changes through natural increase, NOM and interstate migration. </w:t>
                  </w:r>
                </w:p>
                <w:p w14:paraId="612668B3" w14:textId="77777777" w:rsidR="00360B6B" w:rsidRDefault="00360B6B" w:rsidP="0052424C">
                  <w:pPr>
                    <w:pStyle w:val="TableUnitsRow"/>
                    <w:jc w:val="left"/>
                  </w:pPr>
                  <w:r w:rsidRPr="004756FD">
                    <w:t>The direct effect of NOM (model shock) is introduced as an increment in persons by age, gender and state.</w:t>
                  </w:r>
                  <w:r>
                    <w:t xml:space="preserve"> </w:t>
                  </w:r>
                </w:p>
                <w:p w14:paraId="198B7B8A" w14:textId="77777777" w:rsidR="00360B6B" w:rsidRPr="00FD6F61" w:rsidRDefault="00360B6B" w:rsidP="0052424C">
                  <w:pPr>
                    <w:pStyle w:val="TableUnitsRow"/>
                    <w:jc w:val="left"/>
                  </w:pPr>
                  <w:r>
                    <w:t>For this scenario, NOM projections transition from current levels to 0.6 per cent of the population in 2024</w:t>
                  </w:r>
                  <w:r>
                    <w:noBreakHyphen/>
                    <w:t>25 (and later years).</w:t>
                  </w:r>
                  <w:r w:rsidRPr="00FD6F61">
                    <w:t xml:space="preserve"> </w:t>
                  </w:r>
                </w:p>
              </w:tc>
              <w:tc>
                <w:tcPr>
                  <w:tcW w:w="1667" w:type="pct"/>
                  <w:tcBorders>
                    <w:top w:val="single" w:sz="6" w:space="0" w:color="BFBFBF"/>
                    <w:bottom w:val="single" w:sz="6" w:space="0" w:color="BFBFBF"/>
                  </w:tcBorders>
                </w:tcPr>
                <w:p w14:paraId="170F0ED0" w14:textId="77777777" w:rsidR="00360B6B" w:rsidRPr="002D6820" w:rsidRDefault="00360B6B" w:rsidP="00FB41B6">
                  <w:pPr>
                    <w:pStyle w:val="TableUnitsRow"/>
                    <w:ind w:left="113"/>
                    <w:jc w:val="left"/>
                  </w:pPr>
                  <w:r w:rsidRPr="00377205">
                    <w:t>National net overseas migration in projection period (000)</w:t>
                  </w:r>
                </w:p>
                <w:p w14:paraId="37B80573" w14:textId="77777777" w:rsidR="00360B6B" w:rsidRPr="00FD6F61" w:rsidRDefault="00360B6B" w:rsidP="00FB41B6">
                  <w:pPr>
                    <w:pStyle w:val="TableUnitsRow"/>
                    <w:ind w:left="113"/>
                    <w:jc w:val="left"/>
                  </w:pPr>
                  <w:r>
                    <w:t>(</w:t>
                  </w:r>
                  <w:proofErr w:type="spellStart"/>
                  <w:r>
                    <w:t>projectnom</w:t>
                  </w:r>
                  <w:proofErr w:type="spellEnd"/>
                  <w:r>
                    <w:t>)</w:t>
                  </w:r>
                </w:p>
              </w:tc>
              <w:tc>
                <w:tcPr>
                  <w:tcW w:w="1666" w:type="pct"/>
                  <w:tcBorders>
                    <w:top w:val="single" w:sz="6" w:space="0" w:color="BFBFBF"/>
                    <w:bottom w:val="single" w:sz="6" w:space="0" w:color="BFBFBF"/>
                  </w:tcBorders>
                </w:tcPr>
                <w:p w14:paraId="29B5D5FC" w14:textId="77777777" w:rsidR="00360B6B" w:rsidRDefault="00360B6B" w:rsidP="00FB41B6">
                  <w:pPr>
                    <w:pStyle w:val="TableUnitsRow"/>
                    <w:ind w:left="57" w:right="28"/>
                    <w:jc w:val="left"/>
                  </w:pPr>
                  <w:r>
                    <w:t>National net overseas migration shift term (000)</w:t>
                  </w:r>
                </w:p>
                <w:p w14:paraId="65BB7133" w14:textId="0672CF56" w:rsidR="00360B6B" w:rsidRPr="00FD6F61" w:rsidRDefault="00FB41B6" w:rsidP="00FB41B6">
                  <w:pPr>
                    <w:pStyle w:val="TableUnitsRow"/>
                    <w:ind w:left="57" w:right="28"/>
                    <w:jc w:val="left"/>
                  </w:pPr>
                  <w:r>
                    <w:t>(</w:t>
                  </w:r>
                  <w:proofErr w:type="spellStart"/>
                  <w:r>
                    <w:t>f_natnom</w:t>
                  </w:r>
                  <w:proofErr w:type="spellEnd"/>
                  <w:r>
                    <w:t>)</w:t>
                  </w:r>
                </w:p>
              </w:tc>
            </w:tr>
          </w:tbl>
          <w:p w14:paraId="5264D6AC" w14:textId="77777777" w:rsidR="00360B6B" w:rsidRPr="00FD6F61" w:rsidRDefault="00360B6B" w:rsidP="0052424C">
            <w:pPr>
              <w:pStyle w:val="Box"/>
            </w:pPr>
          </w:p>
        </w:tc>
      </w:tr>
      <w:tr w:rsidR="00FB41B6" w14:paraId="20133215" w14:textId="77777777" w:rsidTr="00FB41B6">
        <w:trPr>
          <w:gridAfter w:val="1"/>
          <w:wAfter w:w="129" w:type="dxa"/>
          <w:cantSplit/>
        </w:trPr>
        <w:tc>
          <w:tcPr>
            <w:tcW w:w="8780" w:type="dxa"/>
            <w:tcBorders>
              <w:top w:val="nil"/>
              <w:left w:val="nil"/>
              <w:bottom w:val="single" w:sz="6" w:space="0" w:color="78A22F"/>
              <w:right w:val="nil"/>
            </w:tcBorders>
            <w:shd w:val="clear" w:color="auto" w:fill="auto"/>
          </w:tcPr>
          <w:p w14:paraId="6C2344CC" w14:textId="77777777" w:rsidR="00FB41B6" w:rsidRDefault="00FB41B6" w:rsidP="00FC3E29">
            <w:pPr>
              <w:pStyle w:val="Box"/>
              <w:spacing w:before="0" w:line="120" w:lineRule="exact"/>
            </w:pPr>
          </w:p>
        </w:tc>
      </w:tr>
      <w:tr w:rsidR="00360B6B" w:rsidRPr="000863A5" w14:paraId="5C7767A5" w14:textId="77777777" w:rsidTr="00FB41B6">
        <w:tc>
          <w:tcPr>
            <w:tcW w:w="8909" w:type="dxa"/>
            <w:gridSpan w:val="2"/>
            <w:tcBorders>
              <w:top w:val="single" w:sz="6" w:space="0" w:color="78A22F"/>
              <w:left w:val="nil"/>
              <w:bottom w:val="nil"/>
              <w:right w:val="nil"/>
            </w:tcBorders>
          </w:tcPr>
          <w:p w14:paraId="03728C27" w14:textId="6A480E83" w:rsidR="00360B6B" w:rsidRPr="00626D32" w:rsidRDefault="00360B6B" w:rsidP="0052424C">
            <w:pPr>
              <w:pStyle w:val="BoxSpaceBelow"/>
            </w:pPr>
          </w:p>
        </w:tc>
      </w:tr>
    </w:tbl>
    <w:p w14:paraId="1E93F4D5" w14:textId="77777777" w:rsidR="00D971D1" w:rsidRDefault="00D971D1" w:rsidP="00D971D1">
      <w:pPr>
        <w:pStyle w:val="Heading4"/>
      </w:pPr>
      <w:r>
        <w:t>Labour force participation</w:t>
      </w:r>
    </w:p>
    <w:p w14:paraId="2D245C2F" w14:textId="77777777" w:rsidR="00D971D1" w:rsidRDefault="00D971D1" w:rsidP="00D971D1">
      <w:pPr>
        <w:pStyle w:val="BodyText"/>
      </w:pPr>
      <w:r>
        <w:t>As noted, NOM is concentrated in the 20 to 40 year old age groups, while the population as a whole is more dispersed toward older age groups. This results in a higher proportion of NOM in working age than in the population in each state (figure </w:t>
      </w:r>
      <w:proofErr w:type="spellStart"/>
      <w:r>
        <w:t>A.6</w:t>
      </w:r>
      <w:proofErr w:type="spellEnd"/>
      <w:r>
        <w:t>, panel a). Available information on labour force participation of permanent and temporary migrants indicates that migrants have similar participation rates to the labour force in the state of employment (figure </w:t>
      </w:r>
      <w:proofErr w:type="spellStart"/>
      <w:r>
        <w:t>A.6</w:t>
      </w:r>
      <w:proofErr w:type="spellEnd"/>
      <w:r>
        <w:t xml:space="preserve">, panel b). </w:t>
      </w:r>
    </w:p>
    <w:p w14:paraId="66F13184" w14:textId="77777777" w:rsidR="00D971D1" w:rsidRDefault="00D971D1" w:rsidP="00D971D1">
      <w:pPr>
        <w:pStyle w:val="BodyText"/>
      </w:pPr>
      <w:r>
        <w:t xml:space="preserve">The modelled scenario is based on the assumption that labour force participation rates of the population by age and gender are representative of the participation rates of migrants (both migrants on arrival and emigrants at departure). </w:t>
      </w:r>
    </w:p>
    <w:p w14:paraId="590B7B58" w14:textId="6961AB0D"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7FFCC978" w14:textId="77777777" w:rsidTr="0052424C">
        <w:tc>
          <w:tcPr>
            <w:tcW w:w="8771" w:type="dxa"/>
            <w:tcBorders>
              <w:top w:val="single" w:sz="6" w:space="0" w:color="78A22F"/>
              <w:left w:val="nil"/>
              <w:bottom w:val="nil"/>
              <w:right w:val="nil"/>
            </w:tcBorders>
            <w:shd w:val="clear" w:color="auto" w:fill="auto"/>
          </w:tcPr>
          <w:p w14:paraId="2887C9E5" w14:textId="77777777" w:rsidR="00360B6B"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6</w:t>
            </w:r>
            <w:proofErr w:type="spellEnd"/>
            <w:r w:rsidRPr="00784A05">
              <w:rPr>
                <w:b w:val="0"/>
              </w:rPr>
              <w:fldChar w:fldCharType="end"/>
            </w:r>
            <w:r>
              <w:tab/>
              <w:t>While a higher proportion of NOM is of working age, working-aged migrants have similar labour force participation rates to the incumbent labour force</w:t>
            </w:r>
          </w:p>
          <w:p w14:paraId="7C591162" w14:textId="77777777" w:rsidR="00360B6B" w:rsidRPr="00176D3F" w:rsidRDefault="00360B6B" w:rsidP="0052424C">
            <w:pPr>
              <w:pStyle w:val="Subtitle"/>
            </w:pPr>
            <w:r>
              <w:t>Per cent, 2013-14</w:t>
            </w:r>
          </w:p>
        </w:tc>
      </w:tr>
      <w:tr w:rsidR="00360B6B" w14:paraId="348252AF"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60B6B" w14:paraId="23C8F113" w14:textId="77777777" w:rsidTr="0052424C">
              <w:trPr>
                <w:trHeight w:val="111"/>
                <w:jc w:val="center"/>
              </w:trPr>
              <w:tc>
                <w:tcPr>
                  <w:tcW w:w="2500" w:type="pct"/>
                  <w:tcBorders>
                    <w:top w:val="nil"/>
                    <w:bottom w:val="nil"/>
                  </w:tcBorders>
                </w:tcPr>
                <w:p w14:paraId="1FC9FDF3" w14:textId="77777777" w:rsidR="00360B6B" w:rsidRPr="00013C9B" w:rsidRDefault="00360B6B" w:rsidP="004148F5">
                  <w:pPr>
                    <w:pStyle w:val="Figure"/>
                    <w:numPr>
                      <w:ilvl w:val="0"/>
                      <w:numId w:val="22"/>
                    </w:numPr>
                    <w:spacing w:before="0" w:after="0"/>
                    <w:rPr>
                      <w:rFonts w:ascii="Arial" w:hAnsi="Arial" w:cs="Arial"/>
                      <w:b/>
                      <w:sz w:val="18"/>
                      <w:szCs w:val="18"/>
                    </w:rPr>
                  </w:pPr>
                  <w:r w:rsidRPr="00013C9B">
                    <w:rPr>
                      <w:rFonts w:ascii="Arial" w:hAnsi="Arial" w:cs="Arial"/>
                      <w:b/>
                      <w:sz w:val="18"/>
                      <w:szCs w:val="18"/>
                    </w:rPr>
                    <w:t>Proportion of working age</w:t>
                  </w:r>
                  <w:r w:rsidRPr="00BE2A76">
                    <w:rPr>
                      <w:rStyle w:val="NoteLabel"/>
                      <w:rFonts w:cs="Arial"/>
                      <w:szCs w:val="18"/>
                    </w:rPr>
                    <w:t>a</w:t>
                  </w:r>
                  <w:r w:rsidRPr="00013C9B">
                    <w:rPr>
                      <w:rFonts w:ascii="Arial" w:hAnsi="Arial" w:cs="Arial"/>
                      <w:b/>
                      <w:sz w:val="18"/>
                      <w:szCs w:val="18"/>
                    </w:rPr>
                    <w:t xml:space="preserve"> </w:t>
                  </w:r>
                </w:p>
              </w:tc>
              <w:tc>
                <w:tcPr>
                  <w:tcW w:w="2500" w:type="pct"/>
                  <w:tcBorders>
                    <w:top w:val="nil"/>
                    <w:bottom w:val="nil"/>
                  </w:tcBorders>
                </w:tcPr>
                <w:p w14:paraId="232028C6" w14:textId="77777777" w:rsidR="00360B6B" w:rsidRDefault="00360B6B" w:rsidP="004148F5">
                  <w:pPr>
                    <w:pStyle w:val="Figure"/>
                    <w:numPr>
                      <w:ilvl w:val="0"/>
                      <w:numId w:val="22"/>
                    </w:numPr>
                    <w:spacing w:before="0" w:after="0"/>
                  </w:pPr>
                  <w:r w:rsidRPr="00013C9B">
                    <w:rPr>
                      <w:rFonts w:ascii="Arial" w:hAnsi="Arial" w:cs="Arial"/>
                      <w:b/>
                      <w:sz w:val="18"/>
                      <w:szCs w:val="18"/>
                    </w:rPr>
                    <w:t>Labour force participation rates</w:t>
                  </w:r>
                  <w:proofErr w:type="spellStart"/>
                  <w:r>
                    <w:rPr>
                      <w:rStyle w:val="NoteLabel"/>
                    </w:rPr>
                    <w:t>b,c</w:t>
                  </w:r>
                  <w:proofErr w:type="spellEnd"/>
                </w:p>
              </w:tc>
            </w:tr>
            <w:tr w:rsidR="00360B6B" w14:paraId="420F6ACA" w14:textId="77777777" w:rsidTr="0052424C">
              <w:trPr>
                <w:trHeight w:val="108"/>
                <w:jc w:val="center"/>
              </w:trPr>
              <w:tc>
                <w:tcPr>
                  <w:tcW w:w="2500" w:type="pct"/>
                  <w:tcBorders>
                    <w:top w:val="nil"/>
                    <w:bottom w:val="nil"/>
                  </w:tcBorders>
                </w:tcPr>
                <w:p w14:paraId="6ED521C4" w14:textId="77777777" w:rsidR="00360B6B" w:rsidRDefault="00360B6B" w:rsidP="0052424C">
                  <w:pPr>
                    <w:pStyle w:val="Figure"/>
                    <w:spacing w:before="60" w:after="60"/>
                  </w:pPr>
                  <w:r>
                    <w:rPr>
                      <w:noProof/>
                    </w:rPr>
                    <w:drawing>
                      <wp:inline distT="0" distB="0" distL="0" distR="0" wp14:anchorId="4BF91384" wp14:editId="3790F5A8">
                        <wp:extent cx="2506980" cy="2895600"/>
                        <wp:effectExtent l="0" t="0" r="7620" b="0"/>
                        <wp:docPr id="11" name="Picture 11" descr="This figure contains two panels. Panel a shows the proportions of the incumbent population and NOM of working age in each of eight states and territories. It suggests that a higher proportion of NOM is in working age than in the incumbent population in each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6980" cy="2895600"/>
                                </a:xfrm>
                                <a:prstGeom prst="rect">
                                  <a:avLst/>
                                </a:prstGeom>
                                <a:noFill/>
                                <a:ln>
                                  <a:noFill/>
                                </a:ln>
                              </pic:spPr>
                            </pic:pic>
                          </a:graphicData>
                        </a:graphic>
                      </wp:inline>
                    </w:drawing>
                  </w:r>
                </w:p>
              </w:tc>
              <w:tc>
                <w:tcPr>
                  <w:tcW w:w="2500" w:type="pct"/>
                  <w:tcBorders>
                    <w:top w:val="nil"/>
                    <w:bottom w:val="nil"/>
                  </w:tcBorders>
                </w:tcPr>
                <w:p w14:paraId="017D616E" w14:textId="77777777" w:rsidR="00360B6B" w:rsidRDefault="00360B6B" w:rsidP="0052424C">
                  <w:pPr>
                    <w:pStyle w:val="Figure"/>
                    <w:spacing w:before="60" w:after="60"/>
                  </w:pPr>
                  <w:r>
                    <w:rPr>
                      <w:noProof/>
                    </w:rPr>
                    <w:drawing>
                      <wp:inline distT="0" distB="0" distL="0" distR="0" wp14:anchorId="06151351" wp14:editId="0DEFC38C">
                        <wp:extent cx="2476500" cy="2842260"/>
                        <wp:effectExtent l="0" t="0" r="0" b="0"/>
                        <wp:docPr id="19" name="Picture 19" descr="Panel b shows labour force participation rates of the incumbent population and NOM in each of the eight states and territories. It suggests that working aged migrants have similar participation rates to the incumbent workforce across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6500" cy="2842260"/>
                                </a:xfrm>
                                <a:prstGeom prst="rect">
                                  <a:avLst/>
                                </a:prstGeom>
                                <a:noFill/>
                                <a:ln>
                                  <a:noFill/>
                                </a:ln>
                              </pic:spPr>
                            </pic:pic>
                          </a:graphicData>
                        </a:graphic>
                      </wp:inline>
                    </w:drawing>
                  </w:r>
                </w:p>
              </w:tc>
            </w:tr>
          </w:tbl>
          <w:p w14:paraId="64809934" w14:textId="77777777" w:rsidR="00360B6B" w:rsidRDefault="00360B6B" w:rsidP="0052424C">
            <w:pPr>
              <w:pStyle w:val="Figure"/>
            </w:pPr>
          </w:p>
        </w:tc>
      </w:tr>
      <w:tr w:rsidR="00360B6B" w:rsidRPr="00176D3F" w14:paraId="5FCFAD4A" w14:textId="77777777" w:rsidTr="0052424C">
        <w:tc>
          <w:tcPr>
            <w:tcW w:w="8771" w:type="dxa"/>
            <w:tcBorders>
              <w:top w:val="nil"/>
              <w:left w:val="nil"/>
              <w:bottom w:val="nil"/>
              <w:right w:val="nil"/>
            </w:tcBorders>
            <w:shd w:val="clear" w:color="auto" w:fill="auto"/>
          </w:tcPr>
          <w:p w14:paraId="06AAC18B" w14:textId="75574F5F" w:rsidR="00360B6B" w:rsidRPr="00176D3F" w:rsidRDefault="00360B6B" w:rsidP="00613D26">
            <w:pPr>
              <w:pStyle w:val="Note"/>
            </w:pPr>
            <w:r>
              <w:rPr>
                <w:rStyle w:val="NoteLabel"/>
              </w:rPr>
              <w:t>a</w:t>
            </w:r>
            <w:r>
              <w:t xml:space="preserve"> The working age NOM is defined as the number of persons who are 15 years and older. The NOM age-gender cohort data for 2013-14 from </w:t>
            </w:r>
            <w:r w:rsidRPr="00282478">
              <w:t>ABS (Migration, Australia, 201</w:t>
            </w:r>
            <w:r>
              <w:t>3</w:t>
            </w:r>
            <w:r w:rsidRPr="00282478">
              <w:t>-1</w:t>
            </w:r>
            <w:r>
              <w:t>4</w:t>
            </w:r>
            <w:r w:rsidRPr="00282478">
              <w:t xml:space="preserve">, Cat. </w:t>
            </w:r>
            <w:r>
              <w:t>n</w:t>
            </w:r>
            <w:r w:rsidRPr="00282478">
              <w:t>o. 3412.0)</w:t>
            </w:r>
            <w:r>
              <w:t xml:space="preserve"> were adopted. The original data classified by 5</w:t>
            </w:r>
            <w:r>
              <w:noBreakHyphen/>
              <w:t xml:space="preserve">yearly age groups was prorated to age cohorts on the basis of information about the age distribution of the population. </w:t>
            </w:r>
            <w:r>
              <w:rPr>
                <w:rStyle w:val="NoteLabel"/>
              </w:rPr>
              <w:t>b</w:t>
            </w:r>
            <w:r>
              <w:t xml:space="preserve"> Labour force participants are people who are either employed or actively looking for work. Participation rates are defined as the proportion of the labour market participants in the working aged population. Information on participation by age and gender by state for the labour force are derived </w:t>
            </w:r>
            <w:r w:rsidRPr="00E3262A">
              <w:t xml:space="preserve">from </w:t>
            </w:r>
            <w:r>
              <w:t>ABS Labour Force Survey</w:t>
            </w:r>
            <w:r w:rsidRPr="00E3262A">
              <w:t>.</w:t>
            </w:r>
            <w:r>
              <w:t xml:space="preserve"> </w:t>
            </w:r>
            <w:r>
              <w:rPr>
                <w:rStyle w:val="NoteLabel"/>
              </w:rPr>
              <w:t>c</w:t>
            </w:r>
            <w:r>
              <w:t>  Comparative information on labour force participation of migrants is not available from a single source. To fill this information gap, labour market participation by permanent migrants by visa category (skilled, family and humanitarian migrants) by state of residence was derived from the ABS ACMID data for the migrants arriving in Australia over the years 2009 to 2011, inclusive. Information on labour market participation for temporary migrants by visa category (student and other temporary visa holders) was derived from the ABS CORM</w:t>
            </w:r>
            <w:r w:rsidR="003B0A94">
              <w:t>S</w:t>
            </w:r>
            <w:r>
              <w:t xml:space="preserve"> data by state of residence for the two years 2010 and 2013. This derived information was applied to NOM data by visa category by state for 2013</w:t>
            </w:r>
            <w:r>
              <w:noBreakHyphen/>
              <w:t>14 to estimate labour force participation by visa category by state. Participation rates for NOM by state were estimated by aggregating data across visa categories. This methodology assumes that participation rates estimated from the survey data are representative of NOM participation rates in 2013</w:t>
            </w:r>
            <w:r>
              <w:noBreakHyphen/>
              <w:t xml:space="preserve">14. </w:t>
            </w:r>
          </w:p>
        </w:tc>
      </w:tr>
      <w:tr w:rsidR="00360B6B" w:rsidRPr="00176D3F" w14:paraId="1FF7D33E" w14:textId="77777777" w:rsidTr="0052424C">
        <w:tc>
          <w:tcPr>
            <w:tcW w:w="8771" w:type="dxa"/>
            <w:tcBorders>
              <w:top w:val="nil"/>
              <w:left w:val="nil"/>
              <w:bottom w:val="nil"/>
              <w:right w:val="nil"/>
            </w:tcBorders>
            <w:shd w:val="clear" w:color="auto" w:fill="auto"/>
          </w:tcPr>
          <w:p w14:paraId="3D37C7C6" w14:textId="5DF60D98" w:rsidR="00360B6B" w:rsidRPr="00D26588" w:rsidRDefault="00360B6B" w:rsidP="003B0A94">
            <w:pPr>
              <w:pStyle w:val="Source"/>
              <w:rPr>
                <w:i/>
              </w:rPr>
            </w:pPr>
            <w:r>
              <w:rPr>
                <w:i/>
              </w:rPr>
              <w:t>S</w:t>
            </w:r>
            <w:r w:rsidRPr="00784A05">
              <w:rPr>
                <w:i/>
              </w:rPr>
              <w:t>ource</w:t>
            </w:r>
            <w:r>
              <w:rPr>
                <w:i/>
              </w:rPr>
              <w:t>s</w:t>
            </w:r>
            <w:r w:rsidRPr="00176D3F">
              <w:t xml:space="preserve">: </w:t>
            </w:r>
            <w:r>
              <w:t xml:space="preserve">Productivity Commission estimates based on </w:t>
            </w:r>
            <w:r w:rsidRPr="00122698">
              <w:t>ABS (</w:t>
            </w:r>
            <w:r w:rsidRPr="0037676B">
              <w:rPr>
                <w:i/>
              </w:rPr>
              <w:t>Labour Force, Australia, Detailed, Quarterly, February 2015</w:t>
            </w:r>
            <w:r w:rsidRPr="00122698">
              <w:t>, Cat. no. 6291.0.55.003)</w:t>
            </w:r>
            <w:r>
              <w:t xml:space="preserve">. Estimates for permanent migrants based on </w:t>
            </w:r>
            <w:r w:rsidRPr="00C20F8B">
              <w:t xml:space="preserve">ABS </w:t>
            </w:r>
            <w:r w:rsidR="003B0A94">
              <w:t xml:space="preserve">2011 </w:t>
            </w:r>
            <w:r w:rsidRPr="0037676B">
              <w:rPr>
                <w:i/>
              </w:rPr>
              <w:t>Australian Census and Migrants Integrated Dataset</w:t>
            </w:r>
            <w:r w:rsidRPr="00C20F8B">
              <w:t xml:space="preserve"> (ACMID), unpublished data</w:t>
            </w:r>
            <w:r>
              <w:t xml:space="preserve"> and,</w:t>
            </w:r>
            <w:r w:rsidRPr="00C20F8B">
              <w:t xml:space="preserve"> for the temporary migrants, from the ABS </w:t>
            </w:r>
            <w:r w:rsidRPr="0037676B">
              <w:rPr>
                <w:i/>
              </w:rPr>
              <w:t xml:space="preserve">Characteristics of Recent Migrants </w:t>
            </w:r>
            <w:r w:rsidR="003B0A94">
              <w:t>Survey</w:t>
            </w:r>
            <w:r w:rsidR="003B0A94" w:rsidRPr="00C20F8B">
              <w:t xml:space="preserve"> </w:t>
            </w:r>
            <w:r w:rsidRPr="00C20F8B">
              <w:t>(</w:t>
            </w:r>
            <w:r>
              <w:t>CORM</w:t>
            </w:r>
            <w:r w:rsidR="003B0A94">
              <w:t>S</w:t>
            </w:r>
            <w:r w:rsidRPr="00C20F8B">
              <w:t>), unpublished data</w:t>
            </w:r>
            <w:r>
              <w:t xml:space="preserve">. </w:t>
            </w:r>
          </w:p>
        </w:tc>
      </w:tr>
      <w:tr w:rsidR="00360B6B" w14:paraId="37978EF1" w14:textId="77777777" w:rsidTr="0052424C">
        <w:tc>
          <w:tcPr>
            <w:tcW w:w="8771" w:type="dxa"/>
            <w:tcBorders>
              <w:top w:val="nil"/>
              <w:left w:val="nil"/>
              <w:bottom w:val="single" w:sz="6" w:space="0" w:color="78A22F"/>
              <w:right w:val="nil"/>
            </w:tcBorders>
            <w:shd w:val="clear" w:color="auto" w:fill="auto"/>
          </w:tcPr>
          <w:p w14:paraId="016FC2FA" w14:textId="77777777" w:rsidR="00360B6B" w:rsidRDefault="00360B6B" w:rsidP="0052424C">
            <w:pPr>
              <w:pStyle w:val="Figurespace"/>
            </w:pPr>
          </w:p>
        </w:tc>
      </w:tr>
      <w:tr w:rsidR="00360B6B" w:rsidRPr="000863A5" w14:paraId="3C80D12C" w14:textId="77777777" w:rsidTr="0052424C">
        <w:tc>
          <w:tcPr>
            <w:tcW w:w="8771" w:type="dxa"/>
            <w:tcBorders>
              <w:top w:val="single" w:sz="6" w:space="0" w:color="78A22F"/>
              <w:left w:val="nil"/>
              <w:bottom w:val="nil"/>
              <w:right w:val="nil"/>
            </w:tcBorders>
          </w:tcPr>
          <w:p w14:paraId="4C538E24" w14:textId="62EC0E67" w:rsidR="00360B6B" w:rsidRPr="00626D32" w:rsidRDefault="00360B6B" w:rsidP="0052424C">
            <w:pPr>
              <w:pStyle w:val="BoxSpaceBelow"/>
            </w:pPr>
          </w:p>
        </w:tc>
      </w:tr>
    </w:tbl>
    <w:p w14:paraId="34E55383" w14:textId="35E0C7AC" w:rsidR="00360B6B" w:rsidRDefault="00360B6B" w:rsidP="00360B6B">
      <w:pPr>
        <w:pStyle w:val="Heading3"/>
      </w:pPr>
      <w:r>
        <w:t>Scenario 3 — Labour force occupational effect</w:t>
      </w:r>
    </w:p>
    <w:p w14:paraId="5CC189DA" w14:textId="77777777" w:rsidR="00360B6B" w:rsidRPr="00137809" w:rsidRDefault="00360B6B" w:rsidP="00360B6B">
      <w:pPr>
        <w:pStyle w:val="BodyText"/>
      </w:pPr>
      <w:r>
        <w:t>Scenario 3 introduces the additional assumption that future migrants (modelled as NOM) have the same occupational profile as the current migrant intake.</w:t>
      </w:r>
    </w:p>
    <w:p w14:paraId="07D2520E" w14:textId="77777777" w:rsidR="00360B6B" w:rsidRDefault="00360B6B" w:rsidP="00360B6B">
      <w:pPr>
        <w:pStyle w:val="BodyText"/>
      </w:pPr>
      <w:r>
        <w:lastRenderedPageBreak/>
        <w:t xml:space="preserve">For this scenario, NOM labour market participants are introduced into the labour force by occupation and state in the </w:t>
      </w:r>
      <w:proofErr w:type="spellStart"/>
      <w:r>
        <w:t>VUMR</w:t>
      </w:r>
      <w:proofErr w:type="spellEnd"/>
      <w:r>
        <w:t xml:space="preserve"> model. The allocation of migrants to a particular state is based on the recorded entry point by state of the migrant intake in 2013</w:t>
      </w:r>
      <w:r>
        <w:noBreakHyphen/>
        <w:t xml:space="preserve">14. The process used to derive the estimates of labour force participation by occupation and state is described in box </w:t>
      </w:r>
      <w:proofErr w:type="spellStart"/>
      <w:r>
        <w:t>A.2</w:t>
      </w:r>
      <w:proofErr w:type="spellEnd"/>
      <w:r>
        <w:t xml:space="preserve">. </w:t>
      </w:r>
    </w:p>
    <w:p w14:paraId="2AA29F1B" w14:textId="0C502819" w:rsidR="00360B6B" w:rsidRDefault="00360B6B" w:rsidP="008846C7">
      <w:pPr>
        <w:pStyle w:val="BoxSpaceAbove"/>
        <w:spacing w:before="24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19703B79" w14:textId="77777777" w:rsidTr="0052424C">
        <w:tc>
          <w:tcPr>
            <w:tcW w:w="8771" w:type="dxa"/>
            <w:tcBorders>
              <w:top w:val="single" w:sz="6" w:space="0" w:color="78A22F"/>
              <w:left w:val="nil"/>
              <w:bottom w:val="nil"/>
              <w:right w:val="nil"/>
            </w:tcBorders>
            <w:shd w:val="clear" w:color="auto" w:fill="F2F2F2"/>
          </w:tcPr>
          <w:p w14:paraId="3BBE953E" w14:textId="77777777" w:rsidR="00360B6B" w:rsidRDefault="00360B6B" w:rsidP="0052424C">
            <w:pPr>
              <w:pStyle w:val="BoxTitle"/>
              <w:rPr>
                <w:i/>
              </w:rPr>
            </w:pPr>
            <w:r>
              <w:rPr>
                <w:b w:val="0"/>
              </w:rPr>
              <w:t xml:space="preserve">Box </w:t>
            </w:r>
            <w:r>
              <w:rPr>
                <w:b w:val="0"/>
              </w:rPr>
              <w:fldChar w:fldCharType="begin"/>
            </w:r>
            <w:r>
              <w:rPr>
                <w:b w:val="0"/>
              </w:rPr>
              <w:instrText xml:space="preserve"> COMMENTS  \* MERGEFORMAT </w:instrText>
            </w:r>
            <w:r>
              <w:rPr>
                <w:b w:val="0"/>
              </w:rPr>
              <w:fldChar w:fldCharType="separate"/>
            </w:r>
            <w:proofErr w:type="spellStart"/>
            <w:r>
              <w:rPr>
                <w:b w:val="0"/>
              </w:rPr>
              <w:t>A.</w:t>
            </w:r>
            <w:r>
              <w:rPr>
                <w:b w:val="0"/>
              </w:rPr>
              <w:fldChar w:fldCharType="end"/>
            </w:r>
            <w:r>
              <w:rPr>
                <w:b w:val="0"/>
              </w:rPr>
              <w:fldChar w:fldCharType="begin"/>
            </w:r>
            <w:r>
              <w:rPr>
                <w:b w:val="0"/>
              </w:rPr>
              <w:instrText xml:space="preserve"> SEQ Box \* ARABIC </w:instrText>
            </w:r>
            <w:r>
              <w:rPr>
                <w:b w:val="0"/>
              </w:rPr>
              <w:fldChar w:fldCharType="separate"/>
            </w:r>
            <w:r w:rsidR="008846C7">
              <w:rPr>
                <w:b w:val="0"/>
                <w:noProof/>
              </w:rPr>
              <w:t>2</w:t>
            </w:r>
            <w:proofErr w:type="spellEnd"/>
            <w:r>
              <w:rPr>
                <w:b w:val="0"/>
              </w:rPr>
              <w:fldChar w:fldCharType="end"/>
            </w:r>
            <w:r>
              <w:tab/>
              <w:t>Estimating the occupational group of NOM labour force participants by state</w:t>
            </w:r>
          </w:p>
        </w:tc>
      </w:tr>
      <w:tr w:rsidR="00360B6B" w14:paraId="6EBC1621" w14:textId="77777777" w:rsidTr="0052424C">
        <w:trPr>
          <w:cantSplit/>
        </w:trPr>
        <w:tc>
          <w:tcPr>
            <w:tcW w:w="8771" w:type="dxa"/>
            <w:tcBorders>
              <w:top w:val="nil"/>
              <w:left w:val="nil"/>
              <w:bottom w:val="nil"/>
              <w:right w:val="nil"/>
            </w:tcBorders>
            <w:shd w:val="clear" w:color="auto" w:fill="F2F2F2"/>
          </w:tcPr>
          <w:p w14:paraId="01A66388" w14:textId="77777777" w:rsidR="00360B6B" w:rsidRDefault="00360B6B" w:rsidP="0052424C">
            <w:pPr>
              <w:pStyle w:val="Box"/>
            </w:pPr>
            <w:r>
              <w:t>Estimation of the occupational composition of NOM labour force participants is undertaken in two steps.</w:t>
            </w:r>
          </w:p>
          <w:p w14:paraId="67451253" w14:textId="318CD4AB" w:rsidR="00360B6B" w:rsidRDefault="00360B6B" w:rsidP="0052424C">
            <w:pPr>
              <w:pStyle w:val="Box"/>
            </w:pPr>
            <w:r>
              <w:t xml:space="preserve">First, a matrix of the distribution of immigrants by occupation and state for each of the five visa categories </w:t>
            </w:r>
            <w:r>
              <w:rPr>
                <w:rFonts w:cs="Arial"/>
              </w:rPr>
              <w:t>—</w:t>
            </w:r>
            <w:r>
              <w:t xml:space="preserve"> skilled, family, humanitarian, temporary and other </w:t>
            </w:r>
            <w:r>
              <w:rPr>
                <w:rFonts w:cs="Arial"/>
              </w:rPr>
              <w:t>—</w:t>
            </w:r>
            <w:r>
              <w:t xml:space="preserve"> was compiled.</w:t>
            </w:r>
          </w:p>
          <w:p w14:paraId="5FDCE3A7" w14:textId="6D6393F0" w:rsidR="00360B6B" w:rsidRDefault="00360B6B" w:rsidP="0052424C">
            <w:pPr>
              <w:pStyle w:val="BoxListBullet"/>
            </w:pPr>
            <w:r>
              <w:t xml:space="preserve">For permanent migrants, visa categories by state and occupation are derived from </w:t>
            </w:r>
            <w:r w:rsidRPr="00246A4C">
              <w:t>ABS</w:t>
            </w:r>
            <w:r>
              <w:t xml:space="preserve"> </w:t>
            </w:r>
            <w:r w:rsidR="003B0A94">
              <w:t xml:space="preserve">2011 </w:t>
            </w:r>
            <w:r w:rsidRPr="00A23AC2">
              <w:t>Australian Census and Migrants Integrated Dataset</w:t>
            </w:r>
            <w:r>
              <w:t xml:space="preserve"> (ACMID) data. the distribution is based on the average of data of migrants arriving in Australia over the years 2009 to 2011, inclusive (the latest period for which data are available). </w:t>
            </w:r>
          </w:p>
          <w:p w14:paraId="38165962" w14:textId="740ACA0E" w:rsidR="00360B6B" w:rsidRDefault="00360B6B" w:rsidP="0052424C">
            <w:pPr>
              <w:pStyle w:val="BoxListBullet"/>
            </w:pPr>
            <w:r>
              <w:t xml:space="preserve">For temporary migrants, visa categories by state and occupation are derived from the ABS </w:t>
            </w:r>
            <w:r w:rsidRPr="00DD44D1">
              <w:t xml:space="preserve">Characteristics of Recent Migrants Dataset </w:t>
            </w:r>
            <w:r w:rsidR="003B0A94">
              <w:t xml:space="preserve">Survey </w:t>
            </w:r>
            <w:r>
              <w:t>(CORM</w:t>
            </w:r>
            <w:r w:rsidR="003B0A94">
              <w:t>S</w:t>
            </w:r>
            <w:r>
              <w:t xml:space="preserve">). The distribution is based on the average of data across the samples for 2010 and 2013. </w:t>
            </w:r>
          </w:p>
          <w:p w14:paraId="4C6FC4AA" w14:textId="5CF65EE4" w:rsidR="00360B6B" w:rsidRDefault="00360B6B" w:rsidP="0052424C">
            <w:pPr>
              <w:pStyle w:val="BoxListBullet2"/>
            </w:pPr>
            <w:r>
              <w:t>Due to this limited sample size, CORM</w:t>
            </w:r>
            <w:r w:rsidR="003B0A94">
              <w:t>S</w:t>
            </w:r>
            <w:r>
              <w:t xml:space="preserve"> data does not support identification and estimation of the ‘other’ migrants by occupation and state. To fill this information gap, the occupational distribution of the labour force for the Australian population in 2013</w:t>
            </w:r>
            <w:r>
              <w:noBreakHyphen/>
              <w:t xml:space="preserve">14 is used as a ‘proxy’ for migrants in this category. </w:t>
            </w:r>
          </w:p>
          <w:p w14:paraId="76D89335" w14:textId="77777777" w:rsidR="00360B6B" w:rsidRDefault="00360B6B" w:rsidP="0052424C">
            <w:pPr>
              <w:pStyle w:val="Box"/>
              <w:rPr>
                <w:szCs w:val="24"/>
              </w:rPr>
            </w:pPr>
            <w:r>
              <w:t>Second, under the assumption that the occupational structure of immigrants by visa category is reflective of the occupational structure of emigrants for the same category, the distribution of immigrants by occupation and state is scaled to the level of NOM for 2013</w:t>
            </w:r>
            <w:r>
              <w:noBreakHyphen/>
              <w:t xml:space="preserve">14 by visa category (as reported in </w:t>
            </w:r>
            <w:r w:rsidRPr="002F35BA">
              <w:rPr>
                <w:i/>
              </w:rPr>
              <w:t>Australia’s Migration Trends 2013</w:t>
            </w:r>
            <w:r>
              <w:t xml:space="preserve"> published </w:t>
            </w:r>
            <w:r w:rsidRPr="009F1FD7">
              <w:t>by the Department of Immigration and Border Protection (</w:t>
            </w:r>
            <w:proofErr w:type="spellStart"/>
            <w:r w:rsidRPr="009F1FD7">
              <w:t>DIBP</w:t>
            </w:r>
            <w:proofErr w:type="spellEnd"/>
            <w:r w:rsidRPr="009F1FD7">
              <w:t>)</w:t>
            </w:r>
            <w:r>
              <w:t>). For the modelling, the information is aggregated across visa categories to provide a measure of labour force participation by occupation and state.</w:t>
            </w:r>
          </w:p>
          <w:p w14:paraId="6D945635" w14:textId="5AE918FA" w:rsidR="00360B6B" w:rsidRPr="008846C7" w:rsidRDefault="00360B6B" w:rsidP="0052424C">
            <w:pPr>
              <w:pStyle w:val="Box"/>
              <w:rPr>
                <w:spacing w:val="-4"/>
              </w:rPr>
            </w:pPr>
            <w:r w:rsidRPr="008846C7">
              <w:rPr>
                <w:spacing w:val="-4"/>
              </w:rPr>
              <w:t>The occupational distribution of NOM by state is applied in the modell</w:t>
            </w:r>
            <w:r w:rsidR="008846C7" w:rsidRPr="008846C7">
              <w:rPr>
                <w:spacing w:val="-4"/>
              </w:rPr>
              <w:t>ing over the projection period.</w:t>
            </w:r>
            <w:r w:rsidRPr="008846C7">
              <w:rPr>
                <w:spacing w:val="-4"/>
              </w:rPr>
              <w:t xml:space="preserve"> </w:t>
            </w:r>
          </w:p>
        </w:tc>
      </w:tr>
      <w:tr w:rsidR="00360B6B" w14:paraId="4EF541A3" w14:textId="77777777" w:rsidTr="0052424C">
        <w:trPr>
          <w:cantSplit/>
        </w:trPr>
        <w:tc>
          <w:tcPr>
            <w:tcW w:w="8771" w:type="dxa"/>
            <w:tcBorders>
              <w:top w:val="nil"/>
              <w:left w:val="nil"/>
              <w:bottom w:val="nil"/>
              <w:right w:val="nil"/>
            </w:tcBorders>
            <w:shd w:val="clear" w:color="auto" w:fill="F2F2F2"/>
          </w:tcPr>
          <w:p w14:paraId="40A9D8F7" w14:textId="7E5784AA" w:rsidR="00360B6B" w:rsidRDefault="00360B6B" w:rsidP="003B0A94">
            <w:pPr>
              <w:pStyle w:val="BoxSource"/>
            </w:pPr>
            <w:r>
              <w:rPr>
                <w:i/>
              </w:rPr>
              <w:t>S</w:t>
            </w:r>
            <w:r w:rsidRPr="00784A05">
              <w:rPr>
                <w:i/>
              </w:rPr>
              <w:t>ource</w:t>
            </w:r>
            <w:r>
              <w:rPr>
                <w:i/>
              </w:rPr>
              <w:t>s</w:t>
            </w:r>
            <w:r w:rsidRPr="00176D3F">
              <w:t xml:space="preserve">: </w:t>
            </w:r>
            <w:r w:rsidRPr="00A23AC2">
              <w:t>ABS Australian Census and Migrants Integrated Dataset (ACMID), unpublished</w:t>
            </w:r>
            <w:r>
              <w:t xml:space="preserve">; ABS </w:t>
            </w:r>
            <w:r w:rsidRPr="00DD44D1">
              <w:t xml:space="preserve">Characteristics of Recent Migrants </w:t>
            </w:r>
            <w:r w:rsidR="003B0A94">
              <w:t>Survey</w:t>
            </w:r>
            <w:r w:rsidR="003B0A94" w:rsidRPr="00DD44D1">
              <w:t xml:space="preserve"> </w:t>
            </w:r>
            <w:r w:rsidRPr="00DD44D1">
              <w:t>(</w:t>
            </w:r>
            <w:r>
              <w:t>CORM</w:t>
            </w:r>
            <w:r w:rsidR="003B0A94">
              <w:t>S</w:t>
            </w:r>
            <w:r w:rsidRPr="00DD44D1">
              <w:t>), unpublished data</w:t>
            </w:r>
            <w:r>
              <w:t xml:space="preserve">, </w:t>
            </w:r>
            <w:r w:rsidRPr="00383FB5">
              <w:t>Australia’s Migration Trends 2013 published by the Department of Immigration and Border Protection (</w:t>
            </w:r>
            <w:proofErr w:type="spellStart"/>
            <w:r w:rsidRPr="00383FB5">
              <w:t>DIBP</w:t>
            </w:r>
            <w:proofErr w:type="spellEnd"/>
            <w:r w:rsidRPr="00383FB5">
              <w:t>)</w:t>
            </w:r>
            <w:r>
              <w:t>.</w:t>
            </w:r>
          </w:p>
        </w:tc>
      </w:tr>
      <w:tr w:rsidR="00360B6B" w14:paraId="11657F98" w14:textId="77777777" w:rsidTr="0052424C">
        <w:trPr>
          <w:cantSplit/>
        </w:trPr>
        <w:tc>
          <w:tcPr>
            <w:tcW w:w="8771" w:type="dxa"/>
            <w:tcBorders>
              <w:top w:val="nil"/>
              <w:left w:val="nil"/>
              <w:bottom w:val="single" w:sz="6" w:space="0" w:color="78A22F"/>
              <w:right w:val="nil"/>
            </w:tcBorders>
            <w:shd w:val="clear" w:color="auto" w:fill="F2F2F2"/>
          </w:tcPr>
          <w:p w14:paraId="31E3F61D" w14:textId="77777777" w:rsidR="00360B6B" w:rsidRDefault="00360B6B" w:rsidP="0052424C">
            <w:pPr>
              <w:pStyle w:val="Box"/>
              <w:spacing w:before="0" w:line="120" w:lineRule="exact"/>
            </w:pPr>
          </w:p>
        </w:tc>
      </w:tr>
    </w:tbl>
    <w:p w14:paraId="224DE022" w14:textId="086E1C7B" w:rsidR="00360B6B" w:rsidRPr="008846C7" w:rsidRDefault="00360B6B" w:rsidP="00360B6B">
      <w:pPr>
        <w:pStyle w:val="BodyText"/>
        <w:rPr>
          <w:spacing w:val="-2"/>
        </w:rPr>
      </w:pPr>
      <w:r w:rsidRPr="008846C7">
        <w:rPr>
          <w:spacing w:val="-2"/>
        </w:rPr>
        <w:t xml:space="preserve">Available information about the occupational composition of NOM entrants and the Australian labour force suggests that both are concentrated in professional occupations (figure </w:t>
      </w:r>
      <w:proofErr w:type="spellStart"/>
      <w:r w:rsidRPr="008846C7">
        <w:rPr>
          <w:spacing w:val="-2"/>
        </w:rPr>
        <w:t>A.7</w:t>
      </w:r>
      <w:proofErr w:type="spellEnd"/>
      <w:r w:rsidRPr="008846C7">
        <w:rPr>
          <w:spacing w:val="-2"/>
        </w:rPr>
        <w:t>). Beyond the professional occupations, NOM labour force participants tend to be more concentrated in the community service and labouring occupations and less concentrated in the occupations of managers, clerical and administrative and machinery operator</w:t>
      </w:r>
      <w:r w:rsidR="00613D26">
        <w:rPr>
          <w:spacing w:val="-2"/>
        </w:rPr>
        <w:t>s</w:t>
      </w:r>
      <w:r w:rsidRPr="008846C7">
        <w:rPr>
          <w:spacing w:val="-2"/>
        </w:rPr>
        <w:t xml:space="preserve"> and drivers.</w:t>
      </w:r>
    </w:p>
    <w:p w14:paraId="16F3FD91" w14:textId="77777777" w:rsidR="006E565F" w:rsidRDefault="006E565F" w:rsidP="006E565F">
      <w:pPr>
        <w:pStyle w:val="BodyText"/>
      </w:pPr>
      <w:r>
        <w:t>The variables shocked and the associated endogenous variable used in the dynamic modelling of the occupational effect of NOM, are shown in table </w:t>
      </w:r>
      <w:proofErr w:type="spellStart"/>
      <w:r>
        <w:t>A.4</w:t>
      </w:r>
      <w:proofErr w:type="spellEnd"/>
      <w:r>
        <w:t xml:space="preserve">. </w:t>
      </w:r>
    </w:p>
    <w:p w14:paraId="209C3A4A" w14:textId="606250CF"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37104F3A" w14:textId="77777777" w:rsidTr="0052424C">
        <w:tc>
          <w:tcPr>
            <w:tcW w:w="8771" w:type="dxa"/>
            <w:tcBorders>
              <w:top w:val="single" w:sz="6" w:space="0" w:color="78A22F"/>
              <w:left w:val="nil"/>
              <w:bottom w:val="nil"/>
              <w:right w:val="nil"/>
            </w:tcBorders>
            <w:shd w:val="clear" w:color="auto" w:fill="auto"/>
          </w:tcPr>
          <w:p w14:paraId="2474FCBB" w14:textId="77777777" w:rsidR="00360B6B" w:rsidRPr="00176D3F"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7</w:t>
            </w:r>
            <w:proofErr w:type="spellEnd"/>
            <w:r w:rsidRPr="00784A05">
              <w:rPr>
                <w:b w:val="0"/>
              </w:rPr>
              <w:fldChar w:fldCharType="end"/>
            </w:r>
            <w:r>
              <w:tab/>
              <w:t>The Australian labour force and NOM visa entrants are more concentrated in professional and labourers occupations</w:t>
            </w:r>
            <w:r w:rsidRPr="00283762">
              <w:rPr>
                <w:rStyle w:val="NoteLabel"/>
              </w:rPr>
              <w:t>a</w:t>
            </w:r>
            <w:r>
              <w:t xml:space="preserve"> </w:t>
            </w:r>
          </w:p>
        </w:tc>
      </w:tr>
      <w:tr w:rsidR="00360B6B" w14:paraId="3E786DC2"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8504"/>
            </w:tblGrid>
            <w:tr w:rsidR="00360B6B" w14:paraId="5938C0FE" w14:textId="77777777" w:rsidTr="0052424C">
              <w:trPr>
                <w:trHeight w:val="108"/>
                <w:jc w:val="center"/>
              </w:trPr>
              <w:tc>
                <w:tcPr>
                  <w:tcW w:w="5000" w:type="pct"/>
                  <w:tcBorders>
                    <w:top w:val="nil"/>
                    <w:bottom w:val="nil"/>
                  </w:tcBorders>
                </w:tcPr>
                <w:p w14:paraId="07BC2DE1" w14:textId="77777777" w:rsidR="00360B6B" w:rsidRDefault="00360B6B" w:rsidP="0052424C">
                  <w:pPr>
                    <w:pStyle w:val="Figure"/>
                    <w:spacing w:before="60" w:after="60"/>
                  </w:pPr>
                  <w:r>
                    <w:t xml:space="preserve"> </w:t>
                  </w:r>
                  <w:r>
                    <w:rPr>
                      <w:noProof/>
                    </w:rPr>
                    <w:drawing>
                      <wp:inline distT="0" distB="0" distL="0" distR="0" wp14:anchorId="25415BF4" wp14:editId="57717116">
                        <wp:extent cx="4945380" cy="3070860"/>
                        <wp:effectExtent l="0" t="0" r="7620" b="0"/>
                        <wp:docPr id="17" name="Picture 17" descr="This figure shows the proportion of the Australian workforce and of NOM in each of the eight occupational categories. The figure suggests that both the Australian workforce and NOM are concentrated in professional occupations. Beyond the professional occupations, NOM workforce participants tend to be more concentrated in the community service and labourers occupations and less concentrated in the occupations of managers, clerical and administrative and machinery operator and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45380" cy="3070860"/>
                                </a:xfrm>
                                <a:prstGeom prst="rect">
                                  <a:avLst/>
                                </a:prstGeom>
                                <a:noFill/>
                                <a:ln>
                                  <a:noFill/>
                                </a:ln>
                              </pic:spPr>
                            </pic:pic>
                          </a:graphicData>
                        </a:graphic>
                      </wp:inline>
                    </w:drawing>
                  </w:r>
                </w:p>
              </w:tc>
            </w:tr>
          </w:tbl>
          <w:p w14:paraId="7150A936" w14:textId="77777777" w:rsidR="00360B6B" w:rsidRDefault="00360B6B" w:rsidP="0052424C">
            <w:pPr>
              <w:pStyle w:val="Figure"/>
            </w:pPr>
          </w:p>
        </w:tc>
      </w:tr>
      <w:tr w:rsidR="00360B6B" w:rsidRPr="00176D3F" w14:paraId="7BFA73BB" w14:textId="77777777" w:rsidTr="0052424C">
        <w:tc>
          <w:tcPr>
            <w:tcW w:w="8771" w:type="dxa"/>
            <w:tcBorders>
              <w:top w:val="nil"/>
              <w:left w:val="nil"/>
              <w:bottom w:val="nil"/>
              <w:right w:val="nil"/>
            </w:tcBorders>
            <w:shd w:val="clear" w:color="auto" w:fill="auto"/>
          </w:tcPr>
          <w:p w14:paraId="2D178FF5" w14:textId="77777777" w:rsidR="00360B6B" w:rsidRPr="00176D3F" w:rsidRDefault="00360B6B" w:rsidP="0052424C">
            <w:pPr>
              <w:pStyle w:val="Note"/>
            </w:pPr>
            <w:proofErr w:type="spellStart"/>
            <w:r>
              <w:rPr>
                <w:rStyle w:val="NoteLabel"/>
              </w:rPr>
              <w:t>a</w:t>
            </w:r>
            <w:proofErr w:type="spellEnd"/>
            <w:r>
              <w:t xml:space="preserve"> Estimates reported for the Australian labour force are for the year 2013-14. Estimates of occupational distribution are based on average data between 2009 and 2011 for permanent NOM workers and average data for 2010 and 2013 for temporary NOM workers. The occupational distributions were then adjusted to the level of NOM for 2013-14 (See box </w:t>
            </w:r>
            <w:proofErr w:type="spellStart"/>
            <w:r>
              <w:t>A.2</w:t>
            </w:r>
            <w:proofErr w:type="spellEnd"/>
            <w:r>
              <w:t>).</w:t>
            </w:r>
          </w:p>
        </w:tc>
      </w:tr>
      <w:tr w:rsidR="00360B6B" w:rsidRPr="00176D3F" w14:paraId="19E19B0D" w14:textId="77777777" w:rsidTr="0052424C">
        <w:tc>
          <w:tcPr>
            <w:tcW w:w="8771" w:type="dxa"/>
            <w:tcBorders>
              <w:top w:val="nil"/>
              <w:left w:val="nil"/>
              <w:bottom w:val="nil"/>
              <w:right w:val="nil"/>
            </w:tcBorders>
            <w:shd w:val="clear" w:color="auto" w:fill="auto"/>
          </w:tcPr>
          <w:p w14:paraId="5236C2F2" w14:textId="19D50F38" w:rsidR="00360B6B" w:rsidRPr="00D26588" w:rsidRDefault="00360B6B" w:rsidP="003B0A94">
            <w:pPr>
              <w:pStyle w:val="Source"/>
            </w:pPr>
            <w:r>
              <w:rPr>
                <w:i/>
              </w:rPr>
              <w:t>S</w:t>
            </w:r>
            <w:r w:rsidRPr="00784A05">
              <w:rPr>
                <w:i/>
              </w:rPr>
              <w:t>ource</w:t>
            </w:r>
            <w:r>
              <w:rPr>
                <w:i/>
              </w:rPr>
              <w:t>s</w:t>
            </w:r>
            <w:r w:rsidRPr="00176D3F">
              <w:t xml:space="preserve">: </w:t>
            </w:r>
            <w:r>
              <w:t xml:space="preserve">Productivity Commission estimates based on </w:t>
            </w:r>
            <w:r w:rsidRPr="00122698">
              <w:t>ABS (</w:t>
            </w:r>
            <w:r w:rsidRPr="0037676B">
              <w:rPr>
                <w:i/>
              </w:rPr>
              <w:t>Labour Force, Australia, May 2015</w:t>
            </w:r>
            <w:r w:rsidRPr="00122698">
              <w:t>, Cat. no. 6202.0); ABS (</w:t>
            </w:r>
            <w:r w:rsidRPr="0037676B">
              <w:rPr>
                <w:i/>
              </w:rPr>
              <w:t>Labour Force, Australia, Detailed, Quarterly, February 2015</w:t>
            </w:r>
            <w:r w:rsidRPr="00122698">
              <w:t>, Cat. no. 6291.0.55.003)</w:t>
            </w:r>
            <w:r>
              <w:t xml:space="preserve">; </w:t>
            </w:r>
            <w:r w:rsidRPr="00122698">
              <w:t>ABS</w:t>
            </w:r>
            <w:r w:rsidR="003B0A94">
              <w:t xml:space="preserve"> 2011</w:t>
            </w:r>
            <w:r w:rsidRPr="00122698">
              <w:t xml:space="preserve"> </w:t>
            </w:r>
            <w:r w:rsidRPr="0037676B">
              <w:rPr>
                <w:i/>
              </w:rPr>
              <w:t>Australian Census and Migrants Integrated Dataset</w:t>
            </w:r>
            <w:r w:rsidRPr="00122698">
              <w:t xml:space="preserve"> (ACMID), unpublished data and, for the temporary migrants, from the ABS </w:t>
            </w:r>
            <w:r w:rsidRPr="0037676B">
              <w:rPr>
                <w:i/>
              </w:rPr>
              <w:t xml:space="preserve">Characteristics of Recent Migrants </w:t>
            </w:r>
            <w:r w:rsidR="003B0A94">
              <w:t>Survey</w:t>
            </w:r>
            <w:r w:rsidR="003B0A94" w:rsidRPr="00122698">
              <w:t xml:space="preserve"> </w:t>
            </w:r>
            <w:r w:rsidRPr="00122698">
              <w:t>(</w:t>
            </w:r>
            <w:r>
              <w:t>CORM</w:t>
            </w:r>
            <w:r w:rsidR="003B0A94">
              <w:t>S</w:t>
            </w:r>
            <w:r w:rsidRPr="00122698">
              <w:t>), unpublished data</w:t>
            </w:r>
            <w:r>
              <w:t xml:space="preserve">; </w:t>
            </w:r>
            <w:r w:rsidRPr="0037676B">
              <w:rPr>
                <w:i/>
              </w:rPr>
              <w:t>Australia’s Migration Trends 2013</w:t>
            </w:r>
            <w:r w:rsidRPr="00152F48">
              <w:t xml:space="preserve"> (Tables 6.1 and 6.2) published by the Department of Immigration and Border Protection (</w:t>
            </w:r>
            <w:proofErr w:type="spellStart"/>
            <w:r w:rsidRPr="00152F48">
              <w:t>DIBP</w:t>
            </w:r>
            <w:proofErr w:type="spellEnd"/>
            <w:r w:rsidRPr="00152F48">
              <w:t>)</w:t>
            </w:r>
            <w:r>
              <w:t xml:space="preserve">. </w:t>
            </w:r>
          </w:p>
        </w:tc>
      </w:tr>
      <w:tr w:rsidR="00360B6B" w14:paraId="2717639A" w14:textId="77777777" w:rsidTr="0052424C">
        <w:tc>
          <w:tcPr>
            <w:tcW w:w="8771" w:type="dxa"/>
            <w:tcBorders>
              <w:top w:val="nil"/>
              <w:left w:val="nil"/>
              <w:bottom w:val="single" w:sz="6" w:space="0" w:color="78A22F"/>
              <w:right w:val="nil"/>
            </w:tcBorders>
            <w:shd w:val="clear" w:color="auto" w:fill="auto"/>
          </w:tcPr>
          <w:p w14:paraId="7F061317" w14:textId="77777777" w:rsidR="00360B6B" w:rsidRDefault="00360B6B" w:rsidP="0052424C">
            <w:pPr>
              <w:pStyle w:val="Figurespace"/>
            </w:pPr>
          </w:p>
        </w:tc>
      </w:tr>
      <w:tr w:rsidR="00360B6B" w:rsidRPr="000863A5" w14:paraId="19D7BE60" w14:textId="77777777" w:rsidTr="0052424C">
        <w:tc>
          <w:tcPr>
            <w:tcW w:w="8771" w:type="dxa"/>
            <w:tcBorders>
              <w:top w:val="single" w:sz="6" w:space="0" w:color="78A22F"/>
              <w:left w:val="nil"/>
              <w:bottom w:val="nil"/>
              <w:right w:val="nil"/>
            </w:tcBorders>
          </w:tcPr>
          <w:p w14:paraId="4754C35E" w14:textId="36C31122" w:rsidR="00360B6B" w:rsidRPr="00626D32" w:rsidRDefault="00360B6B" w:rsidP="0052424C">
            <w:pPr>
              <w:pStyle w:val="BoxSpaceBelow"/>
            </w:pPr>
          </w:p>
        </w:tc>
      </w:tr>
    </w:tbl>
    <w:p w14:paraId="4C4A0117" w14:textId="74750975" w:rsidR="00360B6B" w:rsidRDefault="00360B6B" w:rsidP="00360B6B">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60B6B" w14:paraId="3746EAFD" w14:textId="77777777" w:rsidTr="0052424C">
        <w:tc>
          <w:tcPr>
            <w:tcW w:w="8771" w:type="dxa"/>
            <w:tcBorders>
              <w:top w:val="single" w:sz="6" w:space="0" w:color="78A22F"/>
              <w:left w:val="nil"/>
              <w:bottom w:val="nil"/>
              <w:right w:val="nil"/>
            </w:tcBorders>
            <w:shd w:val="clear" w:color="auto" w:fill="auto"/>
          </w:tcPr>
          <w:p w14:paraId="266CCED1" w14:textId="57EF13F9" w:rsidR="00360B6B" w:rsidRPr="00650F73" w:rsidRDefault="00360B6B" w:rsidP="00FB41B6">
            <w:pPr>
              <w:pStyle w:val="TableTitle"/>
            </w:pPr>
            <w:r w:rsidRPr="00650F73">
              <w:rPr>
                <w:b w:val="0"/>
              </w:rPr>
              <w:t xml:space="preserve">Table </w:t>
            </w:r>
            <w:r w:rsidRPr="00650F73">
              <w:rPr>
                <w:b w:val="0"/>
              </w:rPr>
              <w:fldChar w:fldCharType="begin"/>
            </w:r>
            <w:r w:rsidRPr="00650F73">
              <w:rPr>
                <w:b w:val="0"/>
              </w:rPr>
              <w:instrText xml:space="preserve"> COMMENTS  \* MERGEFORMAT </w:instrText>
            </w:r>
            <w:r w:rsidRPr="00650F73">
              <w:rPr>
                <w:b w:val="0"/>
              </w:rPr>
              <w:fldChar w:fldCharType="separate"/>
            </w:r>
            <w:proofErr w:type="spellStart"/>
            <w:r>
              <w:rPr>
                <w:b w:val="0"/>
              </w:rPr>
              <w:t>A.</w:t>
            </w:r>
            <w:r w:rsidRPr="00650F73">
              <w:rPr>
                <w:b w:val="0"/>
              </w:rPr>
              <w:fldChar w:fldCharType="end"/>
            </w:r>
            <w:r w:rsidRPr="00650F73">
              <w:rPr>
                <w:b w:val="0"/>
              </w:rPr>
              <w:fldChar w:fldCharType="begin"/>
            </w:r>
            <w:r w:rsidRPr="00650F73">
              <w:rPr>
                <w:b w:val="0"/>
              </w:rPr>
              <w:instrText xml:space="preserve"> SEQ Table \* ARABIC </w:instrText>
            </w:r>
            <w:r w:rsidRPr="00650F73">
              <w:rPr>
                <w:b w:val="0"/>
              </w:rPr>
              <w:fldChar w:fldCharType="separate"/>
            </w:r>
            <w:r w:rsidR="008846C7">
              <w:rPr>
                <w:b w:val="0"/>
                <w:noProof/>
              </w:rPr>
              <w:t>4</w:t>
            </w:r>
            <w:proofErr w:type="spellEnd"/>
            <w:r w:rsidRPr="00650F73">
              <w:rPr>
                <w:b w:val="0"/>
              </w:rPr>
              <w:fldChar w:fldCharType="end"/>
            </w:r>
            <w:r w:rsidRPr="00650F73">
              <w:tab/>
              <w:t>Modelling of the occupational effect</w:t>
            </w:r>
            <w:r>
              <w:t>s</w:t>
            </w:r>
            <w:r w:rsidRPr="00650F73">
              <w:t xml:space="preserve"> of NOM</w:t>
            </w:r>
            <w:r>
              <w:t xml:space="preserve"> (scenario 3)</w:t>
            </w:r>
          </w:p>
        </w:tc>
      </w:tr>
      <w:tr w:rsidR="00360B6B" w14:paraId="6EAFFB39" w14:textId="77777777" w:rsidTr="0052424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29"/>
              <w:gridCol w:w="2830"/>
              <w:gridCol w:w="2828"/>
            </w:tblGrid>
            <w:tr w:rsidR="00360B6B" w:rsidRPr="00650F73" w14:paraId="6E82DB89" w14:textId="77777777" w:rsidTr="0052424C">
              <w:tc>
                <w:tcPr>
                  <w:tcW w:w="1667" w:type="pct"/>
                  <w:tcBorders>
                    <w:top w:val="single" w:sz="6" w:space="0" w:color="BFBFBF"/>
                    <w:bottom w:val="single" w:sz="6" w:space="0" w:color="BFBFBF"/>
                  </w:tcBorders>
                  <w:shd w:val="clear" w:color="auto" w:fill="auto"/>
                  <w:tcMar>
                    <w:top w:w="28" w:type="dxa"/>
                  </w:tcMar>
                </w:tcPr>
                <w:p w14:paraId="36B1B531" w14:textId="77777777" w:rsidR="00360B6B" w:rsidRPr="00650F73" w:rsidRDefault="00360B6B" w:rsidP="0052424C">
                  <w:pPr>
                    <w:pStyle w:val="TableColumnHeading"/>
                    <w:jc w:val="left"/>
                  </w:pPr>
                  <w:r>
                    <w:t>Description</w:t>
                  </w:r>
                </w:p>
              </w:tc>
              <w:tc>
                <w:tcPr>
                  <w:tcW w:w="1667" w:type="pct"/>
                  <w:tcBorders>
                    <w:top w:val="single" w:sz="6" w:space="0" w:color="BFBFBF"/>
                    <w:bottom w:val="single" w:sz="6" w:space="0" w:color="BFBFBF"/>
                  </w:tcBorders>
                  <w:shd w:val="clear" w:color="auto" w:fill="auto"/>
                  <w:tcMar>
                    <w:top w:w="28" w:type="dxa"/>
                  </w:tcMar>
                </w:tcPr>
                <w:p w14:paraId="5A80E500" w14:textId="77777777" w:rsidR="00360B6B" w:rsidRPr="00650F73" w:rsidRDefault="00360B6B" w:rsidP="00FB41B6">
                  <w:pPr>
                    <w:pStyle w:val="TableColumnHeading"/>
                    <w:jc w:val="left"/>
                  </w:pPr>
                  <w:proofErr w:type="spellStart"/>
                  <w:r w:rsidRPr="00650F73">
                    <w:t>VUM</w:t>
                  </w:r>
                  <w:r>
                    <w:t>R</w:t>
                  </w:r>
                  <w:proofErr w:type="spellEnd"/>
                  <w:r w:rsidRPr="00650F73">
                    <w:t xml:space="preserve"> exogenous variable</w:t>
                  </w:r>
                </w:p>
              </w:tc>
              <w:tc>
                <w:tcPr>
                  <w:tcW w:w="1666" w:type="pct"/>
                  <w:tcBorders>
                    <w:top w:val="single" w:sz="6" w:space="0" w:color="BFBFBF"/>
                    <w:bottom w:val="single" w:sz="6" w:space="0" w:color="BFBFBF"/>
                  </w:tcBorders>
                  <w:shd w:val="clear" w:color="auto" w:fill="auto"/>
                  <w:tcMar>
                    <w:top w:w="28" w:type="dxa"/>
                  </w:tcMar>
                </w:tcPr>
                <w:p w14:paraId="1DDE26CA" w14:textId="77777777" w:rsidR="00360B6B" w:rsidRPr="00650F73" w:rsidRDefault="00360B6B" w:rsidP="00FB41B6">
                  <w:pPr>
                    <w:pStyle w:val="TableColumnHeading"/>
                    <w:ind w:right="28"/>
                    <w:jc w:val="left"/>
                  </w:pPr>
                  <w:proofErr w:type="spellStart"/>
                  <w:r w:rsidRPr="00650F73">
                    <w:t>VUMR</w:t>
                  </w:r>
                  <w:proofErr w:type="spellEnd"/>
                  <w:r w:rsidRPr="00650F73">
                    <w:t xml:space="preserve"> endogenous variable</w:t>
                  </w:r>
                </w:p>
              </w:tc>
            </w:tr>
            <w:tr w:rsidR="00360B6B" w:rsidRPr="00650F73" w14:paraId="54038530" w14:textId="77777777" w:rsidTr="0052424C">
              <w:tc>
                <w:tcPr>
                  <w:tcW w:w="1667" w:type="pct"/>
                  <w:tcBorders>
                    <w:top w:val="single" w:sz="6" w:space="0" w:color="BFBFBF"/>
                    <w:bottom w:val="single" w:sz="6" w:space="0" w:color="BFBFBF"/>
                  </w:tcBorders>
                </w:tcPr>
                <w:p w14:paraId="2D2D13E7" w14:textId="77777777" w:rsidR="00360B6B" w:rsidRDefault="00360B6B" w:rsidP="0052424C">
                  <w:pPr>
                    <w:pStyle w:val="TableUnitsRow"/>
                    <w:jc w:val="left"/>
                  </w:pPr>
                  <w:r w:rsidRPr="00650F73">
                    <w:t xml:space="preserve">The occupational composition of NOM by region can differ from the occupational composition of the incumbent </w:t>
                  </w:r>
                  <w:r>
                    <w:t>labour force</w:t>
                  </w:r>
                  <w:r w:rsidRPr="00650F73">
                    <w:t xml:space="preserve"> in each region. </w:t>
                  </w:r>
                </w:p>
                <w:p w14:paraId="3561456F" w14:textId="77777777" w:rsidR="00360B6B" w:rsidRDefault="00360B6B" w:rsidP="0052424C">
                  <w:pPr>
                    <w:pStyle w:val="TableUnitsRow"/>
                    <w:jc w:val="left"/>
                  </w:pPr>
                  <w:r w:rsidRPr="00650F73">
                    <w:t>The direct effect occupational effect of NOM (mod</w:t>
                  </w:r>
                  <w:r>
                    <w:t xml:space="preserve">el shock) is introduced by using the migrants profile by age, gender and state. </w:t>
                  </w:r>
                </w:p>
                <w:p w14:paraId="6FB175DC" w14:textId="77777777" w:rsidR="00360B6B" w:rsidRPr="00650F73" w:rsidRDefault="00360B6B" w:rsidP="0052424C">
                  <w:pPr>
                    <w:pStyle w:val="TableUnitsRow"/>
                    <w:jc w:val="left"/>
                  </w:pPr>
                  <w:r>
                    <w:t xml:space="preserve">The occupational profile of NOM is assumed unchanged during the projection period. </w:t>
                  </w:r>
                </w:p>
              </w:tc>
              <w:tc>
                <w:tcPr>
                  <w:tcW w:w="1667" w:type="pct"/>
                  <w:tcBorders>
                    <w:top w:val="single" w:sz="6" w:space="0" w:color="BFBFBF"/>
                    <w:bottom w:val="single" w:sz="6" w:space="0" w:color="BFBFBF"/>
                  </w:tcBorders>
                </w:tcPr>
                <w:p w14:paraId="06035E27" w14:textId="77777777" w:rsidR="00360B6B" w:rsidRDefault="00360B6B" w:rsidP="00FB41B6">
                  <w:pPr>
                    <w:pStyle w:val="TableUnitsRow"/>
                    <w:jc w:val="left"/>
                  </w:pPr>
                  <w:r>
                    <w:t>Distribute NOM using NOM profiles</w:t>
                  </w:r>
                </w:p>
                <w:p w14:paraId="4A3FC0EE" w14:textId="77777777" w:rsidR="00360B6B" w:rsidRDefault="00360B6B" w:rsidP="00FB41B6">
                  <w:pPr>
                    <w:pStyle w:val="TableUnitsRow"/>
                    <w:jc w:val="left"/>
                  </w:pPr>
                  <w:r>
                    <w:t>(</w:t>
                  </w:r>
                  <w:proofErr w:type="spellStart"/>
                  <w:r>
                    <w:t>f_om1</w:t>
                  </w:r>
                  <w:proofErr w:type="spellEnd"/>
                  <w:r>
                    <w:t>)</w:t>
                  </w:r>
                </w:p>
              </w:tc>
              <w:tc>
                <w:tcPr>
                  <w:tcW w:w="1666" w:type="pct"/>
                  <w:tcBorders>
                    <w:top w:val="single" w:sz="6" w:space="0" w:color="BFBFBF"/>
                    <w:bottom w:val="single" w:sz="6" w:space="0" w:color="BFBFBF"/>
                  </w:tcBorders>
                </w:tcPr>
                <w:p w14:paraId="0AD93E3C" w14:textId="77777777" w:rsidR="00360B6B" w:rsidRDefault="00360B6B" w:rsidP="00FB41B6">
                  <w:pPr>
                    <w:pStyle w:val="TableUnitsRow"/>
                    <w:ind w:right="28"/>
                    <w:jc w:val="left"/>
                  </w:pPr>
                  <w:r>
                    <w:t>Distribute NOM using incumbent profiles</w:t>
                  </w:r>
                </w:p>
                <w:p w14:paraId="4B353A1F" w14:textId="77777777" w:rsidR="00360B6B" w:rsidRDefault="00360B6B" w:rsidP="00FB41B6">
                  <w:pPr>
                    <w:pStyle w:val="TableUnitsRow"/>
                    <w:ind w:right="28"/>
                    <w:jc w:val="left"/>
                  </w:pPr>
                  <w:proofErr w:type="spellStart"/>
                  <w:r>
                    <w:t>f_om2</w:t>
                  </w:r>
                  <w:proofErr w:type="spellEnd"/>
                </w:p>
              </w:tc>
            </w:tr>
          </w:tbl>
          <w:p w14:paraId="0560D3F4" w14:textId="77777777" w:rsidR="00360B6B" w:rsidRPr="00650F73" w:rsidRDefault="00360B6B" w:rsidP="0052424C">
            <w:pPr>
              <w:pStyle w:val="Box"/>
            </w:pPr>
          </w:p>
        </w:tc>
      </w:tr>
      <w:tr w:rsidR="00FB41B6" w14:paraId="252FE927" w14:textId="77777777" w:rsidTr="00FC3E29">
        <w:trPr>
          <w:cantSplit/>
        </w:trPr>
        <w:tc>
          <w:tcPr>
            <w:tcW w:w="8771" w:type="dxa"/>
            <w:tcBorders>
              <w:top w:val="nil"/>
              <w:left w:val="nil"/>
              <w:bottom w:val="single" w:sz="6" w:space="0" w:color="78A22F"/>
              <w:right w:val="nil"/>
            </w:tcBorders>
            <w:shd w:val="clear" w:color="auto" w:fill="auto"/>
          </w:tcPr>
          <w:p w14:paraId="7BFFF391" w14:textId="77777777" w:rsidR="00FB41B6" w:rsidRDefault="00FB41B6" w:rsidP="00FC3E29">
            <w:pPr>
              <w:pStyle w:val="Box"/>
              <w:spacing w:before="0" w:line="120" w:lineRule="exact"/>
            </w:pPr>
          </w:p>
        </w:tc>
      </w:tr>
      <w:tr w:rsidR="00360B6B" w:rsidRPr="000863A5" w14:paraId="3D0E3BFF" w14:textId="77777777" w:rsidTr="0052424C">
        <w:tc>
          <w:tcPr>
            <w:tcW w:w="8771" w:type="dxa"/>
            <w:tcBorders>
              <w:top w:val="single" w:sz="6" w:space="0" w:color="78A22F"/>
              <w:left w:val="nil"/>
              <w:bottom w:val="nil"/>
              <w:right w:val="nil"/>
            </w:tcBorders>
          </w:tcPr>
          <w:p w14:paraId="7045B3C3" w14:textId="48F8D1FA" w:rsidR="00360B6B" w:rsidRPr="00626D32" w:rsidRDefault="00360B6B" w:rsidP="0052424C">
            <w:pPr>
              <w:pStyle w:val="BoxSpaceBelow"/>
            </w:pPr>
          </w:p>
        </w:tc>
      </w:tr>
    </w:tbl>
    <w:p w14:paraId="66207EB9" w14:textId="77777777" w:rsidR="00360B6B" w:rsidRDefault="00360B6B" w:rsidP="00360B6B">
      <w:pPr>
        <w:pStyle w:val="Heading3"/>
      </w:pPr>
      <w:r>
        <w:lastRenderedPageBreak/>
        <w:t xml:space="preserve">Scenario 4 — </w:t>
      </w:r>
      <w:proofErr w:type="spellStart"/>
      <w:r>
        <w:t>Spillover</w:t>
      </w:r>
      <w:proofErr w:type="spellEnd"/>
      <w:r>
        <w:t xml:space="preserve"> productivity effects</w:t>
      </w:r>
    </w:p>
    <w:p w14:paraId="07AA7E4A" w14:textId="77777777" w:rsidR="00360B6B" w:rsidRPr="00A449EB" w:rsidRDefault="00360B6B" w:rsidP="00360B6B">
      <w:pPr>
        <w:pStyle w:val="BodyText"/>
      </w:pPr>
      <w:r>
        <w:t xml:space="preserve">Scenario 4 examines the impact of positive </w:t>
      </w:r>
      <w:proofErr w:type="spellStart"/>
      <w:r>
        <w:t>spillover</w:t>
      </w:r>
      <w:proofErr w:type="spellEnd"/>
      <w:r>
        <w:t xml:space="preserve"> benefits from migration to national labour productivity.</w:t>
      </w:r>
    </w:p>
    <w:p w14:paraId="32BB92C2" w14:textId="77777777" w:rsidR="00360B6B" w:rsidRDefault="00360B6B" w:rsidP="00360B6B">
      <w:pPr>
        <w:pStyle w:val="BodyText"/>
      </w:pPr>
      <w:r>
        <w:t>International evidence suggests that i</w:t>
      </w:r>
      <w:r w:rsidRPr="00CF1819">
        <w:t xml:space="preserve">mmigration (particularly skilled immigration) has generally been found </w:t>
      </w:r>
      <w:r w:rsidRPr="00A86D22">
        <w:t xml:space="preserve">to have a small, positive effect on aggregate productivity growth through its positive </w:t>
      </w:r>
      <w:proofErr w:type="spellStart"/>
      <w:r w:rsidRPr="00A86D22">
        <w:t>spillover</w:t>
      </w:r>
      <w:proofErr w:type="spellEnd"/>
      <w:r w:rsidRPr="00A86D22">
        <w:t xml:space="preserve"> effects</w:t>
      </w:r>
      <w:r>
        <w:rPr>
          <w:rStyle w:val="FootnoteReference"/>
        </w:rPr>
        <w:footnoteReference w:id="6"/>
      </w:r>
      <w:r>
        <w:t xml:space="preserve">. A number of </w:t>
      </w:r>
      <w:proofErr w:type="spellStart"/>
      <w:r>
        <w:t>spillover</w:t>
      </w:r>
      <w:proofErr w:type="spellEnd"/>
      <w:r>
        <w:t xml:space="preserve"> channels have been identified through the migrant intake that can raise the aggregate productivity above levels that would otherwise be achieved, including through: </w:t>
      </w:r>
    </w:p>
    <w:p w14:paraId="60F9E6F4" w14:textId="77777777" w:rsidR="00360B6B" w:rsidRDefault="00360B6B" w:rsidP="00360B6B">
      <w:pPr>
        <w:pStyle w:val="ListBullet"/>
      </w:pPr>
      <w:r>
        <w:t xml:space="preserve">increased innovative activity and innovation enabled by the acquisition of additional research and development skills; </w:t>
      </w:r>
    </w:p>
    <w:p w14:paraId="6E1E0D9B" w14:textId="77777777" w:rsidR="00360B6B" w:rsidRDefault="00360B6B" w:rsidP="00360B6B">
      <w:pPr>
        <w:pStyle w:val="ListBullet"/>
      </w:pPr>
      <w:r>
        <w:t xml:space="preserve">more rapid adoption of technological and organisational changes through increased knowledge and access to international best practice (for example, knowledge </w:t>
      </w:r>
      <w:proofErr w:type="spellStart"/>
      <w:r>
        <w:t>spillovers</w:t>
      </w:r>
      <w:proofErr w:type="spellEnd"/>
      <w:r>
        <w:t xml:space="preserve"> or increased task specialisation); and </w:t>
      </w:r>
    </w:p>
    <w:p w14:paraId="11FCF3E4" w14:textId="77777777" w:rsidR="00360B6B" w:rsidRDefault="00360B6B" w:rsidP="00360B6B">
      <w:pPr>
        <w:pStyle w:val="ListBullet"/>
      </w:pPr>
      <w:r>
        <w:t xml:space="preserve">exposure to increased opportunities and competitive pressures through the take up of new foreign trade and investment opportunities and entrepreneurship. </w:t>
      </w:r>
    </w:p>
    <w:p w14:paraId="3025199E" w14:textId="77777777" w:rsidR="00360B6B" w:rsidRDefault="00360B6B" w:rsidP="00360B6B">
      <w:pPr>
        <w:pStyle w:val="BodyText"/>
      </w:pPr>
      <w:r>
        <w:t xml:space="preserve">There is, however, limited empirical evidence in the Australian context of what the impact of such </w:t>
      </w:r>
      <w:proofErr w:type="spellStart"/>
      <w:r>
        <w:t>spillover</w:t>
      </w:r>
      <w:proofErr w:type="spellEnd"/>
      <w:r>
        <w:t xml:space="preserve"> channels may be. To give an indication of the economywide impact of potential productivity </w:t>
      </w:r>
      <w:proofErr w:type="spellStart"/>
      <w:r>
        <w:t>spillover</w:t>
      </w:r>
      <w:proofErr w:type="spellEnd"/>
      <w:r>
        <w:t xml:space="preserve"> effects, </w:t>
      </w:r>
      <w:r w:rsidRPr="003F6150">
        <w:t xml:space="preserve">a small </w:t>
      </w:r>
      <w:r>
        <w:t xml:space="preserve">across the board labour productivity growth of </w:t>
      </w:r>
      <w:r w:rsidRPr="003F6150">
        <w:t>1 per cent</w:t>
      </w:r>
      <w:r>
        <w:t xml:space="preserve"> has been modelled. </w:t>
      </w:r>
    </w:p>
    <w:p w14:paraId="1A54872F" w14:textId="77777777" w:rsidR="00360B6B" w:rsidRDefault="00360B6B" w:rsidP="00360B6B">
      <w:pPr>
        <w:pStyle w:val="BodyText"/>
      </w:pPr>
      <w:r>
        <w:t xml:space="preserve">The variables shocked and the associated endogenous variable used in the dynamic modelling of the </w:t>
      </w:r>
      <w:proofErr w:type="spellStart"/>
      <w:r>
        <w:t>spillover</w:t>
      </w:r>
      <w:proofErr w:type="spellEnd"/>
      <w:r>
        <w:t xml:space="preserve"> effects of NOM, are shown in table </w:t>
      </w:r>
      <w:proofErr w:type="spellStart"/>
      <w:r>
        <w:t>A.5</w:t>
      </w:r>
      <w:proofErr w:type="spellEnd"/>
      <w:r>
        <w:t>.</w:t>
      </w:r>
    </w:p>
    <w:p w14:paraId="37D2E62C" w14:textId="0C9C430F" w:rsidR="00360B6B" w:rsidRDefault="00360B6B" w:rsidP="00360B6B">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60B6B" w:rsidRPr="00650F73" w14:paraId="41D800D0" w14:textId="77777777" w:rsidTr="0052424C">
        <w:tc>
          <w:tcPr>
            <w:tcW w:w="8771" w:type="dxa"/>
            <w:tcBorders>
              <w:top w:val="single" w:sz="6" w:space="0" w:color="78A22F"/>
              <w:left w:val="nil"/>
              <w:bottom w:val="nil"/>
              <w:right w:val="nil"/>
            </w:tcBorders>
            <w:shd w:val="clear" w:color="auto" w:fill="auto"/>
          </w:tcPr>
          <w:p w14:paraId="30D5067E" w14:textId="77777777" w:rsidR="00360B6B" w:rsidRPr="00650F73" w:rsidRDefault="00360B6B" w:rsidP="0052424C">
            <w:pPr>
              <w:pStyle w:val="TableTitle"/>
            </w:pPr>
            <w:r w:rsidRPr="00650F73">
              <w:rPr>
                <w:b w:val="0"/>
              </w:rPr>
              <w:t xml:space="preserve">Table </w:t>
            </w:r>
            <w:r w:rsidRPr="00650F73">
              <w:rPr>
                <w:b w:val="0"/>
              </w:rPr>
              <w:fldChar w:fldCharType="begin"/>
            </w:r>
            <w:r w:rsidRPr="00650F73">
              <w:rPr>
                <w:b w:val="0"/>
              </w:rPr>
              <w:instrText xml:space="preserve"> COMMENTS  \* MERGEFORMAT </w:instrText>
            </w:r>
            <w:r w:rsidRPr="00650F73">
              <w:rPr>
                <w:b w:val="0"/>
              </w:rPr>
              <w:fldChar w:fldCharType="separate"/>
            </w:r>
            <w:proofErr w:type="spellStart"/>
            <w:r>
              <w:rPr>
                <w:b w:val="0"/>
              </w:rPr>
              <w:t>A.</w:t>
            </w:r>
            <w:r w:rsidRPr="00650F73">
              <w:rPr>
                <w:b w:val="0"/>
              </w:rPr>
              <w:fldChar w:fldCharType="end"/>
            </w:r>
            <w:r w:rsidRPr="00650F73">
              <w:rPr>
                <w:b w:val="0"/>
              </w:rPr>
              <w:fldChar w:fldCharType="begin"/>
            </w:r>
            <w:r w:rsidRPr="00650F73">
              <w:rPr>
                <w:b w:val="0"/>
              </w:rPr>
              <w:instrText xml:space="preserve"> SEQ Table \* ARABIC </w:instrText>
            </w:r>
            <w:r w:rsidRPr="00650F73">
              <w:rPr>
                <w:b w:val="0"/>
              </w:rPr>
              <w:fldChar w:fldCharType="separate"/>
            </w:r>
            <w:r w:rsidR="008846C7">
              <w:rPr>
                <w:b w:val="0"/>
                <w:noProof/>
              </w:rPr>
              <w:t>5</w:t>
            </w:r>
            <w:proofErr w:type="spellEnd"/>
            <w:r w:rsidRPr="00650F73">
              <w:rPr>
                <w:b w:val="0"/>
              </w:rPr>
              <w:fldChar w:fldCharType="end"/>
            </w:r>
            <w:r w:rsidRPr="00650F73">
              <w:tab/>
              <w:t xml:space="preserve">Modelling of the potential productivity </w:t>
            </w:r>
            <w:proofErr w:type="spellStart"/>
            <w:r w:rsidRPr="00650F73">
              <w:t>spillover</w:t>
            </w:r>
            <w:proofErr w:type="spellEnd"/>
            <w:r w:rsidRPr="00650F73">
              <w:t xml:space="preserve"> effect</w:t>
            </w:r>
            <w:r>
              <w:t>s</w:t>
            </w:r>
            <w:r w:rsidRPr="00650F73">
              <w:t xml:space="preserve"> of NOM</w:t>
            </w:r>
            <w:r>
              <w:t xml:space="preserve"> (scenario 4)</w:t>
            </w:r>
          </w:p>
          <w:p w14:paraId="7766E7D0" w14:textId="77777777" w:rsidR="00360B6B" w:rsidRPr="00650F73" w:rsidRDefault="00360B6B" w:rsidP="0052424C">
            <w:pPr>
              <w:pStyle w:val="Subtitle"/>
            </w:pPr>
          </w:p>
        </w:tc>
      </w:tr>
      <w:tr w:rsidR="00360B6B" w:rsidRPr="00650F73" w14:paraId="64868301" w14:textId="77777777" w:rsidTr="0052424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29"/>
              <w:gridCol w:w="2830"/>
              <w:gridCol w:w="2828"/>
            </w:tblGrid>
            <w:tr w:rsidR="00360B6B" w:rsidRPr="00650F73" w14:paraId="57514199" w14:textId="77777777" w:rsidTr="0052424C">
              <w:tc>
                <w:tcPr>
                  <w:tcW w:w="1667" w:type="pct"/>
                  <w:tcBorders>
                    <w:top w:val="single" w:sz="6" w:space="0" w:color="BFBFBF"/>
                    <w:bottom w:val="single" w:sz="6" w:space="0" w:color="BFBFBF"/>
                  </w:tcBorders>
                  <w:shd w:val="clear" w:color="auto" w:fill="auto"/>
                  <w:tcMar>
                    <w:top w:w="28" w:type="dxa"/>
                  </w:tcMar>
                </w:tcPr>
                <w:p w14:paraId="16A3F4C5" w14:textId="77777777" w:rsidR="00360B6B" w:rsidRPr="00650F73" w:rsidRDefault="00360B6B" w:rsidP="0052424C">
                  <w:pPr>
                    <w:pStyle w:val="TableColumnHeading"/>
                    <w:jc w:val="left"/>
                  </w:pPr>
                  <w:r>
                    <w:t>Description</w:t>
                  </w:r>
                </w:p>
              </w:tc>
              <w:tc>
                <w:tcPr>
                  <w:tcW w:w="1667" w:type="pct"/>
                  <w:tcBorders>
                    <w:top w:val="single" w:sz="6" w:space="0" w:color="BFBFBF"/>
                    <w:bottom w:val="single" w:sz="6" w:space="0" w:color="BFBFBF"/>
                  </w:tcBorders>
                  <w:shd w:val="clear" w:color="auto" w:fill="auto"/>
                  <w:tcMar>
                    <w:top w:w="28" w:type="dxa"/>
                  </w:tcMar>
                </w:tcPr>
                <w:p w14:paraId="2AF1EECD" w14:textId="77777777" w:rsidR="00360B6B" w:rsidRPr="00650F73" w:rsidRDefault="00360B6B" w:rsidP="0052424C">
                  <w:pPr>
                    <w:pStyle w:val="TableColumnHeading"/>
                  </w:pPr>
                  <w:proofErr w:type="spellStart"/>
                  <w:r w:rsidRPr="00650F73">
                    <w:t>VUM</w:t>
                  </w:r>
                  <w:r>
                    <w:t>R</w:t>
                  </w:r>
                  <w:proofErr w:type="spellEnd"/>
                  <w:r w:rsidRPr="00650F73">
                    <w:t xml:space="preserve"> exogenous variable</w:t>
                  </w:r>
                </w:p>
              </w:tc>
              <w:tc>
                <w:tcPr>
                  <w:tcW w:w="1666" w:type="pct"/>
                  <w:tcBorders>
                    <w:top w:val="single" w:sz="6" w:space="0" w:color="BFBFBF"/>
                    <w:bottom w:val="single" w:sz="6" w:space="0" w:color="BFBFBF"/>
                  </w:tcBorders>
                  <w:shd w:val="clear" w:color="auto" w:fill="auto"/>
                  <w:tcMar>
                    <w:top w:w="28" w:type="dxa"/>
                  </w:tcMar>
                </w:tcPr>
                <w:p w14:paraId="1E630205" w14:textId="77777777" w:rsidR="00360B6B" w:rsidRPr="00650F73" w:rsidRDefault="00360B6B" w:rsidP="0052424C">
                  <w:pPr>
                    <w:pStyle w:val="TableColumnHeading"/>
                    <w:ind w:right="28"/>
                  </w:pPr>
                  <w:proofErr w:type="spellStart"/>
                  <w:r w:rsidRPr="00650F73">
                    <w:t>VUMR</w:t>
                  </w:r>
                  <w:proofErr w:type="spellEnd"/>
                  <w:r w:rsidRPr="00650F73">
                    <w:t xml:space="preserve"> endogenous variable</w:t>
                  </w:r>
                </w:p>
              </w:tc>
            </w:tr>
            <w:tr w:rsidR="00360B6B" w:rsidRPr="00650F73" w14:paraId="1A18BF57" w14:textId="77777777" w:rsidTr="0052424C">
              <w:trPr>
                <w:trHeight w:val="2268"/>
              </w:trPr>
              <w:tc>
                <w:tcPr>
                  <w:tcW w:w="1667" w:type="pct"/>
                  <w:tcBorders>
                    <w:top w:val="single" w:sz="6" w:space="0" w:color="BFBFBF"/>
                    <w:bottom w:val="single" w:sz="6" w:space="0" w:color="BFBFBF"/>
                  </w:tcBorders>
                </w:tcPr>
                <w:p w14:paraId="634E64DE" w14:textId="77777777" w:rsidR="00360B6B" w:rsidRPr="00650F73" w:rsidRDefault="00360B6B" w:rsidP="0052424C">
                  <w:pPr>
                    <w:pStyle w:val="TableUnitsRow"/>
                    <w:jc w:val="left"/>
                  </w:pPr>
                  <w:r w:rsidRPr="00650F73">
                    <w:t xml:space="preserve">NOM can lead to improvements in labour productivity though a number of channels not included in the theory of the model. </w:t>
                  </w:r>
                </w:p>
                <w:p w14:paraId="51809421" w14:textId="77777777" w:rsidR="00360B6B" w:rsidRPr="00650F73" w:rsidRDefault="00360B6B" w:rsidP="0052424C">
                  <w:pPr>
                    <w:pStyle w:val="TableUnitsRow"/>
                    <w:jc w:val="left"/>
                  </w:pPr>
                  <w:r w:rsidRPr="00650F73">
                    <w:t xml:space="preserve">The direct effect labour productivity effect (model shock) of </w:t>
                  </w:r>
                  <w:proofErr w:type="spellStart"/>
                  <w:r w:rsidRPr="00650F73">
                    <w:t>spillovers</w:t>
                  </w:r>
                  <w:proofErr w:type="spellEnd"/>
                  <w:r w:rsidRPr="00650F73">
                    <w:t xml:space="preserve"> is introduced through an exogenous increase of 1 per cent in the rate of growth of labour productivity from rates that would otherwise prevail. </w:t>
                  </w:r>
                </w:p>
              </w:tc>
              <w:tc>
                <w:tcPr>
                  <w:tcW w:w="1667" w:type="pct"/>
                  <w:tcBorders>
                    <w:top w:val="single" w:sz="6" w:space="0" w:color="BFBFBF"/>
                    <w:bottom w:val="single" w:sz="6" w:space="0" w:color="BFBFBF"/>
                  </w:tcBorders>
                </w:tcPr>
                <w:p w14:paraId="4CBF9D04" w14:textId="77777777" w:rsidR="00360B6B" w:rsidRPr="00E803B1" w:rsidRDefault="00360B6B" w:rsidP="0052424C">
                  <w:pPr>
                    <w:pStyle w:val="TableUnitsRow"/>
                    <w:framePr w:w="2155" w:hSpace="227" w:vSpace="181" w:wrap="around" w:vAnchor="text" w:hAnchor="page" w:xAlign="outside" w:y="1"/>
                  </w:pPr>
                  <w:r w:rsidRPr="00036314">
                    <w:t xml:space="preserve">Labour productivity (using </w:t>
                  </w:r>
                  <w:proofErr w:type="spellStart"/>
                  <w:r w:rsidRPr="00036314">
                    <w:t>GVA</w:t>
                  </w:r>
                  <w:proofErr w:type="spellEnd"/>
                  <w:r w:rsidRPr="00036314">
                    <w:t xml:space="preserve"> as output)</w:t>
                  </w:r>
                  <w:r w:rsidRPr="00E803B1">
                    <w:t xml:space="preserve"> </w:t>
                  </w:r>
                </w:p>
                <w:p w14:paraId="6DF772EC" w14:textId="77777777" w:rsidR="00360B6B" w:rsidRPr="00013C9B" w:rsidRDefault="00360B6B" w:rsidP="0052424C">
                  <w:pPr>
                    <w:pStyle w:val="TableUnitsRow"/>
                  </w:pPr>
                  <w:r w:rsidRPr="00013C9B">
                    <w:t>(</w:t>
                  </w:r>
                  <w:proofErr w:type="spellStart"/>
                  <w:r w:rsidRPr="00013C9B">
                    <w:t>x1labprod</w:t>
                  </w:r>
                  <w:proofErr w:type="spellEnd"/>
                  <w:r w:rsidRPr="00013C9B">
                    <w:t>)</w:t>
                  </w:r>
                </w:p>
                <w:p w14:paraId="4900CB15" w14:textId="77777777" w:rsidR="00360B6B" w:rsidRPr="00650F73" w:rsidRDefault="00360B6B" w:rsidP="0052424C">
                  <w:pPr>
                    <w:pStyle w:val="TableUnitsRow"/>
                  </w:pPr>
                  <w:r w:rsidRPr="00013C9B">
                    <w:t>Across industries</w:t>
                  </w:r>
                </w:p>
              </w:tc>
              <w:tc>
                <w:tcPr>
                  <w:tcW w:w="1666" w:type="pct"/>
                  <w:tcBorders>
                    <w:top w:val="single" w:sz="6" w:space="0" w:color="BFBFBF"/>
                    <w:bottom w:val="single" w:sz="6" w:space="0" w:color="BFBFBF"/>
                  </w:tcBorders>
                </w:tcPr>
                <w:p w14:paraId="3E7BCE81" w14:textId="77777777" w:rsidR="00360B6B" w:rsidRPr="00013C9B" w:rsidRDefault="00360B6B" w:rsidP="0052424C">
                  <w:pPr>
                    <w:pStyle w:val="TableUnitsRow"/>
                    <w:ind w:right="28"/>
                    <w:jc w:val="left"/>
                  </w:pPr>
                  <w:r w:rsidRPr="00036314">
                    <w:t>All primary factor technical chang</w:t>
                  </w:r>
                  <w:r w:rsidRPr="00013C9B">
                    <w:t xml:space="preserve">e </w:t>
                  </w:r>
                </w:p>
                <w:p w14:paraId="2EADF797" w14:textId="77777777" w:rsidR="00360B6B" w:rsidRPr="00013C9B" w:rsidRDefault="00360B6B" w:rsidP="0052424C">
                  <w:pPr>
                    <w:pStyle w:val="TableUnitsRow"/>
                    <w:ind w:right="28"/>
                  </w:pPr>
                  <w:r w:rsidRPr="00013C9B">
                    <w:t>(</w:t>
                  </w:r>
                  <w:proofErr w:type="spellStart"/>
                  <w:r w:rsidRPr="00013C9B">
                    <w:t>a1prim</w:t>
                  </w:r>
                  <w:proofErr w:type="spellEnd"/>
                  <w:r w:rsidRPr="00013C9B">
                    <w:t>)</w:t>
                  </w:r>
                </w:p>
                <w:p w14:paraId="630035B1" w14:textId="77777777" w:rsidR="00360B6B" w:rsidRPr="00650F73" w:rsidRDefault="00360B6B" w:rsidP="0052424C">
                  <w:pPr>
                    <w:pStyle w:val="TableUnitsRow"/>
                    <w:ind w:right="28"/>
                  </w:pPr>
                  <w:r w:rsidRPr="00013C9B">
                    <w:t>Across industries</w:t>
                  </w:r>
                  <w:r w:rsidDel="00380463">
                    <w:t xml:space="preserve"> </w:t>
                  </w:r>
                </w:p>
              </w:tc>
            </w:tr>
            <w:tr w:rsidR="00360B6B" w:rsidRPr="00650F73" w14:paraId="5CF862CB" w14:textId="77777777" w:rsidTr="0052424C">
              <w:trPr>
                <w:trHeight w:val="113"/>
              </w:trPr>
              <w:tc>
                <w:tcPr>
                  <w:tcW w:w="1667" w:type="pct"/>
                  <w:tcBorders>
                    <w:top w:val="single" w:sz="6" w:space="0" w:color="BFBFBF"/>
                  </w:tcBorders>
                </w:tcPr>
                <w:p w14:paraId="42711FA2" w14:textId="77777777" w:rsidR="00360B6B" w:rsidRDefault="00360B6B" w:rsidP="0052424C">
                  <w:pPr>
                    <w:pStyle w:val="Box"/>
                    <w:spacing w:before="0" w:line="120" w:lineRule="exact"/>
                  </w:pPr>
                </w:p>
              </w:tc>
              <w:tc>
                <w:tcPr>
                  <w:tcW w:w="1667" w:type="pct"/>
                  <w:tcBorders>
                    <w:top w:val="single" w:sz="6" w:space="0" w:color="BFBFBF"/>
                  </w:tcBorders>
                </w:tcPr>
                <w:p w14:paraId="08D75815" w14:textId="77777777" w:rsidR="00360B6B" w:rsidRDefault="00360B6B" w:rsidP="0052424C">
                  <w:pPr>
                    <w:pStyle w:val="Box"/>
                    <w:spacing w:before="0" w:line="120" w:lineRule="exact"/>
                  </w:pPr>
                </w:p>
              </w:tc>
              <w:tc>
                <w:tcPr>
                  <w:tcW w:w="1666" w:type="pct"/>
                  <w:tcBorders>
                    <w:top w:val="single" w:sz="6" w:space="0" w:color="BFBFBF"/>
                  </w:tcBorders>
                </w:tcPr>
                <w:p w14:paraId="485AC305" w14:textId="77777777" w:rsidR="00360B6B" w:rsidRDefault="00360B6B" w:rsidP="0052424C">
                  <w:pPr>
                    <w:pStyle w:val="Box"/>
                    <w:spacing w:before="0" w:line="120" w:lineRule="exact"/>
                  </w:pPr>
                </w:p>
              </w:tc>
            </w:tr>
          </w:tbl>
          <w:p w14:paraId="3FF2E6A1" w14:textId="77777777" w:rsidR="00360B6B" w:rsidRPr="00650F73" w:rsidRDefault="00360B6B" w:rsidP="0052424C">
            <w:pPr>
              <w:pStyle w:val="Box"/>
            </w:pPr>
          </w:p>
        </w:tc>
      </w:tr>
      <w:tr w:rsidR="00360B6B" w:rsidRPr="000863A5" w14:paraId="5B403C97" w14:textId="77777777" w:rsidTr="0052424C">
        <w:tc>
          <w:tcPr>
            <w:tcW w:w="8771" w:type="dxa"/>
            <w:tcBorders>
              <w:top w:val="single" w:sz="6" w:space="0" w:color="78A22F"/>
              <w:left w:val="nil"/>
              <w:bottom w:val="nil"/>
              <w:right w:val="nil"/>
            </w:tcBorders>
          </w:tcPr>
          <w:p w14:paraId="175CB95F" w14:textId="61C544C1" w:rsidR="00360B6B" w:rsidRPr="00626D32" w:rsidRDefault="00360B6B" w:rsidP="0052424C">
            <w:pPr>
              <w:pStyle w:val="BoxSpaceBelow"/>
            </w:pPr>
          </w:p>
        </w:tc>
      </w:tr>
    </w:tbl>
    <w:p w14:paraId="22C14C6A" w14:textId="77777777" w:rsidR="00360B6B" w:rsidRDefault="00360B6B" w:rsidP="00360B6B">
      <w:pPr>
        <w:pStyle w:val="Heading2"/>
      </w:pPr>
      <w:proofErr w:type="spellStart"/>
      <w:r>
        <w:lastRenderedPageBreak/>
        <w:t>A.</w:t>
      </w:r>
      <w:r w:rsidR="00D971D1">
        <w:fldChar w:fldCharType="begin"/>
      </w:r>
      <w:r w:rsidR="00D971D1">
        <w:instrText xml:space="preserve"> SEQ Heading2 </w:instrText>
      </w:r>
      <w:r w:rsidR="00D971D1">
        <w:fldChar w:fldCharType="separate"/>
      </w:r>
      <w:r w:rsidR="008846C7">
        <w:rPr>
          <w:noProof/>
        </w:rPr>
        <w:t>3</w:t>
      </w:r>
      <w:proofErr w:type="spellEnd"/>
      <w:r w:rsidR="00D971D1">
        <w:rPr>
          <w:noProof/>
        </w:rPr>
        <w:fldChar w:fldCharType="end"/>
      </w:r>
      <w:r>
        <w:tab/>
        <w:t xml:space="preserve">Preliminary </w:t>
      </w:r>
      <w:proofErr w:type="spellStart"/>
      <w:r>
        <w:t>economywide</w:t>
      </w:r>
      <w:proofErr w:type="spellEnd"/>
      <w:r>
        <w:t xml:space="preserve"> projections</w:t>
      </w:r>
    </w:p>
    <w:p w14:paraId="6C9D4D7B" w14:textId="77777777" w:rsidR="00360B6B" w:rsidRDefault="00360B6B" w:rsidP="00360B6B">
      <w:pPr>
        <w:pStyle w:val="Heading3"/>
      </w:pPr>
      <w:r>
        <w:t>Macroeconomic effects</w:t>
      </w:r>
    </w:p>
    <w:p w14:paraId="69B252C1" w14:textId="77777777" w:rsidR="00360B6B" w:rsidRDefault="00360B6B" w:rsidP="00360B6B">
      <w:pPr>
        <w:pStyle w:val="BodyText"/>
      </w:pPr>
      <w:r>
        <w:t>Table </w:t>
      </w:r>
      <w:proofErr w:type="spellStart"/>
      <w:r>
        <w:t>A.6</w:t>
      </w:r>
      <w:proofErr w:type="spellEnd"/>
      <w:r>
        <w:t xml:space="preserve"> presents a summary of the preliminary projections of key macroeconomic variables for the period from 2013-14 to 2059-60 under the four scenarios considered in the draft report for this inquiry. Table </w:t>
      </w:r>
      <w:proofErr w:type="spellStart"/>
      <w:r>
        <w:t>A.7</w:t>
      </w:r>
      <w:proofErr w:type="spellEnd"/>
      <w:r>
        <w:t xml:space="preserve"> presents percentage deviations of scenarios 2 to 4 modelled from the hypothetical without NOM case (scenario 1). </w:t>
      </w:r>
    </w:p>
    <w:p w14:paraId="5ACCF1CE" w14:textId="77777777" w:rsidR="002143F0" w:rsidRDefault="002143F0" w:rsidP="002143F0">
      <w:pPr>
        <w:pStyle w:val="BodyText"/>
      </w:pPr>
      <w:r>
        <w:t>As noted in the introduction to this supplement, the projections reported are conditional on the assumptions underpinning the modelling and are intended to illustrate the economic implications of alternative scenarios relating to the migrant intake into Australia. They are not forecasts of the future.</w:t>
      </w:r>
    </w:p>
    <w:p w14:paraId="0365418F" w14:textId="77777777" w:rsidR="002143F0" w:rsidRDefault="002143F0" w:rsidP="002143F0">
      <w:pPr>
        <w:pStyle w:val="Heading4"/>
      </w:pPr>
      <w:r>
        <w:t>The broader economic picture under the reference case</w:t>
      </w:r>
    </w:p>
    <w:p w14:paraId="5E90B6A2" w14:textId="77777777" w:rsidR="002143F0" w:rsidRDefault="002143F0" w:rsidP="002143F0">
      <w:pPr>
        <w:pStyle w:val="BodyText"/>
      </w:pPr>
      <w:r>
        <w:t>Under scenario 1 (the case of zero NOM), the size of the economy, measured by real GDP, is projected to increase by 63 per cent from 2013</w:t>
      </w:r>
      <w:r>
        <w:noBreakHyphen/>
        <w:t>14 levels (that is, from an index of 100 in 2013-14 to 163 in 2059-60, table </w:t>
      </w:r>
      <w:proofErr w:type="spellStart"/>
      <w:r>
        <w:t>A.6</w:t>
      </w:r>
      <w:proofErr w:type="spellEnd"/>
      <w:r>
        <w:t xml:space="preserve">). With a larger economy, real consumption of both the household and government sectors is also expected to increase by 64 and 86 per cent, respectively. Household consumption is projected to increase with the growth in real household disposable incomes. The average propensity to consume (and save) is assumed to remain constant. Government real consumption is projected to increase ahead of household consumption on account of additional public expenditure on health and aged care services associated with an ageing population. </w:t>
      </w:r>
    </w:p>
    <w:p w14:paraId="4E8C87E4" w14:textId="77777777" w:rsidR="008846C7" w:rsidRDefault="008846C7" w:rsidP="008846C7">
      <w:pPr>
        <w:pStyle w:val="BodyText"/>
      </w:pPr>
      <w:r w:rsidRPr="004148F5">
        <w:rPr>
          <w:spacing w:val="-2"/>
        </w:rPr>
        <w:t>Under this scenario, the capital-labour ratio is projected to increase above current levels by 2059-60 as, with the ageing of the population, employment is projected to decline relative to capital stocks. The growth in output above changes in labour and capital inputs is assumed to be supported by higher productivity of labour and capital (that is multifactor productivity).</w:t>
      </w:r>
    </w:p>
    <w:p w14:paraId="00462686" w14:textId="77777777" w:rsidR="008846C7" w:rsidRDefault="008846C7" w:rsidP="008846C7">
      <w:pPr>
        <w:pStyle w:val="BodyText"/>
      </w:pPr>
      <w:r>
        <w:t xml:space="preserve">In per capita terms, GDP is projected to be around 42 per cent above current levels. </w:t>
      </w:r>
    </w:p>
    <w:p w14:paraId="19992BCA" w14:textId="77777777" w:rsidR="008846C7" w:rsidRDefault="008846C7" w:rsidP="008846C7">
      <w:pPr>
        <w:pStyle w:val="BodyText"/>
      </w:pPr>
      <w:r>
        <w:t>Exports and imports are projected to increase in substantially different proportions — rising from current levels to 2059</w:t>
      </w:r>
      <w:r>
        <w:noBreakHyphen/>
        <w:t>60 by 124 and 47 per cent, respectively. The difference reflects projected changes following the unwinding of the terms of trade and associated mining investment boom. For the modelling, it has been assumed that the terms of trade returns to historical average levels by 2017</w:t>
      </w:r>
      <w:r>
        <w:noBreakHyphen/>
        <w:t xml:space="preserve">18 and that the mining industry progressively deploys previous investment to increase output, mainly directed to exporting. With the declining terms of trade, the cost of imports are projected to rise relative to the prices of local goods and services slowing the projected growth of imports relative to overall activity levels. After a period of adjustment, and without further terms of trade changes, import and export volumes are projected to increase broadly in line with national activity </w:t>
      </w:r>
      <w:r>
        <w:lastRenderedPageBreak/>
        <w:t xml:space="preserve">levels. Although the assumed changes in the terms of trade and associated adjustments are not directly affected by Australia’s migrant intake, they do represent part of the broader economic environment in which future migration is assumed to occur. </w:t>
      </w:r>
    </w:p>
    <w:p w14:paraId="791DA5AE" w14:textId="51280680" w:rsidR="00360B6B" w:rsidRDefault="00360B6B" w:rsidP="00360B6B">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60B6B" w14:paraId="1EC6862C" w14:textId="77777777" w:rsidTr="0052424C">
        <w:tc>
          <w:tcPr>
            <w:tcW w:w="8771" w:type="dxa"/>
            <w:tcBorders>
              <w:top w:val="single" w:sz="6" w:space="0" w:color="78A22F"/>
              <w:left w:val="nil"/>
              <w:bottom w:val="nil"/>
              <w:right w:val="nil"/>
            </w:tcBorders>
            <w:shd w:val="clear" w:color="auto" w:fill="auto"/>
          </w:tcPr>
          <w:p w14:paraId="0169EFD0" w14:textId="77777777" w:rsidR="00360B6B" w:rsidRDefault="00360B6B" w:rsidP="0052424C">
            <w:pPr>
              <w:pStyle w:val="TableTitle"/>
            </w:pPr>
            <w:r>
              <w:rPr>
                <w:b w:val="0"/>
              </w:rPr>
              <w:t xml:space="preserve">Table </w:t>
            </w:r>
            <w:r>
              <w:rPr>
                <w:b w:val="0"/>
              </w:rPr>
              <w:fldChar w:fldCharType="begin"/>
            </w:r>
            <w:r>
              <w:rPr>
                <w:b w:val="0"/>
              </w:rPr>
              <w:instrText xml:space="preserve"> COMMENTS  \* MERGEFORMAT </w:instrText>
            </w:r>
            <w:r>
              <w:rPr>
                <w:b w:val="0"/>
              </w:rPr>
              <w:fldChar w:fldCharType="separate"/>
            </w:r>
            <w:proofErr w:type="spellStart"/>
            <w:r>
              <w:rPr>
                <w:b w:val="0"/>
              </w:rPr>
              <w:t>A.</w:t>
            </w:r>
            <w:r>
              <w:rPr>
                <w:b w:val="0"/>
              </w:rPr>
              <w:fldChar w:fldCharType="end"/>
            </w:r>
            <w:r>
              <w:rPr>
                <w:b w:val="0"/>
              </w:rPr>
              <w:fldChar w:fldCharType="begin"/>
            </w:r>
            <w:r>
              <w:rPr>
                <w:b w:val="0"/>
              </w:rPr>
              <w:instrText xml:space="preserve"> SEQ Table \* ARABIC </w:instrText>
            </w:r>
            <w:r>
              <w:rPr>
                <w:b w:val="0"/>
              </w:rPr>
              <w:fldChar w:fldCharType="separate"/>
            </w:r>
            <w:r w:rsidR="008846C7">
              <w:rPr>
                <w:b w:val="0"/>
                <w:noProof/>
              </w:rPr>
              <w:t>6</w:t>
            </w:r>
            <w:proofErr w:type="spellEnd"/>
            <w:r>
              <w:rPr>
                <w:b w:val="0"/>
              </w:rPr>
              <w:fldChar w:fldCharType="end"/>
            </w:r>
            <w:r>
              <w:tab/>
              <w:t>Preliminary projections of national effects of NOM in 2059-60</w:t>
            </w:r>
          </w:p>
          <w:p w14:paraId="5821ABBE" w14:textId="77777777" w:rsidR="00360B6B" w:rsidRPr="00784A05" w:rsidRDefault="00360B6B" w:rsidP="0052424C">
            <w:pPr>
              <w:pStyle w:val="Subtitle"/>
            </w:pPr>
            <w:r>
              <w:t>Index 2013-14 = 100</w:t>
            </w:r>
          </w:p>
        </w:tc>
      </w:tr>
      <w:tr w:rsidR="00360B6B" w14:paraId="360AA9D6" w14:textId="77777777" w:rsidTr="0052424C">
        <w:trPr>
          <w:cantSplit/>
        </w:trPr>
        <w:tc>
          <w:tcPr>
            <w:tcW w:w="8771"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671"/>
              <w:gridCol w:w="1418"/>
              <w:gridCol w:w="1276"/>
              <w:gridCol w:w="1700"/>
              <w:gridCol w:w="1422"/>
            </w:tblGrid>
            <w:tr w:rsidR="00360B6B" w14:paraId="5E1012C1" w14:textId="77777777" w:rsidTr="004148F5">
              <w:tc>
                <w:tcPr>
                  <w:tcW w:w="2671" w:type="dxa"/>
                  <w:tcBorders>
                    <w:top w:val="single" w:sz="6" w:space="0" w:color="BFBFBF"/>
                    <w:bottom w:val="single" w:sz="6" w:space="0" w:color="BFBFBF"/>
                  </w:tcBorders>
                  <w:shd w:val="clear" w:color="auto" w:fill="auto"/>
                  <w:tcMar>
                    <w:top w:w="28" w:type="dxa"/>
                  </w:tcMar>
                </w:tcPr>
                <w:p w14:paraId="41160560" w14:textId="004F0B7D" w:rsidR="00360B6B" w:rsidRDefault="00360B6B" w:rsidP="004148F5">
                  <w:pPr>
                    <w:pStyle w:val="TableColumnHeading"/>
                    <w:tabs>
                      <w:tab w:val="center" w:pos="1282"/>
                    </w:tabs>
                    <w:jc w:val="left"/>
                  </w:pPr>
                  <w:r>
                    <w:t>Variable</w:t>
                  </w:r>
                  <w:r w:rsidR="004148F5">
                    <w:tab/>
                  </w:r>
                </w:p>
              </w:tc>
              <w:tc>
                <w:tcPr>
                  <w:tcW w:w="1418" w:type="dxa"/>
                  <w:tcBorders>
                    <w:top w:val="single" w:sz="6" w:space="0" w:color="BFBFBF"/>
                    <w:bottom w:val="single" w:sz="6" w:space="0" w:color="BFBFBF"/>
                  </w:tcBorders>
                  <w:shd w:val="clear" w:color="auto" w:fill="auto"/>
                  <w:tcMar>
                    <w:top w:w="28" w:type="dxa"/>
                  </w:tcMar>
                </w:tcPr>
                <w:p w14:paraId="04D900FB" w14:textId="77777777" w:rsidR="00360B6B" w:rsidRDefault="00360B6B" w:rsidP="004148F5">
                  <w:pPr>
                    <w:pStyle w:val="TableColumnHeading"/>
                  </w:pPr>
                  <w:r>
                    <w:t>Without NOM</w:t>
                  </w:r>
                </w:p>
                <w:p w14:paraId="14074D24" w14:textId="77777777" w:rsidR="00360B6B" w:rsidRDefault="00360B6B" w:rsidP="004148F5">
                  <w:pPr>
                    <w:pStyle w:val="TableColumnHeading"/>
                  </w:pPr>
                  <w:r>
                    <w:t>(Scenario 1)</w:t>
                  </w:r>
                </w:p>
              </w:tc>
              <w:tc>
                <w:tcPr>
                  <w:tcW w:w="1276" w:type="dxa"/>
                  <w:tcBorders>
                    <w:top w:val="single" w:sz="6" w:space="0" w:color="BFBFBF"/>
                    <w:bottom w:val="single" w:sz="6" w:space="0" w:color="BFBFBF"/>
                  </w:tcBorders>
                  <w:shd w:val="clear" w:color="auto" w:fill="auto"/>
                </w:tcPr>
                <w:p w14:paraId="77271B24" w14:textId="77777777" w:rsidR="00360B6B" w:rsidRDefault="00360B6B" w:rsidP="004148F5">
                  <w:pPr>
                    <w:pStyle w:val="TableColumnHeading"/>
                  </w:pPr>
                  <w:r>
                    <w:t>With NOM</w:t>
                  </w:r>
                </w:p>
                <w:p w14:paraId="324935B5" w14:textId="77777777" w:rsidR="00360B6B" w:rsidRDefault="00360B6B" w:rsidP="004148F5">
                  <w:pPr>
                    <w:pStyle w:val="TableColumnHeading"/>
                  </w:pPr>
                  <w:r>
                    <w:t>(Scenario 2)</w:t>
                  </w:r>
                </w:p>
              </w:tc>
              <w:tc>
                <w:tcPr>
                  <w:tcW w:w="1700" w:type="dxa"/>
                  <w:tcBorders>
                    <w:top w:val="single" w:sz="6" w:space="0" w:color="BFBFBF"/>
                    <w:bottom w:val="single" w:sz="6" w:space="0" w:color="BFBFBF"/>
                  </w:tcBorders>
                  <w:shd w:val="clear" w:color="auto" w:fill="auto"/>
                  <w:tcMar>
                    <w:top w:w="28" w:type="dxa"/>
                  </w:tcMar>
                </w:tcPr>
                <w:p w14:paraId="3D9E1D5F" w14:textId="77777777" w:rsidR="00360B6B" w:rsidRDefault="00360B6B" w:rsidP="004148F5">
                  <w:pPr>
                    <w:pStyle w:val="TableColumnHeading"/>
                  </w:pPr>
                  <w:r>
                    <w:t>Occupational effect</w:t>
                  </w:r>
                </w:p>
                <w:p w14:paraId="75D99D53" w14:textId="77777777" w:rsidR="00360B6B" w:rsidRDefault="00360B6B" w:rsidP="004148F5">
                  <w:pPr>
                    <w:pStyle w:val="TableColumnHeading"/>
                  </w:pPr>
                  <w:r>
                    <w:t>(Scenario 3)</w:t>
                  </w:r>
                  <w:r w:rsidRPr="0037676B">
                    <w:rPr>
                      <w:rStyle w:val="NoteLabel"/>
                    </w:rPr>
                    <w:t>a</w:t>
                  </w:r>
                </w:p>
              </w:tc>
              <w:tc>
                <w:tcPr>
                  <w:tcW w:w="1422" w:type="dxa"/>
                  <w:tcBorders>
                    <w:top w:val="single" w:sz="6" w:space="0" w:color="BFBFBF"/>
                    <w:bottom w:val="single" w:sz="6" w:space="0" w:color="BFBFBF"/>
                  </w:tcBorders>
                  <w:shd w:val="clear" w:color="auto" w:fill="auto"/>
                </w:tcPr>
                <w:p w14:paraId="387574DC" w14:textId="77777777" w:rsidR="00360B6B" w:rsidRDefault="00360B6B" w:rsidP="004148F5">
                  <w:pPr>
                    <w:pStyle w:val="TableColumnHeading"/>
                  </w:pPr>
                  <w:proofErr w:type="spellStart"/>
                  <w:r>
                    <w:t>Spillover</w:t>
                  </w:r>
                  <w:proofErr w:type="spellEnd"/>
                  <w:r>
                    <w:t xml:space="preserve"> effect</w:t>
                  </w:r>
                </w:p>
                <w:p w14:paraId="0D10F191" w14:textId="77777777" w:rsidR="00360B6B" w:rsidRDefault="00360B6B" w:rsidP="004148F5">
                  <w:pPr>
                    <w:pStyle w:val="TableColumnHeading"/>
                  </w:pPr>
                  <w:r>
                    <w:t>(Scenario 4)</w:t>
                  </w:r>
                </w:p>
              </w:tc>
            </w:tr>
            <w:tr w:rsidR="00360B6B" w14:paraId="13B56041" w14:textId="77777777" w:rsidTr="0052424C">
              <w:tc>
                <w:tcPr>
                  <w:tcW w:w="2671" w:type="dxa"/>
                </w:tcPr>
                <w:p w14:paraId="2E8A9762" w14:textId="77777777" w:rsidR="00360B6B" w:rsidRDefault="00360B6B" w:rsidP="004148F5">
                  <w:pPr>
                    <w:pStyle w:val="TableBodyText"/>
                    <w:spacing w:before="80"/>
                    <w:jc w:val="left"/>
                  </w:pPr>
                  <w:r>
                    <w:t>Population</w:t>
                  </w:r>
                </w:p>
              </w:tc>
              <w:tc>
                <w:tcPr>
                  <w:tcW w:w="1418" w:type="dxa"/>
                </w:tcPr>
                <w:p w14:paraId="15DE6245" w14:textId="77777777" w:rsidR="00360B6B" w:rsidRDefault="00360B6B" w:rsidP="004148F5">
                  <w:pPr>
                    <w:pStyle w:val="TableBodyText"/>
                    <w:spacing w:before="80"/>
                  </w:pPr>
                  <w:r>
                    <w:t>115</w:t>
                  </w:r>
                </w:p>
              </w:tc>
              <w:tc>
                <w:tcPr>
                  <w:tcW w:w="1276" w:type="dxa"/>
                </w:tcPr>
                <w:p w14:paraId="0F6CB87A" w14:textId="77777777" w:rsidR="00360B6B" w:rsidRDefault="00360B6B" w:rsidP="004148F5">
                  <w:pPr>
                    <w:pStyle w:val="TableBodyText"/>
                    <w:spacing w:before="80"/>
                  </w:pPr>
                  <w:r>
                    <w:t>172</w:t>
                  </w:r>
                </w:p>
              </w:tc>
              <w:tc>
                <w:tcPr>
                  <w:tcW w:w="1700" w:type="dxa"/>
                </w:tcPr>
                <w:p w14:paraId="58EDD7C4" w14:textId="77777777" w:rsidR="00360B6B" w:rsidRDefault="00360B6B" w:rsidP="004148F5">
                  <w:pPr>
                    <w:pStyle w:val="TableBodyText"/>
                    <w:spacing w:before="80"/>
                  </w:pPr>
                  <w:r>
                    <w:t>172</w:t>
                  </w:r>
                </w:p>
              </w:tc>
              <w:tc>
                <w:tcPr>
                  <w:tcW w:w="1422" w:type="dxa"/>
                </w:tcPr>
                <w:p w14:paraId="377B63EE" w14:textId="77777777" w:rsidR="00360B6B" w:rsidRDefault="00360B6B" w:rsidP="004148F5">
                  <w:pPr>
                    <w:pStyle w:val="TableBodyText"/>
                    <w:spacing w:before="80"/>
                  </w:pPr>
                  <w:r>
                    <w:t>172</w:t>
                  </w:r>
                </w:p>
              </w:tc>
            </w:tr>
            <w:tr w:rsidR="00360B6B" w14:paraId="6778AB01" w14:textId="77777777" w:rsidTr="0052424C">
              <w:tc>
                <w:tcPr>
                  <w:tcW w:w="2671" w:type="dxa"/>
                </w:tcPr>
                <w:p w14:paraId="303A5955" w14:textId="77777777" w:rsidR="00360B6B" w:rsidRDefault="00360B6B" w:rsidP="0052424C">
                  <w:pPr>
                    <w:pStyle w:val="TableBodyText"/>
                    <w:jc w:val="left"/>
                  </w:pPr>
                  <w:r>
                    <w:t>Labour force (persons)</w:t>
                  </w:r>
                </w:p>
              </w:tc>
              <w:tc>
                <w:tcPr>
                  <w:tcW w:w="1418" w:type="dxa"/>
                </w:tcPr>
                <w:p w14:paraId="4981E2CD" w14:textId="77777777" w:rsidR="00360B6B" w:rsidRDefault="00360B6B" w:rsidP="0052424C">
                  <w:pPr>
                    <w:pStyle w:val="TableBodyText"/>
                  </w:pPr>
                  <w:r>
                    <w:t>102</w:t>
                  </w:r>
                </w:p>
              </w:tc>
              <w:tc>
                <w:tcPr>
                  <w:tcW w:w="1276" w:type="dxa"/>
                </w:tcPr>
                <w:p w14:paraId="16E6B2E8" w14:textId="77777777" w:rsidR="00360B6B" w:rsidRDefault="00360B6B" w:rsidP="0052424C">
                  <w:pPr>
                    <w:pStyle w:val="TableBodyText"/>
                  </w:pPr>
                  <w:r>
                    <w:t>164</w:t>
                  </w:r>
                </w:p>
              </w:tc>
              <w:tc>
                <w:tcPr>
                  <w:tcW w:w="1700" w:type="dxa"/>
                </w:tcPr>
                <w:p w14:paraId="2B6A3F5B" w14:textId="77777777" w:rsidR="00360B6B" w:rsidRDefault="00360B6B" w:rsidP="0052424C">
                  <w:pPr>
                    <w:pStyle w:val="TableBodyText"/>
                  </w:pPr>
                  <w:r>
                    <w:t>164</w:t>
                  </w:r>
                </w:p>
              </w:tc>
              <w:tc>
                <w:tcPr>
                  <w:tcW w:w="1422" w:type="dxa"/>
                </w:tcPr>
                <w:p w14:paraId="260D4E11" w14:textId="77777777" w:rsidR="00360B6B" w:rsidRDefault="00360B6B" w:rsidP="0052424C">
                  <w:pPr>
                    <w:pStyle w:val="TableBodyText"/>
                  </w:pPr>
                  <w:r>
                    <w:t>164</w:t>
                  </w:r>
                </w:p>
              </w:tc>
            </w:tr>
            <w:tr w:rsidR="00360B6B" w14:paraId="1A0E4194" w14:textId="77777777" w:rsidTr="0052424C">
              <w:tc>
                <w:tcPr>
                  <w:tcW w:w="2671" w:type="dxa"/>
                </w:tcPr>
                <w:p w14:paraId="1B45347C" w14:textId="77777777" w:rsidR="00360B6B" w:rsidRDefault="00360B6B" w:rsidP="0052424C">
                  <w:pPr>
                    <w:pStyle w:val="TableBodyText"/>
                    <w:jc w:val="left"/>
                  </w:pPr>
                  <w:r>
                    <w:t>Real GDP</w:t>
                  </w:r>
                </w:p>
              </w:tc>
              <w:tc>
                <w:tcPr>
                  <w:tcW w:w="1418" w:type="dxa"/>
                </w:tcPr>
                <w:p w14:paraId="48FB3AD5" w14:textId="77777777" w:rsidR="00360B6B" w:rsidRDefault="00360B6B" w:rsidP="0052424C">
                  <w:pPr>
                    <w:pStyle w:val="TableBodyText"/>
                  </w:pPr>
                  <w:r>
                    <w:t>163</w:t>
                  </w:r>
                </w:p>
              </w:tc>
              <w:tc>
                <w:tcPr>
                  <w:tcW w:w="1276" w:type="dxa"/>
                </w:tcPr>
                <w:p w14:paraId="690CE9A6" w14:textId="77777777" w:rsidR="00360B6B" w:rsidRDefault="00360B6B" w:rsidP="0052424C">
                  <w:pPr>
                    <w:pStyle w:val="TableBodyText"/>
                  </w:pPr>
                  <w:r>
                    <w:t>258</w:t>
                  </w:r>
                </w:p>
              </w:tc>
              <w:tc>
                <w:tcPr>
                  <w:tcW w:w="1700" w:type="dxa"/>
                </w:tcPr>
                <w:p w14:paraId="2F6C7134" w14:textId="77777777" w:rsidR="00360B6B" w:rsidRDefault="00360B6B" w:rsidP="0052424C">
                  <w:pPr>
                    <w:pStyle w:val="TableBodyText"/>
                  </w:pPr>
                  <w:r>
                    <w:t>259</w:t>
                  </w:r>
                </w:p>
              </w:tc>
              <w:tc>
                <w:tcPr>
                  <w:tcW w:w="1422" w:type="dxa"/>
                </w:tcPr>
                <w:p w14:paraId="6E3FA0F1" w14:textId="77777777" w:rsidR="00360B6B" w:rsidRDefault="00360B6B" w:rsidP="0052424C">
                  <w:pPr>
                    <w:pStyle w:val="TableBodyText"/>
                  </w:pPr>
                  <w:r>
                    <w:t>259</w:t>
                  </w:r>
                </w:p>
              </w:tc>
            </w:tr>
            <w:tr w:rsidR="00360B6B" w14:paraId="2FCB27F9" w14:textId="77777777" w:rsidTr="0052424C">
              <w:tc>
                <w:tcPr>
                  <w:tcW w:w="2671" w:type="dxa"/>
                </w:tcPr>
                <w:p w14:paraId="2FF68031" w14:textId="77777777" w:rsidR="00360B6B" w:rsidRDefault="00360B6B" w:rsidP="0052424C">
                  <w:pPr>
                    <w:pStyle w:val="TableBodyText"/>
                    <w:jc w:val="left"/>
                  </w:pPr>
                  <w:r>
                    <w:t xml:space="preserve">Real </w:t>
                  </w:r>
                  <w:proofErr w:type="spellStart"/>
                  <w:r>
                    <w:t>GNE</w:t>
                  </w:r>
                  <w:proofErr w:type="spellEnd"/>
                </w:p>
              </w:tc>
              <w:tc>
                <w:tcPr>
                  <w:tcW w:w="1418" w:type="dxa"/>
                </w:tcPr>
                <w:p w14:paraId="1EA09ED6" w14:textId="77777777" w:rsidR="00360B6B" w:rsidRDefault="00360B6B" w:rsidP="0052424C">
                  <w:pPr>
                    <w:pStyle w:val="TableBodyText"/>
                  </w:pPr>
                  <w:r>
                    <w:t>150</w:t>
                  </w:r>
                </w:p>
              </w:tc>
              <w:tc>
                <w:tcPr>
                  <w:tcW w:w="1276" w:type="dxa"/>
                </w:tcPr>
                <w:p w14:paraId="12FA32B7" w14:textId="77777777" w:rsidR="00360B6B" w:rsidRDefault="00360B6B" w:rsidP="0052424C">
                  <w:pPr>
                    <w:pStyle w:val="TableBodyText"/>
                  </w:pPr>
                  <w:r>
                    <w:t>243</w:t>
                  </w:r>
                </w:p>
              </w:tc>
              <w:tc>
                <w:tcPr>
                  <w:tcW w:w="1700" w:type="dxa"/>
                </w:tcPr>
                <w:p w14:paraId="23784816" w14:textId="77777777" w:rsidR="00360B6B" w:rsidRDefault="00360B6B" w:rsidP="0052424C">
                  <w:pPr>
                    <w:pStyle w:val="TableBodyText"/>
                  </w:pPr>
                  <w:r>
                    <w:t>254</w:t>
                  </w:r>
                </w:p>
              </w:tc>
              <w:tc>
                <w:tcPr>
                  <w:tcW w:w="1422" w:type="dxa"/>
                </w:tcPr>
                <w:p w14:paraId="587230E8" w14:textId="77777777" w:rsidR="00360B6B" w:rsidRDefault="00360B6B" w:rsidP="0052424C">
                  <w:pPr>
                    <w:pStyle w:val="TableBodyText"/>
                  </w:pPr>
                  <w:r>
                    <w:t>244</w:t>
                  </w:r>
                </w:p>
              </w:tc>
            </w:tr>
            <w:tr w:rsidR="00360B6B" w14:paraId="3B328E90" w14:textId="77777777" w:rsidTr="0052424C">
              <w:tc>
                <w:tcPr>
                  <w:tcW w:w="2671" w:type="dxa"/>
                </w:tcPr>
                <w:p w14:paraId="1FC94052" w14:textId="77777777" w:rsidR="00360B6B" w:rsidRPr="007F7498" w:rsidRDefault="00360B6B" w:rsidP="0052424C">
                  <w:pPr>
                    <w:pStyle w:val="TableBodyText"/>
                    <w:jc w:val="left"/>
                    <w:rPr>
                      <w:i/>
                    </w:rPr>
                  </w:pPr>
                  <w:r w:rsidRPr="007F7498">
                    <w:rPr>
                      <w:i/>
                    </w:rPr>
                    <w:t>of which</w:t>
                  </w:r>
                </w:p>
              </w:tc>
              <w:tc>
                <w:tcPr>
                  <w:tcW w:w="1418" w:type="dxa"/>
                </w:tcPr>
                <w:p w14:paraId="06B53A7F" w14:textId="77777777" w:rsidR="00360B6B" w:rsidRDefault="00360B6B" w:rsidP="0052424C">
                  <w:pPr>
                    <w:pStyle w:val="TableBodyText"/>
                  </w:pPr>
                </w:p>
              </w:tc>
              <w:tc>
                <w:tcPr>
                  <w:tcW w:w="1276" w:type="dxa"/>
                </w:tcPr>
                <w:p w14:paraId="7191D028" w14:textId="77777777" w:rsidR="00360B6B" w:rsidRDefault="00360B6B" w:rsidP="0052424C">
                  <w:pPr>
                    <w:pStyle w:val="TableBodyText"/>
                  </w:pPr>
                </w:p>
              </w:tc>
              <w:tc>
                <w:tcPr>
                  <w:tcW w:w="1700" w:type="dxa"/>
                </w:tcPr>
                <w:p w14:paraId="01EB8D50" w14:textId="77777777" w:rsidR="00360B6B" w:rsidRDefault="00360B6B" w:rsidP="0052424C">
                  <w:pPr>
                    <w:pStyle w:val="TableBodyText"/>
                  </w:pPr>
                </w:p>
              </w:tc>
              <w:tc>
                <w:tcPr>
                  <w:tcW w:w="1422" w:type="dxa"/>
                </w:tcPr>
                <w:p w14:paraId="4498F66D" w14:textId="77777777" w:rsidR="00360B6B" w:rsidRDefault="00360B6B" w:rsidP="0052424C">
                  <w:pPr>
                    <w:pStyle w:val="TableBodyText"/>
                  </w:pPr>
                </w:p>
              </w:tc>
            </w:tr>
            <w:tr w:rsidR="00360B6B" w14:paraId="4AB756C7" w14:textId="77777777" w:rsidTr="0052424C">
              <w:tc>
                <w:tcPr>
                  <w:tcW w:w="2671" w:type="dxa"/>
                </w:tcPr>
                <w:p w14:paraId="1D94086D" w14:textId="77777777" w:rsidR="00360B6B" w:rsidRDefault="00360B6B" w:rsidP="0052424C">
                  <w:pPr>
                    <w:pStyle w:val="TableBodyText"/>
                    <w:jc w:val="left"/>
                  </w:pPr>
                  <w:r>
                    <w:t>  Real household consumption</w:t>
                  </w:r>
                </w:p>
              </w:tc>
              <w:tc>
                <w:tcPr>
                  <w:tcW w:w="1418" w:type="dxa"/>
                </w:tcPr>
                <w:p w14:paraId="5313F678" w14:textId="77777777" w:rsidR="00360B6B" w:rsidRDefault="00360B6B" w:rsidP="0052424C">
                  <w:pPr>
                    <w:pStyle w:val="TableBodyText"/>
                  </w:pPr>
                  <w:r>
                    <w:t>164</w:t>
                  </w:r>
                </w:p>
              </w:tc>
              <w:tc>
                <w:tcPr>
                  <w:tcW w:w="1276" w:type="dxa"/>
                </w:tcPr>
                <w:p w14:paraId="3FE32E43" w14:textId="77777777" w:rsidR="00360B6B" w:rsidRDefault="00360B6B" w:rsidP="0052424C">
                  <w:pPr>
                    <w:pStyle w:val="TableBodyText"/>
                  </w:pPr>
                  <w:r>
                    <w:t>253</w:t>
                  </w:r>
                </w:p>
              </w:tc>
              <w:tc>
                <w:tcPr>
                  <w:tcW w:w="1700" w:type="dxa"/>
                </w:tcPr>
                <w:p w14:paraId="0972A3EC" w14:textId="77777777" w:rsidR="00360B6B" w:rsidRDefault="00360B6B" w:rsidP="0052424C">
                  <w:pPr>
                    <w:pStyle w:val="TableBodyText"/>
                  </w:pPr>
                  <w:r>
                    <w:t>257</w:t>
                  </w:r>
                </w:p>
              </w:tc>
              <w:tc>
                <w:tcPr>
                  <w:tcW w:w="1422" w:type="dxa"/>
                </w:tcPr>
                <w:p w14:paraId="0E075793" w14:textId="77777777" w:rsidR="00360B6B" w:rsidRDefault="00360B6B" w:rsidP="0052424C">
                  <w:pPr>
                    <w:pStyle w:val="TableBodyText"/>
                  </w:pPr>
                  <w:r>
                    <w:t>254</w:t>
                  </w:r>
                </w:p>
              </w:tc>
            </w:tr>
            <w:tr w:rsidR="00360B6B" w14:paraId="0DF20E19" w14:textId="77777777" w:rsidTr="0052424C">
              <w:tc>
                <w:tcPr>
                  <w:tcW w:w="2671" w:type="dxa"/>
                </w:tcPr>
                <w:p w14:paraId="7688E8DB" w14:textId="77777777" w:rsidR="00360B6B" w:rsidRDefault="00360B6B" w:rsidP="0052424C">
                  <w:pPr>
                    <w:pStyle w:val="TableBodyText"/>
                    <w:jc w:val="left"/>
                  </w:pPr>
                  <w:r>
                    <w:t>  Real government consumption</w:t>
                  </w:r>
                </w:p>
              </w:tc>
              <w:tc>
                <w:tcPr>
                  <w:tcW w:w="1418" w:type="dxa"/>
                </w:tcPr>
                <w:p w14:paraId="7D5A0E38" w14:textId="77777777" w:rsidR="00360B6B" w:rsidRDefault="00360B6B" w:rsidP="0052424C">
                  <w:pPr>
                    <w:pStyle w:val="TableBodyText"/>
                  </w:pPr>
                  <w:r>
                    <w:t>186</w:t>
                  </w:r>
                </w:p>
              </w:tc>
              <w:tc>
                <w:tcPr>
                  <w:tcW w:w="1276" w:type="dxa"/>
                </w:tcPr>
                <w:p w14:paraId="02E07382" w14:textId="77777777" w:rsidR="00360B6B" w:rsidRDefault="00360B6B" w:rsidP="0052424C">
                  <w:pPr>
                    <w:pStyle w:val="TableBodyText"/>
                  </w:pPr>
                  <w:r>
                    <w:t>277</w:t>
                  </w:r>
                </w:p>
              </w:tc>
              <w:tc>
                <w:tcPr>
                  <w:tcW w:w="1700" w:type="dxa"/>
                </w:tcPr>
                <w:p w14:paraId="77BBEAC2" w14:textId="77777777" w:rsidR="00360B6B" w:rsidRDefault="00360B6B" w:rsidP="0052424C">
                  <w:pPr>
                    <w:pStyle w:val="TableBodyText"/>
                  </w:pPr>
                  <w:r>
                    <w:t>282</w:t>
                  </w:r>
                </w:p>
              </w:tc>
              <w:tc>
                <w:tcPr>
                  <w:tcW w:w="1422" w:type="dxa"/>
                </w:tcPr>
                <w:p w14:paraId="7F2A1EF1" w14:textId="77777777" w:rsidR="00360B6B" w:rsidRDefault="00360B6B" w:rsidP="0052424C">
                  <w:pPr>
                    <w:pStyle w:val="TableBodyText"/>
                  </w:pPr>
                  <w:r>
                    <w:t>279</w:t>
                  </w:r>
                </w:p>
              </w:tc>
            </w:tr>
            <w:tr w:rsidR="00360B6B" w14:paraId="7AA37834" w14:textId="77777777" w:rsidTr="0052424C">
              <w:tc>
                <w:tcPr>
                  <w:tcW w:w="2671" w:type="dxa"/>
                  <w:shd w:val="clear" w:color="auto" w:fill="auto"/>
                </w:tcPr>
                <w:p w14:paraId="1A138304" w14:textId="77777777" w:rsidR="00360B6B" w:rsidRDefault="00360B6B" w:rsidP="0052424C">
                  <w:pPr>
                    <w:pStyle w:val="TableBodyText"/>
                    <w:jc w:val="left"/>
                  </w:pPr>
                  <w:r>
                    <w:t>  Real investment</w:t>
                  </w:r>
                </w:p>
              </w:tc>
              <w:tc>
                <w:tcPr>
                  <w:tcW w:w="1418" w:type="dxa"/>
                  <w:shd w:val="clear" w:color="auto" w:fill="auto"/>
                </w:tcPr>
                <w:p w14:paraId="7995F130" w14:textId="77777777" w:rsidR="00360B6B" w:rsidRDefault="00360B6B" w:rsidP="0052424C">
                  <w:pPr>
                    <w:pStyle w:val="TableBodyText"/>
                  </w:pPr>
                  <w:r>
                    <w:t>83</w:t>
                  </w:r>
                </w:p>
              </w:tc>
              <w:tc>
                <w:tcPr>
                  <w:tcW w:w="1276" w:type="dxa"/>
                  <w:shd w:val="clear" w:color="auto" w:fill="auto"/>
                </w:tcPr>
                <w:p w14:paraId="0852BC3F" w14:textId="77777777" w:rsidR="00360B6B" w:rsidRDefault="00360B6B" w:rsidP="0052424C">
                  <w:pPr>
                    <w:pStyle w:val="TableBodyText"/>
                  </w:pPr>
                  <w:r>
                    <w:t>185</w:t>
                  </w:r>
                </w:p>
              </w:tc>
              <w:tc>
                <w:tcPr>
                  <w:tcW w:w="1700" w:type="dxa"/>
                  <w:shd w:val="clear" w:color="auto" w:fill="auto"/>
                </w:tcPr>
                <w:p w14:paraId="690C6F76" w14:textId="77777777" w:rsidR="00360B6B" w:rsidRDefault="00360B6B" w:rsidP="0052424C">
                  <w:pPr>
                    <w:pStyle w:val="TableBodyText"/>
                  </w:pPr>
                  <w:r>
                    <w:t>219</w:t>
                  </w:r>
                </w:p>
              </w:tc>
              <w:tc>
                <w:tcPr>
                  <w:tcW w:w="1422" w:type="dxa"/>
                  <w:shd w:val="clear" w:color="auto" w:fill="auto"/>
                </w:tcPr>
                <w:p w14:paraId="1D1CF303" w14:textId="77777777" w:rsidR="00360B6B" w:rsidRDefault="00360B6B" w:rsidP="0052424C">
                  <w:pPr>
                    <w:pStyle w:val="TableBodyText"/>
                  </w:pPr>
                  <w:r>
                    <w:t>184</w:t>
                  </w:r>
                </w:p>
              </w:tc>
            </w:tr>
            <w:tr w:rsidR="00360B6B" w14:paraId="2FF2718B" w14:textId="77777777" w:rsidTr="0052424C">
              <w:tc>
                <w:tcPr>
                  <w:tcW w:w="2671" w:type="dxa"/>
                  <w:shd w:val="clear" w:color="auto" w:fill="auto"/>
                </w:tcPr>
                <w:p w14:paraId="6C4752FB" w14:textId="77777777" w:rsidR="00360B6B" w:rsidRDefault="00360B6B" w:rsidP="0052424C">
                  <w:pPr>
                    <w:pStyle w:val="TableBodyText"/>
                    <w:jc w:val="left"/>
                  </w:pPr>
                  <w:r>
                    <w:t>Export volumes</w:t>
                  </w:r>
                </w:p>
              </w:tc>
              <w:tc>
                <w:tcPr>
                  <w:tcW w:w="1418" w:type="dxa"/>
                  <w:shd w:val="clear" w:color="auto" w:fill="auto"/>
                </w:tcPr>
                <w:p w14:paraId="07475D33" w14:textId="77777777" w:rsidR="00360B6B" w:rsidRDefault="00360B6B" w:rsidP="0052424C">
                  <w:pPr>
                    <w:pStyle w:val="TableBodyText"/>
                  </w:pPr>
                  <w:r>
                    <w:t>224</w:t>
                  </w:r>
                </w:p>
              </w:tc>
              <w:tc>
                <w:tcPr>
                  <w:tcW w:w="1276" w:type="dxa"/>
                  <w:shd w:val="clear" w:color="auto" w:fill="auto"/>
                </w:tcPr>
                <w:p w14:paraId="57CF244C" w14:textId="77777777" w:rsidR="00360B6B" w:rsidRDefault="00360B6B" w:rsidP="0052424C">
                  <w:pPr>
                    <w:pStyle w:val="TableBodyText"/>
                  </w:pPr>
                  <w:r>
                    <w:t>333</w:t>
                  </w:r>
                </w:p>
              </w:tc>
              <w:tc>
                <w:tcPr>
                  <w:tcW w:w="1700" w:type="dxa"/>
                  <w:shd w:val="clear" w:color="auto" w:fill="auto"/>
                </w:tcPr>
                <w:p w14:paraId="40B06F58" w14:textId="77777777" w:rsidR="00360B6B" w:rsidRDefault="00360B6B" w:rsidP="0052424C">
                  <w:pPr>
                    <w:pStyle w:val="TableBodyText"/>
                  </w:pPr>
                  <w:r>
                    <w:t>264</w:t>
                  </w:r>
                </w:p>
              </w:tc>
              <w:tc>
                <w:tcPr>
                  <w:tcW w:w="1422" w:type="dxa"/>
                  <w:shd w:val="clear" w:color="auto" w:fill="auto"/>
                </w:tcPr>
                <w:p w14:paraId="4BAC66D9" w14:textId="77777777" w:rsidR="00360B6B" w:rsidRDefault="00360B6B" w:rsidP="0052424C">
                  <w:pPr>
                    <w:pStyle w:val="TableBodyText"/>
                  </w:pPr>
                  <w:r>
                    <w:t>336</w:t>
                  </w:r>
                </w:p>
              </w:tc>
            </w:tr>
            <w:tr w:rsidR="00360B6B" w14:paraId="56DD2B84" w14:textId="77777777" w:rsidTr="0052424C">
              <w:tc>
                <w:tcPr>
                  <w:tcW w:w="2671" w:type="dxa"/>
                  <w:shd w:val="clear" w:color="auto" w:fill="auto"/>
                </w:tcPr>
                <w:p w14:paraId="02FAABC1" w14:textId="77777777" w:rsidR="00360B6B" w:rsidRDefault="00360B6B" w:rsidP="0052424C">
                  <w:pPr>
                    <w:pStyle w:val="TableBodyText"/>
                    <w:jc w:val="left"/>
                  </w:pPr>
                  <w:r>
                    <w:t>Import volumes</w:t>
                  </w:r>
                </w:p>
              </w:tc>
              <w:tc>
                <w:tcPr>
                  <w:tcW w:w="1418" w:type="dxa"/>
                  <w:shd w:val="clear" w:color="auto" w:fill="auto"/>
                </w:tcPr>
                <w:p w14:paraId="659BBED0" w14:textId="77777777" w:rsidR="00360B6B" w:rsidRDefault="00360B6B" w:rsidP="0052424C">
                  <w:pPr>
                    <w:pStyle w:val="TableBodyText"/>
                  </w:pPr>
                  <w:r>
                    <w:t>147</w:t>
                  </w:r>
                </w:p>
              </w:tc>
              <w:tc>
                <w:tcPr>
                  <w:tcW w:w="1276" w:type="dxa"/>
                  <w:shd w:val="clear" w:color="auto" w:fill="auto"/>
                </w:tcPr>
                <w:p w14:paraId="22F41825" w14:textId="77777777" w:rsidR="00360B6B" w:rsidRDefault="00360B6B" w:rsidP="0052424C">
                  <w:pPr>
                    <w:pStyle w:val="TableBodyText"/>
                  </w:pPr>
                  <w:r>
                    <w:t>250</w:t>
                  </w:r>
                </w:p>
              </w:tc>
              <w:tc>
                <w:tcPr>
                  <w:tcW w:w="1700" w:type="dxa"/>
                  <w:shd w:val="clear" w:color="auto" w:fill="auto"/>
                </w:tcPr>
                <w:p w14:paraId="094F011C" w14:textId="77777777" w:rsidR="00360B6B" w:rsidRDefault="00360B6B" w:rsidP="0052424C">
                  <w:pPr>
                    <w:pStyle w:val="TableBodyText"/>
                  </w:pPr>
                  <w:r>
                    <w:t>252</w:t>
                  </w:r>
                </w:p>
              </w:tc>
              <w:tc>
                <w:tcPr>
                  <w:tcW w:w="1422" w:type="dxa"/>
                  <w:shd w:val="clear" w:color="auto" w:fill="auto"/>
                </w:tcPr>
                <w:p w14:paraId="36EA5575" w14:textId="77777777" w:rsidR="00360B6B" w:rsidRDefault="00360B6B" w:rsidP="0052424C">
                  <w:pPr>
                    <w:pStyle w:val="TableBodyText"/>
                  </w:pPr>
                  <w:r>
                    <w:t>256</w:t>
                  </w:r>
                </w:p>
              </w:tc>
            </w:tr>
            <w:tr w:rsidR="00360B6B" w14:paraId="2A63BAED" w14:textId="77777777" w:rsidTr="0052424C">
              <w:tc>
                <w:tcPr>
                  <w:tcW w:w="2671" w:type="dxa"/>
                  <w:shd w:val="clear" w:color="auto" w:fill="auto"/>
                </w:tcPr>
                <w:p w14:paraId="7DDB41C3" w14:textId="77777777" w:rsidR="00360B6B" w:rsidRDefault="00360B6B" w:rsidP="0052424C">
                  <w:pPr>
                    <w:pStyle w:val="TableBodyText"/>
                    <w:jc w:val="left"/>
                  </w:pPr>
                </w:p>
              </w:tc>
              <w:tc>
                <w:tcPr>
                  <w:tcW w:w="1418" w:type="dxa"/>
                  <w:shd w:val="clear" w:color="auto" w:fill="auto"/>
                </w:tcPr>
                <w:p w14:paraId="5F76DBBC" w14:textId="77777777" w:rsidR="00360B6B" w:rsidRDefault="00360B6B" w:rsidP="0052424C">
                  <w:pPr>
                    <w:pStyle w:val="TableBodyText"/>
                  </w:pPr>
                </w:p>
              </w:tc>
              <w:tc>
                <w:tcPr>
                  <w:tcW w:w="1276" w:type="dxa"/>
                  <w:shd w:val="clear" w:color="auto" w:fill="auto"/>
                </w:tcPr>
                <w:p w14:paraId="6DD8ABE9" w14:textId="77777777" w:rsidR="00360B6B" w:rsidRDefault="00360B6B" w:rsidP="0052424C">
                  <w:pPr>
                    <w:pStyle w:val="TableBodyText"/>
                  </w:pPr>
                </w:p>
              </w:tc>
              <w:tc>
                <w:tcPr>
                  <w:tcW w:w="1700" w:type="dxa"/>
                  <w:shd w:val="clear" w:color="auto" w:fill="auto"/>
                </w:tcPr>
                <w:p w14:paraId="2C480A13" w14:textId="77777777" w:rsidR="00360B6B" w:rsidRDefault="00360B6B" w:rsidP="0052424C">
                  <w:pPr>
                    <w:pStyle w:val="TableBodyText"/>
                  </w:pPr>
                </w:p>
              </w:tc>
              <w:tc>
                <w:tcPr>
                  <w:tcW w:w="1422" w:type="dxa"/>
                  <w:shd w:val="clear" w:color="auto" w:fill="auto"/>
                </w:tcPr>
                <w:p w14:paraId="62B73B1D" w14:textId="77777777" w:rsidR="00360B6B" w:rsidRDefault="00360B6B" w:rsidP="0052424C">
                  <w:pPr>
                    <w:pStyle w:val="TableBodyText"/>
                  </w:pPr>
                </w:p>
              </w:tc>
            </w:tr>
            <w:tr w:rsidR="00360B6B" w14:paraId="0C2FBF4C" w14:textId="77777777" w:rsidTr="0052424C">
              <w:tc>
                <w:tcPr>
                  <w:tcW w:w="2671" w:type="dxa"/>
                  <w:shd w:val="clear" w:color="auto" w:fill="auto"/>
                </w:tcPr>
                <w:p w14:paraId="4F06E572" w14:textId="77777777" w:rsidR="00360B6B" w:rsidRDefault="00360B6B" w:rsidP="0052424C">
                  <w:pPr>
                    <w:pStyle w:val="TableBodyText"/>
                    <w:jc w:val="left"/>
                  </w:pPr>
                  <w:r>
                    <w:t>Real consumer wage</w:t>
                  </w:r>
                </w:p>
              </w:tc>
              <w:tc>
                <w:tcPr>
                  <w:tcW w:w="1418" w:type="dxa"/>
                  <w:shd w:val="clear" w:color="auto" w:fill="auto"/>
                </w:tcPr>
                <w:p w14:paraId="569D2DF7" w14:textId="77777777" w:rsidR="00360B6B" w:rsidRDefault="00360B6B" w:rsidP="0052424C">
                  <w:pPr>
                    <w:pStyle w:val="TableBodyText"/>
                  </w:pPr>
                  <w:r>
                    <w:t>300</w:t>
                  </w:r>
                </w:p>
              </w:tc>
              <w:tc>
                <w:tcPr>
                  <w:tcW w:w="1276" w:type="dxa"/>
                  <w:shd w:val="clear" w:color="auto" w:fill="auto"/>
                </w:tcPr>
                <w:p w14:paraId="66F9379E" w14:textId="77777777" w:rsidR="00360B6B" w:rsidRDefault="00360B6B" w:rsidP="0052424C">
                  <w:pPr>
                    <w:pStyle w:val="TableBodyText"/>
                  </w:pPr>
                  <w:r>
                    <w:t>260</w:t>
                  </w:r>
                </w:p>
              </w:tc>
              <w:tc>
                <w:tcPr>
                  <w:tcW w:w="1700" w:type="dxa"/>
                  <w:shd w:val="clear" w:color="auto" w:fill="auto"/>
                </w:tcPr>
                <w:p w14:paraId="01D78EE8" w14:textId="77777777" w:rsidR="00360B6B" w:rsidRDefault="00360B6B" w:rsidP="0052424C">
                  <w:pPr>
                    <w:pStyle w:val="TableBodyText"/>
                  </w:pPr>
                  <w:r>
                    <w:t>255</w:t>
                  </w:r>
                </w:p>
              </w:tc>
              <w:tc>
                <w:tcPr>
                  <w:tcW w:w="1422" w:type="dxa"/>
                  <w:shd w:val="clear" w:color="auto" w:fill="auto"/>
                </w:tcPr>
                <w:p w14:paraId="4591F9FA" w14:textId="77777777" w:rsidR="00360B6B" w:rsidRDefault="00360B6B" w:rsidP="0052424C">
                  <w:pPr>
                    <w:pStyle w:val="TableBodyText"/>
                  </w:pPr>
                  <w:r>
                    <w:t>263</w:t>
                  </w:r>
                </w:p>
              </w:tc>
            </w:tr>
            <w:tr w:rsidR="00360B6B" w14:paraId="7EA214E5" w14:textId="77777777" w:rsidTr="0052424C">
              <w:tc>
                <w:tcPr>
                  <w:tcW w:w="2671" w:type="dxa"/>
                  <w:shd w:val="clear" w:color="auto" w:fill="auto"/>
                </w:tcPr>
                <w:p w14:paraId="1ECA7810" w14:textId="77777777" w:rsidR="00360B6B" w:rsidRDefault="00360B6B" w:rsidP="0052424C">
                  <w:pPr>
                    <w:pStyle w:val="TableBodyText"/>
                    <w:jc w:val="left"/>
                  </w:pPr>
                  <w:r>
                    <w:t>Real producer wage (unit labour costs)</w:t>
                  </w:r>
                </w:p>
              </w:tc>
              <w:tc>
                <w:tcPr>
                  <w:tcW w:w="1418" w:type="dxa"/>
                  <w:shd w:val="clear" w:color="auto" w:fill="auto"/>
                </w:tcPr>
                <w:p w14:paraId="586CD328" w14:textId="77777777" w:rsidR="00360B6B" w:rsidRDefault="00360B6B" w:rsidP="0052424C">
                  <w:pPr>
                    <w:pStyle w:val="TableBodyText"/>
                  </w:pPr>
                  <w:r>
                    <w:t>245</w:t>
                  </w:r>
                </w:p>
              </w:tc>
              <w:tc>
                <w:tcPr>
                  <w:tcW w:w="1276" w:type="dxa"/>
                  <w:shd w:val="clear" w:color="auto" w:fill="auto"/>
                </w:tcPr>
                <w:p w14:paraId="61ED7B19" w14:textId="77777777" w:rsidR="00360B6B" w:rsidRDefault="00360B6B" w:rsidP="0052424C">
                  <w:pPr>
                    <w:pStyle w:val="TableBodyText"/>
                  </w:pPr>
                  <w:r>
                    <w:t>228</w:t>
                  </w:r>
                </w:p>
              </w:tc>
              <w:tc>
                <w:tcPr>
                  <w:tcW w:w="1700" w:type="dxa"/>
                  <w:shd w:val="clear" w:color="auto" w:fill="auto"/>
                </w:tcPr>
                <w:p w14:paraId="6E98588D" w14:textId="77777777" w:rsidR="00360B6B" w:rsidRDefault="00360B6B" w:rsidP="0052424C">
                  <w:pPr>
                    <w:pStyle w:val="TableBodyText"/>
                  </w:pPr>
                  <w:r>
                    <w:t>223</w:t>
                  </w:r>
                </w:p>
              </w:tc>
              <w:tc>
                <w:tcPr>
                  <w:tcW w:w="1422" w:type="dxa"/>
                  <w:shd w:val="clear" w:color="auto" w:fill="auto"/>
                </w:tcPr>
                <w:p w14:paraId="658A1DB2" w14:textId="77777777" w:rsidR="00360B6B" w:rsidRDefault="00360B6B" w:rsidP="0052424C">
                  <w:pPr>
                    <w:pStyle w:val="TableBodyText"/>
                  </w:pPr>
                  <w:r>
                    <w:t>229</w:t>
                  </w:r>
                </w:p>
              </w:tc>
            </w:tr>
            <w:tr w:rsidR="00360B6B" w14:paraId="318CDF43" w14:textId="77777777" w:rsidTr="0052424C">
              <w:tc>
                <w:tcPr>
                  <w:tcW w:w="2671" w:type="dxa"/>
                  <w:shd w:val="clear" w:color="auto" w:fill="auto"/>
                </w:tcPr>
                <w:p w14:paraId="2B08903A" w14:textId="77777777" w:rsidR="00360B6B" w:rsidRDefault="00360B6B" w:rsidP="0052424C">
                  <w:pPr>
                    <w:pStyle w:val="TableBodyText"/>
                    <w:jc w:val="left"/>
                  </w:pPr>
                  <w:r>
                    <w:t>Labour productivity</w:t>
                  </w:r>
                  <w:r w:rsidRPr="00070A32">
                    <w:rPr>
                      <w:rStyle w:val="NoteLabel"/>
                    </w:rPr>
                    <w:t>b</w:t>
                  </w:r>
                </w:p>
              </w:tc>
              <w:tc>
                <w:tcPr>
                  <w:tcW w:w="1418" w:type="dxa"/>
                  <w:shd w:val="clear" w:color="auto" w:fill="auto"/>
                </w:tcPr>
                <w:p w14:paraId="0291BE4A" w14:textId="77777777" w:rsidR="00360B6B" w:rsidRDefault="00360B6B" w:rsidP="0052424C">
                  <w:pPr>
                    <w:pStyle w:val="TableBodyText"/>
                  </w:pPr>
                  <w:r>
                    <w:t>186</w:t>
                  </w:r>
                </w:p>
              </w:tc>
              <w:tc>
                <w:tcPr>
                  <w:tcW w:w="1276" w:type="dxa"/>
                  <w:shd w:val="clear" w:color="auto" w:fill="auto"/>
                </w:tcPr>
                <w:p w14:paraId="2C3DDFB8" w14:textId="77777777" w:rsidR="00360B6B" w:rsidRDefault="00360B6B" w:rsidP="0052424C">
                  <w:pPr>
                    <w:pStyle w:val="TableBodyText"/>
                  </w:pPr>
                  <w:r>
                    <w:t>181</w:t>
                  </w:r>
                </w:p>
              </w:tc>
              <w:tc>
                <w:tcPr>
                  <w:tcW w:w="1700" w:type="dxa"/>
                  <w:shd w:val="clear" w:color="auto" w:fill="auto"/>
                </w:tcPr>
                <w:p w14:paraId="5CBC7095" w14:textId="77777777" w:rsidR="00360B6B" w:rsidRDefault="00360B6B" w:rsidP="0052424C">
                  <w:pPr>
                    <w:pStyle w:val="TableBodyText"/>
                  </w:pPr>
                  <w:r>
                    <w:t>176</w:t>
                  </w:r>
                </w:p>
              </w:tc>
              <w:tc>
                <w:tcPr>
                  <w:tcW w:w="1422" w:type="dxa"/>
                  <w:shd w:val="clear" w:color="auto" w:fill="auto"/>
                </w:tcPr>
                <w:p w14:paraId="4437F3B2" w14:textId="77777777" w:rsidR="00360B6B" w:rsidRDefault="00360B6B" w:rsidP="0052424C">
                  <w:pPr>
                    <w:pStyle w:val="TableBodyText"/>
                  </w:pPr>
                  <w:r>
                    <w:t>181</w:t>
                  </w:r>
                </w:p>
              </w:tc>
            </w:tr>
            <w:tr w:rsidR="00360B6B" w14:paraId="6BC6CE72" w14:textId="77777777" w:rsidTr="0052424C">
              <w:tc>
                <w:tcPr>
                  <w:tcW w:w="2671" w:type="dxa"/>
                  <w:shd w:val="clear" w:color="auto" w:fill="auto"/>
                </w:tcPr>
                <w:p w14:paraId="045DE0E4" w14:textId="77777777" w:rsidR="00360B6B" w:rsidRDefault="00360B6B" w:rsidP="0052424C">
                  <w:pPr>
                    <w:pStyle w:val="TableBodyText"/>
                    <w:jc w:val="left"/>
                  </w:pPr>
                </w:p>
              </w:tc>
              <w:tc>
                <w:tcPr>
                  <w:tcW w:w="1418" w:type="dxa"/>
                  <w:shd w:val="clear" w:color="auto" w:fill="auto"/>
                </w:tcPr>
                <w:p w14:paraId="20892C40" w14:textId="77777777" w:rsidR="00360B6B" w:rsidRDefault="00360B6B" w:rsidP="0052424C">
                  <w:pPr>
                    <w:pStyle w:val="TableBodyText"/>
                  </w:pPr>
                </w:p>
              </w:tc>
              <w:tc>
                <w:tcPr>
                  <w:tcW w:w="1276" w:type="dxa"/>
                  <w:shd w:val="clear" w:color="auto" w:fill="auto"/>
                </w:tcPr>
                <w:p w14:paraId="4973472D" w14:textId="77777777" w:rsidR="00360B6B" w:rsidRDefault="00360B6B" w:rsidP="0052424C">
                  <w:pPr>
                    <w:pStyle w:val="TableBodyText"/>
                  </w:pPr>
                </w:p>
              </w:tc>
              <w:tc>
                <w:tcPr>
                  <w:tcW w:w="1700" w:type="dxa"/>
                  <w:shd w:val="clear" w:color="auto" w:fill="auto"/>
                </w:tcPr>
                <w:p w14:paraId="667E5E77" w14:textId="77777777" w:rsidR="00360B6B" w:rsidRDefault="00360B6B" w:rsidP="0052424C">
                  <w:pPr>
                    <w:pStyle w:val="TableBodyText"/>
                  </w:pPr>
                </w:p>
              </w:tc>
              <w:tc>
                <w:tcPr>
                  <w:tcW w:w="1422" w:type="dxa"/>
                  <w:shd w:val="clear" w:color="auto" w:fill="auto"/>
                </w:tcPr>
                <w:p w14:paraId="18FAE242" w14:textId="77777777" w:rsidR="00360B6B" w:rsidRDefault="00360B6B" w:rsidP="0052424C">
                  <w:pPr>
                    <w:pStyle w:val="TableBodyText"/>
                  </w:pPr>
                </w:p>
              </w:tc>
            </w:tr>
            <w:tr w:rsidR="00360B6B" w14:paraId="5AABEFB7" w14:textId="77777777" w:rsidTr="0052424C">
              <w:tc>
                <w:tcPr>
                  <w:tcW w:w="2671" w:type="dxa"/>
                  <w:shd w:val="clear" w:color="auto" w:fill="auto"/>
                </w:tcPr>
                <w:p w14:paraId="44EAEEC3" w14:textId="77777777" w:rsidR="00360B6B" w:rsidRDefault="00360B6B" w:rsidP="0052424C">
                  <w:pPr>
                    <w:pStyle w:val="TableBodyText"/>
                    <w:jc w:val="left"/>
                  </w:pPr>
                  <w:r>
                    <w:t>GDP per capita</w:t>
                  </w:r>
                </w:p>
              </w:tc>
              <w:tc>
                <w:tcPr>
                  <w:tcW w:w="1418" w:type="dxa"/>
                  <w:shd w:val="clear" w:color="auto" w:fill="auto"/>
                </w:tcPr>
                <w:p w14:paraId="03D698B8" w14:textId="77777777" w:rsidR="00360B6B" w:rsidRDefault="00360B6B" w:rsidP="0052424C">
                  <w:pPr>
                    <w:pStyle w:val="TableBodyText"/>
                  </w:pPr>
                  <w:r>
                    <w:t>142</w:t>
                  </w:r>
                </w:p>
              </w:tc>
              <w:tc>
                <w:tcPr>
                  <w:tcW w:w="1276" w:type="dxa"/>
                  <w:shd w:val="clear" w:color="auto" w:fill="auto"/>
                </w:tcPr>
                <w:p w14:paraId="5AAD7135" w14:textId="77777777" w:rsidR="00360B6B" w:rsidRDefault="00360B6B" w:rsidP="0052424C">
                  <w:pPr>
                    <w:pStyle w:val="TableBodyText"/>
                  </w:pPr>
                  <w:r>
                    <w:t>150</w:t>
                  </w:r>
                </w:p>
              </w:tc>
              <w:tc>
                <w:tcPr>
                  <w:tcW w:w="1700" w:type="dxa"/>
                  <w:shd w:val="clear" w:color="auto" w:fill="auto"/>
                </w:tcPr>
                <w:p w14:paraId="4ADCD818" w14:textId="77777777" w:rsidR="00360B6B" w:rsidRDefault="00360B6B" w:rsidP="0052424C">
                  <w:pPr>
                    <w:pStyle w:val="TableBodyText"/>
                  </w:pPr>
                  <w:r>
                    <w:t>151</w:t>
                  </w:r>
                </w:p>
              </w:tc>
              <w:tc>
                <w:tcPr>
                  <w:tcW w:w="1422" w:type="dxa"/>
                  <w:shd w:val="clear" w:color="auto" w:fill="auto"/>
                </w:tcPr>
                <w:p w14:paraId="155AE265" w14:textId="77777777" w:rsidR="00360B6B" w:rsidRDefault="00360B6B" w:rsidP="0052424C">
                  <w:pPr>
                    <w:pStyle w:val="TableBodyText"/>
                  </w:pPr>
                  <w:r>
                    <w:t>150</w:t>
                  </w:r>
                </w:p>
              </w:tc>
            </w:tr>
            <w:tr w:rsidR="00360B6B" w14:paraId="619AEB84" w14:textId="77777777" w:rsidTr="0052424C">
              <w:tc>
                <w:tcPr>
                  <w:tcW w:w="2671" w:type="dxa"/>
                  <w:shd w:val="clear" w:color="auto" w:fill="auto"/>
                </w:tcPr>
                <w:p w14:paraId="11183412" w14:textId="77777777" w:rsidR="00360B6B" w:rsidRDefault="00360B6B" w:rsidP="0052424C">
                  <w:pPr>
                    <w:pStyle w:val="TableBodyText"/>
                    <w:jc w:val="left"/>
                  </w:pPr>
                  <w:r>
                    <w:t>Household consumption per capita</w:t>
                  </w:r>
                </w:p>
              </w:tc>
              <w:tc>
                <w:tcPr>
                  <w:tcW w:w="1418" w:type="dxa"/>
                  <w:shd w:val="clear" w:color="auto" w:fill="auto"/>
                </w:tcPr>
                <w:p w14:paraId="6892624A" w14:textId="77777777" w:rsidR="00360B6B" w:rsidRDefault="00360B6B" w:rsidP="0052424C">
                  <w:pPr>
                    <w:pStyle w:val="TableBodyText"/>
                  </w:pPr>
                  <w:r>
                    <w:t>143</w:t>
                  </w:r>
                </w:p>
              </w:tc>
              <w:tc>
                <w:tcPr>
                  <w:tcW w:w="1276" w:type="dxa"/>
                  <w:shd w:val="clear" w:color="auto" w:fill="auto"/>
                </w:tcPr>
                <w:p w14:paraId="52D1A339" w14:textId="77777777" w:rsidR="00360B6B" w:rsidRDefault="00360B6B" w:rsidP="0052424C">
                  <w:pPr>
                    <w:pStyle w:val="TableBodyText"/>
                  </w:pPr>
                  <w:r>
                    <w:t>147</w:t>
                  </w:r>
                </w:p>
              </w:tc>
              <w:tc>
                <w:tcPr>
                  <w:tcW w:w="1700" w:type="dxa"/>
                  <w:shd w:val="clear" w:color="auto" w:fill="auto"/>
                </w:tcPr>
                <w:p w14:paraId="4F6FA297" w14:textId="77777777" w:rsidR="00360B6B" w:rsidRDefault="00360B6B" w:rsidP="0052424C">
                  <w:pPr>
                    <w:pStyle w:val="TableBodyText"/>
                  </w:pPr>
                  <w:r>
                    <w:t>149</w:t>
                  </w:r>
                </w:p>
              </w:tc>
              <w:tc>
                <w:tcPr>
                  <w:tcW w:w="1422" w:type="dxa"/>
                  <w:shd w:val="clear" w:color="auto" w:fill="auto"/>
                </w:tcPr>
                <w:p w14:paraId="08BD4F61" w14:textId="77777777" w:rsidR="00360B6B" w:rsidRDefault="00360B6B" w:rsidP="0052424C">
                  <w:pPr>
                    <w:pStyle w:val="TableBodyText"/>
                  </w:pPr>
                  <w:r>
                    <w:t>148</w:t>
                  </w:r>
                </w:p>
              </w:tc>
            </w:tr>
            <w:tr w:rsidR="00360B6B" w14:paraId="08421879" w14:textId="77777777" w:rsidTr="0052424C">
              <w:tc>
                <w:tcPr>
                  <w:tcW w:w="2671" w:type="dxa"/>
                  <w:tcBorders>
                    <w:bottom w:val="single" w:sz="6" w:space="0" w:color="BFBFBF"/>
                  </w:tcBorders>
                  <w:shd w:val="clear" w:color="auto" w:fill="auto"/>
                </w:tcPr>
                <w:p w14:paraId="0F4A1866" w14:textId="77777777" w:rsidR="00360B6B" w:rsidRDefault="00360B6B" w:rsidP="0052424C">
                  <w:pPr>
                    <w:pStyle w:val="TableBodyText"/>
                    <w:jc w:val="left"/>
                  </w:pPr>
                  <w:proofErr w:type="spellStart"/>
                  <w:r>
                    <w:t>GNE</w:t>
                  </w:r>
                  <w:proofErr w:type="spellEnd"/>
                  <w:r>
                    <w:t xml:space="preserve"> per capita</w:t>
                  </w:r>
                </w:p>
              </w:tc>
              <w:tc>
                <w:tcPr>
                  <w:tcW w:w="1418" w:type="dxa"/>
                  <w:tcBorders>
                    <w:bottom w:val="single" w:sz="6" w:space="0" w:color="BFBFBF"/>
                  </w:tcBorders>
                  <w:shd w:val="clear" w:color="auto" w:fill="auto"/>
                </w:tcPr>
                <w:p w14:paraId="2896B4AF" w14:textId="77777777" w:rsidR="00360B6B" w:rsidRDefault="00360B6B" w:rsidP="0052424C">
                  <w:pPr>
                    <w:pStyle w:val="TableBodyText"/>
                  </w:pPr>
                  <w:r>
                    <w:t>130</w:t>
                  </w:r>
                </w:p>
              </w:tc>
              <w:tc>
                <w:tcPr>
                  <w:tcW w:w="1276" w:type="dxa"/>
                  <w:tcBorders>
                    <w:bottom w:val="single" w:sz="6" w:space="0" w:color="BFBFBF"/>
                  </w:tcBorders>
                  <w:shd w:val="clear" w:color="auto" w:fill="auto"/>
                </w:tcPr>
                <w:p w14:paraId="389E56D2" w14:textId="77777777" w:rsidR="00360B6B" w:rsidRDefault="00360B6B" w:rsidP="0052424C">
                  <w:pPr>
                    <w:pStyle w:val="TableBodyText"/>
                  </w:pPr>
                  <w:r>
                    <w:t>141</w:t>
                  </w:r>
                </w:p>
              </w:tc>
              <w:tc>
                <w:tcPr>
                  <w:tcW w:w="1700" w:type="dxa"/>
                  <w:tcBorders>
                    <w:bottom w:val="single" w:sz="6" w:space="0" w:color="BFBFBF"/>
                  </w:tcBorders>
                  <w:shd w:val="clear" w:color="auto" w:fill="auto"/>
                </w:tcPr>
                <w:p w14:paraId="2D758770" w14:textId="77777777" w:rsidR="00360B6B" w:rsidRDefault="00360B6B" w:rsidP="0052424C">
                  <w:pPr>
                    <w:pStyle w:val="TableBodyText"/>
                  </w:pPr>
                  <w:r>
                    <w:t>147</w:t>
                  </w:r>
                </w:p>
              </w:tc>
              <w:tc>
                <w:tcPr>
                  <w:tcW w:w="1422" w:type="dxa"/>
                  <w:tcBorders>
                    <w:bottom w:val="single" w:sz="6" w:space="0" w:color="BFBFBF"/>
                  </w:tcBorders>
                  <w:shd w:val="clear" w:color="auto" w:fill="auto"/>
                </w:tcPr>
                <w:p w14:paraId="10D9A2AA" w14:textId="77777777" w:rsidR="00360B6B" w:rsidRDefault="00360B6B" w:rsidP="0052424C">
                  <w:pPr>
                    <w:pStyle w:val="TableBodyText"/>
                  </w:pPr>
                  <w:r>
                    <w:t>141</w:t>
                  </w:r>
                </w:p>
              </w:tc>
            </w:tr>
          </w:tbl>
          <w:p w14:paraId="6AB17CB9" w14:textId="77777777" w:rsidR="00360B6B" w:rsidRDefault="00360B6B" w:rsidP="0052424C">
            <w:pPr>
              <w:pStyle w:val="Box"/>
            </w:pPr>
          </w:p>
        </w:tc>
      </w:tr>
      <w:tr w:rsidR="00360B6B" w14:paraId="0926D98E" w14:textId="77777777" w:rsidTr="0052424C">
        <w:trPr>
          <w:cantSplit/>
        </w:trPr>
        <w:tc>
          <w:tcPr>
            <w:tcW w:w="8771" w:type="dxa"/>
            <w:tcBorders>
              <w:top w:val="nil"/>
              <w:left w:val="nil"/>
              <w:bottom w:val="nil"/>
              <w:right w:val="nil"/>
            </w:tcBorders>
            <w:shd w:val="clear" w:color="auto" w:fill="auto"/>
          </w:tcPr>
          <w:p w14:paraId="52224E68" w14:textId="77777777" w:rsidR="00360B6B" w:rsidRDefault="00360B6B" w:rsidP="0052424C">
            <w:pPr>
              <w:pStyle w:val="Note"/>
              <w:rPr>
                <w:i/>
              </w:rPr>
            </w:pPr>
            <w:r>
              <w:rPr>
                <w:rStyle w:val="NoteLabel"/>
              </w:rPr>
              <w:t>a </w:t>
            </w:r>
            <w:r w:rsidRPr="0037676B">
              <w:t xml:space="preserve">This scenario embodies </w:t>
            </w:r>
            <w:r>
              <w:t>assumptions that constrains adjustment of exports in response to assumed longer term movements in the terms of trade relative to the modelling of scenarios 1, 2 and 4. This constrains projected export changes and inflates projected investment changes. There are some lesser flow-on effects to other aggregate variables.</w:t>
            </w:r>
            <w:r w:rsidRPr="00070A32">
              <w:rPr>
                <w:rStyle w:val="NoteLabel"/>
              </w:rPr>
              <w:t xml:space="preserve"> b</w:t>
            </w:r>
            <w:r>
              <w:t> Real Gross Value Added (</w:t>
            </w:r>
            <w:proofErr w:type="spellStart"/>
            <w:r>
              <w:t>GVA</w:t>
            </w:r>
            <w:proofErr w:type="spellEnd"/>
            <w:r>
              <w:t xml:space="preserve">) per hour worked. </w:t>
            </w:r>
          </w:p>
        </w:tc>
      </w:tr>
      <w:tr w:rsidR="00360B6B" w14:paraId="46F720A1" w14:textId="77777777" w:rsidTr="0052424C">
        <w:trPr>
          <w:cantSplit/>
        </w:trPr>
        <w:tc>
          <w:tcPr>
            <w:tcW w:w="8771" w:type="dxa"/>
            <w:tcBorders>
              <w:top w:val="nil"/>
              <w:left w:val="nil"/>
              <w:bottom w:val="nil"/>
              <w:right w:val="nil"/>
            </w:tcBorders>
            <w:shd w:val="clear" w:color="auto" w:fill="auto"/>
          </w:tcPr>
          <w:p w14:paraId="3274D409" w14:textId="77777777" w:rsidR="00360B6B" w:rsidRDefault="00360B6B" w:rsidP="0052424C">
            <w:pPr>
              <w:pStyle w:val="Source"/>
            </w:pPr>
            <w:r>
              <w:rPr>
                <w:i/>
              </w:rPr>
              <w:t>Source</w:t>
            </w:r>
            <w:r w:rsidRPr="00167F06">
              <w:t xml:space="preserve">: </w:t>
            </w:r>
            <w:r>
              <w:t>Productivity Commission preliminary projections.</w:t>
            </w:r>
          </w:p>
        </w:tc>
      </w:tr>
      <w:tr w:rsidR="00360B6B" w14:paraId="00FE66AA" w14:textId="77777777" w:rsidTr="0052424C">
        <w:trPr>
          <w:cantSplit/>
        </w:trPr>
        <w:tc>
          <w:tcPr>
            <w:tcW w:w="8771" w:type="dxa"/>
            <w:tcBorders>
              <w:top w:val="nil"/>
              <w:left w:val="nil"/>
              <w:bottom w:val="single" w:sz="6" w:space="0" w:color="78A22F"/>
              <w:right w:val="nil"/>
            </w:tcBorders>
            <w:shd w:val="clear" w:color="auto" w:fill="auto"/>
          </w:tcPr>
          <w:p w14:paraId="11ABA5A5" w14:textId="77777777" w:rsidR="00360B6B" w:rsidRDefault="00360B6B" w:rsidP="0052424C">
            <w:pPr>
              <w:pStyle w:val="Box"/>
              <w:spacing w:before="0" w:line="120" w:lineRule="exact"/>
            </w:pPr>
          </w:p>
        </w:tc>
      </w:tr>
      <w:tr w:rsidR="00360B6B" w:rsidRPr="000863A5" w14:paraId="54582DDC" w14:textId="77777777" w:rsidTr="0052424C">
        <w:tc>
          <w:tcPr>
            <w:tcW w:w="8771" w:type="dxa"/>
            <w:tcBorders>
              <w:top w:val="single" w:sz="6" w:space="0" w:color="78A22F"/>
              <w:left w:val="nil"/>
              <w:bottom w:val="nil"/>
              <w:right w:val="nil"/>
            </w:tcBorders>
          </w:tcPr>
          <w:p w14:paraId="3AB53251" w14:textId="078E373E" w:rsidR="00360B6B" w:rsidRPr="00626D32" w:rsidRDefault="00360B6B" w:rsidP="0052424C">
            <w:pPr>
              <w:pStyle w:val="BoxSpaceBelow"/>
            </w:pPr>
          </w:p>
        </w:tc>
      </w:tr>
    </w:tbl>
    <w:p w14:paraId="5C13AAD9" w14:textId="77777777" w:rsidR="00360B6B" w:rsidRDefault="00360B6B" w:rsidP="00360B6B">
      <w:pPr>
        <w:pStyle w:val="BodyText"/>
      </w:pPr>
      <w:r>
        <w:t xml:space="preserve">The modelling suggests that, by 2059-60, the real consumer wage is projected to be 200 per cent (increasing from an index value of 100 to 300) above current levels in the without NOM scenario, while the real producer wage is projected to be 145 per cent (increasing from 100 to 245) above current levels. The real consumer wage reflects purchasing power with reference to the goods and services for consumers, while the real producer wage reflects the purchasing power of producers. The main source of difference between the two wage measures is in the composition of the goods and services for consumers and producers and the consequential difference in price deflators. In particular, the goods and services for producers include inputs associated with capital investment and, also importantly, government expenditures. With the prices of inputs to production being </w:t>
      </w:r>
      <w:r>
        <w:lastRenderedPageBreak/>
        <w:t xml:space="preserve">projected to rise faster than consumer product prices, growth in the real purchasing power of producers is expected to be lower than that of consumers (in all scenarios modelled). </w:t>
      </w:r>
    </w:p>
    <w:p w14:paraId="798E2DA1" w14:textId="77777777" w:rsidR="00360B6B" w:rsidRDefault="00360B6B" w:rsidP="00360B6B">
      <w:pPr>
        <w:pStyle w:val="Heading4"/>
      </w:pPr>
      <w:r>
        <w:t>The projected economywide impact of NOM</w:t>
      </w:r>
    </w:p>
    <w:p w14:paraId="5E7981C8" w14:textId="77777777" w:rsidR="00360B6B" w:rsidRDefault="00360B6B" w:rsidP="00360B6B">
      <w:pPr>
        <w:pStyle w:val="BodyText"/>
      </w:pPr>
      <w:r>
        <w:t>Table </w:t>
      </w:r>
      <w:proofErr w:type="spellStart"/>
      <w:r>
        <w:t>A.7</w:t>
      </w:r>
      <w:proofErr w:type="spellEnd"/>
      <w:r>
        <w:t xml:space="preserve"> presents deviations of the 3 NOM alternative scenarios from the reference case without NOM (scenario 1). The projected increases in NOM would increase the size and lower the average age of the Australian population. This would lead to a larger labour force and typically raise GDP and most other macroeconomic variables above levels that would otherwise prevail. </w:t>
      </w:r>
    </w:p>
    <w:p w14:paraId="795E0F54" w14:textId="1734176F" w:rsidR="00D971D1" w:rsidRDefault="00D971D1" w:rsidP="00D971D1">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gridCol w:w="138"/>
      </w:tblGrid>
      <w:tr w:rsidR="00D971D1" w14:paraId="18905074" w14:textId="77777777" w:rsidTr="007D77C7">
        <w:tc>
          <w:tcPr>
            <w:tcW w:w="8909" w:type="dxa"/>
            <w:gridSpan w:val="2"/>
            <w:tcBorders>
              <w:top w:val="single" w:sz="6" w:space="0" w:color="78A22F"/>
              <w:left w:val="nil"/>
              <w:bottom w:val="nil"/>
              <w:right w:val="nil"/>
            </w:tcBorders>
            <w:shd w:val="clear" w:color="auto" w:fill="auto"/>
          </w:tcPr>
          <w:p w14:paraId="038693C8" w14:textId="77777777" w:rsidR="00D971D1" w:rsidRDefault="00D971D1" w:rsidP="007D77C7">
            <w:pPr>
              <w:pStyle w:val="TableTitle"/>
            </w:pPr>
            <w:r>
              <w:rPr>
                <w:b w:val="0"/>
              </w:rPr>
              <w:t xml:space="preserve">Table </w:t>
            </w:r>
            <w:r>
              <w:rPr>
                <w:b w:val="0"/>
              </w:rPr>
              <w:fldChar w:fldCharType="begin"/>
            </w:r>
            <w:r>
              <w:rPr>
                <w:b w:val="0"/>
              </w:rPr>
              <w:instrText xml:space="preserve"> COMMENTS  \* MERGEFORMAT </w:instrText>
            </w:r>
            <w:r>
              <w:rPr>
                <w:b w:val="0"/>
              </w:rPr>
              <w:fldChar w:fldCharType="separate"/>
            </w:r>
            <w:proofErr w:type="spellStart"/>
            <w:r>
              <w:rPr>
                <w:b w:val="0"/>
              </w:rPr>
              <w:t>A.</w:t>
            </w:r>
            <w:r>
              <w:rPr>
                <w:b w:val="0"/>
              </w:rPr>
              <w:fldChar w:fldCharType="end"/>
            </w:r>
            <w:r>
              <w:rPr>
                <w:b w:val="0"/>
              </w:rPr>
              <w:fldChar w:fldCharType="begin"/>
            </w:r>
            <w:r>
              <w:rPr>
                <w:b w:val="0"/>
              </w:rPr>
              <w:instrText xml:space="preserve"> SEQ Table \* ARABIC </w:instrText>
            </w:r>
            <w:r>
              <w:rPr>
                <w:b w:val="0"/>
              </w:rPr>
              <w:fldChar w:fldCharType="separate"/>
            </w:r>
            <w:r>
              <w:rPr>
                <w:b w:val="0"/>
                <w:noProof/>
              </w:rPr>
              <w:t>7</w:t>
            </w:r>
            <w:proofErr w:type="spellEnd"/>
            <w:r>
              <w:rPr>
                <w:b w:val="0"/>
              </w:rPr>
              <w:fldChar w:fldCharType="end"/>
            </w:r>
            <w:r>
              <w:tab/>
              <w:t>Marginal effects of alternative scenarios compared with the base case (scenario 1) in 2059-60</w:t>
            </w:r>
          </w:p>
          <w:p w14:paraId="5CE000EC" w14:textId="77777777" w:rsidR="00D971D1" w:rsidRPr="00784A05" w:rsidRDefault="00D971D1" w:rsidP="007D77C7">
            <w:pPr>
              <w:pStyle w:val="TableBodyText"/>
              <w:spacing w:after="80" w:line="200" w:lineRule="exact"/>
              <w:ind w:left="1474" w:right="0"/>
              <w:jc w:val="left"/>
              <w:rPr>
                <w:szCs w:val="24"/>
              </w:rPr>
            </w:pPr>
            <w:r>
              <w:t>Alternative scenarios expressed as per cent deviation from scenario 1</w:t>
            </w:r>
            <w:r w:rsidRPr="00DD3631">
              <w:rPr>
                <w:rStyle w:val="NoteLabel"/>
              </w:rPr>
              <w:t>a</w:t>
            </w:r>
          </w:p>
        </w:tc>
      </w:tr>
      <w:tr w:rsidR="00D971D1" w14:paraId="5FFF08B1" w14:textId="77777777" w:rsidTr="007D77C7">
        <w:trPr>
          <w:cantSplit/>
        </w:trPr>
        <w:tc>
          <w:tcPr>
            <w:tcW w:w="8909" w:type="dxa"/>
            <w:gridSpan w:val="2"/>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3661"/>
              <w:gridCol w:w="1278"/>
              <w:gridCol w:w="1985"/>
              <w:gridCol w:w="1701"/>
            </w:tblGrid>
            <w:tr w:rsidR="00D971D1" w14:paraId="6F816ADE" w14:textId="77777777" w:rsidTr="007D77C7">
              <w:tc>
                <w:tcPr>
                  <w:tcW w:w="2122" w:type="pct"/>
                  <w:tcBorders>
                    <w:top w:val="single" w:sz="6" w:space="0" w:color="BFBFBF"/>
                    <w:bottom w:val="single" w:sz="6" w:space="0" w:color="BFBFBF"/>
                  </w:tcBorders>
                  <w:shd w:val="clear" w:color="auto" w:fill="auto"/>
                  <w:tcMar>
                    <w:top w:w="28" w:type="dxa"/>
                  </w:tcMar>
                </w:tcPr>
                <w:p w14:paraId="736B2923" w14:textId="77777777" w:rsidR="00D971D1" w:rsidRDefault="00D971D1" w:rsidP="007D77C7">
                  <w:pPr>
                    <w:pStyle w:val="TableColumnHeading"/>
                    <w:jc w:val="left"/>
                  </w:pPr>
                  <w:r>
                    <w:t>Variable</w:t>
                  </w:r>
                </w:p>
              </w:tc>
              <w:tc>
                <w:tcPr>
                  <w:tcW w:w="741" w:type="pct"/>
                  <w:tcBorders>
                    <w:top w:val="single" w:sz="6" w:space="0" w:color="BFBFBF"/>
                    <w:bottom w:val="single" w:sz="6" w:space="0" w:color="BFBFBF"/>
                  </w:tcBorders>
                  <w:vAlign w:val="bottom"/>
                </w:tcPr>
                <w:p w14:paraId="711609FD" w14:textId="77777777" w:rsidR="00D971D1" w:rsidRDefault="00D971D1" w:rsidP="007D77C7">
                  <w:pPr>
                    <w:pStyle w:val="TableColumnHeading"/>
                  </w:pPr>
                  <w:r>
                    <w:t>With NOM (Scenario 2)</w:t>
                  </w:r>
                </w:p>
              </w:tc>
              <w:tc>
                <w:tcPr>
                  <w:tcW w:w="1151" w:type="pct"/>
                  <w:tcBorders>
                    <w:top w:val="single" w:sz="6" w:space="0" w:color="BFBFBF"/>
                    <w:bottom w:val="single" w:sz="6" w:space="0" w:color="BFBFBF"/>
                  </w:tcBorders>
                  <w:shd w:val="clear" w:color="auto" w:fill="auto"/>
                  <w:tcMar>
                    <w:top w:w="28" w:type="dxa"/>
                  </w:tcMar>
                  <w:vAlign w:val="bottom"/>
                </w:tcPr>
                <w:p w14:paraId="758A2CDD" w14:textId="77777777" w:rsidR="00D971D1" w:rsidRDefault="00D971D1" w:rsidP="007D77C7">
                  <w:pPr>
                    <w:pStyle w:val="TableColumnHeading"/>
                  </w:pPr>
                  <w:r>
                    <w:t>Occupational effect (Scenario 3)</w:t>
                  </w:r>
                  <w:r>
                    <w:rPr>
                      <w:rStyle w:val="NoteLabel"/>
                    </w:rPr>
                    <w:t>a</w:t>
                  </w:r>
                </w:p>
              </w:tc>
              <w:tc>
                <w:tcPr>
                  <w:tcW w:w="986" w:type="pct"/>
                  <w:tcBorders>
                    <w:top w:val="single" w:sz="6" w:space="0" w:color="BFBFBF"/>
                    <w:bottom w:val="single" w:sz="6" w:space="0" w:color="BFBFBF"/>
                  </w:tcBorders>
                  <w:shd w:val="clear" w:color="auto" w:fill="auto"/>
                  <w:tcMar>
                    <w:top w:w="28" w:type="dxa"/>
                  </w:tcMar>
                  <w:vAlign w:val="bottom"/>
                </w:tcPr>
                <w:p w14:paraId="50E80129" w14:textId="77777777" w:rsidR="00D971D1" w:rsidRDefault="00D971D1" w:rsidP="007D77C7">
                  <w:pPr>
                    <w:pStyle w:val="TableColumnHeading"/>
                    <w:ind w:right="28"/>
                  </w:pPr>
                  <w:proofErr w:type="spellStart"/>
                  <w:r>
                    <w:t>Spillover</w:t>
                  </w:r>
                  <w:proofErr w:type="spellEnd"/>
                  <w:r>
                    <w:t xml:space="preserve"> effect (Scenario 4)</w:t>
                  </w:r>
                </w:p>
              </w:tc>
            </w:tr>
            <w:tr w:rsidR="00D971D1" w14:paraId="4DF4BD27" w14:textId="77777777" w:rsidTr="007D77C7">
              <w:trPr>
                <w:trHeight w:val="369"/>
              </w:trPr>
              <w:tc>
                <w:tcPr>
                  <w:tcW w:w="2122" w:type="pct"/>
                </w:tcPr>
                <w:p w14:paraId="52EDB2D8" w14:textId="77777777" w:rsidR="00D971D1" w:rsidRDefault="00D971D1" w:rsidP="007D77C7">
                  <w:pPr>
                    <w:pStyle w:val="TableUnitsRow"/>
                    <w:jc w:val="left"/>
                  </w:pPr>
                  <w:r>
                    <w:t>Population</w:t>
                  </w:r>
                </w:p>
              </w:tc>
              <w:tc>
                <w:tcPr>
                  <w:tcW w:w="741" w:type="pct"/>
                </w:tcPr>
                <w:p w14:paraId="03F2ED67" w14:textId="77777777" w:rsidR="00D971D1" w:rsidRDefault="00D971D1" w:rsidP="007D77C7">
                  <w:pPr>
                    <w:pStyle w:val="TableUnitsRow"/>
                  </w:pPr>
                  <w:r>
                    <w:t>50</w:t>
                  </w:r>
                </w:p>
              </w:tc>
              <w:tc>
                <w:tcPr>
                  <w:tcW w:w="1151" w:type="pct"/>
                </w:tcPr>
                <w:p w14:paraId="198A2F3C" w14:textId="77777777" w:rsidR="00D971D1" w:rsidRDefault="00D971D1" w:rsidP="007D77C7">
                  <w:pPr>
                    <w:pStyle w:val="TableUnitsRow"/>
                  </w:pPr>
                  <w:r>
                    <w:t>50</w:t>
                  </w:r>
                </w:p>
              </w:tc>
              <w:tc>
                <w:tcPr>
                  <w:tcW w:w="986" w:type="pct"/>
                </w:tcPr>
                <w:p w14:paraId="6542C7B8" w14:textId="77777777" w:rsidR="00D971D1" w:rsidRDefault="00D971D1" w:rsidP="007D77C7">
                  <w:pPr>
                    <w:pStyle w:val="TableUnitsRow"/>
                    <w:ind w:right="28"/>
                  </w:pPr>
                  <w:r>
                    <w:t>50</w:t>
                  </w:r>
                </w:p>
              </w:tc>
            </w:tr>
            <w:tr w:rsidR="00D971D1" w14:paraId="2CE99A30" w14:textId="77777777" w:rsidTr="007D77C7">
              <w:tc>
                <w:tcPr>
                  <w:tcW w:w="2122" w:type="pct"/>
                </w:tcPr>
                <w:p w14:paraId="41095CCE" w14:textId="77777777" w:rsidR="00D971D1" w:rsidRDefault="00D971D1" w:rsidP="007D77C7">
                  <w:pPr>
                    <w:pStyle w:val="TableUnitsRow"/>
                    <w:jc w:val="left"/>
                  </w:pPr>
                  <w:r>
                    <w:t>Labour supply (persons)</w:t>
                  </w:r>
                </w:p>
              </w:tc>
              <w:tc>
                <w:tcPr>
                  <w:tcW w:w="741" w:type="pct"/>
                </w:tcPr>
                <w:p w14:paraId="1F3A2A4C" w14:textId="77777777" w:rsidR="00D971D1" w:rsidRDefault="00D971D1" w:rsidP="007D77C7">
                  <w:pPr>
                    <w:pStyle w:val="TableUnitsRow"/>
                  </w:pPr>
                  <w:r>
                    <w:t>60</w:t>
                  </w:r>
                </w:p>
              </w:tc>
              <w:tc>
                <w:tcPr>
                  <w:tcW w:w="1151" w:type="pct"/>
                </w:tcPr>
                <w:p w14:paraId="157568D3" w14:textId="77777777" w:rsidR="00D971D1" w:rsidRDefault="00D971D1" w:rsidP="007D77C7">
                  <w:pPr>
                    <w:pStyle w:val="TableUnitsRow"/>
                  </w:pPr>
                  <w:r>
                    <w:t>60</w:t>
                  </w:r>
                </w:p>
              </w:tc>
              <w:tc>
                <w:tcPr>
                  <w:tcW w:w="986" w:type="pct"/>
                </w:tcPr>
                <w:p w14:paraId="54431781" w14:textId="77777777" w:rsidR="00D971D1" w:rsidRDefault="00D971D1" w:rsidP="007D77C7">
                  <w:pPr>
                    <w:pStyle w:val="TableUnitsRow"/>
                    <w:ind w:right="28"/>
                  </w:pPr>
                  <w:r>
                    <w:t>60</w:t>
                  </w:r>
                </w:p>
              </w:tc>
            </w:tr>
            <w:tr w:rsidR="00D971D1" w14:paraId="76EA2022" w14:textId="77777777" w:rsidTr="007D77C7">
              <w:tc>
                <w:tcPr>
                  <w:tcW w:w="2122" w:type="pct"/>
                </w:tcPr>
                <w:p w14:paraId="18CCF39D" w14:textId="77777777" w:rsidR="00D971D1" w:rsidRDefault="00D971D1" w:rsidP="007D77C7">
                  <w:pPr>
                    <w:pStyle w:val="TableUnitsRow"/>
                    <w:jc w:val="left"/>
                  </w:pPr>
                  <w:r>
                    <w:t>Real GDP</w:t>
                  </w:r>
                </w:p>
              </w:tc>
              <w:tc>
                <w:tcPr>
                  <w:tcW w:w="741" w:type="pct"/>
                </w:tcPr>
                <w:p w14:paraId="09AA8F27" w14:textId="77777777" w:rsidR="00D971D1" w:rsidRDefault="00D971D1" w:rsidP="007D77C7">
                  <w:pPr>
                    <w:pStyle w:val="TableUnitsRow"/>
                  </w:pPr>
                  <w:r>
                    <w:t>58</w:t>
                  </w:r>
                </w:p>
              </w:tc>
              <w:tc>
                <w:tcPr>
                  <w:tcW w:w="1151" w:type="pct"/>
                </w:tcPr>
                <w:p w14:paraId="6F4278B9" w14:textId="77777777" w:rsidR="00D971D1" w:rsidRDefault="00D971D1" w:rsidP="007D77C7">
                  <w:pPr>
                    <w:pStyle w:val="TableUnitsRow"/>
                  </w:pPr>
                  <w:r>
                    <w:t>59</w:t>
                  </w:r>
                </w:p>
              </w:tc>
              <w:tc>
                <w:tcPr>
                  <w:tcW w:w="986" w:type="pct"/>
                </w:tcPr>
                <w:p w14:paraId="641E3BD4" w14:textId="77777777" w:rsidR="00D971D1" w:rsidRDefault="00D971D1" w:rsidP="007D77C7">
                  <w:pPr>
                    <w:pStyle w:val="TableUnitsRow"/>
                    <w:ind w:right="28"/>
                  </w:pPr>
                  <w:r>
                    <w:t>59</w:t>
                  </w:r>
                </w:p>
              </w:tc>
            </w:tr>
            <w:tr w:rsidR="00D971D1" w14:paraId="5D8961EC" w14:textId="77777777" w:rsidTr="007D77C7">
              <w:tc>
                <w:tcPr>
                  <w:tcW w:w="2122" w:type="pct"/>
                </w:tcPr>
                <w:p w14:paraId="0EDFBCAE" w14:textId="77777777" w:rsidR="00D971D1" w:rsidRDefault="00D971D1" w:rsidP="007D77C7">
                  <w:pPr>
                    <w:pStyle w:val="TableUnitsRow"/>
                    <w:jc w:val="left"/>
                  </w:pPr>
                  <w:r>
                    <w:t xml:space="preserve">Real </w:t>
                  </w:r>
                  <w:proofErr w:type="spellStart"/>
                  <w:r>
                    <w:t>GNE</w:t>
                  </w:r>
                  <w:proofErr w:type="spellEnd"/>
                </w:p>
              </w:tc>
              <w:tc>
                <w:tcPr>
                  <w:tcW w:w="741" w:type="pct"/>
                </w:tcPr>
                <w:p w14:paraId="38560A25" w14:textId="77777777" w:rsidR="00D971D1" w:rsidRDefault="00D971D1" w:rsidP="007D77C7">
                  <w:pPr>
                    <w:pStyle w:val="TableUnitsRow"/>
                  </w:pPr>
                  <w:r>
                    <w:t>62</w:t>
                  </w:r>
                </w:p>
              </w:tc>
              <w:tc>
                <w:tcPr>
                  <w:tcW w:w="1151" w:type="pct"/>
                </w:tcPr>
                <w:p w14:paraId="57D00A5A" w14:textId="77777777" w:rsidR="00D971D1" w:rsidRDefault="00D971D1" w:rsidP="007D77C7">
                  <w:pPr>
                    <w:pStyle w:val="TableUnitsRow"/>
                  </w:pPr>
                  <w:r>
                    <w:t>69</w:t>
                  </w:r>
                </w:p>
              </w:tc>
              <w:tc>
                <w:tcPr>
                  <w:tcW w:w="986" w:type="pct"/>
                </w:tcPr>
                <w:p w14:paraId="632A0186" w14:textId="77777777" w:rsidR="00D971D1" w:rsidRDefault="00D971D1" w:rsidP="007D77C7">
                  <w:pPr>
                    <w:pStyle w:val="TableUnitsRow"/>
                    <w:ind w:right="28"/>
                  </w:pPr>
                  <w:r>
                    <w:t>63</w:t>
                  </w:r>
                </w:p>
              </w:tc>
            </w:tr>
            <w:tr w:rsidR="00D971D1" w14:paraId="71C2B028" w14:textId="77777777" w:rsidTr="007D77C7">
              <w:tc>
                <w:tcPr>
                  <w:tcW w:w="2122" w:type="pct"/>
                </w:tcPr>
                <w:p w14:paraId="7A7E7851" w14:textId="77777777" w:rsidR="00D971D1" w:rsidRDefault="00D971D1" w:rsidP="007D77C7">
                  <w:pPr>
                    <w:pStyle w:val="TableUnitsRow"/>
                    <w:jc w:val="left"/>
                  </w:pPr>
                  <w:r w:rsidRPr="007F7498">
                    <w:rPr>
                      <w:i/>
                    </w:rPr>
                    <w:t>of which</w:t>
                  </w:r>
                </w:p>
              </w:tc>
              <w:tc>
                <w:tcPr>
                  <w:tcW w:w="741" w:type="pct"/>
                </w:tcPr>
                <w:p w14:paraId="60DAB69B" w14:textId="77777777" w:rsidR="00D971D1" w:rsidRDefault="00D971D1" w:rsidP="007D77C7">
                  <w:pPr>
                    <w:pStyle w:val="TableUnitsRow"/>
                  </w:pPr>
                </w:p>
              </w:tc>
              <w:tc>
                <w:tcPr>
                  <w:tcW w:w="1151" w:type="pct"/>
                </w:tcPr>
                <w:p w14:paraId="419C49D3" w14:textId="77777777" w:rsidR="00D971D1" w:rsidRDefault="00D971D1" w:rsidP="007D77C7">
                  <w:pPr>
                    <w:pStyle w:val="TableUnitsRow"/>
                  </w:pPr>
                </w:p>
              </w:tc>
              <w:tc>
                <w:tcPr>
                  <w:tcW w:w="986" w:type="pct"/>
                </w:tcPr>
                <w:p w14:paraId="23C9049D" w14:textId="77777777" w:rsidR="00D971D1" w:rsidRDefault="00D971D1" w:rsidP="007D77C7">
                  <w:pPr>
                    <w:pStyle w:val="TableUnitsRow"/>
                    <w:ind w:right="28"/>
                  </w:pPr>
                </w:p>
              </w:tc>
            </w:tr>
            <w:tr w:rsidR="00D971D1" w14:paraId="3F937839" w14:textId="77777777" w:rsidTr="007D77C7">
              <w:tc>
                <w:tcPr>
                  <w:tcW w:w="2122" w:type="pct"/>
                </w:tcPr>
                <w:p w14:paraId="54ECE66A" w14:textId="77777777" w:rsidR="00D971D1" w:rsidRDefault="00D971D1" w:rsidP="007D77C7">
                  <w:pPr>
                    <w:pStyle w:val="TableUnitsRow"/>
                    <w:jc w:val="left"/>
                  </w:pPr>
                  <w:r>
                    <w:t>  Real household consumption</w:t>
                  </w:r>
                </w:p>
              </w:tc>
              <w:tc>
                <w:tcPr>
                  <w:tcW w:w="741" w:type="pct"/>
                </w:tcPr>
                <w:p w14:paraId="1F506254" w14:textId="77777777" w:rsidR="00D971D1" w:rsidRDefault="00D971D1" w:rsidP="007D77C7">
                  <w:pPr>
                    <w:pStyle w:val="TableUnitsRow"/>
                  </w:pPr>
                  <w:r>
                    <w:t>55</w:t>
                  </w:r>
                </w:p>
              </w:tc>
              <w:tc>
                <w:tcPr>
                  <w:tcW w:w="1151" w:type="pct"/>
                </w:tcPr>
                <w:p w14:paraId="69D8E09E" w14:textId="77777777" w:rsidR="00D971D1" w:rsidRDefault="00D971D1" w:rsidP="007D77C7">
                  <w:pPr>
                    <w:pStyle w:val="TableUnitsRow"/>
                  </w:pPr>
                  <w:r>
                    <w:t>57</w:t>
                  </w:r>
                </w:p>
              </w:tc>
              <w:tc>
                <w:tcPr>
                  <w:tcW w:w="986" w:type="pct"/>
                </w:tcPr>
                <w:p w14:paraId="402DFEC4" w14:textId="77777777" w:rsidR="00D971D1" w:rsidRDefault="00D971D1" w:rsidP="007D77C7">
                  <w:pPr>
                    <w:pStyle w:val="TableUnitsRow"/>
                    <w:ind w:right="28"/>
                  </w:pPr>
                  <w:r>
                    <w:t>55</w:t>
                  </w:r>
                </w:p>
              </w:tc>
            </w:tr>
            <w:tr w:rsidR="00D971D1" w14:paraId="7257BD92" w14:textId="77777777" w:rsidTr="007D77C7">
              <w:tc>
                <w:tcPr>
                  <w:tcW w:w="2122" w:type="pct"/>
                </w:tcPr>
                <w:p w14:paraId="17780670" w14:textId="77777777" w:rsidR="00D971D1" w:rsidRDefault="00D971D1" w:rsidP="007D77C7">
                  <w:pPr>
                    <w:pStyle w:val="TableUnitsRow"/>
                    <w:jc w:val="left"/>
                  </w:pPr>
                  <w:r>
                    <w:t>  Real government consumption</w:t>
                  </w:r>
                </w:p>
              </w:tc>
              <w:tc>
                <w:tcPr>
                  <w:tcW w:w="741" w:type="pct"/>
                </w:tcPr>
                <w:p w14:paraId="729BC775" w14:textId="77777777" w:rsidR="00D971D1" w:rsidRDefault="00D971D1" w:rsidP="007D77C7">
                  <w:pPr>
                    <w:pStyle w:val="TableUnitsRow"/>
                  </w:pPr>
                  <w:r>
                    <w:t>49</w:t>
                  </w:r>
                </w:p>
              </w:tc>
              <w:tc>
                <w:tcPr>
                  <w:tcW w:w="1151" w:type="pct"/>
                </w:tcPr>
                <w:p w14:paraId="5D3FCC5D" w14:textId="77777777" w:rsidR="00D971D1" w:rsidRDefault="00D971D1" w:rsidP="007D77C7">
                  <w:pPr>
                    <w:pStyle w:val="TableUnitsRow"/>
                  </w:pPr>
                  <w:r>
                    <w:t>52</w:t>
                  </w:r>
                </w:p>
              </w:tc>
              <w:tc>
                <w:tcPr>
                  <w:tcW w:w="986" w:type="pct"/>
                </w:tcPr>
                <w:p w14:paraId="738FE52C" w14:textId="77777777" w:rsidR="00D971D1" w:rsidRDefault="00D971D1" w:rsidP="007D77C7">
                  <w:pPr>
                    <w:pStyle w:val="TableUnitsRow"/>
                    <w:ind w:right="28"/>
                  </w:pPr>
                  <w:r>
                    <w:t>50</w:t>
                  </w:r>
                </w:p>
              </w:tc>
            </w:tr>
            <w:tr w:rsidR="00D971D1" w14:paraId="4C624425" w14:textId="77777777" w:rsidTr="007D77C7">
              <w:tc>
                <w:tcPr>
                  <w:tcW w:w="2122" w:type="pct"/>
                </w:tcPr>
                <w:p w14:paraId="2B107C28" w14:textId="77777777" w:rsidR="00D971D1" w:rsidRDefault="00D971D1" w:rsidP="007D77C7">
                  <w:pPr>
                    <w:pStyle w:val="TableUnitsRow"/>
                    <w:jc w:val="left"/>
                  </w:pPr>
                  <w:r>
                    <w:t>  Real investment</w:t>
                  </w:r>
                </w:p>
              </w:tc>
              <w:tc>
                <w:tcPr>
                  <w:tcW w:w="741" w:type="pct"/>
                </w:tcPr>
                <w:p w14:paraId="3277D696" w14:textId="77777777" w:rsidR="00D971D1" w:rsidRDefault="00D971D1" w:rsidP="007D77C7">
                  <w:pPr>
                    <w:pStyle w:val="TableUnitsRow"/>
                  </w:pPr>
                  <w:r>
                    <w:t>124</w:t>
                  </w:r>
                </w:p>
              </w:tc>
              <w:tc>
                <w:tcPr>
                  <w:tcW w:w="1151" w:type="pct"/>
                </w:tcPr>
                <w:p w14:paraId="3A6FF9FB" w14:textId="77777777" w:rsidR="00D971D1" w:rsidRDefault="00D971D1" w:rsidP="007D77C7">
                  <w:pPr>
                    <w:pStyle w:val="TableUnitsRow"/>
                  </w:pPr>
                  <w:r>
                    <w:t>166</w:t>
                  </w:r>
                </w:p>
              </w:tc>
              <w:tc>
                <w:tcPr>
                  <w:tcW w:w="986" w:type="pct"/>
                </w:tcPr>
                <w:p w14:paraId="74D5E294" w14:textId="77777777" w:rsidR="00D971D1" w:rsidRDefault="00D971D1" w:rsidP="007D77C7">
                  <w:pPr>
                    <w:pStyle w:val="TableUnitsRow"/>
                    <w:ind w:right="28"/>
                  </w:pPr>
                  <w:r>
                    <w:t>123</w:t>
                  </w:r>
                </w:p>
              </w:tc>
            </w:tr>
            <w:tr w:rsidR="00D971D1" w14:paraId="3766413E" w14:textId="77777777" w:rsidTr="007D77C7">
              <w:tc>
                <w:tcPr>
                  <w:tcW w:w="2122" w:type="pct"/>
                </w:tcPr>
                <w:p w14:paraId="70DD2D5C" w14:textId="77777777" w:rsidR="00D971D1" w:rsidRDefault="00D971D1" w:rsidP="007D77C7">
                  <w:pPr>
                    <w:pStyle w:val="TableUnitsRow"/>
                    <w:jc w:val="left"/>
                  </w:pPr>
                  <w:r>
                    <w:t>Export volumes</w:t>
                  </w:r>
                </w:p>
              </w:tc>
              <w:tc>
                <w:tcPr>
                  <w:tcW w:w="741" w:type="pct"/>
                </w:tcPr>
                <w:p w14:paraId="70220E2B" w14:textId="77777777" w:rsidR="00D971D1" w:rsidRDefault="00D971D1" w:rsidP="007D77C7">
                  <w:pPr>
                    <w:pStyle w:val="TableUnitsRow"/>
                  </w:pPr>
                  <w:r>
                    <w:t>49</w:t>
                  </w:r>
                </w:p>
              </w:tc>
              <w:tc>
                <w:tcPr>
                  <w:tcW w:w="1151" w:type="pct"/>
                </w:tcPr>
                <w:p w14:paraId="6586691A" w14:textId="77777777" w:rsidR="00D971D1" w:rsidRDefault="00D971D1" w:rsidP="007D77C7">
                  <w:pPr>
                    <w:pStyle w:val="TableUnitsRow"/>
                  </w:pPr>
                  <w:r>
                    <w:t>18</w:t>
                  </w:r>
                </w:p>
              </w:tc>
              <w:tc>
                <w:tcPr>
                  <w:tcW w:w="986" w:type="pct"/>
                </w:tcPr>
                <w:p w14:paraId="707AF06C" w14:textId="77777777" w:rsidR="00D971D1" w:rsidRDefault="00D971D1" w:rsidP="007D77C7">
                  <w:pPr>
                    <w:pStyle w:val="TableUnitsRow"/>
                    <w:ind w:right="28"/>
                  </w:pPr>
                  <w:r>
                    <w:t>50</w:t>
                  </w:r>
                </w:p>
              </w:tc>
            </w:tr>
            <w:tr w:rsidR="00D971D1" w14:paraId="2A5D3C66" w14:textId="77777777" w:rsidTr="007D77C7">
              <w:tc>
                <w:tcPr>
                  <w:tcW w:w="2122" w:type="pct"/>
                </w:tcPr>
                <w:p w14:paraId="68E1B17A" w14:textId="77777777" w:rsidR="00D971D1" w:rsidRDefault="00D971D1" w:rsidP="007D77C7">
                  <w:pPr>
                    <w:pStyle w:val="TableUnitsRow"/>
                    <w:jc w:val="left"/>
                  </w:pPr>
                  <w:r>
                    <w:t>Import volumes</w:t>
                  </w:r>
                </w:p>
              </w:tc>
              <w:tc>
                <w:tcPr>
                  <w:tcW w:w="741" w:type="pct"/>
                </w:tcPr>
                <w:p w14:paraId="356279E0" w14:textId="77777777" w:rsidR="00D971D1" w:rsidRDefault="00D971D1" w:rsidP="007D77C7">
                  <w:pPr>
                    <w:pStyle w:val="TableUnitsRow"/>
                  </w:pPr>
                  <w:r>
                    <w:t>70</w:t>
                  </w:r>
                </w:p>
              </w:tc>
              <w:tc>
                <w:tcPr>
                  <w:tcW w:w="1151" w:type="pct"/>
                </w:tcPr>
                <w:p w14:paraId="1DEA5713" w14:textId="77777777" w:rsidR="00D971D1" w:rsidRDefault="00D971D1" w:rsidP="007D77C7">
                  <w:pPr>
                    <w:pStyle w:val="TableUnitsRow"/>
                  </w:pPr>
                  <w:r>
                    <w:t>71</w:t>
                  </w:r>
                </w:p>
              </w:tc>
              <w:tc>
                <w:tcPr>
                  <w:tcW w:w="986" w:type="pct"/>
                </w:tcPr>
                <w:p w14:paraId="421B3F6E" w14:textId="77777777" w:rsidR="00D971D1" w:rsidRDefault="00D971D1" w:rsidP="007D77C7">
                  <w:pPr>
                    <w:pStyle w:val="TableUnitsRow"/>
                    <w:ind w:right="28"/>
                  </w:pPr>
                  <w:r>
                    <w:t>74</w:t>
                  </w:r>
                </w:p>
              </w:tc>
            </w:tr>
            <w:tr w:rsidR="00D971D1" w14:paraId="46E2A24D" w14:textId="77777777" w:rsidTr="007D77C7">
              <w:tc>
                <w:tcPr>
                  <w:tcW w:w="2122" w:type="pct"/>
                </w:tcPr>
                <w:p w14:paraId="55E2DBF0" w14:textId="77777777" w:rsidR="00D971D1" w:rsidRDefault="00D971D1" w:rsidP="007D77C7">
                  <w:pPr>
                    <w:pStyle w:val="TableUnitsRow"/>
                    <w:jc w:val="left"/>
                  </w:pPr>
                  <w:r>
                    <w:t>Real consumer wage</w:t>
                  </w:r>
                </w:p>
              </w:tc>
              <w:tc>
                <w:tcPr>
                  <w:tcW w:w="741" w:type="pct"/>
                </w:tcPr>
                <w:p w14:paraId="7B1C5994" w14:textId="77777777" w:rsidR="00D971D1" w:rsidRDefault="00D971D1" w:rsidP="007D77C7">
                  <w:pPr>
                    <w:pStyle w:val="TableUnitsRow"/>
                  </w:pPr>
                  <w:r>
                    <w:t>-13</w:t>
                  </w:r>
                </w:p>
              </w:tc>
              <w:tc>
                <w:tcPr>
                  <w:tcW w:w="1151" w:type="pct"/>
                </w:tcPr>
                <w:p w14:paraId="09A58957" w14:textId="77777777" w:rsidR="00D971D1" w:rsidRDefault="00D971D1" w:rsidP="007D77C7">
                  <w:pPr>
                    <w:pStyle w:val="TableUnitsRow"/>
                  </w:pPr>
                  <w:r>
                    <w:t>-15</w:t>
                  </w:r>
                </w:p>
              </w:tc>
              <w:tc>
                <w:tcPr>
                  <w:tcW w:w="986" w:type="pct"/>
                </w:tcPr>
                <w:p w14:paraId="2E928AC6" w14:textId="77777777" w:rsidR="00D971D1" w:rsidRDefault="00D971D1" w:rsidP="007D77C7">
                  <w:pPr>
                    <w:pStyle w:val="TableUnitsRow"/>
                    <w:ind w:right="28"/>
                  </w:pPr>
                  <w:r>
                    <w:t>-13</w:t>
                  </w:r>
                </w:p>
              </w:tc>
            </w:tr>
            <w:tr w:rsidR="00D971D1" w14:paraId="5822DE36" w14:textId="77777777" w:rsidTr="007D77C7">
              <w:tc>
                <w:tcPr>
                  <w:tcW w:w="2122" w:type="pct"/>
                </w:tcPr>
                <w:p w14:paraId="7F792BAD" w14:textId="77777777" w:rsidR="00D971D1" w:rsidRDefault="00D971D1" w:rsidP="007D77C7">
                  <w:pPr>
                    <w:pStyle w:val="TableUnitsRow"/>
                    <w:jc w:val="left"/>
                  </w:pPr>
                  <w:r>
                    <w:t>Real producer wage (unit labour costs)</w:t>
                  </w:r>
                </w:p>
              </w:tc>
              <w:tc>
                <w:tcPr>
                  <w:tcW w:w="741" w:type="pct"/>
                </w:tcPr>
                <w:p w14:paraId="668D8587" w14:textId="77777777" w:rsidR="00D971D1" w:rsidRDefault="00D971D1" w:rsidP="007D77C7">
                  <w:pPr>
                    <w:pStyle w:val="TableUnitsRow"/>
                  </w:pPr>
                  <w:r>
                    <w:t>-7</w:t>
                  </w:r>
                </w:p>
              </w:tc>
              <w:tc>
                <w:tcPr>
                  <w:tcW w:w="1151" w:type="pct"/>
                </w:tcPr>
                <w:p w14:paraId="5E488BA5" w14:textId="77777777" w:rsidR="00D971D1" w:rsidRDefault="00D971D1" w:rsidP="007D77C7">
                  <w:pPr>
                    <w:pStyle w:val="TableUnitsRow"/>
                  </w:pPr>
                  <w:r>
                    <w:t>-9</w:t>
                  </w:r>
                </w:p>
              </w:tc>
              <w:tc>
                <w:tcPr>
                  <w:tcW w:w="986" w:type="pct"/>
                </w:tcPr>
                <w:p w14:paraId="20221F98" w14:textId="77777777" w:rsidR="00D971D1" w:rsidRDefault="00D971D1" w:rsidP="007D77C7">
                  <w:pPr>
                    <w:pStyle w:val="TableUnitsRow"/>
                    <w:ind w:right="28"/>
                  </w:pPr>
                  <w:r>
                    <w:t>-7</w:t>
                  </w:r>
                </w:p>
              </w:tc>
            </w:tr>
            <w:tr w:rsidR="00D971D1" w14:paraId="572DB843" w14:textId="77777777" w:rsidTr="007D77C7">
              <w:tc>
                <w:tcPr>
                  <w:tcW w:w="2122" w:type="pct"/>
                </w:tcPr>
                <w:p w14:paraId="4CB3AF35" w14:textId="77777777" w:rsidR="00D971D1" w:rsidRDefault="00D971D1" w:rsidP="007D77C7">
                  <w:pPr>
                    <w:pStyle w:val="TableUnitsRow"/>
                    <w:jc w:val="left"/>
                  </w:pPr>
                  <w:r>
                    <w:t>Labour productivity</w:t>
                  </w:r>
                  <w:r w:rsidRPr="00422C14">
                    <w:rPr>
                      <w:rStyle w:val="NoteLabel"/>
                    </w:rPr>
                    <w:t>b</w:t>
                  </w:r>
                </w:p>
              </w:tc>
              <w:tc>
                <w:tcPr>
                  <w:tcW w:w="741" w:type="pct"/>
                </w:tcPr>
                <w:p w14:paraId="24556C2E" w14:textId="77777777" w:rsidR="00D971D1" w:rsidRDefault="00D971D1" w:rsidP="007D77C7">
                  <w:pPr>
                    <w:pStyle w:val="TableUnitsRow"/>
                  </w:pPr>
                  <w:r>
                    <w:t>-3</w:t>
                  </w:r>
                </w:p>
              </w:tc>
              <w:tc>
                <w:tcPr>
                  <w:tcW w:w="1151" w:type="pct"/>
                </w:tcPr>
                <w:p w14:paraId="7C23F813" w14:textId="77777777" w:rsidR="00D971D1" w:rsidRDefault="00D971D1" w:rsidP="007D77C7">
                  <w:pPr>
                    <w:pStyle w:val="TableUnitsRow"/>
                  </w:pPr>
                  <w:r>
                    <w:t>-5</w:t>
                  </w:r>
                </w:p>
              </w:tc>
              <w:tc>
                <w:tcPr>
                  <w:tcW w:w="986" w:type="pct"/>
                </w:tcPr>
                <w:p w14:paraId="0AF0E92A" w14:textId="77777777" w:rsidR="00D971D1" w:rsidRDefault="00D971D1" w:rsidP="007D77C7">
                  <w:pPr>
                    <w:pStyle w:val="TableUnitsRow"/>
                    <w:ind w:right="28"/>
                  </w:pPr>
                  <w:r>
                    <w:t>-3</w:t>
                  </w:r>
                </w:p>
              </w:tc>
            </w:tr>
            <w:tr w:rsidR="00D971D1" w14:paraId="1A16367E" w14:textId="77777777" w:rsidTr="007D77C7">
              <w:tc>
                <w:tcPr>
                  <w:tcW w:w="2122" w:type="pct"/>
                </w:tcPr>
                <w:p w14:paraId="1002D189" w14:textId="77777777" w:rsidR="00D971D1" w:rsidRDefault="00D971D1" w:rsidP="007D77C7">
                  <w:pPr>
                    <w:pStyle w:val="TableBodyText"/>
                    <w:jc w:val="left"/>
                  </w:pPr>
                  <w:r>
                    <w:t>GDP per capita</w:t>
                  </w:r>
                </w:p>
              </w:tc>
              <w:tc>
                <w:tcPr>
                  <w:tcW w:w="741" w:type="pct"/>
                </w:tcPr>
                <w:p w14:paraId="572D3D86" w14:textId="77777777" w:rsidR="00D971D1" w:rsidRDefault="00D971D1" w:rsidP="007D77C7">
                  <w:pPr>
                    <w:pStyle w:val="TableBodyText"/>
                  </w:pPr>
                  <w:r>
                    <w:t>5</w:t>
                  </w:r>
                </w:p>
              </w:tc>
              <w:tc>
                <w:tcPr>
                  <w:tcW w:w="1151" w:type="pct"/>
                </w:tcPr>
                <w:p w14:paraId="7D9E25D4" w14:textId="77777777" w:rsidR="00D971D1" w:rsidRDefault="00D971D1" w:rsidP="007D77C7">
                  <w:pPr>
                    <w:pStyle w:val="TableBodyText"/>
                  </w:pPr>
                  <w:r>
                    <w:t>6</w:t>
                  </w:r>
                </w:p>
              </w:tc>
              <w:tc>
                <w:tcPr>
                  <w:tcW w:w="986" w:type="pct"/>
                </w:tcPr>
                <w:p w14:paraId="371E224A" w14:textId="77777777" w:rsidR="00D971D1" w:rsidRDefault="00D971D1" w:rsidP="007D77C7">
                  <w:pPr>
                    <w:pStyle w:val="TableBodyText"/>
                    <w:ind w:right="28"/>
                  </w:pPr>
                  <w:r>
                    <w:t>6</w:t>
                  </w:r>
                </w:p>
              </w:tc>
            </w:tr>
            <w:tr w:rsidR="00D971D1" w14:paraId="49C26D89" w14:textId="77777777" w:rsidTr="007D77C7">
              <w:tc>
                <w:tcPr>
                  <w:tcW w:w="2122" w:type="pct"/>
                  <w:shd w:val="clear" w:color="auto" w:fill="auto"/>
                </w:tcPr>
                <w:p w14:paraId="61354FCC" w14:textId="77777777" w:rsidR="00D971D1" w:rsidRDefault="00D971D1" w:rsidP="007D77C7">
                  <w:pPr>
                    <w:pStyle w:val="TableBodyText"/>
                    <w:jc w:val="left"/>
                  </w:pPr>
                  <w:r>
                    <w:t>Household consumption per capita</w:t>
                  </w:r>
                </w:p>
              </w:tc>
              <w:tc>
                <w:tcPr>
                  <w:tcW w:w="741" w:type="pct"/>
                </w:tcPr>
                <w:p w14:paraId="55431EA6" w14:textId="77777777" w:rsidR="00D971D1" w:rsidRDefault="00D971D1" w:rsidP="007D77C7">
                  <w:pPr>
                    <w:pStyle w:val="TableBodyText"/>
                  </w:pPr>
                  <w:r>
                    <w:t>3</w:t>
                  </w:r>
                </w:p>
              </w:tc>
              <w:tc>
                <w:tcPr>
                  <w:tcW w:w="1151" w:type="pct"/>
                  <w:shd w:val="clear" w:color="auto" w:fill="auto"/>
                </w:tcPr>
                <w:p w14:paraId="0AFBA278" w14:textId="77777777" w:rsidR="00D971D1" w:rsidRDefault="00D971D1" w:rsidP="007D77C7">
                  <w:pPr>
                    <w:pStyle w:val="TableBodyText"/>
                  </w:pPr>
                  <w:r>
                    <w:t>5</w:t>
                  </w:r>
                </w:p>
              </w:tc>
              <w:tc>
                <w:tcPr>
                  <w:tcW w:w="986" w:type="pct"/>
                  <w:shd w:val="clear" w:color="auto" w:fill="auto"/>
                </w:tcPr>
                <w:p w14:paraId="7294991A" w14:textId="77777777" w:rsidR="00D971D1" w:rsidRDefault="00D971D1" w:rsidP="007D77C7">
                  <w:pPr>
                    <w:pStyle w:val="TableBodyText"/>
                    <w:ind w:right="28"/>
                  </w:pPr>
                  <w:r>
                    <w:t>4</w:t>
                  </w:r>
                </w:p>
              </w:tc>
            </w:tr>
            <w:tr w:rsidR="00D971D1" w14:paraId="7D65AC0E" w14:textId="77777777" w:rsidTr="007D77C7">
              <w:tc>
                <w:tcPr>
                  <w:tcW w:w="2122" w:type="pct"/>
                  <w:tcBorders>
                    <w:bottom w:val="single" w:sz="6" w:space="0" w:color="BFBFBF"/>
                  </w:tcBorders>
                  <w:shd w:val="clear" w:color="auto" w:fill="auto"/>
                </w:tcPr>
                <w:p w14:paraId="42F0FA9C" w14:textId="77777777" w:rsidR="00D971D1" w:rsidRDefault="00D971D1" w:rsidP="007D77C7">
                  <w:pPr>
                    <w:pStyle w:val="TableBodyText"/>
                    <w:jc w:val="left"/>
                  </w:pPr>
                  <w:proofErr w:type="spellStart"/>
                  <w:r>
                    <w:t>GNE</w:t>
                  </w:r>
                  <w:proofErr w:type="spellEnd"/>
                  <w:r>
                    <w:t xml:space="preserve"> per capita</w:t>
                  </w:r>
                </w:p>
              </w:tc>
              <w:tc>
                <w:tcPr>
                  <w:tcW w:w="741" w:type="pct"/>
                  <w:tcBorders>
                    <w:bottom w:val="single" w:sz="6" w:space="0" w:color="BFBFBF"/>
                  </w:tcBorders>
                </w:tcPr>
                <w:p w14:paraId="31CB0458" w14:textId="77777777" w:rsidR="00D971D1" w:rsidRDefault="00D971D1" w:rsidP="007D77C7">
                  <w:pPr>
                    <w:pStyle w:val="TableBodyText"/>
                  </w:pPr>
                  <w:r>
                    <w:t>8</w:t>
                  </w:r>
                </w:p>
              </w:tc>
              <w:tc>
                <w:tcPr>
                  <w:tcW w:w="1151" w:type="pct"/>
                  <w:tcBorders>
                    <w:bottom w:val="single" w:sz="6" w:space="0" w:color="BFBFBF"/>
                  </w:tcBorders>
                  <w:shd w:val="clear" w:color="auto" w:fill="auto"/>
                </w:tcPr>
                <w:p w14:paraId="54727D5B" w14:textId="77777777" w:rsidR="00D971D1" w:rsidRDefault="00D971D1" w:rsidP="007D77C7">
                  <w:pPr>
                    <w:pStyle w:val="TableBodyText"/>
                  </w:pPr>
                  <w:r>
                    <w:t>13</w:t>
                  </w:r>
                </w:p>
              </w:tc>
              <w:tc>
                <w:tcPr>
                  <w:tcW w:w="986" w:type="pct"/>
                  <w:tcBorders>
                    <w:bottom w:val="single" w:sz="6" w:space="0" w:color="BFBFBF"/>
                  </w:tcBorders>
                  <w:shd w:val="clear" w:color="auto" w:fill="auto"/>
                </w:tcPr>
                <w:p w14:paraId="474000A6" w14:textId="77777777" w:rsidR="00D971D1" w:rsidRDefault="00D971D1" w:rsidP="007D77C7">
                  <w:pPr>
                    <w:pStyle w:val="TableBodyText"/>
                    <w:ind w:right="28"/>
                  </w:pPr>
                  <w:r>
                    <w:t>8</w:t>
                  </w:r>
                </w:p>
              </w:tc>
            </w:tr>
            <w:tr w:rsidR="00D971D1" w14:paraId="0406417C" w14:textId="77777777" w:rsidTr="007D77C7">
              <w:tc>
                <w:tcPr>
                  <w:tcW w:w="5000" w:type="pct"/>
                  <w:gridSpan w:val="4"/>
                  <w:shd w:val="clear" w:color="auto" w:fill="auto"/>
                </w:tcPr>
                <w:p w14:paraId="4086876D" w14:textId="77777777" w:rsidR="00D971D1" w:rsidRDefault="00D971D1" w:rsidP="007D77C7">
                  <w:pPr>
                    <w:pStyle w:val="TableBodyText"/>
                    <w:jc w:val="left"/>
                    <w:rPr>
                      <w:i/>
                    </w:rPr>
                  </w:pPr>
                  <w:r>
                    <w:rPr>
                      <w:rStyle w:val="NoteLabel"/>
                    </w:rPr>
                    <w:t>a </w:t>
                  </w:r>
                  <w:r w:rsidRPr="00630F4B">
                    <w:t xml:space="preserve">This scenario embodies </w:t>
                  </w:r>
                  <w:r>
                    <w:t xml:space="preserve">assumptions that constrains adjustment of exports in response to assumed longer term movements in the terms of trade relative to the modelling of scenarios 1, 2 and 4. This constrains projected export changes and inflates projected investment changes. There are some lesser flow-on effects to other aggregate variables. </w:t>
                  </w:r>
                  <w:r w:rsidRPr="00422C14">
                    <w:rPr>
                      <w:rStyle w:val="NoteLabel"/>
                    </w:rPr>
                    <w:t>b</w:t>
                  </w:r>
                  <w:r>
                    <w:t> Real Gross Value Added (</w:t>
                  </w:r>
                  <w:proofErr w:type="spellStart"/>
                  <w:r>
                    <w:t>GVA</w:t>
                  </w:r>
                  <w:proofErr w:type="spellEnd"/>
                  <w:r>
                    <w:t>) per hour worked.</w:t>
                  </w:r>
                </w:p>
              </w:tc>
            </w:tr>
            <w:tr w:rsidR="00D971D1" w14:paraId="5F480088" w14:textId="77777777" w:rsidTr="007D77C7">
              <w:tc>
                <w:tcPr>
                  <w:tcW w:w="5000" w:type="pct"/>
                  <w:gridSpan w:val="4"/>
                  <w:shd w:val="clear" w:color="auto" w:fill="auto"/>
                </w:tcPr>
                <w:p w14:paraId="7F0AE033" w14:textId="77777777" w:rsidR="00D971D1" w:rsidRDefault="00D971D1" w:rsidP="007D77C7">
                  <w:pPr>
                    <w:pStyle w:val="Source"/>
                    <w:rPr>
                      <w:i/>
                    </w:rPr>
                  </w:pPr>
                  <w:r>
                    <w:rPr>
                      <w:i/>
                    </w:rPr>
                    <w:t>Source</w:t>
                  </w:r>
                  <w:r w:rsidRPr="00167F06">
                    <w:t xml:space="preserve">: </w:t>
                  </w:r>
                  <w:r>
                    <w:t>Productivity Commission preliminary projections.</w:t>
                  </w:r>
                </w:p>
              </w:tc>
            </w:tr>
          </w:tbl>
          <w:p w14:paraId="684952EC" w14:textId="77777777" w:rsidR="00D971D1" w:rsidRDefault="00D971D1" w:rsidP="007D77C7">
            <w:pPr>
              <w:pStyle w:val="Box"/>
            </w:pPr>
          </w:p>
        </w:tc>
      </w:tr>
      <w:tr w:rsidR="00D971D1" w:rsidRPr="000863A5" w14:paraId="71049BE7" w14:textId="77777777" w:rsidTr="007D77C7">
        <w:trPr>
          <w:gridAfter w:val="1"/>
          <w:wAfter w:w="138" w:type="dxa"/>
        </w:trPr>
        <w:tc>
          <w:tcPr>
            <w:tcW w:w="8771" w:type="dxa"/>
            <w:tcBorders>
              <w:top w:val="single" w:sz="6" w:space="0" w:color="78A22F"/>
              <w:left w:val="nil"/>
              <w:bottom w:val="nil"/>
              <w:right w:val="nil"/>
            </w:tcBorders>
          </w:tcPr>
          <w:p w14:paraId="55FD49CA" w14:textId="77777777" w:rsidR="00D971D1" w:rsidRPr="00626D32" w:rsidRDefault="00D971D1" w:rsidP="007D77C7">
            <w:pPr>
              <w:pStyle w:val="BoxSpaceBelow"/>
            </w:pPr>
          </w:p>
        </w:tc>
      </w:tr>
    </w:tbl>
    <w:p w14:paraId="7A5606B6" w14:textId="77777777" w:rsidR="002143F0" w:rsidRDefault="002143F0" w:rsidP="002143F0">
      <w:pPr>
        <w:pStyle w:val="BodyText"/>
      </w:pPr>
      <w:r>
        <w:t>In scenario 2, GDP is projected to be 58 per cent higher in 2059-60 relative to scenario 1. Similarly, real gross national expenditure (</w:t>
      </w:r>
      <w:proofErr w:type="spellStart"/>
      <w:r>
        <w:t>GNE</w:t>
      </w:r>
      <w:proofErr w:type="spellEnd"/>
      <w:r>
        <w:t xml:space="preserve">) and its three components (real household consumption, government consumption and investment), as well as exports and imports are </w:t>
      </w:r>
      <w:r>
        <w:lastRenderedPageBreak/>
        <w:t>projected to be higher under scenario 2. Because the average age of the population in scenario 2 is lower than scenario 1, growth in government health and aged care expenditure (discussed below) is attenuated relative to growth in overall real government consumption expenditure (which is indexed to real household consumption). Real government consumption in scenario 2 is accordingly projected to increase by less than household consumption. Higher domestic demand arising from a higher population is projected to increase the demand for imports but, with the increase in domestic absorption, exports are projected to increase less than imports.</w:t>
      </w:r>
    </w:p>
    <w:p w14:paraId="7B14B69B" w14:textId="77777777" w:rsidR="002143F0" w:rsidRDefault="002143F0" w:rsidP="002143F0">
      <w:pPr>
        <w:pStyle w:val="BodyText"/>
      </w:pPr>
      <w:r>
        <w:t xml:space="preserve">While GDP is projected to be substantially higher with NOM compared to the case without NOM, total GDP is shared among a larger population. For this reason, GDP per capita is projected to be only 5 per cent higher compared with scenario 1. </w:t>
      </w:r>
    </w:p>
    <w:p w14:paraId="3D1D197F" w14:textId="2067DEC7" w:rsidR="008846C7" w:rsidRDefault="008846C7" w:rsidP="002143F0">
      <w:pPr>
        <w:pStyle w:val="BodyText"/>
      </w:pPr>
      <w:r>
        <w:t>In scenario 2, the real consumption and producer wages are projected to increase over time, but at a slower rate compared to scenario 1. Over the period, the real consumer wage is projected to be lower by 13 per cent and real producer wage by 7 per cent compared with scenario 1. This difference mainly reflects the effect of a larger labour force relative to the size of the population, as well as lags between demand for and installation of new investment to meet the needs of a larger population and the relative effect of these changes in prices faced by consumers and producers.</w:t>
      </w:r>
      <w:r>
        <w:rPr>
          <w:rStyle w:val="FootnoteReference"/>
        </w:rPr>
        <w:footnoteReference w:id="7"/>
      </w:r>
    </w:p>
    <w:p w14:paraId="69C5D03A" w14:textId="64AE60D3" w:rsidR="00360B6B" w:rsidRDefault="00360B6B" w:rsidP="00360B6B">
      <w:pPr>
        <w:pStyle w:val="Heading4"/>
      </w:pPr>
      <w:r>
        <w:t xml:space="preserve">The impact of occupational and </w:t>
      </w:r>
      <w:proofErr w:type="spellStart"/>
      <w:r>
        <w:t>spillover</w:t>
      </w:r>
      <w:proofErr w:type="spellEnd"/>
      <w:r>
        <w:t xml:space="preserve"> benefits to labour productivity</w:t>
      </w:r>
    </w:p>
    <w:p w14:paraId="64D24385" w14:textId="77777777" w:rsidR="00360B6B" w:rsidRDefault="00360B6B" w:rsidP="00360B6B">
      <w:pPr>
        <w:pStyle w:val="BodyText"/>
      </w:pPr>
      <w:r>
        <w:t xml:space="preserve">Scenario 3 adopts the current occupational profile for NOM rather than the profile of the incumbent labour force. As described above, the NOM occupational profile, although broadly similar to that of the current labour force, is more heavily weighted towards professionals, community service workers and labourers. While the adoption of the alterative occupational profile has little effect on the projections of GDP between scenarios 2 and 3, it is projected to have some distributional effects that favour industries employing the more heavily represented workers, including less trade exposed service activities. As a consequence, real </w:t>
      </w:r>
      <w:proofErr w:type="spellStart"/>
      <w:r>
        <w:t>GNE</w:t>
      </w:r>
      <w:proofErr w:type="spellEnd"/>
      <w:r>
        <w:t xml:space="preserve"> on goods and services is projected to be higher and exports projected to be lower than scenario 2 relative to scenario 1. </w:t>
      </w:r>
    </w:p>
    <w:p w14:paraId="71752838" w14:textId="77777777" w:rsidR="00360B6B" w:rsidRDefault="00360B6B" w:rsidP="00360B6B">
      <w:pPr>
        <w:pStyle w:val="BodyText"/>
      </w:pPr>
      <w:r>
        <w:t>The projected downward pressure on real wages relative to scenarios 1 and 2 reflects the relatively high concentration of NOM (compared to the general labour force) in more labour intensive activities.</w:t>
      </w:r>
    </w:p>
    <w:p w14:paraId="3694E38E" w14:textId="77777777" w:rsidR="00360B6B" w:rsidRDefault="00360B6B" w:rsidP="00360B6B">
      <w:pPr>
        <w:pStyle w:val="BodyText"/>
      </w:pPr>
      <w:r>
        <w:t xml:space="preserve">Scenario 4 models the impacts of a 1 per cent increase in the annual growth of labour productivity over the projection period arising from prospective productivity </w:t>
      </w:r>
      <w:proofErr w:type="spellStart"/>
      <w:r>
        <w:t>spillover</w:t>
      </w:r>
      <w:proofErr w:type="spellEnd"/>
      <w:r>
        <w:t xml:space="preserve"> benefits of migration. In line with the assumed relatively small direct effect, the projected change to GDP relative to the other scenarios is modest. Similarly, because the </w:t>
      </w:r>
      <w:r>
        <w:lastRenderedPageBreak/>
        <w:t>productivity increase improves the trade competitiveness of the economy, it is projected to have distributional effects favouring trade exposed activities. Because of the relatively small direct effect (that is, a 1 per cent increase in the rate of growth) the deviation in projections of economic aggregates from scenario 2 is small.</w:t>
      </w:r>
    </w:p>
    <w:p w14:paraId="08EA9821" w14:textId="77777777" w:rsidR="00360B6B" w:rsidRDefault="00360B6B" w:rsidP="00360B6B">
      <w:pPr>
        <w:pStyle w:val="Heading3"/>
      </w:pPr>
      <w:r>
        <w:t>Regional effects</w:t>
      </w:r>
    </w:p>
    <w:p w14:paraId="2ADADFCA" w14:textId="77777777" w:rsidR="00360B6B" w:rsidRDefault="00360B6B" w:rsidP="00360B6B">
      <w:pPr>
        <w:pStyle w:val="BodyText"/>
      </w:pPr>
      <w:r>
        <w:t>According to the modelling, NOM will have varying demographic and economic effects across states and territories over the projected period. Figure </w:t>
      </w:r>
      <w:proofErr w:type="spellStart"/>
      <w:r>
        <w:t>A.8</w:t>
      </w:r>
      <w:proofErr w:type="spellEnd"/>
      <w:r>
        <w:t xml:space="preserve"> compares the growth in population, employment (measured in persons), GSP and GSP per person under the scenario without NOM (scenario 1) and with NOM (scenario 2). </w:t>
      </w:r>
    </w:p>
    <w:p w14:paraId="29C80BE5" w14:textId="66D26E42" w:rsidR="00360B6B" w:rsidRDefault="00360B6B" w:rsidP="00360B6B">
      <w:pPr>
        <w:pStyle w:val="BodyText"/>
      </w:pPr>
      <w:r>
        <w:t>Between 2013-14 and 2059-60, with only natural increase (scenario 1), the populations of New South Wales, Victoria, Queensland, South Australia, Western Australia and Tasmania are projected to increase by up to 16 per cent from current levels (figure </w:t>
      </w:r>
      <w:proofErr w:type="spellStart"/>
      <w:r>
        <w:t>A.8</w:t>
      </w:r>
      <w:proofErr w:type="spellEnd"/>
      <w:r>
        <w:t>, panel a). Populations in the territories which are more dependent on government (including health) service activities, are projected to increase proportionately more than other jurisdictions — by 57 and 86 per cent for the Northern Territory and the Australian Capital Territory, respectively. Growth in the labour force in each jurisdiction is projected to lag the growth in population on account of the projected ageing of the population (figure </w:t>
      </w:r>
      <w:proofErr w:type="spellStart"/>
      <w:r>
        <w:t>A.8</w:t>
      </w:r>
      <w:proofErr w:type="spellEnd"/>
      <w:r>
        <w:t>, panel b)</w:t>
      </w:r>
      <w:r w:rsidR="002143F0">
        <w:t>.</w:t>
      </w:r>
      <w:r>
        <w:t xml:space="preserve"> </w:t>
      </w:r>
    </w:p>
    <w:p w14:paraId="25DEF518" w14:textId="77777777" w:rsidR="008846C7" w:rsidRPr="008846C7" w:rsidRDefault="008846C7" w:rsidP="008846C7">
      <w:pPr>
        <w:pStyle w:val="BodyText"/>
        <w:rPr>
          <w:spacing w:val="-2"/>
        </w:rPr>
      </w:pPr>
      <w:r w:rsidRPr="008846C7">
        <w:rPr>
          <w:spacing w:val="-2"/>
        </w:rPr>
        <w:t>With NOM (scenario 2), the population is projected to increase across states and territories, but at different rates. Continued NOM to attract a relatively high concentration of working aged migrants would increase the supply of labour in the Australian economy and lower the age dependency ratio. This labour would find employment in existing centres and also support the expansion of new activities, projected to include more trade exposed-capital intensive activities, including those associated with mining and minerals processes across Australia. With the relative concentration of these activities in the economies of Western Australia and Northern Territory, populations are projected to expand in these states relative to other states (figure </w:t>
      </w:r>
      <w:proofErr w:type="spellStart"/>
      <w:r w:rsidRPr="008846C7">
        <w:rPr>
          <w:spacing w:val="-2"/>
        </w:rPr>
        <w:t>A.8</w:t>
      </w:r>
      <w:proofErr w:type="spellEnd"/>
      <w:r w:rsidRPr="008846C7">
        <w:rPr>
          <w:spacing w:val="-2"/>
        </w:rPr>
        <w:t xml:space="preserve">, panel a). The population in the Northern Territory and the Australian Capital Territory is also influenced by the above average projected expansion of government service activities. The populations of the more diversified states of New South Wales, Victoria and Queensland are projected to expand at roughly the national average rate. </w:t>
      </w:r>
    </w:p>
    <w:p w14:paraId="756D5FEC" w14:textId="77777777" w:rsidR="008846C7" w:rsidRDefault="008846C7" w:rsidP="008846C7">
      <w:pPr>
        <w:pStyle w:val="BodyText"/>
        <w:rPr>
          <w:spacing w:val="-2"/>
        </w:rPr>
      </w:pPr>
      <w:r w:rsidRPr="008846C7">
        <w:rPr>
          <w:spacing w:val="-2"/>
        </w:rPr>
        <w:t>GSP will increase with the employment of people as well as with increases in capital through investment and the productivity of labour and capital through multifactor productivity. Reflecting the combined effect of each of these sources of output growth, GSP is projected to expand in each jurisdiction by more than indicated by the expansion of state and territory employment in both the without NOM and with NOM scenarios (figure </w:t>
      </w:r>
      <w:proofErr w:type="spellStart"/>
      <w:r w:rsidRPr="008846C7">
        <w:rPr>
          <w:spacing w:val="-2"/>
        </w:rPr>
        <w:t>A.8</w:t>
      </w:r>
      <w:proofErr w:type="spellEnd"/>
      <w:r w:rsidRPr="008846C7">
        <w:rPr>
          <w:spacing w:val="-2"/>
        </w:rPr>
        <w:t xml:space="preserve">, panel c). </w:t>
      </w:r>
    </w:p>
    <w:p w14:paraId="7DCB322C" w14:textId="77777777" w:rsidR="00D971D1" w:rsidRDefault="00D971D1" w:rsidP="00D971D1">
      <w:pPr>
        <w:pStyle w:val="BodyText"/>
        <w:keepNext/>
        <w:keepLines/>
      </w:pPr>
      <w:r>
        <w:lastRenderedPageBreak/>
        <w:t>Growth of GSP per person is projected to differ between regions, however (figure </w:t>
      </w:r>
      <w:proofErr w:type="spellStart"/>
      <w:r>
        <w:t>A.8</w:t>
      </w:r>
      <w:proofErr w:type="spellEnd"/>
      <w:r>
        <w:t xml:space="preserve">, panel d). In the hypothetical without NOM case (scenario 1), per capita GSP growth is projected to be close to the national average for the more populous and industrially diversified states of New South Wales, Victoria and Queensland and lowest for the Northern Territory and the Australian Capital Territory, which includes a concentration of government service activities with low (or zero) assumed multifactor productivity growth. Northern Territory also has relatively low projected employment per capita lowering the productivity capacity of that region relative to other regions. </w:t>
      </w:r>
    </w:p>
    <w:p w14:paraId="2563B95F" w14:textId="77777777" w:rsidR="00D971D1" w:rsidRPr="008846C7" w:rsidRDefault="00D971D1" w:rsidP="008846C7">
      <w:pPr>
        <w:pStyle w:val="BodyText"/>
        <w:rPr>
          <w:spacing w:val="-2"/>
        </w:rPr>
      </w:pPr>
    </w:p>
    <w:p w14:paraId="46E55A25" w14:textId="251FB451"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6DCC1F5D" w14:textId="77777777" w:rsidTr="0052424C">
        <w:tc>
          <w:tcPr>
            <w:tcW w:w="8771" w:type="dxa"/>
            <w:tcBorders>
              <w:top w:val="single" w:sz="6" w:space="0" w:color="78A22F"/>
              <w:left w:val="nil"/>
              <w:bottom w:val="nil"/>
              <w:right w:val="nil"/>
            </w:tcBorders>
            <w:shd w:val="clear" w:color="auto" w:fill="auto"/>
          </w:tcPr>
          <w:p w14:paraId="67C0078B" w14:textId="77777777" w:rsidR="00360B6B"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8</w:t>
            </w:r>
            <w:proofErr w:type="spellEnd"/>
            <w:r w:rsidRPr="00784A05">
              <w:rPr>
                <w:b w:val="0"/>
              </w:rPr>
              <w:fldChar w:fldCharType="end"/>
            </w:r>
            <w:r>
              <w:tab/>
              <w:t>Impacts of NOM differ between states and territories</w:t>
            </w:r>
          </w:p>
          <w:p w14:paraId="4CEE51FC" w14:textId="77777777" w:rsidR="00360B6B" w:rsidRPr="00176D3F" w:rsidRDefault="00360B6B" w:rsidP="0052424C">
            <w:pPr>
              <w:pStyle w:val="Subtitle"/>
              <w:spacing w:after="0"/>
            </w:pPr>
            <w:r>
              <w:t>2059-60</w:t>
            </w:r>
          </w:p>
        </w:tc>
      </w:tr>
      <w:tr w:rsidR="00360B6B" w14:paraId="7399F01F"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60B6B" w14:paraId="3257804F" w14:textId="77777777" w:rsidTr="0052424C">
              <w:trPr>
                <w:trHeight w:val="153"/>
                <w:jc w:val="center"/>
              </w:trPr>
              <w:tc>
                <w:tcPr>
                  <w:tcW w:w="2500" w:type="pct"/>
                  <w:tcBorders>
                    <w:top w:val="nil"/>
                    <w:bottom w:val="nil"/>
                  </w:tcBorders>
                </w:tcPr>
                <w:p w14:paraId="4ADC256D" w14:textId="77777777" w:rsidR="00360B6B" w:rsidRPr="00013C9B" w:rsidRDefault="00360B6B" w:rsidP="00360B6B">
                  <w:pPr>
                    <w:pStyle w:val="Figure"/>
                    <w:numPr>
                      <w:ilvl w:val="0"/>
                      <w:numId w:val="25"/>
                    </w:numPr>
                    <w:spacing w:before="0" w:after="0"/>
                    <w:ind w:left="714" w:hanging="357"/>
                    <w:rPr>
                      <w:rFonts w:ascii="Arial" w:hAnsi="Arial" w:cs="Arial"/>
                      <w:b/>
                      <w:sz w:val="18"/>
                      <w:szCs w:val="18"/>
                    </w:rPr>
                  </w:pPr>
                  <w:r w:rsidRPr="00013C9B">
                    <w:rPr>
                      <w:rFonts w:ascii="Arial" w:hAnsi="Arial" w:cs="Arial"/>
                      <w:b/>
                      <w:sz w:val="18"/>
                      <w:szCs w:val="18"/>
                    </w:rPr>
                    <w:t>Population (persons)</w:t>
                  </w:r>
                </w:p>
              </w:tc>
              <w:tc>
                <w:tcPr>
                  <w:tcW w:w="2500" w:type="pct"/>
                  <w:tcBorders>
                    <w:top w:val="nil"/>
                    <w:bottom w:val="nil"/>
                  </w:tcBorders>
                </w:tcPr>
                <w:p w14:paraId="7A949CFD" w14:textId="77777777" w:rsidR="00360B6B" w:rsidRPr="00013C9B" w:rsidRDefault="00360B6B" w:rsidP="00360B6B">
                  <w:pPr>
                    <w:pStyle w:val="Figure"/>
                    <w:numPr>
                      <w:ilvl w:val="0"/>
                      <w:numId w:val="25"/>
                    </w:numPr>
                    <w:spacing w:before="0" w:after="0"/>
                    <w:ind w:left="714" w:hanging="357"/>
                    <w:rPr>
                      <w:rFonts w:ascii="Arial" w:hAnsi="Arial" w:cs="Arial"/>
                      <w:b/>
                      <w:sz w:val="18"/>
                      <w:szCs w:val="18"/>
                    </w:rPr>
                  </w:pPr>
                  <w:r w:rsidRPr="00013C9B">
                    <w:rPr>
                      <w:rFonts w:ascii="Arial" w:hAnsi="Arial" w:cs="Arial"/>
                      <w:b/>
                      <w:sz w:val="18"/>
                      <w:szCs w:val="18"/>
                    </w:rPr>
                    <w:t>Employment (in persons)</w:t>
                  </w:r>
                </w:p>
              </w:tc>
            </w:tr>
            <w:tr w:rsidR="00360B6B" w14:paraId="1551A72A" w14:textId="77777777" w:rsidTr="0052424C">
              <w:trPr>
                <w:trHeight w:val="153"/>
                <w:jc w:val="center"/>
              </w:trPr>
              <w:tc>
                <w:tcPr>
                  <w:tcW w:w="2500" w:type="pct"/>
                  <w:tcBorders>
                    <w:top w:val="nil"/>
                    <w:bottom w:val="nil"/>
                  </w:tcBorders>
                </w:tcPr>
                <w:p w14:paraId="61E22DD7" w14:textId="77777777" w:rsidR="00360B6B" w:rsidRDefault="00360B6B" w:rsidP="0052424C">
                  <w:pPr>
                    <w:pStyle w:val="Figure"/>
                    <w:spacing w:before="60" w:after="60"/>
                  </w:pPr>
                  <w:r>
                    <w:rPr>
                      <w:noProof/>
                    </w:rPr>
                    <w:drawing>
                      <wp:inline distT="0" distB="0" distL="0" distR="0" wp14:anchorId="360C43D7" wp14:editId="0F9369B2">
                        <wp:extent cx="2698750" cy="3327400"/>
                        <wp:effectExtent l="0" t="0" r="6350" b="6350"/>
                        <wp:docPr id="48" name="Picture 48" descr="This figure shows that the projected impacts of NOM differ between states and territories. The figure contains four panels.&#10;Panel a shows the projections of population in each of the eight states in 2059-60 under scenarios 1 and 2. This figure shows that, without NOM (scenario 1), the populations of New South Wales, Victoria, Queensland, South Australia, Western Australia and Tasmania are projected to increase by up to 16 per cent from current levels. Populations are projected to increase by 57 and 86 per cent for the Northern Territory and the Australian Capital Territory, respectively. With NOM, the state populations are projected to increase more. For example, the populations of New South Wales and Victoria are projected to increase by over 7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8750" cy="3327400"/>
                                </a:xfrm>
                                <a:prstGeom prst="rect">
                                  <a:avLst/>
                                </a:prstGeom>
                                <a:noFill/>
                                <a:ln>
                                  <a:noFill/>
                                </a:ln>
                              </pic:spPr>
                            </pic:pic>
                          </a:graphicData>
                        </a:graphic>
                      </wp:inline>
                    </w:drawing>
                  </w:r>
                </w:p>
              </w:tc>
              <w:tc>
                <w:tcPr>
                  <w:tcW w:w="2500" w:type="pct"/>
                  <w:tcBorders>
                    <w:top w:val="nil"/>
                    <w:bottom w:val="nil"/>
                  </w:tcBorders>
                </w:tcPr>
                <w:p w14:paraId="3D057476" w14:textId="77777777" w:rsidR="00360B6B" w:rsidRDefault="00360B6B" w:rsidP="0052424C">
                  <w:pPr>
                    <w:pStyle w:val="Figure"/>
                    <w:spacing w:before="60" w:after="60"/>
                  </w:pPr>
                  <w:r>
                    <w:rPr>
                      <w:noProof/>
                    </w:rPr>
                    <w:drawing>
                      <wp:inline distT="0" distB="0" distL="0" distR="0" wp14:anchorId="254A9C4B" wp14:editId="3A5ABFCA">
                        <wp:extent cx="2698750" cy="3327400"/>
                        <wp:effectExtent l="0" t="0" r="6350" b="6350"/>
                        <wp:docPr id="53" name="Picture 53" descr="Panel b shows the projections of employment (in persons) in each of the eight states in 2059-60 under scenarios 1 and 2. Growth in the workforce in each jurisdiction is projected to lag the growth in population on account of the projected ageing of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8750" cy="3327400"/>
                                </a:xfrm>
                                <a:prstGeom prst="rect">
                                  <a:avLst/>
                                </a:prstGeom>
                                <a:noFill/>
                                <a:ln>
                                  <a:noFill/>
                                </a:ln>
                              </pic:spPr>
                            </pic:pic>
                          </a:graphicData>
                        </a:graphic>
                      </wp:inline>
                    </w:drawing>
                  </w:r>
                </w:p>
              </w:tc>
            </w:tr>
            <w:tr w:rsidR="00360B6B" w14:paraId="70D2D434" w14:textId="77777777" w:rsidTr="0052424C">
              <w:trPr>
                <w:trHeight w:val="152"/>
                <w:jc w:val="center"/>
              </w:trPr>
              <w:tc>
                <w:tcPr>
                  <w:tcW w:w="2500" w:type="pct"/>
                  <w:tcBorders>
                    <w:top w:val="nil"/>
                    <w:bottom w:val="nil"/>
                  </w:tcBorders>
                </w:tcPr>
                <w:p w14:paraId="7886B6FE" w14:textId="77777777" w:rsidR="00360B6B" w:rsidRPr="00C7117F" w:rsidRDefault="00360B6B" w:rsidP="00360B6B">
                  <w:pPr>
                    <w:pStyle w:val="Figure"/>
                    <w:keepLines/>
                    <w:numPr>
                      <w:ilvl w:val="0"/>
                      <w:numId w:val="25"/>
                    </w:numPr>
                    <w:spacing w:before="0" w:after="0"/>
                    <w:ind w:left="714" w:hanging="357"/>
                    <w:rPr>
                      <w:rFonts w:ascii="Arial" w:hAnsi="Arial" w:cs="Arial"/>
                      <w:b/>
                      <w:i/>
                      <w:sz w:val="18"/>
                      <w:szCs w:val="18"/>
                    </w:rPr>
                  </w:pPr>
                  <w:r w:rsidRPr="00C7117F">
                    <w:rPr>
                      <w:rFonts w:ascii="Arial" w:hAnsi="Arial" w:cs="Arial"/>
                      <w:b/>
                      <w:sz w:val="18"/>
                      <w:szCs w:val="18"/>
                    </w:rPr>
                    <w:t>Gross State Product</w:t>
                  </w:r>
                  <w:r w:rsidRPr="00C7117F" w:rsidDel="0085294C">
                    <w:rPr>
                      <w:rFonts w:ascii="Arial" w:hAnsi="Arial" w:cs="Arial"/>
                      <w:b/>
                      <w:sz w:val="18"/>
                      <w:szCs w:val="18"/>
                    </w:rPr>
                    <w:t xml:space="preserve"> </w:t>
                  </w:r>
                  <w:r w:rsidRPr="00C7117F">
                    <w:rPr>
                      <w:rFonts w:ascii="Arial" w:hAnsi="Arial" w:cs="Arial"/>
                      <w:b/>
                      <w:sz w:val="18"/>
                      <w:szCs w:val="18"/>
                    </w:rPr>
                    <w:t>(GSP)</w:t>
                  </w:r>
                  <w:r w:rsidRPr="00C7117F" w:rsidDel="0085294C">
                    <w:rPr>
                      <w:rFonts w:ascii="Arial" w:hAnsi="Arial" w:cs="Arial"/>
                      <w:b/>
                      <w:sz w:val="18"/>
                      <w:szCs w:val="18"/>
                    </w:rPr>
                    <w:t xml:space="preserve"> </w:t>
                  </w:r>
                </w:p>
              </w:tc>
              <w:tc>
                <w:tcPr>
                  <w:tcW w:w="2500" w:type="pct"/>
                  <w:tcBorders>
                    <w:top w:val="nil"/>
                    <w:bottom w:val="nil"/>
                  </w:tcBorders>
                </w:tcPr>
                <w:p w14:paraId="63272C14" w14:textId="77777777" w:rsidR="00360B6B" w:rsidRPr="00C7117F" w:rsidRDefault="00360B6B" w:rsidP="00360B6B">
                  <w:pPr>
                    <w:pStyle w:val="Figure"/>
                    <w:keepLines/>
                    <w:numPr>
                      <w:ilvl w:val="0"/>
                      <w:numId w:val="25"/>
                    </w:numPr>
                    <w:spacing w:before="0" w:after="0"/>
                    <w:ind w:left="714" w:hanging="357"/>
                    <w:rPr>
                      <w:rFonts w:ascii="Arial" w:hAnsi="Arial" w:cs="Arial"/>
                      <w:b/>
                      <w:i/>
                      <w:sz w:val="18"/>
                      <w:szCs w:val="18"/>
                    </w:rPr>
                  </w:pPr>
                  <w:r w:rsidRPr="00C7117F">
                    <w:rPr>
                      <w:rFonts w:ascii="Arial" w:hAnsi="Arial" w:cs="Arial"/>
                      <w:b/>
                      <w:sz w:val="18"/>
                      <w:szCs w:val="18"/>
                    </w:rPr>
                    <w:t>Growth of GSP</w:t>
                  </w:r>
                  <w:r w:rsidRPr="00C7117F" w:rsidDel="0085294C">
                    <w:rPr>
                      <w:rFonts w:ascii="Arial" w:hAnsi="Arial" w:cs="Arial"/>
                      <w:b/>
                      <w:sz w:val="18"/>
                      <w:szCs w:val="18"/>
                    </w:rPr>
                    <w:t xml:space="preserve"> </w:t>
                  </w:r>
                  <w:r w:rsidRPr="00C7117F">
                    <w:rPr>
                      <w:rFonts w:ascii="Arial" w:hAnsi="Arial" w:cs="Arial"/>
                      <w:b/>
                      <w:sz w:val="18"/>
                      <w:szCs w:val="18"/>
                    </w:rPr>
                    <w:t>per person</w:t>
                  </w:r>
                </w:p>
              </w:tc>
            </w:tr>
            <w:tr w:rsidR="00360B6B" w14:paraId="0275BAB3" w14:textId="77777777" w:rsidTr="0052424C">
              <w:trPr>
                <w:trHeight w:val="152"/>
                <w:jc w:val="center"/>
              </w:trPr>
              <w:tc>
                <w:tcPr>
                  <w:tcW w:w="2500" w:type="pct"/>
                  <w:tcBorders>
                    <w:top w:val="nil"/>
                    <w:bottom w:val="nil"/>
                  </w:tcBorders>
                </w:tcPr>
                <w:p w14:paraId="6323C008" w14:textId="77777777" w:rsidR="00360B6B" w:rsidRDefault="00360B6B" w:rsidP="0052424C">
                  <w:pPr>
                    <w:pStyle w:val="Figure"/>
                    <w:spacing w:before="60" w:after="60"/>
                  </w:pPr>
                  <w:r>
                    <w:rPr>
                      <w:noProof/>
                    </w:rPr>
                    <w:drawing>
                      <wp:inline distT="0" distB="0" distL="0" distR="0" wp14:anchorId="467C7A5B" wp14:editId="306EC3F6">
                        <wp:extent cx="2698750" cy="3327400"/>
                        <wp:effectExtent l="0" t="0" r="6350" b="6350"/>
                        <wp:docPr id="50" name="Picture 50" descr="Panel c shows the projections of Gross State Product (GSP) in each of the eight states in 2059-60 under scenarios 1 and 2. GSP is projected to expand in each jurisdiction by more than indicated by the expansion of state and territory employment in both the without NOM and with NOM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8750" cy="3327400"/>
                                </a:xfrm>
                                <a:prstGeom prst="rect">
                                  <a:avLst/>
                                </a:prstGeom>
                                <a:noFill/>
                                <a:ln>
                                  <a:noFill/>
                                </a:ln>
                              </pic:spPr>
                            </pic:pic>
                          </a:graphicData>
                        </a:graphic>
                      </wp:inline>
                    </w:drawing>
                  </w:r>
                </w:p>
              </w:tc>
              <w:tc>
                <w:tcPr>
                  <w:tcW w:w="2500" w:type="pct"/>
                  <w:tcBorders>
                    <w:top w:val="nil"/>
                    <w:bottom w:val="nil"/>
                  </w:tcBorders>
                </w:tcPr>
                <w:p w14:paraId="6D8AD762" w14:textId="77777777" w:rsidR="00360B6B" w:rsidRDefault="00360B6B" w:rsidP="0052424C">
                  <w:pPr>
                    <w:pStyle w:val="Figure"/>
                    <w:spacing w:before="60" w:after="60"/>
                  </w:pPr>
                  <w:r>
                    <w:rPr>
                      <w:noProof/>
                    </w:rPr>
                    <w:drawing>
                      <wp:inline distT="0" distB="0" distL="0" distR="0" wp14:anchorId="2460721C" wp14:editId="2306696D">
                        <wp:extent cx="2698750" cy="3327400"/>
                        <wp:effectExtent l="0" t="0" r="6350" b="6350"/>
                        <wp:docPr id="51" name="Picture 51" descr="Panel d shows the projections of GSP per person in each of the eight states in 2059-60 under scenarios 1 and 2. Growth of GSP per person is projected to differ between regions. In scenario 1, per capita GSP growth is projected to be close to the national average for New South Wales, Victoria and Queensland and lowest for the Northern Territory and the Australian Capital Territory. With NOM (scenario 2), GSP per capita is projected to increase by more than the projected increases without NOM in all jurisdictions except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8750" cy="3327400"/>
                                </a:xfrm>
                                <a:prstGeom prst="rect">
                                  <a:avLst/>
                                </a:prstGeom>
                                <a:noFill/>
                                <a:ln>
                                  <a:noFill/>
                                </a:ln>
                              </pic:spPr>
                            </pic:pic>
                          </a:graphicData>
                        </a:graphic>
                      </wp:inline>
                    </w:drawing>
                  </w:r>
                </w:p>
              </w:tc>
            </w:tr>
          </w:tbl>
          <w:p w14:paraId="79880E4F" w14:textId="77777777" w:rsidR="00360B6B" w:rsidRDefault="00360B6B" w:rsidP="0052424C">
            <w:pPr>
              <w:pStyle w:val="Figure"/>
            </w:pPr>
          </w:p>
        </w:tc>
      </w:tr>
      <w:tr w:rsidR="00360B6B" w:rsidRPr="00176D3F" w14:paraId="0A327B0C" w14:textId="77777777" w:rsidTr="0052424C">
        <w:tc>
          <w:tcPr>
            <w:tcW w:w="8771" w:type="dxa"/>
            <w:tcBorders>
              <w:top w:val="nil"/>
              <w:left w:val="nil"/>
              <w:bottom w:val="nil"/>
              <w:right w:val="nil"/>
            </w:tcBorders>
            <w:shd w:val="clear" w:color="auto" w:fill="auto"/>
          </w:tcPr>
          <w:p w14:paraId="739DDCF4" w14:textId="77777777" w:rsidR="00360B6B" w:rsidRPr="00176D3F" w:rsidRDefault="00360B6B" w:rsidP="0052424C">
            <w:pPr>
              <w:pStyle w:val="Source"/>
            </w:pPr>
            <w:r>
              <w:rPr>
                <w:i/>
              </w:rPr>
              <w:t>S</w:t>
            </w:r>
            <w:r w:rsidRPr="00784A05">
              <w:rPr>
                <w:i/>
              </w:rPr>
              <w:t>ource</w:t>
            </w:r>
            <w:r w:rsidRPr="00176D3F">
              <w:t xml:space="preserve">: </w:t>
            </w:r>
            <w:r>
              <w:t>Productivity Commission preliminary projections.</w:t>
            </w:r>
          </w:p>
        </w:tc>
      </w:tr>
      <w:tr w:rsidR="00360B6B" w:rsidRPr="000863A5" w14:paraId="2434FCF7" w14:textId="77777777" w:rsidTr="0052424C">
        <w:tc>
          <w:tcPr>
            <w:tcW w:w="8771" w:type="dxa"/>
            <w:tcBorders>
              <w:top w:val="single" w:sz="6" w:space="0" w:color="78A22F"/>
              <w:left w:val="nil"/>
              <w:bottom w:val="nil"/>
              <w:right w:val="nil"/>
            </w:tcBorders>
          </w:tcPr>
          <w:p w14:paraId="4DA73F52" w14:textId="4C5558DF" w:rsidR="00360B6B" w:rsidRPr="00626D32" w:rsidRDefault="00360B6B" w:rsidP="0052424C">
            <w:pPr>
              <w:pStyle w:val="BoxSpaceBelow"/>
            </w:pPr>
          </w:p>
        </w:tc>
      </w:tr>
    </w:tbl>
    <w:p w14:paraId="6222B0E5" w14:textId="77777777" w:rsidR="002143F0" w:rsidRDefault="002143F0">
      <w:pPr>
        <w:rPr>
          <w:szCs w:val="20"/>
        </w:rPr>
      </w:pPr>
      <w:r>
        <w:br w:type="page"/>
      </w:r>
    </w:p>
    <w:p w14:paraId="51A2BA96" w14:textId="77777777" w:rsidR="00360B6B" w:rsidRDefault="00360B6B" w:rsidP="00360B6B">
      <w:pPr>
        <w:pStyle w:val="BodyText"/>
      </w:pPr>
      <w:r>
        <w:lastRenderedPageBreak/>
        <w:t>The impact of NOM on changes in the level of GSP per person is likely to vary considerably between regions and ultimately would be sensitive to the economic structure of regions as well as the occupational composition of NOM and state of settlement. Broadly, other things being equal, the smaller the projected NOM arrivals are as a share of the regional workforces, the larger is the GSP per person increase. The jurisdictions with lower NOM would benefit from increased demand for goods and services from other jurisdictions and the ability to recruit through interstate migration workers from other jurisdictions when it is competitive to do so. Projections for South Australia, Queensland and Tasmania are most affected by this effect, with New South Wales also affected (figure </w:t>
      </w:r>
      <w:proofErr w:type="spellStart"/>
      <w:r>
        <w:t>A.8</w:t>
      </w:r>
      <w:proofErr w:type="spellEnd"/>
      <w:r>
        <w:t xml:space="preserve"> panel d). </w:t>
      </w:r>
    </w:p>
    <w:p w14:paraId="6ADCF89D" w14:textId="77777777" w:rsidR="00360B6B" w:rsidRDefault="00360B6B" w:rsidP="00360B6B">
      <w:pPr>
        <w:pStyle w:val="BodyText"/>
      </w:pPr>
      <w:r>
        <w:t>The larger NOM is relative to the incumbent population, the smaller the increase in GSP per capita. This effect is most evident in the projections for Western Australia. This region has a relatively large projected population increase while changes in GSP are projected to broadly align with changes projected for other regions (figure </w:t>
      </w:r>
      <w:proofErr w:type="spellStart"/>
      <w:r>
        <w:t>A.8</w:t>
      </w:r>
      <w:proofErr w:type="spellEnd"/>
      <w:r>
        <w:t xml:space="preserve">, panels c and a). </w:t>
      </w:r>
    </w:p>
    <w:p w14:paraId="3A3A7CFF" w14:textId="77777777" w:rsidR="00360B6B" w:rsidRDefault="00360B6B" w:rsidP="00360B6B">
      <w:pPr>
        <w:pStyle w:val="Heading3"/>
      </w:pPr>
      <w:r>
        <w:t>Government revenue and expenditure implications</w:t>
      </w:r>
    </w:p>
    <w:p w14:paraId="70DA13EE" w14:textId="77777777" w:rsidR="00360B6B" w:rsidRDefault="00360B6B" w:rsidP="006E565F">
      <w:pPr>
        <w:pStyle w:val="BodyText"/>
        <w:spacing w:before="200"/>
      </w:pPr>
      <w:r>
        <w:t>Australia’s net migrant intake (scenario 2 and beyond) is projected to increase the level of revenues and expenditures of the Australian, state and territory governments to 2059-60 over the levels in the without NOM scenario (figure </w:t>
      </w:r>
      <w:proofErr w:type="spellStart"/>
      <w:r>
        <w:t>A.9</w:t>
      </w:r>
      <w:proofErr w:type="spellEnd"/>
      <w:r>
        <w:t xml:space="preserve"> panel a). </w:t>
      </w:r>
    </w:p>
    <w:p w14:paraId="793B94BB" w14:textId="77777777" w:rsidR="00360B6B" w:rsidRDefault="00360B6B" w:rsidP="006E565F">
      <w:pPr>
        <w:pStyle w:val="BodyText"/>
        <w:spacing w:before="200"/>
      </w:pPr>
      <w:r>
        <w:t>As GDP is projected to increase ahead of government revenue, government revenue as a share of GDP is projected to decline. The lower revenue growth reflects the slower growth of company taxes as the economy shifts to more labour intensive service activities. With a lower age-dependency ratio in the with NOM case, government expenses (inclusive of health and aged care) as a share of GDP is projected to be lower in the zero NOM case relative to the with migration case</w:t>
      </w:r>
      <w:r w:rsidDel="00DD03FC">
        <w:t xml:space="preserve"> </w:t>
      </w:r>
      <w:r>
        <w:t>(figure </w:t>
      </w:r>
      <w:proofErr w:type="spellStart"/>
      <w:r>
        <w:t>A.9</w:t>
      </w:r>
      <w:proofErr w:type="spellEnd"/>
      <w:r>
        <w:t xml:space="preserve">, panel b). </w:t>
      </w:r>
    </w:p>
    <w:p w14:paraId="7DC5D320" w14:textId="77777777" w:rsidR="00360B6B" w:rsidRDefault="00360B6B" w:rsidP="006E565F">
      <w:pPr>
        <w:pStyle w:val="BodyText"/>
        <w:spacing w:before="200"/>
      </w:pPr>
      <w:r>
        <w:t>Under the modelling assumption that government financial balances remains constant as a share of nominal GDP (at 2009-10 levels), any shortfall of projected revenues over expenses are transferred from households as a lump sum transfer to governments. In 2059</w:t>
      </w:r>
      <w:r>
        <w:noBreakHyphen/>
        <w:t xml:space="preserve">60, the transfer from households is projected to amount to 16 per cent of projected nominal GDP in the zero NOM case, compared to only 12 per cent of projected nominal GDP with migration. This highlights the sensitivity of government balances to small changes in aggregate revenues and expenses. </w:t>
      </w:r>
    </w:p>
    <w:p w14:paraId="1D08C04E" w14:textId="77777777" w:rsidR="00D971D1" w:rsidRDefault="00D971D1" w:rsidP="00D971D1">
      <w:pPr>
        <w:pStyle w:val="BodyText"/>
      </w:pPr>
      <w:r>
        <w:t>Over the projection period to 2059-60, the balance of Australian and state and territory government revenues and expenditures is projected to shift towards the state and territory governments (figure </w:t>
      </w:r>
      <w:proofErr w:type="spellStart"/>
      <w:r>
        <w:t>A.10</w:t>
      </w:r>
      <w:proofErr w:type="spellEnd"/>
      <w:r>
        <w:t>). In 2059-60, the share of state and territory government revenues are projected to increase by around 6 percentage points (from 40.2 to 46.1 per cent of GDP) in the zero migration case, compared to 5 percentage points (from 40.2 to 45.6 per cent) for the with NOM scenarios.</w:t>
      </w:r>
    </w:p>
    <w:p w14:paraId="6ECF2D46" w14:textId="77777777" w:rsidR="00D971D1" w:rsidRDefault="00D971D1" w:rsidP="006E565F">
      <w:pPr>
        <w:pStyle w:val="BodyText"/>
        <w:spacing w:before="200"/>
      </w:pPr>
    </w:p>
    <w:p w14:paraId="294162F2" w14:textId="013F4DDD" w:rsidR="00360B6B" w:rsidRDefault="00360B6B" w:rsidP="006E565F">
      <w:pPr>
        <w:pStyle w:val="BoxSpaceAbove"/>
        <w:spacing w:before="24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0DFA18A6" w14:textId="77777777" w:rsidTr="0052424C">
        <w:tc>
          <w:tcPr>
            <w:tcW w:w="8771" w:type="dxa"/>
            <w:tcBorders>
              <w:top w:val="single" w:sz="6" w:space="0" w:color="78A22F"/>
              <w:left w:val="nil"/>
              <w:bottom w:val="nil"/>
              <w:right w:val="nil"/>
            </w:tcBorders>
            <w:shd w:val="clear" w:color="auto" w:fill="auto"/>
          </w:tcPr>
          <w:p w14:paraId="4C7D9C2E" w14:textId="360FB9EF" w:rsidR="00360B6B" w:rsidRPr="002143F0" w:rsidRDefault="00360B6B" w:rsidP="002143F0">
            <w:pPr>
              <w:pStyle w:val="FigureTitle"/>
              <w:ind w:right="-138"/>
              <w:rPr>
                <w:spacing w:val="-2"/>
              </w:rPr>
            </w:pPr>
            <w:r w:rsidRPr="00784A05">
              <w:rPr>
                <w:b w:val="0"/>
              </w:rPr>
              <w:t xml:space="preserve">Figure </w:t>
            </w:r>
            <w:bookmarkStart w:id="5" w:name="OLE_LINK15"/>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9</w:t>
            </w:r>
            <w:proofErr w:type="spellEnd"/>
            <w:r w:rsidRPr="00784A05">
              <w:rPr>
                <w:b w:val="0"/>
              </w:rPr>
              <w:fldChar w:fldCharType="end"/>
            </w:r>
            <w:bookmarkEnd w:id="5"/>
            <w:r>
              <w:tab/>
            </w:r>
            <w:r w:rsidRPr="002143F0">
              <w:rPr>
                <w:spacing w:val="-2"/>
              </w:rPr>
              <w:t>The level of government revenues and expenditures are projected to increase, but decline as a share of GDP with migration</w:t>
            </w:r>
            <w:r w:rsidRPr="002143F0">
              <w:rPr>
                <w:rStyle w:val="NoteLabel"/>
                <w:b/>
                <w:spacing w:val="-2"/>
              </w:rPr>
              <w:t>a</w:t>
            </w:r>
          </w:p>
          <w:p w14:paraId="09DD6861" w14:textId="77777777" w:rsidR="00360B6B" w:rsidRPr="00176D3F" w:rsidRDefault="00360B6B" w:rsidP="0052424C">
            <w:pPr>
              <w:pStyle w:val="Subtitle"/>
            </w:pPr>
            <w:r>
              <w:t>2059-60</w:t>
            </w:r>
          </w:p>
        </w:tc>
      </w:tr>
      <w:tr w:rsidR="00360B6B" w14:paraId="4967E9BC"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60B6B" w14:paraId="53DEA11C" w14:textId="77777777" w:rsidTr="0052424C">
              <w:trPr>
                <w:trHeight w:val="195"/>
                <w:jc w:val="center"/>
              </w:trPr>
              <w:tc>
                <w:tcPr>
                  <w:tcW w:w="2500" w:type="pct"/>
                  <w:tcBorders>
                    <w:top w:val="nil"/>
                    <w:bottom w:val="nil"/>
                  </w:tcBorders>
                </w:tcPr>
                <w:p w14:paraId="4E904FC0" w14:textId="145CC7D7" w:rsidR="00360B6B" w:rsidRPr="00C7117F" w:rsidRDefault="00360B6B" w:rsidP="004148F5">
                  <w:pPr>
                    <w:pStyle w:val="TableColumnHeading"/>
                    <w:numPr>
                      <w:ilvl w:val="0"/>
                      <w:numId w:val="26"/>
                    </w:numPr>
                    <w:spacing w:before="0" w:after="0"/>
                    <w:ind w:left="233" w:hanging="227"/>
                    <w:jc w:val="center"/>
                    <w:rPr>
                      <w:b/>
                      <w:i w:val="0"/>
                      <w:szCs w:val="24"/>
                    </w:rPr>
                  </w:pPr>
                  <w:r w:rsidRPr="00C7117F">
                    <w:rPr>
                      <w:b/>
                      <w:i w:val="0"/>
                    </w:rPr>
                    <w:t xml:space="preserve">Revenues and expenses are higher </w:t>
                  </w:r>
                  <w:r w:rsidR="00FB41B6">
                    <w:rPr>
                      <w:b/>
                      <w:i w:val="0"/>
                    </w:rPr>
                    <w:br/>
                  </w:r>
                  <w:r w:rsidRPr="00C7117F">
                    <w:rPr>
                      <w:b/>
                      <w:i w:val="0"/>
                    </w:rPr>
                    <w:t>with NOM</w:t>
                  </w:r>
                </w:p>
              </w:tc>
              <w:tc>
                <w:tcPr>
                  <w:tcW w:w="2500" w:type="pct"/>
                  <w:tcBorders>
                    <w:top w:val="nil"/>
                    <w:bottom w:val="nil"/>
                  </w:tcBorders>
                </w:tcPr>
                <w:p w14:paraId="1150627A" w14:textId="77777777" w:rsidR="00360B6B" w:rsidRPr="00C7117F" w:rsidRDefault="00360B6B" w:rsidP="004148F5">
                  <w:pPr>
                    <w:pStyle w:val="TableColumnHeading"/>
                    <w:numPr>
                      <w:ilvl w:val="0"/>
                      <w:numId w:val="26"/>
                    </w:numPr>
                    <w:spacing w:before="0" w:after="0"/>
                    <w:ind w:left="233" w:hanging="227"/>
                    <w:jc w:val="center"/>
                    <w:rPr>
                      <w:b/>
                      <w:i w:val="0"/>
                      <w:szCs w:val="24"/>
                    </w:rPr>
                  </w:pPr>
                  <w:r w:rsidRPr="00C7117F">
                    <w:rPr>
                      <w:b/>
                      <w:i w:val="0"/>
                    </w:rPr>
                    <w:t>All governments’ revenues and expenses are lower as a share of GDP with NOM</w:t>
                  </w:r>
                </w:p>
              </w:tc>
            </w:tr>
            <w:tr w:rsidR="00360B6B" w14:paraId="57B4D733" w14:textId="77777777" w:rsidTr="0052424C">
              <w:tblPrEx>
                <w:tblCellMar>
                  <w:left w:w="108" w:type="dxa"/>
                  <w:right w:w="108" w:type="dxa"/>
                </w:tblCellMar>
              </w:tblPrEx>
              <w:trPr>
                <w:trHeight w:val="195"/>
                <w:jc w:val="center"/>
              </w:trPr>
              <w:tc>
                <w:tcPr>
                  <w:tcW w:w="2500" w:type="pct"/>
                  <w:tcBorders>
                    <w:top w:val="nil"/>
                    <w:bottom w:val="nil"/>
                  </w:tcBorders>
                </w:tcPr>
                <w:p w14:paraId="1ED79141" w14:textId="77777777" w:rsidR="00360B6B" w:rsidRDefault="00360B6B" w:rsidP="004148F5">
                  <w:pPr>
                    <w:pStyle w:val="Figure"/>
                    <w:spacing w:before="0" w:after="0"/>
                  </w:pPr>
                  <w:r>
                    <w:rPr>
                      <w:noProof/>
                    </w:rPr>
                    <w:drawing>
                      <wp:inline distT="0" distB="0" distL="0" distR="0" wp14:anchorId="4807387D" wp14:editId="13A643F2">
                        <wp:extent cx="2444400" cy="3009600"/>
                        <wp:effectExtent l="0" t="0" r="0" b="635"/>
                        <wp:docPr id="12" name="Picture 12" descr="This figure contains two panels. Panel a shows the projections of the levels of government revenues and expenditure in 2059-60 under scenarios 1 and 2. Australia’s NOM is projected to increase the level of revenues and expenditures of the Commonwealth, State and Territory governments to 2059-60 over the levels in the without NOM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4400" cy="3009600"/>
                                </a:xfrm>
                                <a:prstGeom prst="rect">
                                  <a:avLst/>
                                </a:prstGeom>
                                <a:noFill/>
                                <a:ln>
                                  <a:noFill/>
                                </a:ln>
                              </pic:spPr>
                            </pic:pic>
                          </a:graphicData>
                        </a:graphic>
                      </wp:inline>
                    </w:drawing>
                  </w:r>
                </w:p>
              </w:tc>
              <w:tc>
                <w:tcPr>
                  <w:tcW w:w="2500" w:type="pct"/>
                  <w:tcBorders>
                    <w:top w:val="nil"/>
                    <w:bottom w:val="nil"/>
                  </w:tcBorders>
                </w:tcPr>
                <w:p w14:paraId="4EEC3B89" w14:textId="77777777" w:rsidR="00360B6B" w:rsidRDefault="00360B6B" w:rsidP="004148F5">
                  <w:pPr>
                    <w:pStyle w:val="Figure"/>
                    <w:spacing w:before="0" w:after="0"/>
                  </w:pPr>
                  <w:r>
                    <w:rPr>
                      <w:noProof/>
                    </w:rPr>
                    <w:drawing>
                      <wp:inline distT="0" distB="0" distL="0" distR="0" wp14:anchorId="4FE43F98" wp14:editId="6C896145">
                        <wp:extent cx="2444400" cy="3009600"/>
                        <wp:effectExtent l="0" t="0" r="0" b="635"/>
                        <wp:docPr id="13" name="Picture 13" descr="Panel b shows that in 2059 60, both revenues and expenditures are slightly lower (as a per cent of nominal GDP) in the projections with NOM (scenario 2) compared to without NOM (scenario 1). There is a slight improvement to the fiscal balance in projections with NOM relative to the case without 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4400" cy="3009600"/>
                                </a:xfrm>
                                <a:prstGeom prst="rect">
                                  <a:avLst/>
                                </a:prstGeom>
                                <a:noFill/>
                                <a:ln>
                                  <a:noFill/>
                                </a:ln>
                              </pic:spPr>
                            </pic:pic>
                          </a:graphicData>
                        </a:graphic>
                      </wp:inline>
                    </w:drawing>
                  </w:r>
                </w:p>
              </w:tc>
            </w:tr>
          </w:tbl>
          <w:p w14:paraId="4FB0B6F6" w14:textId="77777777" w:rsidR="00360B6B" w:rsidRDefault="00360B6B" w:rsidP="004148F5">
            <w:pPr>
              <w:pStyle w:val="Figure"/>
              <w:spacing w:before="0" w:after="0"/>
            </w:pPr>
          </w:p>
        </w:tc>
      </w:tr>
      <w:tr w:rsidR="00360B6B" w:rsidRPr="00176D3F" w14:paraId="43AB6A87" w14:textId="77777777" w:rsidTr="006E565F">
        <w:tc>
          <w:tcPr>
            <w:tcW w:w="8771" w:type="dxa"/>
            <w:tcBorders>
              <w:top w:val="nil"/>
              <w:left w:val="nil"/>
              <w:bottom w:val="nil"/>
              <w:right w:val="nil"/>
            </w:tcBorders>
            <w:shd w:val="clear" w:color="auto" w:fill="auto"/>
          </w:tcPr>
          <w:p w14:paraId="327EC07E" w14:textId="77777777" w:rsidR="00360B6B" w:rsidRDefault="00360B6B" w:rsidP="006E565F">
            <w:pPr>
              <w:pStyle w:val="Source"/>
              <w:spacing w:before="0"/>
              <w:rPr>
                <w:i/>
              </w:rPr>
            </w:pPr>
            <w:r>
              <w:rPr>
                <w:rStyle w:val="NoteLabel"/>
              </w:rPr>
              <w:t xml:space="preserve">a </w:t>
            </w:r>
            <w:r w:rsidRPr="006B6C04">
              <w:rPr>
                <w:rStyle w:val="NoteChar"/>
              </w:rPr>
              <w:t xml:space="preserve">The lump-sum transfer from households to the Australian and </w:t>
            </w:r>
            <w:r>
              <w:rPr>
                <w:rStyle w:val="NoteChar"/>
              </w:rPr>
              <w:t>s</w:t>
            </w:r>
            <w:r w:rsidRPr="006B6C04">
              <w:rPr>
                <w:rStyle w:val="NoteChar"/>
              </w:rPr>
              <w:t xml:space="preserve">tate and </w:t>
            </w:r>
            <w:r>
              <w:rPr>
                <w:rStyle w:val="NoteChar"/>
              </w:rPr>
              <w:t>t</w:t>
            </w:r>
            <w:r w:rsidRPr="006B6C04">
              <w:rPr>
                <w:rStyle w:val="NoteChar"/>
              </w:rPr>
              <w:t>erritory governments is excluded from the above charts. Figure</w:t>
            </w:r>
            <w:r>
              <w:rPr>
                <w:rStyle w:val="NoteChar"/>
              </w:rPr>
              <w:t> </w:t>
            </w:r>
            <w:r w:rsidRPr="006B6C04">
              <w:rPr>
                <w:rStyle w:val="NoteChar"/>
              </w:rPr>
              <w:t>8.6 in the draft report includes the lump sum transfer.</w:t>
            </w:r>
          </w:p>
        </w:tc>
      </w:tr>
      <w:tr w:rsidR="00360B6B" w:rsidRPr="00176D3F" w14:paraId="26283513" w14:textId="77777777" w:rsidTr="006E565F">
        <w:tc>
          <w:tcPr>
            <w:tcW w:w="8771" w:type="dxa"/>
            <w:tcBorders>
              <w:top w:val="nil"/>
              <w:left w:val="nil"/>
              <w:bottom w:val="single" w:sz="4" w:space="0" w:color="78A22F" w:themeColor="accent1"/>
              <w:right w:val="nil"/>
            </w:tcBorders>
            <w:shd w:val="clear" w:color="auto" w:fill="auto"/>
          </w:tcPr>
          <w:p w14:paraId="2222A532" w14:textId="77777777" w:rsidR="00360B6B" w:rsidRPr="00176D3F" w:rsidRDefault="00360B6B" w:rsidP="006E565F">
            <w:pPr>
              <w:pStyle w:val="Source"/>
              <w:spacing w:after="80"/>
            </w:pPr>
            <w:r>
              <w:rPr>
                <w:i/>
              </w:rPr>
              <w:t>S</w:t>
            </w:r>
            <w:r w:rsidRPr="00784A05">
              <w:rPr>
                <w:i/>
              </w:rPr>
              <w:t>ource</w:t>
            </w:r>
            <w:r w:rsidRPr="00176D3F">
              <w:t xml:space="preserve">: </w:t>
            </w:r>
            <w:r>
              <w:t>Productivity Commission preliminary projections.</w:t>
            </w:r>
          </w:p>
        </w:tc>
      </w:tr>
    </w:tbl>
    <w:p w14:paraId="689B0A59" w14:textId="65FF0A3A" w:rsidR="00D971D1" w:rsidRDefault="00360B6B" w:rsidP="00360B6B">
      <w:pPr>
        <w:pStyle w:val="BodyText"/>
        <w:rPr>
          <w:spacing w:val="-2"/>
        </w:rPr>
      </w:pPr>
      <w:r w:rsidRPr="002143F0">
        <w:rPr>
          <w:spacing w:val="-2"/>
        </w:rPr>
        <w:t>The shift in revenue from the Australian Government towards the state and territory governments is caused by a projected increase in the sales of goods and services for the state and territory governments. Contributing to this shift in revenue towards the state and territory governments is a projected decline in the share of Australian Government taxation revenue from company income taxation as a proportion of total Australian Government revenue.</w:t>
      </w:r>
    </w:p>
    <w:p w14:paraId="53BB3BC4" w14:textId="77777777" w:rsidR="00D971D1" w:rsidRPr="00FB41B6" w:rsidRDefault="00D971D1" w:rsidP="00D971D1">
      <w:pPr>
        <w:pStyle w:val="BodyText"/>
        <w:rPr>
          <w:b/>
        </w:rPr>
      </w:pPr>
      <w:r>
        <w:t>The projected expenditure shares between the Australian Government and the state and territory governments’ also shift towards the state and territory governments. By 2059</w:t>
      </w:r>
      <w:r>
        <w:noBreakHyphen/>
        <w:t>60, there is a projected shift in expenditure shares towards the state and territory governments of around 10 percentage points both with and without NOM. This shift in expenditure shares is caused by a projected increase in the share of state and territory governments’ gross operating expenses (namely expenditure on health) as a proportion of the state and territory governments’ total expenditure.</w:t>
      </w:r>
    </w:p>
    <w:p w14:paraId="4C7C32F2" w14:textId="77777777" w:rsidR="00D971D1" w:rsidRDefault="00D971D1" w:rsidP="00360B6B">
      <w:pPr>
        <w:pStyle w:val="BodyText"/>
        <w:rPr>
          <w:spacing w:val="-2"/>
        </w:rPr>
      </w:pPr>
    </w:p>
    <w:p w14:paraId="04385334" w14:textId="77777777" w:rsidR="00D971D1" w:rsidRDefault="00D971D1">
      <w:pPr>
        <w:rPr>
          <w:spacing w:val="-2"/>
          <w:szCs w:val="20"/>
        </w:rPr>
      </w:pPr>
      <w:r>
        <w:rPr>
          <w:spacing w:val="-2"/>
        </w:rPr>
        <w:br w:type="page"/>
      </w:r>
    </w:p>
    <w:p w14:paraId="17244886" w14:textId="77777777" w:rsidR="00360B6B" w:rsidRPr="002143F0" w:rsidRDefault="00360B6B" w:rsidP="00360B6B">
      <w:pPr>
        <w:pStyle w:val="BodyText"/>
        <w:rPr>
          <w:spacing w:val="-2"/>
        </w:rPr>
      </w:pPr>
    </w:p>
    <w:p w14:paraId="69D2DA1B" w14:textId="104CE56E"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0A0DF7D4" w14:textId="77777777" w:rsidTr="0052424C">
        <w:tc>
          <w:tcPr>
            <w:tcW w:w="8771" w:type="dxa"/>
            <w:tcBorders>
              <w:top w:val="single" w:sz="6" w:space="0" w:color="78A22F"/>
              <w:left w:val="nil"/>
              <w:bottom w:val="nil"/>
              <w:right w:val="nil"/>
            </w:tcBorders>
            <w:shd w:val="clear" w:color="auto" w:fill="auto"/>
          </w:tcPr>
          <w:p w14:paraId="59061EC4" w14:textId="77777777" w:rsidR="00360B6B"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10</w:t>
            </w:r>
            <w:proofErr w:type="spellEnd"/>
            <w:r w:rsidRPr="00784A05">
              <w:rPr>
                <w:b w:val="0"/>
              </w:rPr>
              <w:fldChar w:fldCharType="end"/>
            </w:r>
            <w:r>
              <w:tab/>
              <w:t>The balance of projected revenues and expenses shifts towards the state and territory governments</w:t>
            </w:r>
          </w:p>
          <w:p w14:paraId="5AD720B0" w14:textId="02C75FD8" w:rsidR="00360B6B" w:rsidRPr="00B54651" w:rsidRDefault="00360B6B" w:rsidP="0052424C">
            <w:pPr>
              <w:pStyle w:val="Subtitle"/>
            </w:pPr>
            <w:r>
              <w:t>Actual and projected fiscal shares,</w:t>
            </w:r>
            <w:proofErr w:type="spellStart"/>
            <w:r w:rsidRPr="006422C5">
              <w:rPr>
                <w:rStyle w:val="NoteLabel"/>
              </w:rPr>
              <w:t>a,b,c</w:t>
            </w:r>
            <w:proofErr w:type="spellEnd"/>
            <w:r>
              <w:t xml:space="preserve"> </w:t>
            </w:r>
          </w:p>
        </w:tc>
      </w:tr>
      <w:tr w:rsidR="00360B6B" w14:paraId="69339794"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60B6B" w14:paraId="582495CC" w14:textId="77777777" w:rsidTr="0052424C">
              <w:trPr>
                <w:trHeight w:val="195"/>
                <w:jc w:val="center"/>
              </w:trPr>
              <w:tc>
                <w:tcPr>
                  <w:tcW w:w="2500" w:type="pct"/>
                  <w:tcBorders>
                    <w:top w:val="nil"/>
                    <w:bottom w:val="nil"/>
                  </w:tcBorders>
                </w:tcPr>
                <w:p w14:paraId="54E9251B" w14:textId="77777777" w:rsidR="00360B6B" w:rsidRPr="00C7117F" w:rsidRDefault="00360B6B" w:rsidP="004148F5">
                  <w:pPr>
                    <w:pStyle w:val="Figure"/>
                    <w:numPr>
                      <w:ilvl w:val="0"/>
                      <w:numId w:val="27"/>
                    </w:numPr>
                    <w:spacing w:before="0" w:after="0"/>
                    <w:rPr>
                      <w:rFonts w:ascii="Arial" w:hAnsi="Arial" w:cs="Arial"/>
                      <w:b/>
                      <w:sz w:val="18"/>
                      <w:szCs w:val="18"/>
                    </w:rPr>
                  </w:pPr>
                  <w:r w:rsidRPr="00C7117F">
                    <w:rPr>
                      <w:rFonts w:ascii="Arial" w:hAnsi="Arial" w:cs="Arial"/>
                      <w:b/>
                      <w:sz w:val="18"/>
                      <w:szCs w:val="18"/>
                    </w:rPr>
                    <w:t>Actual, 2013-14</w:t>
                  </w:r>
                </w:p>
              </w:tc>
              <w:tc>
                <w:tcPr>
                  <w:tcW w:w="2500" w:type="pct"/>
                  <w:tcBorders>
                    <w:top w:val="nil"/>
                    <w:bottom w:val="nil"/>
                  </w:tcBorders>
                </w:tcPr>
                <w:p w14:paraId="0F415347" w14:textId="77777777" w:rsidR="00360B6B" w:rsidRPr="00C7117F" w:rsidRDefault="00360B6B" w:rsidP="004148F5">
                  <w:pPr>
                    <w:pStyle w:val="Figure"/>
                    <w:numPr>
                      <w:ilvl w:val="0"/>
                      <w:numId w:val="27"/>
                    </w:numPr>
                    <w:spacing w:before="0" w:after="0"/>
                    <w:rPr>
                      <w:rFonts w:ascii="Arial" w:hAnsi="Arial" w:cs="Arial"/>
                      <w:b/>
                      <w:sz w:val="18"/>
                      <w:szCs w:val="18"/>
                    </w:rPr>
                  </w:pPr>
                  <w:r w:rsidRPr="00C7117F">
                    <w:rPr>
                      <w:rFonts w:ascii="Arial" w:hAnsi="Arial" w:cs="Arial"/>
                      <w:b/>
                      <w:sz w:val="18"/>
                      <w:szCs w:val="18"/>
                    </w:rPr>
                    <w:t>Projected, 2059-60</w:t>
                  </w:r>
                </w:p>
              </w:tc>
            </w:tr>
            <w:tr w:rsidR="00360B6B" w14:paraId="6C02FA9D" w14:textId="77777777" w:rsidTr="0052424C">
              <w:trPr>
                <w:trHeight w:val="195"/>
                <w:jc w:val="center"/>
              </w:trPr>
              <w:tc>
                <w:tcPr>
                  <w:tcW w:w="2500" w:type="pct"/>
                  <w:tcBorders>
                    <w:top w:val="nil"/>
                    <w:bottom w:val="nil"/>
                  </w:tcBorders>
                </w:tcPr>
                <w:p w14:paraId="0E938622" w14:textId="77777777" w:rsidR="00360B6B" w:rsidRDefault="00360B6B" w:rsidP="004148F5">
                  <w:pPr>
                    <w:pStyle w:val="Figure"/>
                    <w:spacing w:before="0" w:after="60"/>
                  </w:pPr>
                  <w:r>
                    <w:rPr>
                      <w:noProof/>
                    </w:rPr>
                    <w:drawing>
                      <wp:inline distT="0" distB="0" distL="0" distR="0" wp14:anchorId="7EEF817F" wp14:editId="4547E498">
                        <wp:extent cx="2698750" cy="3416300"/>
                        <wp:effectExtent l="0" t="0" r="6350" b="0"/>
                        <wp:docPr id="56" name="Picture 56" descr="This figure contains two panels that compare the shares of the revenues and expenditures by Commonwealth and State and Territory governments in 2013 14 (panel a) and 2059 60 (panel b). Over the projection period to 2059-60, the balance of Australian and State and Territory government revenues and expenditures is projected to shift towards the State and Territory governments in scenarios 1 and 2, in similar propor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8750" cy="3416300"/>
                                </a:xfrm>
                                <a:prstGeom prst="rect">
                                  <a:avLst/>
                                </a:prstGeom>
                                <a:noFill/>
                                <a:ln>
                                  <a:noFill/>
                                </a:ln>
                              </pic:spPr>
                            </pic:pic>
                          </a:graphicData>
                        </a:graphic>
                      </wp:inline>
                    </w:drawing>
                  </w:r>
                </w:p>
              </w:tc>
              <w:tc>
                <w:tcPr>
                  <w:tcW w:w="2500" w:type="pct"/>
                  <w:tcBorders>
                    <w:top w:val="nil"/>
                    <w:bottom w:val="nil"/>
                  </w:tcBorders>
                </w:tcPr>
                <w:p w14:paraId="4C8D83B8" w14:textId="77777777" w:rsidR="00360B6B" w:rsidRDefault="00360B6B" w:rsidP="004148F5">
                  <w:pPr>
                    <w:pStyle w:val="Figure"/>
                    <w:spacing w:before="0" w:after="60"/>
                  </w:pPr>
                  <w:r>
                    <w:rPr>
                      <w:noProof/>
                    </w:rPr>
                    <w:drawing>
                      <wp:inline distT="0" distB="0" distL="0" distR="0" wp14:anchorId="72196492" wp14:editId="53342E92">
                        <wp:extent cx="2697480" cy="3421380"/>
                        <wp:effectExtent l="0" t="0" r="7620" b="7620"/>
                        <wp:docPr id="20" name="Picture 20" descr="See the description for pane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7480" cy="3421380"/>
                                </a:xfrm>
                                <a:prstGeom prst="rect">
                                  <a:avLst/>
                                </a:prstGeom>
                                <a:noFill/>
                                <a:ln>
                                  <a:noFill/>
                                </a:ln>
                              </pic:spPr>
                            </pic:pic>
                          </a:graphicData>
                        </a:graphic>
                      </wp:inline>
                    </w:drawing>
                  </w:r>
                </w:p>
              </w:tc>
            </w:tr>
          </w:tbl>
          <w:p w14:paraId="495551E5" w14:textId="77777777" w:rsidR="00360B6B" w:rsidRDefault="00360B6B" w:rsidP="004148F5">
            <w:pPr>
              <w:pStyle w:val="Figure"/>
              <w:spacing w:before="0"/>
            </w:pPr>
          </w:p>
        </w:tc>
      </w:tr>
      <w:tr w:rsidR="00360B6B" w:rsidRPr="00176D3F" w14:paraId="06E657D1" w14:textId="77777777" w:rsidTr="0052424C">
        <w:tc>
          <w:tcPr>
            <w:tcW w:w="8771" w:type="dxa"/>
            <w:tcBorders>
              <w:top w:val="nil"/>
              <w:left w:val="nil"/>
              <w:bottom w:val="nil"/>
              <w:right w:val="nil"/>
            </w:tcBorders>
            <w:shd w:val="clear" w:color="auto" w:fill="auto"/>
          </w:tcPr>
          <w:p w14:paraId="7B4AFD5A" w14:textId="77777777" w:rsidR="00360B6B" w:rsidRPr="00CE3BC9" w:rsidRDefault="00360B6B" w:rsidP="002143F0">
            <w:pPr>
              <w:pStyle w:val="Note"/>
              <w:spacing w:before="0"/>
            </w:pPr>
            <w:r>
              <w:rPr>
                <w:rStyle w:val="NoteLabel"/>
              </w:rPr>
              <w:t>a</w:t>
            </w:r>
            <w:r>
              <w:t xml:space="preserve"> </w:t>
            </w:r>
            <w:r w:rsidRPr="00EC7905">
              <w:rPr>
                <w:lang w:val="en-US"/>
              </w:rPr>
              <w:t>Australian Government</w:t>
            </w:r>
            <w:r w:rsidRPr="00EC7905">
              <w:t xml:space="preserve">: </w:t>
            </w:r>
            <w:proofErr w:type="spellStart"/>
            <w:r w:rsidRPr="00EC7905">
              <w:rPr>
                <w:i/>
                <w:iCs/>
              </w:rPr>
              <w:t>GFS</w:t>
            </w:r>
            <w:proofErr w:type="spellEnd"/>
            <w:r w:rsidRPr="00EC7905">
              <w:rPr>
                <w:i/>
                <w:iCs/>
              </w:rPr>
              <w:t xml:space="preserve"> Revenue</w:t>
            </w:r>
            <w:r w:rsidRPr="00EC7905">
              <w:t xml:space="preserve">. State, </w:t>
            </w:r>
            <w:r>
              <w:t>t</w:t>
            </w:r>
            <w:r w:rsidRPr="00EC7905">
              <w:t>erritory &amp; local:</w:t>
            </w:r>
            <w:r w:rsidRPr="00EC7905">
              <w:rPr>
                <w:i/>
                <w:iCs/>
              </w:rPr>
              <w:t xml:space="preserve"> </w:t>
            </w:r>
            <w:proofErr w:type="spellStart"/>
            <w:r w:rsidRPr="00EC7905">
              <w:rPr>
                <w:i/>
                <w:iCs/>
              </w:rPr>
              <w:t>GFS</w:t>
            </w:r>
            <w:proofErr w:type="spellEnd"/>
            <w:r w:rsidRPr="00EC7905">
              <w:rPr>
                <w:i/>
                <w:iCs/>
              </w:rPr>
              <w:t xml:space="preserve"> Revenue</w:t>
            </w:r>
            <w:r w:rsidRPr="00EC7905">
              <w:t xml:space="preserve"> less revenue from </w:t>
            </w:r>
            <w:r w:rsidRPr="00EC7905">
              <w:rPr>
                <w:i/>
                <w:iCs/>
              </w:rPr>
              <w:t>Current grants and subsidies</w:t>
            </w:r>
            <w:r>
              <w:t xml:space="preserve">. </w:t>
            </w:r>
            <w:r>
              <w:rPr>
                <w:rStyle w:val="NoteLabel"/>
              </w:rPr>
              <w:t>b</w:t>
            </w:r>
            <w:r>
              <w:t xml:space="preserve"> Australian Government: </w:t>
            </w:r>
            <w:proofErr w:type="spellStart"/>
            <w:r>
              <w:rPr>
                <w:i/>
              </w:rPr>
              <w:t>GFS</w:t>
            </w:r>
            <w:proofErr w:type="spellEnd"/>
            <w:r>
              <w:rPr>
                <w:i/>
              </w:rPr>
              <w:t xml:space="preserve"> Expenses </w:t>
            </w:r>
            <w:r>
              <w:t xml:space="preserve">less revenue from </w:t>
            </w:r>
            <w:r>
              <w:rPr>
                <w:i/>
              </w:rPr>
              <w:t xml:space="preserve">Current grants and subsidies </w:t>
            </w:r>
            <w:r>
              <w:t xml:space="preserve">received by state, territory &amp; local governments. State, territory &amp; local: </w:t>
            </w:r>
            <w:proofErr w:type="spellStart"/>
            <w:r>
              <w:rPr>
                <w:i/>
              </w:rPr>
              <w:t>GFS</w:t>
            </w:r>
            <w:proofErr w:type="spellEnd"/>
            <w:r>
              <w:rPr>
                <w:i/>
              </w:rPr>
              <w:t xml:space="preserve"> Expenses</w:t>
            </w:r>
            <w:r>
              <w:t xml:space="preserve">. </w:t>
            </w:r>
            <w:r>
              <w:br/>
            </w:r>
            <w:r>
              <w:rPr>
                <w:rStyle w:val="NoteLabel"/>
              </w:rPr>
              <w:t xml:space="preserve">c </w:t>
            </w:r>
            <w:r w:rsidRPr="005362DA">
              <w:t>Excludes the lump sum payment from the household to the government</w:t>
            </w:r>
            <w:r>
              <w:t>s</w:t>
            </w:r>
            <w:r w:rsidRPr="005362DA">
              <w:t>.</w:t>
            </w:r>
          </w:p>
        </w:tc>
      </w:tr>
      <w:tr w:rsidR="00360B6B" w:rsidRPr="00176D3F" w14:paraId="62DC78E2" w14:textId="77777777" w:rsidTr="0052424C">
        <w:tc>
          <w:tcPr>
            <w:tcW w:w="8771" w:type="dxa"/>
            <w:tcBorders>
              <w:top w:val="nil"/>
              <w:left w:val="nil"/>
              <w:bottom w:val="nil"/>
              <w:right w:val="nil"/>
            </w:tcBorders>
            <w:shd w:val="clear" w:color="auto" w:fill="auto"/>
          </w:tcPr>
          <w:p w14:paraId="4DC3929D" w14:textId="77777777" w:rsidR="00360B6B" w:rsidRPr="00176D3F" w:rsidRDefault="00360B6B" w:rsidP="0052424C">
            <w:pPr>
              <w:pStyle w:val="Source"/>
            </w:pPr>
            <w:r>
              <w:rPr>
                <w:i/>
              </w:rPr>
              <w:t>S</w:t>
            </w:r>
            <w:r w:rsidRPr="00784A05">
              <w:rPr>
                <w:i/>
              </w:rPr>
              <w:t>ource</w:t>
            </w:r>
            <w:r w:rsidRPr="00176D3F">
              <w:t xml:space="preserve">: </w:t>
            </w:r>
            <w:r>
              <w:t>Productivity Commission preliminary projections.</w:t>
            </w:r>
          </w:p>
        </w:tc>
      </w:tr>
      <w:tr w:rsidR="00360B6B" w14:paraId="5A5B304D" w14:textId="77777777" w:rsidTr="0052424C">
        <w:tc>
          <w:tcPr>
            <w:tcW w:w="8771" w:type="dxa"/>
            <w:tcBorders>
              <w:top w:val="nil"/>
              <w:left w:val="nil"/>
              <w:bottom w:val="single" w:sz="6" w:space="0" w:color="78A22F"/>
              <w:right w:val="nil"/>
            </w:tcBorders>
            <w:shd w:val="clear" w:color="auto" w:fill="auto"/>
          </w:tcPr>
          <w:p w14:paraId="3F166CDD" w14:textId="77777777" w:rsidR="00360B6B" w:rsidRDefault="00360B6B" w:rsidP="0052424C">
            <w:pPr>
              <w:pStyle w:val="Figurespace"/>
            </w:pPr>
          </w:p>
        </w:tc>
      </w:tr>
      <w:tr w:rsidR="00360B6B" w:rsidRPr="000863A5" w14:paraId="28C50194" w14:textId="77777777" w:rsidTr="0052424C">
        <w:tc>
          <w:tcPr>
            <w:tcW w:w="8771" w:type="dxa"/>
            <w:tcBorders>
              <w:top w:val="single" w:sz="6" w:space="0" w:color="78A22F"/>
              <w:left w:val="nil"/>
              <w:bottom w:val="nil"/>
              <w:right w:val="nil"/>
            </w:tcBorders>
          </w:tcPr>
          <w:p w14:paraId="7758E7E4" w14:textId="710A5798" w:rsidR="00360B6B" w:rsidRPr="00626D32" w:rsidRDefault="00360B6B" w:rsidP="0052424C">
            <w:pPr>
              <w:pStyle w:val="BoxSpaceBelow"/>
            </w:pPr>
          </w:p>
        </w:tc>
      </w:tr>
    </w:tbl>
    <w:p w14:paraId="58B7D501" w14:textId="77777777" w:rsidR="00360B6B" w:rsidRDefault="00360B6B" w:rsidP="00360B6B">
      <w:pPr>
        <w:pStyle w:val="Heading3"/>
      </w:pPr>
      <w:r>
        <w:t>Increased infrastructure service provision</w:t>
      </w:r>
    </w:p>
    <w:p w14:paraId="1F736267" w14:textId="77777777" w:rsidR="00360B6B" w:rsidRPr="00B419FA" w:rsidRDefault="00360B6B" w:rsidP="00360B6B">
      <w:pPr>
        <w:pStyle w:val="BodyText"/>
      </w:pPr>
      <w:r>
        <w:t>A larger population and economy could be expected to be associated with higher levels of activity in infrastructure service provision, such as roads and utility services. Reflecting this likelihood, economic activity in the electricity, gas, water and waste services (</w:t>
      </w:r>
      <w:proofErr w:type="spellStart"/>
      <w:r>
        <w:t>EGWWS</w:t>
      </w:r>
      <w:proofErr w:type="spellEnd"/>
      <w:r>
        <w:t>) and domestically oriented transport industries are projected to grow broadly in line with GDP in both the hypothetical without and with NOM scenarios (figure </w:t>
      </w:r>
      <w:proofErr w:type="spellStart"/>
      <w:r>
        <w:t>A.11</w:t>
      </w:r>
      <w:proofErr w:type="spellEnd"/>
      <w:r>
        <w:t>).</w:t>
      </w:r>
    </w:p>
    <w:p w14:paraId="2892D77F" w14:textId="34CF499F"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44300C0E" w14:textId="77777777" w:rsidTr="0052424C">
        <w:tc>
          <w:tcPr>
            <w:tcW w:w="8771" w:type="dxa"/>
            <w:tcBorders>
              <w:top w:val="single" w:sz="6" w:space="0" w:color="78A22F"/>
              <w:left w:val="nil"/>
              <w:bottom w:val="nil"/>
              <w:right w:val="nil"/>
            </w:tcBorders>
            <w:shd w:val="clear" w:color="auto" w:fill="auto"/>
          </w:tcPr>
          <w:p w14:paraId="2461E0F4" w14:textId="77777777" w:rsidR="00360B6B"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11</w:t>
            </w:r>
            <w:proofErr w:type="spellEnd"/>
            <w:r w:rsidRPr="00784A05">
              <w:rPr>
                <w:b w:val="0"/>
              </w:rPr>
              <w:fldChar w:fldCharType="end"/>
            </w:r>
            <w:r>
              <w:tab/>
              <w:t>The level of activity in infrastructure industries is expected to increase with migration to 2059-60</w:t>
            </w:r>
          </w:p>
          <w:p w14:paraId="59FFC4DC" w14:textId="77777777" w:rsidR="00360B6B" w:rsidRPr="00176D3F" w:rsidRDefault="00360B6B" w:rsidP="0052424C">
            <w:pPr>
              <w:pStyle w:val="Subtitle"/>
            </w:pPr>
            <w:r>
              <w:t>Industry gross value added (</w:t>
            </w:r>
            <w:proofErr w:type="spellStart"/>
            <w:r>
              <w:t>GVA</w:t>
            </w:r>
            <w:proofErr w:type="spellEnd"/>
            <w:r>
              <w:t>)</w:t>
            </w:r>
          </w:p>
        </w:tc>
      </w:tr>
      <w:tr w:rsidR="00360B6B" w14:paraId="2C8139E6"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8504"/>
            </w:tblGrid>
            <w:tr w:rsidR="00360B6B" w14:paraId="1E61C8CC" w14:textId="77777777" w:rsidTr="0052424C">
              <w:trPr>
                <w:jc w:val="center"/>
              </w:trPr>
              <w:tc>
                <w:tcPr>
                  <w:tcW w:w="5000" w:type="pct"/>
                  <w:tcBorders>
                    <w:top w:val="nil"/>
                    <w:bottom w:val="nil"/>
                  </w:tcBorders>
                </w:tcPr>
                <w:p w14:paraId="024B50A7" w14:textId="77777777" w:rsidR="00360B6B" w:rsidRDefault="00360B6B" w:rsidP="008846C7">
                  <w:pPr>
                    <w:pStyle w:val="Figure"/>
                    <w:spacing w:before="0" w:after="0"/>
                  </w:pPr>
                  <w:r>
                    <w:rPr>
                      <w:noProof/>
                    </w:rPr>
                    <w:drawing>
                      <wp:inline distT="0" distB="0" distL="0" distR="0" wp14:anchorId="13EB88B5" wp14:editId="4DE85049">
                        <wp:extent cx="5394960" cy="3192780"/>
                        <wp:effectExtent l="0" t="0" r="0" b="7620"/>
                        <wp:docPr id="14" name="Picture 14" descr="This figure shows the projections of the industry gross value added (GVA) in Electricity, Gas, Water and Waste Services (EGWWS) and Transport, as well as GDP in 2059-60 under scenarios 1 and 2. EGWWS and Transport industries are projected to grow broadly in line with GDP in both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3192780"/>
                                </a:xfrm>
                                <a:prstGeom prst="rect">
                                  <a:avLst/>
                                </a:prstGeom>
                                <a:noFill/>
                                <a:ln>
                                  <a:noFill/>
                                </a:ln>
                              </pic:spPr>
                            </pic:pic>
                          </a:graphicData>
                        </a:graphic>
                      </wp:inline>
                    </w:drawing>
                  </w:r>
                </w:p>
              </w:tc>
            </w:tr>
          </w:tbl>
          <w:p w14:paraId="28610172" w14:textId="77777777" w:rsidR="00360B6B" w:rsidRDefault="00360B6B" w:rsidP="0052424C">
            <w:pPr>
              <w:pStyle w:val="Figure"/>
            </w:pPr>
          </w:p>
        </w:tc>
      </w:tr>
      <w:tr w:rsidR="00360B6B" w:rsidRPr="00176D3F" w14:paraId="5CC111B2" w14:textId="77777777" w:rsidTr="0052424C">
        <w:tc>
          <w:tcPr>
            <w:tcW w:w="8771" w:type="dxa"/>
            <w:tcBorders>
              <w:top w:val="nil"/>
              <w:left w:val="nil"/>
              <w:bottom w:val="nil"/>
              <w:right w:val="nil"/>
            </w:tcBorders>
            <w:shd w:val="clear" w:color="auto" w:fill="auto"/>
          </w:tcPr>
          <w:p w14:paraId="7496EAF8" w14:textId="77777777" w:rsidR="00360B6B" w:rsidRPr="00176D3F" w:rsidRDefault="00360B6B" w:rsidP="0052424C">
            <w:pPr>
              <w:pStyle w:val="Note"/>
            </w:pPr>
            <w:r>
              <w:rPr>
                <w:rStyle w:val="NoteLabel"/>
              </w:rPr>
              <w:t>a</w:t>
            </w:r>
            <w:r>
              <w:t xml:space="preserve"> </w:t>
            </w:r>
            <w:proofErr w:type="spellStart"/>
            <w:r>
              <w:t>EGWWS</w:t>
            </w:r>
            <w:proofErr w:type="spellEnd"/>
            <w:r>
              <w:t xml:space="preserve"> is the Electricity, Gas, Water and Waste Services industry.</w:t>
            </w:r>
          </w:p>
        </w:tc>
      </w:tr>
      <w:tr w:rsidR="00360B6B" w:rsidRPr="00176D3F" w14:paraId="6443995C" w14:textId="77777777" w:rsidTr="0052424C">
        <w:tc>
          <w:tcPr>
            <w:tcW w:w="8771" w:type="dxa"/>
            <w:tcBorders>
              <w:top w:val="nil"/>
              <w:left w:val="nil"/>
              <w:bottom w:val="nil"/>
              <w:right w:val="nil"/>
            </w:tcBorders>
            <w:shd w:val="clear" w:color="auto" w:fill="auto"/>
          </w:tcPr>
          <w:p w14:paraId="75D0BF30" w14:textId="77777777" w:rsidR="00360B6B" w:rsidRPr="00176D3F" w:rsidRDefault="00360B6B" w:rsidP="0052424C">
            <w:pPr>
              <w:pStyle w:val="Source"/>
            </w:pPr>
            <w:r>
              <w:rPr>
                <w:i/>
              </w:rPr>
              <w:t>S</w:t>
            </w:r>
            <w:r w:rsidRPr="00784A05">
              <w:rPr>
                <w:i/>
              </w:rPr>
              <w:t>ource</w:t>
            </w:r>
            <w:r w:rsidRPr="00176D3F">
              <w:t xml:space="preserve">: </w:t>
            </w:r>
            <w:r>
              <w:t>Productivity Commission preliminary projections.</w:t>
            </w:r>
          </w:p>
        </w:tc>
      </w:tr>
      <w:tr w:rsidR="00360B6B" w14:paraId="315164C1" w14:textId="77777777" w:rsidTr="0052424C">
        <w:tc>
          <w:tcPr>
            <w:tcW w:w="8771" w:type="dxa"/>
            <w:tcBorders>
              <w:top w:val="nil"/>
              <w:left w:val="nil"/>
              <w:bottom w:val="single" w:sz="6" w:space="0" w:color="78A22F"/>
              <w:right w:val="nil"/>
            </w:tcBorders>
            <w:shd w:val="clear" w:color="auto" w:fill="auto"/>
          </w:tcPr>
          <w:p w14:paraId="105F411B" w14:textId="77777777" w:rsidR="00360B6B" w:rsidRDefault="00360B6B" w:rsidP="0052424C">
            <w:pPr>
              <w:pStyle w:val="Figurespace"/>
            </w:pPr>
          </w:p>
        </w:tc>
      </w:tr>
      <w:tr w:rsidR="00360B6B" w:rsidRPr="000863A5" w14:paraId="1463A4D7" w14:textId="77777777" w:rsidTr="0052424C">
        <w:tc>
          <w:tcPr>
            <w:tcW w:w="8771" w:type="dxa"/>
            <w:tcBorders>
              <w:top w:val="single" w:sz="6" w:space="0" w:color="78A22F"/>
              <w:left w:val="nil"/>
              <w:bottom w:val="nil"/>
              <w:right w:val="nil"/>
            </w:tcBorders>
          </w:tcPr>
          <w:p w14:paraId="1A92FF95" w14:textId="0F4825B7" w:rsidR="00360B6B" w:rsidRPr="00626D32" w:rsidRDefault="00360B6B" w:rsidP="0052424C">
            <w:pPr>
              <w:pStyle w:val="BoxSpaceBelow"/>
            </w:pPr>
          </w:p>
        </w:tc>
      </w:tr>
    </w:tbl>
    <w:p w14:paraId="4DB777F0" w14:textId="77777777" w:rsidR="00360B6B" w:rsidRDefault="00360B6B" w:rsidP="00360B6B">
      <w:pPr>
        <w:pStyle w:val="Heading3"/>
      </w:pPr>
      <w:r>
        <w:t>Real wages and the effects of migration</w:t>
      </w:r>
    </w:p>
    <w:p w14:paraId="128115FF" w14:textId="77777777" w:rsidR="00360B6B" w:rsidRDefault="00360B6B" w:rsidP="00360B6B">
      <w:pPr>
        <w:pStyle w:val="BodyText"/>
      </w:pPr>
      <w:r w:rsidRPr="004A5412">
        <w:t xml:space="preserve">Population ageing is projected to place additional demands on </w:t>
      </w:r>
      <w:r>
        <w:t>available labour</w:t>
      </w:r>
      <w:r w:rsidRPr="004A5412">
        <w:t>, placing upward pressures on real (after</w:t>
      </w:r>
      <w:r>
        <w:noBreakHyphen/>
      </w:r>
      <w:r w:rsidRPr="004A5412">
        <w:t xml:space="preserve">tax) wages, particularly in industries servicing older Australians. </w:t>
      </w:r>
    </w:p>
    <w:p w14:paraId="7D358903" w14:textId="77777777" w:rsidR="00360B6B" w:rsidRDefault="00360B6B" w:rsidP="00360B6B">
      <w:pPr>
        <w:pStyle w:val="BodyText"/>
      </w:pPr>
      <w:r w:rsidRPr="004A5412">
        <w:t xml:space="preserve">A lowering of the </w:t>
      </w:r>
      <w:r>
        <w:t>age dependency</w:t>
      </w:r>
      <w:r w:rsidRPr="004A5412">
        <w:t xml:space="preserve"> ratio through net migration would moderate such pressures — by </w:t>
      </w:r>
      <w:r>
        <w:t>around 20</w:t>
      </w:r>
      <w:r w:rsidRPr="004A5412">
        <w:t> per cent economywide by 20</w:t>
      </w:r>
      <w:r>
        <w:t>59</w:t>
      </w:r>
      <w:r>
        <w:noBreakHyphen/>
      </w:r>
      <w:r w:rsidRPr="004A5412">
        <w:t>60 (scenario </w:t>
      </w:r>
      <w:r>
        <w:t>2</w:t>
      </w:r>
      <w:r w:rsidRPr="004A5412">
        <w:t>)</w:t>
      </w:r>
      <w:r>
        <w:t xml:space="preserve"> (figure </w:t>
      </w:r>
      <w:proofErr w:type="spellStart"/>
      <w:r>
        <w:t>A.12</w:t>
      </w:r>
      <w:proofErr w:type="spellEnd"/>
      <w:r>
        <w:t>, panel a)</w:t>
      </w:r>
      <w:r w:rsidRPr="004A5412">
        <w:t xml:space="preserve">. </w:t>
      </w:r>
      <w:r>
        <w:t>While immigration is projected to reduce the extent of real wages growth to 2059</w:t>
      </w:r>
      <w:r>
        <w:noBreakHyphen/>
        <w:t>60, it is important to note that real wages are projected to rise substantially over the period from prevailing levels reflecting ongoing improvements labour productivity (table </w:t>
      </w:r>
      <w:proofErr w:type="spellStart"/>
      <w:r>
        <w:t>A.6</w:t>
      </w:r>
      <w:proofErr w:type="spellEnd"/>
      <w:r>
        <w:t>).</w:t>
      </w:r>
      <w:r>
        <w:rPr>
          <w:rStyle w:val="FootnoteReference"/>
        </w:rPr>
        <w:footnoteReference w:id="8"/>
      </w:r>
    </w:p>
    <w:p w14:paraId="09D62CD5" w14:textId="4E76D498"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548BFE0A" w14:textId="77777777" w:rsidTr="0052424C">
        <w:tc>
          <w:tcPr>
            <w:tcW w:w="8771" w:type="dxa"/>
            <w:tcBorders>
              <w:top w:val="single" w:sz="6" w:space="0" w:color="78A22F"/>
              <w:left w:val="nil"/>
              <w:bottom w:val="nil"/>
              <w:right w:val="nil"/>
            </w:tcBorders>
            <w:shd w:val="clear" w:color="auto" w:fill="auto"/>
          </w:tcPr>
          <w:p w14:paraId="78829AB4" w14:textId="77777777" w:rsidR="00360B6B" w:rsidRDefault="00360B6B" w:rsidP="0052424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A.</w: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8846C7">
              <w:rPr>
                <w:b w:val="0"/>
                <w:noProof/>
              </w:rPr>
              <w:t>12</w:t>
            </w:r>
            <w:proofErr w:type="spellEnd"/>
            <w:r w:rsidRPr="00784A05">
              <w:rPr>
                <w:b w:val="0"/>
              </w:rPr>
              <w:fldChar w:fldCharType="end"/>
            </w:r>
            <w:r>
              <w:tab/>
              <w:t>Real wage changes</w:t>
            </w:r>
          </w:p>
          <w:p w14:paraId="4575D57D" w14:textId="77777777" w:rsidR="00360B6B" w:rsidRPr="00176D3F" w:rsidRDefault="00360B6B" w:rsidP="0052424C">
            <w:pPr>
              <w:pStyle w:val="Subtitle"/>
            </w:pPr>
            <w:r>
              <w:t>Projected changes in real after</w:t>
            </w:r>
            <w:r>
              <w:noBreakHyphen/>
              <w:t>tax consumer wages</w:t>
            </w:r>
          </w:p>
        </w:tc>
      </w:tr>
      <w:tr w:rsidR="00360B6B" w14:paraId="73D6DD84" w14:textId="77777777" w:rsidTr="0052424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000000" w:themeColor="accent4"/>
                <w:bottom w:val="single" w:sz="6" w:space="0" w:color="000000"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60B6B" w14:paraId="230B9FF1" w14:textId="77777777" w:rsidTr="0052424C">
              <w:trPr>
                <w:trHeight w:val="156"/>
                <w:jc w:val="center"/>
              </w:trPr>
              <w:tc>
                <w:tcPr>
                  <w:tcW w:w="2500" w:type="pct"/>
                  <w:tcBorders>
                    <w:top w:val="nil"/>
                    <w:bottom w:val="nil"/>
                  </w:tcBorders>
                </w:tcPr>
                <w:p w14:paraId="199DB97A" w14:textId="77777777" w:rsidR="00360B6B" w:rsidRPr="007B7A1B" w:rsidRDefault="00360B6B" w:rsidP="008846C7">
                  <w:pPr>
                    <w:pStyle w:val="TableColumnHeading"/>
                    <w:numPr>
                      <w:ilvl w:val="0"/>
                      <w:numId w:val="30"/>
                    </w:numPr>
                    <w:spacing w:before="0" w:after="40"/>
                    <w:jc w:val="center"/>
                    <w:rPr>
                      <w:b/>
                      <w:i w:val="0"/>
                    </w:rPr>
                  </w:pPr>
                  <w:r w:rsidRPr="004E101E">
                    <w:rPr>
                      <w:b/>
                      <w:i w:val="0"/>
                    </w:rPr>
                    <w:t xml:space="preserve">Percentage deviation </w:t>
                  </w:r>
                  <w:r>
                    <w:rPr>
                      <w:b/>
                      <w:i w:val="0"/>
                    </w:rPr>
                    <w:t xml:space="preserve">in total wages </w:t>
                  </w:r>
                  <w:r w:rsidRPr="004E101E">
                    <w:rPr>
                      <w:b/>
                      <w:i w:val="0"/>
                    </w:rPr>
                    <w:t>from the</w:t>
                  </w:r>
                  <w:r>
                    <w:rPr>
                      <w:b/>
                      <w:i w:val="0"/>
                    </w:rPr>
                    <w:t xml:space="preserve"> </w:t>
                  </w:r>
                  <w:r w:rsidRPr="004E101E">
                    <w:rPr>
                      <w:b/>
                      <w:i w:val="0"/>
                    </w:rPr>
                    <w:t xml:space="preserve">without </w:t>
                  </w:r>
                  <w:r>
                    <w:rPr>
                      <w:b/>
                      <w:i w:val="0"/>
                    </w:rPr>
                    <w:t>NOM</w:t>
                  </w:r>
                  <w:r w:rsidRPr="004E101E">
                    <w:rPr>
                      <w:b/>
                      <w:i w:val="0"/>
                    </w:rPr>
                    <w:t xml:space="preserve"> projection</w:t>
                  </w:r>
                  <w:r>
                    <w:rPr>
                      <w:b/>
                      <w:i w:val="0"/>
                    </w:rPr>
                    <w:t xml:space="preserve"> in 2059</w:t>
                  </w:r>
                  <w:r>
                    <w:rPr>
                      <w:b/>
                      <w:i w:val="0"/>
                    </w:rPr>
                    <w:noBreakHyphen/>
                    <w:t>60</w:t>
                  </w:r>
                </w:p>
              </w:tc>
              <w:tc>
                <w:tcPr>
                  <w:tcW w:w="2500" w:type="pct"/>
                  <w:tcBorders>
                    <w:top w:val="nil"/>
                    <w:bottom w:val="nil"/>
                  </w:tcBorders>
                </w:tcPr>
                <w:p w14:paraId="52E129C1" w14:textId="77777777" w:rsidR="00360B6B" w:rsidRPr="007B7A1B" w:rsidRDefault="00360B6B" w:rsidP="008846C7">
                  <w:pPr>
                    <w:pStyle w:val="TableColumnHeading"/>
                    <w:numPr>
                      <w:ilvl w:val="0"/>
                      <w:numId w:val="30"/>
                    </w:numPr>
                    <w:spacing w:before="0" w:after="40"/>
                    <w:jc w:val="center"/>
                    <w:rPr>
                      <w:b/>
                      <w:i w:val="0"/>
                    </w:rPr>
                  </w:pPr>
                  <w:r w:rsidRPr="004E101E">
                    <w:rPr>
                      <w:b/>
                      <w:i w:val="0"/>
                    </w:rPr>
                    <w:t>Cumulative change in real wages by occupation</w:t>
                  </w:r>
                  <w:r>
                    <w:rPr>
                      <w:b/>
                      <w:i w:val="0"/>
                    </w:rPr>
                    <w:t xml:space="preserve"> </w:t>
                  </w:r>
                  <w:r w:rsidRPr="004E101E">
                    <w:rPr>
                      <w:b/>
                      <w:i w:val="0"/>
                    </w:rPr>
                    <w:t>percentage change from 2013</w:t>
                  </w:r>
                  <w:r w:rsidRPr="004E101E">
                    <w:rPr>
                      <w:b/>
                      <w:i w:val="0"/>
                    </w:rPr>
                    <w:noBreakHyphen/>
                    <w:t>14 to 2059</w:t>
                  </w:r>
                  <w:r>
                    <w:rPr>
                      <w:b/>
                      <w:i w:val="0"/>
                    </w:rPr>
                    <w:noBreakHyphen/>
                  </w:r>
                  <w:r w:rsidRPr="004E101E">
                    <w:rPr>
                      <w:b/>
                      <w:i w:val="0"/>
                    </w:rPr>
                    <w:t>60</w:t>
                  </w:r>
                </w:p>
              </w:tc>
            </w:tr>
            <w:tr w:rsidR="00360B6B" w14:paraId="15402490" w14:textId="77777777" w:rsidTr="0052424C">
              <w:tblPrEx>
                <w:tblCellMar>
                  <w:left w:w="108" w:type="dxa"/>
                  <w:right w:w="108" w:type="dxa"/>
                </w:tblCellMar>
              </w:tblPrEx>
              <w:trPr>
                <w:trHeight w:val="156"/>
                <w:jc w:val="center"/>
              </w:trPr>
              <w:tc>
                <w:tcPr>
                  <w:tcW w:w="2500" w:type="pct"/>
                  <w:tcBorders>
                    <w:top w:val="nil"/>
                    <w:bottom w:val="nil"/>
                  </w:tcBorders>
                </w:tcPr>
                <w:p w14:paraId="10039754" w14:textId="77777777" w:rsidR="00360B6B" w:rsidRDefault="00360B6B" w:rsidP="004148F5">
                  <w:pPr>
                    <w:pStyle w:val="Figure"/>
                    <w:spacing w:before="0" w:after="60"/>
                  </w:pPr>
                  <w:r>
                    <w:rPr>
                      <w:noProof/>
                    </w:rPr>
                    <w:drawing>
                      <wp:inline distT="0" distB="0" distL="0" distR="0" wp14:anchorId="645CD3C3" wp14:editId="5834D879">
                        <wp:extent cx="2772000" cy="3726000"/>
                        <wp:effectExtent l="0" t="0" r="0" b="8255"/>
                        <wp:docPr id="10" name="Chart 10" descr="Panel a shows the percentage deviation in projected total real (after-tax) wages in 2059 60 from the without NOM case (scenario 1) to each of the NOM scenarios modelled. Compared to scenario 1 real wages are projected to be: 20 per cent lower in scenario 2 with the scale and age structure effect of NOM; 23 per cent lower in scenario 3 with occupational effect of NOM; and 19 per cent lower in scenario 4 with the spillover productivity effect of NOM."/>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500" w:type="pct"/>
                  <w:tcBorders>
                    <w:top w:val="nil"/>
                    <w:bottom w:val="nil"/>
                  </w:tcBorders>
                </w:tcPr>
                <w:p w14:paraId="74D11C86" w14:textId="77777777" w:rsidR="00360B6B" w:rsidRDefault="00360B6B" w:rsidP="004148F5">
                  <w:pPr>
                    <w:pStyle w:val="Figure"/>
                    <w:spacing w:before="0" w:after="60"/>
                  </w:pPr>
                  <w:r>
                    <w:rPr>
                      <w:noProof/>
                    </w:rPr>
                    <w:drawing>
                      <wp:inline distT="0" distB="0" distL="0" distR="0" wp14:anchorId="7E6184BA" wp14:editId="7E2DCD8D">
                        <wp:extent cx="2772000" cy="3724276"/>
                        <wp:effectExtent l="0" t="0" r="0" b="0"/>
                        <wp:docPr id="18" name="Chart 18" descr="Panel b shows the real (after-tax) wage index by occupation (where wages in 2013-14 is set equal to 100) in 2059 60 for the case without NOM (scenario 1) and with NOM (scenario 2).&#10;• Moderation of wage pressures is projected to be highest in the professions and community services workers and labourers occupations. These occupations are also projected to have the highest pressure for wage growth. &#10;• Real wages are projected to be broadly similar under the with and without NOM scenarios for sales workers and machinery operators and drive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58C760BB" w14:textId="77777777" w:rsidR="00360B6B" w:rsidRDefault="00360B6B" w:rsidP="004148F5">
            <w:pPr>
              <w:pStyle w:val="Figure"/>
              <w:spacing w:before="0"/>
            </w:pPr>
          </w:p>
        </w:tc>
      </w:tr>
      <w:tr w:rsidR="00360B6B" w:rsidRPr="00176D3F" w14:paraId="4AF28401" w14:textId="77777777" w:rsidTr="0052424C">
        <w:tc>
          <w:tcPr>
            <w:tcW w:w="8771" w:type="dxa"/>
            <w:tcBorders>
              <w:top w:val="nil"/>
              <w:left w:val="nil"/>
              <w:bottom w:val="nil"/>
              <w:right w:val="nil"/>
            </w:tcBorders>
            <w:shd w:val="clear" w:color="auto" w:fill="auto"/>
          </w:tcPr>
          <w:p w14:paraId="14FD0D43" w14:textId="77777777" w:rsidR="00360B6B" w:rsidRPr="00176D3F" w:rsidRDefault="00360B6B" w:rsidP="0052424C">
            <w:pPr>
              <w:pStyle w:val="Source"/>
            </w:pPr>
            <w:r>
              <w:rPr>
                <w:i/>
              </w:rPr>
              <w:t>S</w:t>
            </w:r>
            <w:r w:rsidRPr="00784A05">
              <w:rPr>
                <w:i/>
              </w:rPr>
              <w:t>ource</w:t>
            </w:r>
            <w:r w:rsidRPr="00176D3F">
              <w:t xml:space="preserve">: </w:t>
            </w:r>
            <w:r>
              <w:t>Productivity Commission preliminary projections.</w:t>
            </w:r>
          </w:p>
        </w:tc>
      </w:tr>
      <w:tr w:rsidR="00360B6B" w14:paraId="3B43F0BB" w14:textId="77777777" w:rsidTr="0052424C">
        <w:tc>
          <w:tcPr>
            <w:tcW w:w="8771" w:type="dxa"/>
            <w:tcBorders>
              <w:top w:val="nil"/>
              <w:left w:val="nil"/>
              <w:bottom w:val="single" w:sz="6" w:space="0" w:color="78A22F"/>
              <w:right w:val="nil"/>
            </w:tcBorders>
            <w:shd w:val="clear" w:color="auto" w:fill="auto"/>
          </w:tcPr>
          <w:p w14:paraId="54BEEAD6" w14:textId="77777777" w:rsidR="00360B6B" w:rsidRDefault="00360B6B" w:rsidP="0052424C">
            <w:pPr>
              <w:pStyle w:val="Figurespace"/>
            </w:pPr>
          </w:p>
        </w:tc>
      </w:tr>
      <w:tr w:rsidR="00360B6B" w:rsidRPr="000863A5" w14:paraId="47497745" w14:textId="77777777" w:rsidTr="0052424C">
        <w:tc>
          <w:tcPr>
            <w:tcW w:w="8771" w:type="dxa"/>
            <w:tcBorders>
              <w:top w:val="single" w:sz="6" w:space="0" w:color="78A22F"/>
              <w:left w:val="nil"/>
              <w:bottom w:val="nil"/>
              <w:right w:val="nil"/>
            </w:tcBorders>
          </w:tcPr>
          <w:p w14:paraId="3876F95F" w14:textId="3FC6A5BC" w:rsidR="00360B6B" w:rsidRPr="00626D32" w:rsidRDefault="00360B6B" w:rsidP="0052424C">
            <w:pPr>
              <w:pStyle w:val="BoxSpaceBelow"/>
            </w:pPr>
          </w:p>
        </w:tc>
      </w:tr>
    </w:tbl>
    <w:p w14:paraId="68717006" w14:textId="77777777" w:rsidR="00360B6B" w:rsidRDefault="00360B6B" w:rsidP="00360B6B">
      <w:pPr>
        <w:pStyle w:val="BodyText"/>
      </w:pPr>
      <w:r>
        <w:t>The higher growth in the service industries is projected to place substantial upward pressure on the professional and community and personal service wages (figure </w:t>
      </w:r>
      <w:proofErr w:type="spellStart"/>
      <w:r>
        <w:t>A.12</w:t>
      </w:r>
      <w:proofErr w:type="spellEnd"/>
      <w:r>
        <w:t>, panel b).</w:t>
      </w:r>
    </w:p>
    <w:p w14:paraId="62E38DD7" w14:textId="77777777" w:rsidR="00360B6B" w:rsidRPr="00292A8F" w:rsidRDefault="00360B6B" w:rsidP="00360B6B">
      <w:pPr>
        <w:pStyle w:val="BodyText"/>
      </w:pPr>
      <w:r>
        <w:t>M</w:t>
      </w:r>
      <w:r w:rsidRPr="004A5412">
        <w:t xml:space="preserve">oderation of wage pressures </w:t>
      </w:r>
      <w:r>
        <w:t>is</w:t>
      </w:r>
      <w:r w:rsidRPr="004A5412">
        <w:t xml:space="preserve"> projected to be highest in the areas where the immigrant </w:t>
      </w:r>
      <w:r>
        <w:t>labour force</w:t>
      </w:r>
      <w:r w:rsidRPr="004A5412">
        <w:t xml:space="preserve"> is most represented — the professions</w:t>
      </w:r>
      <w:r>
        <w:t xml:space="preserve"> and </w:t>
      </w:r>
      <w:r w:rsidRPr="004A5412">
        <w:t>community services workers and labourers</w:t>
      </w:r>
      <w:r>
        <w:t xml:space="preserve"> — and pressure for wage growth is high</w:t>
      </w:r>
      <w:r w:rsidRPr="004A5412">
        <w:t xml:space="preserve">. </w:t>
      </w:r>
      <w:r>
        <w:t>This takes account of both the growth in industries, their labour forces and the movement of people between occupations in response to relative wage differentials.</w:t>
      </w:r>
    </w:p>
    <w:p w14:paraId="4EC54E04" w14:textId="77777777" w:rsidR="00360B6B" w:rsidRDefault="00360B6B" w:rsidP="00360B6B">
      <w:pPr>
        <w:pStyle w:val="BodyText"/>
      </w:pPr>
      <w:r w:rsidRPr="00292A8F">
        <w:t>Real wages are projected to be broadly similar under the with and without NOM scenarios in 2059</w:t>
      </w:r>
      <w:r w:rsidRPr="00292A8F">
        <w:noBreakHyphen/>
        <w:t>60 for sales workers and machinery operators and drivers. These occupations are concentrated in retail and wholesale trade,</w:t>
      </w:r>
      <w:r>
        <w:t xml:space="preserve"> and road freight transport. As such, there are relatively limited opportunities for re</w:t>
      </w:r>
      <w:r>
        <w:noBreakHyphen/>
        <w:t xml:space="preserve">employment in the same occupation in other industries. Adding new labour through immigration into these activities, therefore, is </w:t>
      </w:r>
      <w:r>
        <w:lastRenderedPageBreak/>
        <w:t>projected to lead to a relocation of workers to other occupations and industries in response to real wage differentials.</w:t>
      </w:r>
    </w:p>
    <w:p w14:paraId="024ED24A" w14:textId="77777777" w:rsidR="00360B6B" w:rsidRDefault="00360B6B" w:rsidP="00360B6B">
      <w:pPr>
        <w:pStyle w:val="Heading3"/>
      </w:pPr>
      <w:r>
        <w:t>How sensitive are the projections to the assumed level of NOM?</w:t>
      </w:r>
    </w:p>
    <w:p w14:paraId="24E60467" w14:textId="77777777" w:rsidR="00360B6B" w:rsidRDefault="00360B6B" w:rsidP="00360B6B">
      <w:pPr>
        <w:pStyle w:val="BodyText"/>
      </w:pPr>
      <w:r>
        <w:t>The modelling results presented so far are based on the assumption that, in the long term, Australia’s intake of NOM will transition from the current level to 0.6 per cent of the population in 2024-25 and remain at that proportion of the population at least until 2059-60 — that is, at about the average proportion over the period between 1921-22 and 2013-14. Under this assumption NOM could reach 350 000 persons by 2059</w:t>
      </w:r>
      <w:r>
        <w:noBreakHyphen/>
        <w:t xml:space="preserve">60. </w:t>
      </w:r>
    </w:p>
    <w:p w14:paraId="27439AA5" w14:textId="77777777" w:rsidR="00360B6B" w:rsidRDefault="00360B6B" w:rsidP="00360B6B">
      <w:pPr>
        <w:pStyle w:val="BodyText"/>
      </w:pPr>
      <w:r>
        <w:t>However, the actual level of NOM has historically varied substantially from period to period and any projection is uncertain (figure </w:t>
      </w:r>
      <w:proofErr w:type="spellStart"/>
      <w:r>
        <w:t>A.4</w:t>
      </w:r>
      <w:proofErr w:type="spellEnd"/>
      <w:r>
        <w:t xml:space="preserve">, panel a). If the growth in NOM was to differ from the levels used in the modelling, the projected Australian economy would also differ from what is presented under the four scenarios modelled for the draft report. </w:t>
      </w:r>
    </w:p>
    <w:p w14:paraId="67907166" w14:textId="77777777" w:rsidR="00360B6B" w:rsidRDefault="00360B6B" w:rsidP="00360B6B">
      <w:pPr>
        <w:pStyle w:val="BodyText"/>
      </w:pPr>
      <w:r>
        <w:t xml:space="preserve">In order to illustrate some of the broad economic implications of different levels of NOM, further modelling was undertaken based on five alternative assumptions about the future level of NOM over the 45 years to 2059-60. </w:t>
      </w:r>
    </w:p>
    <w:p w14:paraId="2B5B3E82" w14:textId="77777777" w:rsidR="00360B6B" w:rsidRDefault="00360B6B" w:rsidP="00360B6B">
      <w:pPr>
        <w:pStyle w:val="ListBullet"/>
      </w:pPr>
      <w:r>
        <w:t xml:space="preserve">Scenario </w:t>
      </w:r>
      <w:proofErr w:type="spellStart"/>
      <w:r>
        <w:t>2.B</w:t>
      </w:r>
      <w:proofErr w:type="spellEnd"/>
      <w:r>
        <w:t xml:space="preserve"> — NOM is assumed to be 0.8 per cent of the population in 2014</w:t>
      </w:r>
      <w:r>
        <w:noBreakHyphen/>
        <w:t>15 and remain at that share of the population until at least 2059</w:t>
      </w:r>
      <w:r>
        <w:noBreakHyphen/>
        <w:t>60.</w:t>
      </w:r>
    </w:p>
    <w:p w14:paraId="6679BCA5" w14:textId="77777777" w:rsidR="00360B6B" w:rsidRDefault="00360B6B" w:rsidP="00360B6B">
      <w:pPr>
        <w:pStyle w:val="ListBullet"/>
      </w:pPr>
      <w:r>
        <w:t xml:space="preserve">Scenario </w:t>
      </w:r>
      <w:proofErr w:type="spellStart"/>
      <w:r>
        <w:t>2.C</w:t>
      </w:r>
      <w:proofErr w:type="spellEnd"/>
      <w:r>
        <w:t xml:space="preserve"> — NOM is assumed to be 1.2 per cent of the population in 2014</w:t>
      </w:r>
      <w:r>
        <w:noBreakHyphen/>
        <w:t>15 and remain at that share of the population until 2059</w:t>
      </w:r>
      <w:r>
        <w:noBreakHyphen/>
        <w:t>60.</w:t>
      </w:r>
    </w:p>
    <w:p w14:paraId="6746E15A" w14:textId="77777777" w:rsidR="00360B6B" w:rsidRDefault="00360B6B" w:rsidP="00360B6B">
      <w:pPr>
        <w:pStyle w:val="ListBullet"/>
      </w:pPr>
      <w:r>
        <w:t xml:space="preserve">Scenario </w:t>
      </w:r>
      <w:proofErr w:type="spellStart"/>
      <w:r>
        <w:t>2.D</w:t>
      </w:r>
      <w:proofErr w:type="spellEnd"/>
      <w:r>
        <w:t xml:space="preserve"> — The number of NOM is assumed to be fixed at 100,000 persons per year over the period 2014</w:t>
      </w:r>
      <w:r>
        <w:noBreakHyphen/>
        <w:t>15 to 2059</w:t>
      </w:r>
      <w:r>
        <w:noBreakHyphen/>
        <w:t xml:space="preserve">60. </w:t>
      </w:r>
    </w:p>
    <w:p w14:paraId="25402A9D" w14:textId="77777777" w:rsidR="00360B6B" w:rsidRDefault="00360B6B" w:rsidP="00360B6B">
      <w:pPr>
        <w:pStyle w:val="ListBullet"/>
      </w:pPr>
      <w:r>
        <w:t xml:space="preserve">Scenario </w:t>
      </w:r>
      <w:proofErr w:type="spellStart"/>
      <w:r>
        <w:t>2.E</w:t>
      </w:r>
      <w:proofErr w:type="spellEnd"/>
      <w:r>
        <w:t xml:space="preserve"> — The number of NOM is assumed to be fixed at 205,000 persons per year over the period 2014</w:t>
      </w:r>
      <w:r>
        <w:noBreakHyphen/>
        <w:t>15 to 2059</w:t>
      </w:r>
      <w:r>
        <w:noBreakHyphen/>
        <w:t xml:space="preserve">60. This would be roughly equivalent to NOM in 2013-14. Under this scenario, NOM would have been 0.97 per cent of the population in 2013-14 and as the population grows decline to 0.51 per cent by 2059-60. </w:t>
      </w:r>
    </w:p>
    <w:p w14:paraId="29AF989C" w14:textId="77777777" w:rsidR="00360B6B" w:rsidRDefault="00360B6B" w:rsidP="00360B6B">
      <w:pPr>
        <w:pStyle w:val="ListBullet"/>
      </w:pPr>
      <w:r>
        <w:t xml:space="preserve">Scenario </w:t>
      </w:r>
      <w:proofErr w:type="spellStart"/>
      <w:r>
        <w:t>2.F</w:t>
      </w:r>
      <w:proofErr w:type="spellEnd"/>
      <w:r>
        <w:t xml:space="preserve"> — The number of NOM is assumed to be fixed at 250,000 persons per year over the period 2014</w:t>
      </w:r>
      <w:r>
        <w:noBreakHyphen/>
        <w:t>15 to 2059</w:t>
      </w:r>
      <w:r>
        <w:noBreakHyphen/>
        <w:t>60. Under this scenario, NOM would have been 1.2 per cent of the population in 2013</w:t>
      </w:r>
      <w:r>
        <w:noBreakHyphen/>
        <w:t>14 terms, and it would progressively decline as a proportion of the population to 0.6 per cent of the population in 2059</w:t>
      </w:r>
      <w:r>
        <w:noBreakHyphen/>
        <w:t>60.</w:t>
      </w:r>
    </w:p>
    <w:p w14:paraId="507E6EC4" w14:textId="77777777" w:rsidR="00360B6B" w:rsidRDefault="00360B6B" w:rsidP="00360B6B">
      <w:pPr>
        <w:pStyle w:val="BodyText"/>
      </w:pPr>
      <w:r>
        <w:t>Apart from differing levels of projected NOM, modelling of the alternative NOM scenarios follows that of scenario 2 updated above, including the assumption that NOM hold the same age</w:t>
      </w:r>
      <w:r>
        <w:noBreakHyphen/>
        <w:t>gender profile of the current migrant intake.</w:t>
      </w:r>
    </w:p>
    <w:p w14:paraId="1D6C23BB" w14:textId="77777777" w:rsidR="00360B6B" w:rsidRDefault="00360B6B" w:rsidP="00360B6B">
      <w:pPr>
        <w:pStyle w:val="BodyText"/>
      </w:pPr>
      <w:r>
        <w:t>Table </w:t>
      </w:r>
      <w:proofErr w:type="spellStart"/>
      <w:r>
        <w:t>A.8</w:t>
      </w:r>
      <w:proofErr w:type="spellEnd"/>
      <w:r>
        <w:t xml:space="preserve"> shows key demographic and macroeconomic effects of NOM under scenario 2 (reported above) and the five alternative scenarios. The projections illustrate that an increase in NOM would raise projected levels of economic activity. As NOM is assumed in each alternative scenario to be concentrated in the prime working age groups, higher </w:t>
      </w:r>
      <w:r>
        <w:lastRenderedPageBreak/>
        <w:t xml:space="preserve">NOM would reduce the age dependency ratio and raise GDP per person, thereby reducing the demographic impact of ageing. This effect is greater in the scenarios where NOM is modelled as a share of the population as immigrants too age, so a growing intake is required to have long term demographic effects. </w:t>
      </w:r>
    </w:p>
    <w:p w14:paraId="58A37E32" w14:textId="35B48C07" w:rsidR="00360B6B" w:rsidRDefault="00360B6B" w:rsidP="00360B6B">
      <w:pPr>
        <w:pStyle w:val="BodyText"/>
      </w:pPr>
      <w:r>
        <w:t xml:space="preserve">Comparison of the scenarios where NOM is assumed to continue as a fixed proportion of the population (scenarios 2, </w:t>
      </w:r>
      <w:proofErr w:type="spellStart"/>
      <w:r>
        <w:t>2.B</w:t>
      </w:r>
      <w:proofErr w:type="spellEnd"/>
      <w:r>
        <w:t xml:space="preserve"> and </w:t>
      </w:r>
      <w:proofErr w:type="spellStart"/>
      <w:r>
        <w:t>2.C</w:t>
      </w:r>
      <w:proofErr w:type="spellEnd"/>
      <w:r>
        <w:t>) with scenarios in which NOM is assumed to continue at a fixed level (scenarios </w:t>
      </w:r>
      <w:proofErr w:type="spellStart"/>
      <w:r>
        <w:t>2.D</w:t>
      </w:r>
      <w:proofErr w:type="spellEnd"/>
      <w:r>
        <w:t xml:space="preserve"> to </w:t>
      </w:r>
      <w:proofErr w:type="spellStart"/>
      <w:r>
        <w:t>2.F</w:t>
      </w:r>
      <w:proofErr w:type="spellEnd"/>
      <w:r>
        <w:t>), also illustrate that as the overall size population increases, the economic impact of NOM diminishes in the fixed-migration number cases relative to the fixed proportion cases. (The Commission proposes to explore the projection of the population and economy beyond 2059</w:t>
      </w:r>
      <w:r>
        <w:noBreakHyphen/>
        <w:t>60 to assess the implications of alternative migration scenarios on the age-dependency ratio.)</w:t>
      </w:r>
    </w:p>
    <w:p w14:paraId="132D2606" w14:textId="42D0E0F5" w:rsidR="00360B6B" w:rsidRDefault="00360B6B" w:rsidP="00360B6B">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60B6B" w14:paraId="1D381F51" w14:textId="77777777" w:rsidTr="0052424C">
        <w:tc>
          <w:tcPr>
            <w:tcW w:w="8771" w:type="dxa"/>
            <w:tcBorders>
              <w:top w:val="single" w:sz="6" w:space="0" w:color="78A22F"/>
              <w:left w:val="nil"/>
              <w:bottom w:val="nil"/>
              <w:right w:val="nil"/>
            </w:tcBorders>
            <w:shd w:val="clear" w:color="auto" w:fill="auto"/>
          </w:tcPr>
          <w:p w14:paraId="46187032" w14:textId="77777777" w:rsidR="00360B6B" w:rsidRPr="001C6342" w:rsidRDefault="00360B6B" w:rsidP="0052424C">
            <w:pPr>
              <w:pStyle w:val="TableTitle"/>
              <w:rPr>
                <w:rFonts w:cs="Arial"/>
              </w:rPr>
            </w:pPr>
            <w:r>
              <w:rPr>
                <w:b w:val="0"/>
              </w:rPr>
              <w:t xml:space="preserve">Table </w:t>
            </w:r>
            <w:r>
              <w:fldChar w:fldCharType="begin"/>
            </w:r>
            <w:r>
              <w:rPr>
                <w:b w:val="0"/>
              </w:rPr>
              <w:instrText xml:space="preserve"> COMMENTS  \* MERGEFORMAT </w:instrText>
            </w:r>
            <w:r>
              <w:fldChar w:fldCharType="separate"/>
            </w:r>
            <w:proofErr w:type="spellStart"/>
            <w:r>
              <w:rPr>
                <w:b w:val="0"/>
              </w:rPr>
              <w:t>A.</w:t>
            </w:r>
            <w:r>
              <w:fldChar w:fldCharType="end"/>
            </w:r>
            <w:r>
              <w:fldChar w:fldCharType="begin"/>
            </w:r>
            <w:r>
              <w:rPr>
                <w:b w:val="0"/>
              </w:rPr>
              <w:instrText xml:space="preserve"> SEQ Table \* ARABIC </w:instrText>
            </w:r>
            <w:r>
              <w:fldChar w:fldCharType="separate"/>
            </w:r>
            <w:r w:rsidR="008846C7">
              <w:rPr>
                <w:b w:val="0"/>
                <w:noProof/>
              </w:rPr>
              <w:t>8</w:t>
            </w:r>
            <w:proofErr w:type="spellEnd"/>
            <w:r>
              <w:fldChar w:fldCharType="end"/>
            </w:r>
            <w:r>
              <w:tab/>
              <w:t xml:space="preserve">National effects under five alternative scenarios of </w:t>
            </w:r>
            <w:proofErr w:type="spellStart"/>
            <w:r>
              <w:t>NOM,</w:t>
            </w:r>
            <w:r w:rsidRPr="00886E03">
              <w:rPr>
                <w:rFonts w:cs="Arial"/>
              </w:rPr>
              <w:t>2059</w:t>
            </w:r>
            <w:proofErr w:type="spellEnd"/>
            <w:r w:rsidRPr="001C6342">
              <w:rPr>
                <w:rFonts w:cs="Arial"/>
              </w:rPr>
              <w:noBreakHyphen/>
            </w:r>
            <w:r w:rsidRPr="00886E03">
              <w:rPr>
                <w:rFonts w:cs="Arial"/>
              </w:rPr>
              <w:t>60</w:t>
            </w:r>
          </w:p>
          <w:p w14:paraId="32951AF6" w14:textId="77777777" w:rsidR="00360B6B" w:rsidRPr="00784A05" w:rsidRDefault="00360B6B" w:rsidP="0052424C">
            <w:pPr>
              <w:pStyle w:val="Subtitle"/>
            </w:pPr>
            <w:r>
              <w:t>Index (2013-14 = 100), Persons ‘000</w:t>
            </w:r>
          </w:p>
        </w:tc>
      </w:tr>
      <w:tr w:rsidR="00360B6B" w14:paraId="6DA96424" w14:textId="77777777" w:rsidTr="0052424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80"/>
              <w:gridCol w:w="1134"/>
              <w:gridCol w:w="1134"/>
              <w:gridCol w:w="1137"/>
              <w:gridCol w:w="1134"/>
              <w:gridCol w:w="1134"/>
              <w:gridCol w:w="27"/>
              <w:gridCol w:w="1107"/>
            </w:tblGrid>
            <w:tr w:rsidR="00360B6B" w14:paraId="55A00A08" w14:textId="77777777" w:rsidTr="0052424C">
              <w:trPr>
                <w:trHeight w:val="285"/>
              </w:trPr>
              <w:tc>
                <w:tcPr>
                  <w:tcW w:w="990" w:type="pct"/>
                  <w:tcBorders>
                    <w:top w:val="single" w:sz="6" w:space="0" w:color="BFBFBF"/>
                  </w:tcBorders>
                  <w:shd w:val="clear" w:color="auto" w:fill="auto"/>
                  <w:tcMar>
                    <w:top w:w="28" w:type="dxa"/>
                  </w:tcMar>
                  <w:vAlign w:val="center"/>
                </w:tcPr>
                <w:p w14:paraId="0D163900" w14:textId="77777777" w:rsidR="00360B6B" w:rsidRDefault="00360B6B" w:rsidP="0052424C">
                  <w:pPr>
                    <w:pStyle w:val="TableColumnHeading"/>
                    <w:jc w:val="left"/>
                  </w:pPr>
                  <w:r>
                    <w:t>Variable</w:t>
                  </w:r>
                </w:p>
              </w:tc>
              <w:tc>
                <w:tcPr>
                  <w:tcW w:w="668" w:type="pct"/>
                  <w:tcBorders>
                    <w:top w:val="single" w:sz="6" w:space="0" w:color="BFBFBF"/>
                  </w:tcBorders>
                  <w:vAlign w:val="bottom"/>
                </w:tcPr>
                <w:p w14:paraId="07CD16E0" w14:textId="030CC972" w:rsidR="00360B6B" w:rsidRDefault="00360B6B" w:rsidP="0052424C">
                  <w:pPr>
                    <w:pStyle w:val="TableColumnHeading"/>
                  </w:pPr>
                </w:p>
              </w:tc>
              <w:tc>
                <w:tcPr>
                  <w:tcW w:w="1338" w:type="pct"/>
                  <w:gridSpan w:val="2"/>
                  <w:tcBorders>
                    <w:top w:val="single" w:sz="6" w:space="0" w:color="BFBFBF"/>
                    <w:bottom w:val="single" w:sz="6" w:space="0" w:color="BFBFBF"/>
                  </w:tcBorders>
                  <w:vAlign w:val="center"/>
                </w:tcPr>
                <w:p w14:paraId="61F33942" w14:textId="77777777" w:rsidR="00360B6B" w:rsidRDefault="00360B6B" w:rsidP="0052424C">
                  <w:pPr>
                    <w:pStyle w:val="TableColumnHeading"/>
                    <w:jc w:val="center"/>
                  </w:pPr>
                  <w:r>
                    <w:t>NOM as a share of the population assumed fixed</w:t>
                  </w:r>
                </w:p>
              </w:tc>
              <w:tc>
                <w:tcPr>
                  <w:tcW w:w="2004" w:type="pct"/>
                  <w:gridSpan w:val="4"/>
                  <w:tcBorders>
                    <w:top w:val="single" w:sz="6" w:space="0" w:color="BFBFBF"/>
                    <w:bottom w:val="single" w:sz="6" w:space="0" w:color="BFBFBF"/>
                  </w:tcBorders>
                  <w:vAlign w:val="center"/>
                </w:tcPr>
                <w:p w14:paraId="4AE8876C" w14:textId="77777777" w:rsidR="00360B6B" w:rsidRDefault="00360B6B" w:rsidP="0052424C">
                  <w:pPr>
                    <w:pStyle w:val="TableColumnHeading"/>
                    <w:jc w:val="center"/>
                  </w:pPr>
                  <w:r>
                    <w:t>The level of NOM is assumed fixed</w:t>
                  </w:r>
                </w:p>
              </w:tc>
            </w:tr>
            <w:tr w:rsidR="00360B6B" w14:paraId="2808665F" w14:textId="77777777" w:rsidTr="0052424C">
              <w:tc>
                <w:tcPr>
                  <w:tcW w:w="990" w:type="pct"/>
                </w:tcPr>
                <w:p w14:paraId="77ADBFE7" w14:textId="77777777" w:rsidR="00360B6B" w:rsidRPr="000422D9" w:rsidRDefault="00360B6B" w:rsidP="0052424C">
                  <w:pPr>
                    <w:pStyle w:val="TableUnitsRow"/>
                    <w:jc w:val="left"/>
                  </w:pPr>
                </w:p>
              </w:tc>
              <w:tc>
                <w:tcPr>
                  <w:tcW w:w="668" w:type="pct"/>
                </w:tcPr>
                <w:p w14:paraId="5FA7E971" w14:textId="77777777" w:rsidR="00360B6B" w:rsidRPr="000422D9" w:rsidRDefault="00360B6B" w:rsidP="0052424C">
                  <w:pPr>
                    <w:pStyle w:val="TableColumnHeading"/>
                    <w:ind w:right="28"/>
                  </w:pPr>
                  <w:r w:rsidRPr="000422D9">
                    <w:t>Scenario 2</w:t>
                  </w:r>
                </w:p>
              </w:tc>
              <w:tc>
                <w:tcPr>
                  <w:tcW w:w="668" w:type="pct"/>
                  <w:tcBorders>
                    <w:top w:val="single" w:sz="6" w:space="0" w:color="BFBFBF"/>
                  </w:tcBorders>
                </w:tcPr>
                <w:p w14:paraId="47B37CE0" w14:textId="77777777" w:rsidR="00360B6B" w:rsidRPr="000422D9" w:rsidRDefault="00360B6B" w:rsidP="0052424C">
                  <w:pPr>
                    <w:pStyle w:val="TableColumnHeading"/>
                    <w:ind w:right="28"/>
                  </w:pPr>
                  <w:r w:rsidRPr="000422D9">
                    <w:t xml:space="preserve">Scenario </w:t>
                  </w:r>
                  <w:proofErr w:type="spellStart"/>
                  <w:r w:rsidRPr="000422D9">
                    <w:t>2</w:t>
                  </w:r>
                  <w:r>
                    <w:t>.</w:t>
                  </w:r>
                  <w:r w:rsidRPr="000422D9">
                    <w:t>B</w:t>
                  </w:r>
                  <w:proofErr w:type="spellEnd"/>
                </w:p>
              </w:tc>
              <w:tc>
                <w:tcPr>
                  <w:tcW w:w="670" w:type="pct"/>
                  <w:tcBorders>
                    <w:top w:val="single" w:sz="6" w:space="0" w:color="BFBFBF"/>
                  </w:tcBorders>
                </w:tcPr>
                <w:p w14:paraId="4BCA7BA2" w14:textId="77777777" w:rsidR="00360B6B" w:rsidRPr="000422D9" w:rsidRDefault="00360B6B" w:rsidP="0052424C">
                  <w:pPr>
                    <w:pStyle w:val="TableColumnHeading"/>
                    <w:ind w:right="28"/>
                  </w:pPr>
                  <w:r w:rsidRPr="000422D9">
                    <w:t xml:space="preserve">Scenario </w:t>
                  </w:r>
                  <w:proofErr w:type="spellStart"/>
                  <w:r w:rsidRPr="000422D9">
                    <w:t>2</w:t>
                  </w:r>
                  <w:r>
                    <w:t>.</w:t>
                  </w:r>
                  <w:r w:rsidRPr="000422D9">
                    <w:t>C</w:t>
                  </w:r>
                  <w:proofErr w:type="spellEnd"/>
                </w:p>
              </w:tc>
              <w:tc>
                <w:tcPr>
                  <w:tcW w:w="668" w:type="pct"/>
                  <w:tcBorders>
                    <w:top w:val="single" w:sz="6" w:space="0" w:color="BFBFBF"/>
                  </w:tcBorders>
                </w:tcPr>
                <w:p w14:paraId="31F5E306" w14:textId="77777777" w:rsidR="00360B6B" w:rsidRPr="000422D9" w:rsidRDefault="00360B6B" w:rsidP="0052424C">
                  <w:pPr>
                    <w:pStyle w:val="TableColumnHeading"/>
                    <w:ind w:right="28"/>
                  </w:pPr>
                  <w:r w:rsidRPr="000422D9">
                    <w:t xml:space="preserve">Scenario </w:t>
                  </w:r>
                  <w:proofErr w:type="spellStart"/>
                  <w:r w:rsidRPr="000422D9">
                    <w:t>2</w:t>
                  </w:r>
                  <w:r>
                    <w:t>.</w:t>
                  </w:r>
                  <w:r w:rsidRPr="000422D9">
                    <w:t>D</w:t>
                  </w:r>
                  <w:proofErr w:type="spellEnd"/>
                </w:p>
              </w:tc>
              <w:tc>
                <w:tcPr>
                  <w:tcW w:w="684" w:type="pct"/>
                  <w:gridSpan w:val="2"/>
                  <w:tcBorders>
                    <w:top w:val="single" w:sz="6" w:space="0" w:color="BFBFBF"/>
                  </w:tcBorders>
                </w:tcPr>
                <w:p w14:paraId="4113299B" w14:textId="77777777" w:rsidR="00360B6B" w:rsidRPr="000422D9" w:rsidRDefault="00360B6B" w:rsidP="0052424C">
                  <w:pPr>
                    <w:pStyle w:val="TableColumnHeading"/>
                    <w:ind w:right="28"/>
                  </w:pPr>
                  <w:r w:rsidRPr="000422D9">
                    <w:t xml:space="preserve">Scenario </w:t>
                  </w:r>
                  <w:proofErr w:type="spellStart"/>
                  <w:r w:rsidRPr="000422D9">
                    <w:t>2</w:t>
                  </w:r>
                  <w:r>
                    <w:t>.</w:t>
                  </w:r>
                  <w:r w:rsidRPr="000422D9">
                    <w:t>E</w:t>
                  </w:r>
                  <w:proofErr w:type="spellEnd"/>
                </w:p>
              </w:tc>
              <w:tc>
                <w:tcPr>
                  <w:tcW w:w="652" w:type="pct"/>
                  <w:tcBorders>
                    <w:top w:val="single" w:sz="6" w:space="0" w:color="BFBFBF"/>
                  </w:tcBorders>
                </w:tcPr>
                <w:p w14:paraId="173003A4" w14:textId="77777777" w:rsidR="00360B6B" w:rsidRPr="000422D9" w:rsidRDefault="00360B6B" w:rsidP="0052424C">
                  <w:pPr>
                    <w:pStyle w:val="TableColumnHeading"/>
                    <w:ind w:right="28"/>
                  </w:pPr>
                  <w:r w:rsidRPr="000422D9">
                    <w:t xml:space="preserve">Scenario </w:t>
                  </w:r>
                  <w:proofErr w:type="spellStart"/>
                  <w:r w:rsidRPr="000422D9">
                    <w:t>2</w:t>
                  </w:r>
                  <w:r>
                    <w:t>.</w:t>
                  </w:r>
                  <w:r w:rsidRPr="000422D9">
                    <w:t>F</w:t>
                  </w:r>
                  <w:proofErr w:type="spellEnd"/>
                </w:p>
              </w:tc>
            </w:tr>
            <w:tr w:rsidR="00360B6B" w14:paraId="1FCF5ECA" w14:textId="77777777" w:rsidTr="00FB41B6">
              <w:tc>
                <w:tcPr>
                  <w:tcW w:w="990" w:type="pct"/>
                  <w:tcBorders>
                    <w:top w:val="single" w:sz="6" w:space="0" w:color="BFBFBF"/>
                  </w:tcBorders>
                </w:tcPr>
                <w:p w14:paraId="654C2267" w14:textId="77777777" w:rsidR="00360B6B" w:rsidRPr="000422D9" w:rsidRDefault="00360B6B" w:rsidP="0052424C">
                  <w:pPr>
                    <w:pStyle w:val="TableUnitsRow"/>
                    <w:jc w:val="left"/>
                  </w:pPr>
                </w:p>
              </w:tc>
              <w:tc>
                <w:tcPr>
                  <w:tcW w:w="668" w:type="pct"/>
                  <w:tcBorders>
                    <w:top w:val="single" w:sz="6" w:space="0" w:color="BFBFBF"/>
                  </w:tcBorders>
                </w:tcPr>
                <w:p w14:paraId="34D0A5BB" w14:textId="77777777" w:rsidR="00360B6B" w:rsidRPr="000422D9" w:rsidRDefault="00360B6B" w:rsidP="00FB41B6">
                  <w:pPr>
                    <w:pStyle w:val="TableUnitsRow"/>
                  </w:pPr>
                  <w:r w:rsidRPr="000422D9">
                    <w:t>NOM 0.6</w:t>
                  </w:r>
                  <w:r>
                    <w:t>%</w:t>
                  </w:r>
                  <w:r w:rsidRPr="000422D9">
                    <w:t xml:space="preserve"> of pop</w:t>
                  </w:r>
                  <w:r>
                    <w:t>.</w:t>
                  </w:r>
                  <w:r w:rsidRPr="000422D9">
                    <w:t xml:space="preserve"> from 2013</w:t>
                  </w:r>
                  <w:r w:rsidRPr="000422D9">
                    <w:noBreakHyphen/>
                    <w:t>14</w:t>
                  </w:r>
                </w:p>
              </w:tc>
              <w:tc>
                <w:tcPr>
                  <w:tcW w:w="668" w:type="pct"/>
                  <w:tcBorders>
                    <w:top w:val="single" w:sz="6" w:space="0" w:color="BFBFBF"/>
                  </w:tcBorders>
                </w:tcPr>
                <w:p w14:paraId="4372C861" w14:textId="77777777" w:rsidR="00360B6B" w:rsidRPr="000422D9" w:rsidRDefault="00360B6B" w:rsidP="00FB41B6">
                  <w:pPr>
                    <w:pStyle w:val="TableUnitsRow"/>
                  </w:pPr>
                  <w:r w:rsidRPr="000422D9">
                    <w:t>NOM 0.8</w:t>
                  </w:r>
                  <w:r>
                    <w:t>%</w:t>
                  </w:r>
                  <w:r w:rsidRPr="000422D9" w:rsidDel="00F44C62">
                    <w:t xml:space="preserve"> </w:t>
                  </w:r>
                  <w:r w:rsidRPr="000422D9">
                    <w:t>of pop</w:t>
                  </w:r>
                  <w:r>
                    <w:t>.</w:t>
                  </w:r>
                  <w:r w:rsidRPr="000422D9">
                    <w:t xml:space="preserve"> from 2013</w:t>
                  </w:r>
                  <w:r w:rsidRPr="000422D9">
                    <w:noBreakHyphen/>
                    <w:t>14</w:t>
                  </w:r>
                </w:p>
              </w:tc>
              <w:tc>
                <w:tcPr>
                  <w:tcW w:w="670" w:type="pct"/>
                  <w:tcBorders>
                    <w:top w:val="single" w:sz="6" w:space="0" w:color="BFBFBF"/>
                  </w:tcBorders>
                </w:tcPr>
                <w:p w14:paraId="257E1C17" w14:textId="77777777" w:rsidR="00360B6B" w:rsidRPr="000422D9" w:rsidRDefault="00360B6B" w:rsidP="00FB41B6">
                  <w:pPr>
                    <w:pStyle w:val="TableUnitsRow"/>
                  </w:pPr>
                  <w:r w:rsidRPr="000422D9">
                    <w:t>NOM 1.2</w:t>
                  </w:r>
                  <w:r>
                    <w:t>%</w:t>
                  </w:r>
                  <w:r w:rsidRPr="000422D9">
                    <w:t xml:space="preserve"> of pop</w:t>
                  </w:r>
                  <w:r>
                    <w:t>.</w:t>
                  </w:r>
                  <w:r w:rsidRPr="000422D9">
                    <w:t xml:space="preserve"> from 2013</w:t>
                  </w:r>
                  <w:r w:rsidRPr="000422D9">
                    <w:noBreakHyphen/>
                    <w:t>14</w:t>
                  </w:r>
                </w:p>
              </w:tc>
              <w:tc>
                <w:tcPr>
                  <w:tcW w:w="668" w:type="pct"/>
                  <w:tcBorders>
                    <w:top w:val="single" w:sz="6" w:space="0" w:color="BFBFBF"/>
                  </w:tcBorders>
                </w:tcPr>
                <w:p w14:paraId="72085294" w14:textId="77777777" w:rsidR="00360B6B" w:rsidRPr="000422D9" w:rsidRDefault="00360B6B" w:rsidP="00FB41B6">
                  <w:pPr>
                    <w:pStyle w:val="TableUnitsRow"/>
                  </w:pPr>
                  <w:r w:rsidRPr="000422D9">
                    <w:t>NOM 100,000 per year</w:t>
                  </w:r>
                </w:p>
              </w:tc>
              <w:tc>
                <w:tcPr>
                  <w:tcW w:w="668" w:type="pct"/>
                  <w:tcBorders>
                    <w:top w:val="single" w:sz="6" w:space="0" w:color="BFBFBF"/>
                  </w:tcBorders>
                </w:tcPr>
                <w:p w14:paraId="4454E8C2" w14:textId="77777777" w:rsidR="00360B6B" w:rsidRPr="000422D9" w:rsidRDefault="00360B6B" w:rsidP="00FB41B6">
                  <w:pPr>
                    <w:pStyle w:val="TableUnitsRow"/>
                  </w:pPr>
                  <w:r w:rsidRPr="000422D9">
                    <w:t xml:space="preserve">NOM </w:t>
                  </w:r>
                  <w:r w:rsidRPr="000422D9">
                    <w:br/>
                    <w:t>205 000 per year</w:t>
                  </w:r>
                </w:p>
              </w:tc>
              <w:tc>
                <w:tcPr>
                  <w:tcW w:w="668" w:type="pct"/>
                  <w:gridSpan w:val="2"/>
                  <w:tcBorders>
                    <w:top w:val="single" w:sz="6" w:space="0" w:color="BFBFBF"/>
                  </w:tcBorders>
                </w:tcPr>
                <w:p w14:paraId="08723106" w14:textId="77777777" w:rsidR="00360B6B" w:rsidRPr="000422D9" w:rsidRDefault="00360B6B" w:rsidP="00FB41B6">
                  <w:pPr>
                    <w:pStyle w:val="TableColumnHeading"/>
                    <w:spacing w:before="40" w:after="40"/>
                    <w:ind w:right="28"/>
                  </w:pPr>
                  <w:r w:rsidRPr="000422D9">
                    <w:t xml:space="preserve">NOM </w:t>
                  </w:r>
                  <w:r w:rsidRPr="000422D9">
                    <w:br/>
                    <w:t>250 000 per year</w:t>
                  </w:r>
                </w:p>
              </w:tc>
            </w:tr>
            <w:tr w:rsidR="00360B6B" w14:paraId="4606952F" w14:textId="77777777" w:rsidTr="0052424C">
              <w:tc>
                <w:tcPr>
                  <w:tcW w:w="990" w:type="pct"/>
                </w:tcPr>
                <w:p w14:paraId="3ED65C2C" w14:textId="2C1CC125" w:rsidR="00360B6B" w:rsidRDefault="00360B6B" w:rsidP="00FB41B6">
                  <w:pPr>
                    <w:pStyle w:val="TableBodyText"/>
                    <w:spacing w:before="80"/>
                    <w:jc w:val="left"/>
                  </w:pPr>
                  <w:r>
                    <w:t xml:space="preserve">NOM </w:t>
                  </w:r>
                  <w:r w:rsidR="00FB41B6">
                    <w:br/>
                  </w:r>
                  <w:r>
                    <w:t>(Persons ‘000)</w:t>
                  </w:r>
                </w:p>
              </w:tc>
              <w:tc>
                <w:tcPr>
                  <w:tcW w:w="668" w:type="pct"/>
                </w:tcPr>
                <w:p w14:paraId="409AE744" w14:textId="77777777" w:rsidR="00360B6B" w:rsidRDefault="00360B6B" w:rsidP="00FB41B6">
                  <w:pPr>
                    <w:pStyle w:val="TableBodyText"/>
                    <w:spacing w:before="80"/>
                  </w:pPr>
                  <w:r w:rsidRPr="00C573C0">
                    <w:t>8</w:t>
                  </w:r>
                  <w:r>
                    <w:t>,</w:t>
                  </w:r>
                  <w:r w:rsidRPr="00C573C0">
                    <w:t>963</w:t>
                  </w:r>
                </w:p>
              </w:tc>
              <w:tc>
                <w:tcPr>
                  <w:tcW w:w="668" w:type="pct"/>
                </w:tcPr>
                <w:p w14:paraId="11A6E908" w14:textId="77777777" w:rsidR="00360B6B" w:rsidRDefault="00360B6B" w:rsidP="00FB41B6">
                  <w:pPr>
                    <w:pStyle w:val="TableBodyText"/>
                    <w:spacing w:before="80"/>
                  </w:pPr>
                  <w:r w:rsidRPr="00C573C0">
                    <w:t>12</w:t>
                  </w:r>
                  <w:r>
                    <w:t>,</w:t>
                  </w:r>
                  <w:r w:rsidRPr="00C573C0">
                    <w:t>156</w:t>
                  </w:r>
                </w:p>
              </w:tc>
              <w:tc>
                <w:tcPr>
                  <w:tcW w:w="670" w:type="pct"/>
                </w:tcPr>
                <w:p w14:paraId="4B469CC4" w14:textId="77777777" w:rsidR="00360B6B" w:rsidRDefault="00360B6B" w:rsidP="00FB41B6">
                  <w:pPr>
                    <w:pStyle w:val="TableBodyText"/>
                    <w:spacing w:before="80"/>
                  </w:pPr>
                  <w:r w:rsidRPr="00C573C0">
                    <w:t>19</w:t>
                  </w:r>
                  <w:r>
                    <w:t>,</w:t>
                  </w:r>
                  <w:r w:rsidRPr="00C573C0">
                    <w:t>444</w:t>
                  </w:r>
                </w:p>
              </w:tc>
              <w:tc>
                <w:tcPr>
                  <w:tcW w:w="668" w:type="pct"/>
                </w:tcPr>
                <w:p w14:paraId="6EF8E244" w14:textId="77777777" w:rsidR="00360B6B" w:rsidRDefault="00360B6B" w:rsidP="00FB41B6">
                  <w:pPr>
                    <w:pStyle w:val="TableBodyText"/>
                    <w:spacing w:before="80"/>
                  </w:pPr>
                  <w:r>
                    <w:t>5,235</w:t>
                  </w:r>
                </w:p>
              </w:tc>
              <w:tc>
                <w:tcPr>
                  <w:tcW w:w="668" w:type="pct"/>
                </w:tcPr>
                <w:p w14:paraId="5D0D4D74" w14:textId="77777777" w:rsidR="00360B6B" w:rsidRDefault="00360B6B" w:rsidP="00FB41B6">
                  <w:pPr>
                    <w:pStyle w:val="TableBodyText"/>
                    <w:spacing w:before="80"/>
                  </w:pPr>
                  <w:r w:rsidRPr="00C573C0">
                    <w:t>9</w:t>
                  </w:r>
                  <w:r>
                    <w:t>,</w:t>
                  </w:r>
                  <w:r w:rsidRPr="00C573C0">
                    <w:t>468</w:t>
                  </w:r>
                </w:p>
              </w:tc>
              <w:tc>
                <w:tcPr>
                  <w:tcW w:w="668" w:type="pct"/>
                  <w:gridSpan w:val="2"/>
                </w:tcPr>
                <w:p w14:paraId="626133A1" w14:textId="77777777" w:rsidR="00360B6B" w:rsidRDefault="00360B6B" w:rsidP="00FB41B6">
                  <w:pPr>
                    <w:pStyle w:val="TableBodyText"/>
                    <w:spacing w:before="80"/>
                    <w:ind w:right="28"/>
                  </w:pPr>
                  <w:r w:rsidRPr="00C573C0">
                    <w:t>11</w:t>
                  </w:r>
                  <w:r>
                    <w:t>,</w:t>
                  </w:r>
                  <w:r w:rsidRPr="00C573C0">
                    <w:t>235</w:t>
                  </w:r>
                </w:p>
              </w:tc>
            </w:tr>
            <w:tr w:rsidR="00360B6B" w14:paraId="3DE54491" w14:textId="77777777" w:rsidTr="0052424C">
              <w:tc>
                <w:tcPr>
                  <w:tcW w:w="990" w:type="pct"/>
                </w:tcPr>
                <w:p w14:paraId="059602EC" w14:textId="77777777" w:rsidR="00360B6B" w:rsidRDefault="00360B6B" w:rsidP="0052424C">
                  <w:pPr>
                    <w:pStyle w:val="TableBodyText"/>
                    <w:jc w:val="left"/>
                  </w:pPr>
                  <w:r>
                    <w:t>Population (Index)</w:t>
                  </w:r>
                </w:p>
              </w:tc>
              <w:tc>
                <w:tcPr>
                  <w:tcW w:w="668" w:type="pct"/>
                </w:tcPr>
                <w:p w14:paraId="66FAB8DA" w14:textId="77777777" w:rsidR="00360B6B" w:rsidRDefault="00360B6B" w:rsidP="0052424C">
                  <w:pPr>
                    <w:pStyle w:val="TableBodyText"/>
                  </w:pPr>
                  <w:r>
                    <w:t>172</w:t>
                  </w:r>
                </w:p>
              </w:tc>
              <w:tc>
                <w:tcPr>
                  <w:tcW w:w="668" w:type="pct"/>
                </w:tcPr>
                <w:p w14:paraId="3B9267F9" w14:textId="77777777" w:rsidR="00360B6B" w:rsidRDefault="00360B6B" w:rsidP="0052424C">
                  <w:pPr>
                    <w:pStyle w:val="TableBodyText"/>
                  </w:pPr>
                  <w:r>
                    <w:t>192</w:t>
                  </w:r>
                </w:p>
              </w:tc>
              <w:tc>
                <w:tcPr>
                  <w:tcW w:w="670" w:type="pct"/>
                </w:tcPr>
                <w:p w14:paraId="7AABA10E" w14:textId="77777777" w:rsidR="00360B6B" w:rsidRDefault="00360B6B" w:rsidP="0052424C">
                  <w:pPr>
                    <w:pStyle w:val="TableBodyText"/>
                  </w:pPr>
                  <w:r>
                    <w:t>236</w:t>
                  </w:r>
                </w:p>
              </w:tc>
              <w:tc>
                <w:tcPr>
                  <w:tcW w:w="668" w:type="pct"/>
                </w:tcPr>
                <w:p w14:paraId="254EA1FB" w14:textId="77777777" w:rsidR="00360B6B" w:rsidRDefault="00360B6B" w:rsidP="0052424C">
                  <w:pPr>
                    <w:pStyle w:val="TableBodyText"/>
                  </w:pPr>
                  <w:r>
                    <w:t>150</w:t>
                  </w:r>
                </w:p>
              </w:tc>
              <w:tc>
                <w:tcPr>
                  <w:tcW w:w="668" w:type="pct"/>
                </w:tcPr>
                <w:p w14:paraId="54A8D274" w14:textId="77777777" w:rsidR="00360B6B" w:rsidRDefault="00360B6B" w:rsidP="0052424C">
                  <w:pPr>
                    <w:pStyle w:val="TableBodyText"/>
                  </w:pPr>
                  <w:r>
                    <w:t>176</w:t>
                  </w:r>
                </w:p>
              </w:tc>
              <w:tc>
                <w:tcPr>
                  <w:tcW w:w="668" w:type="pct"/>
                  <w:gridSpan w:val="2"/>
                </w:tcPr>
                <w:p w14:paraId="6B9E95CA" w14:textId="77777777" w:rsidR="00360B6B" w:rsidRDefault="00360B6B" w:rsidP="0052424C">
                  <w:pPr>
                    <w:pStyle w:val="TableBodyText"/>
                    <w:ind w:right="28"/>
                  </w:pPr>
                  <w:r>
                    <w:t>187</w:t>
                  </w:r>
                </w:p>
              </w:tc>
            </w:tr>
            <w:tr w:rsidR="00360B6B" w14:paraId="5454FD8B" w14:textId="77777777" w:rsidTr="0052424C">
              <w:tc>
                <w:tcPr>
                  <w:tcW w:w="990" w:type="pct"/>
                </w:tcPr>
                <w:p w14:paraId="1F8454F5" w14:textId="77777777" w:rsidR="00360B6B" w:rsidRDefault="00360B6B" w:rsidP="0052424C">
                  <w:pPr>
                    <w:pStyle w:val="TableBodyText"/>
                    <w:jc w:val="left"/>
                  </w:pPr>
                  <w:r>
                    <w:t>Population (Persons ‘000)</w:t>
                  </w:r>
                </w:p>
              </w:tc>
              <w:tc>
                <w:tcPr>
                  <w:tcW w:w="668" w:type="pct"/>
                </w:tcPr>
                <w:p w14:paraId="32BBEC28" w14:textId="77777777" w:rsidR="00360B6B" w:rsidRDefault="00360B6B" w:rsidP="0052424C">
                  <w:pPr>
                    <w:pStyle w:val="TableBodyText"/>
                  </w:pPr>
                  <w:r>
                    <w:t>39,799</w:t>
                  </w:r>
                </w:p>
              </w:tc>
              <w:tc>
                <w:tcPr>
                  <w:tcW w:w="668" w:type="pct"/>
                </w:tcPr>
                <w:p w14:paraId="6E5F9A5D" w14:textId="77777777" w:rsidR="00360B6B" w:rsidRDefault="00360B6B" w:rsidP="0052424C">
                  <w:pPr>
                    <w:pStyle w:val="TableBodyText"/>
                  </w:pPr>
                  <w:r w:rsidRPr="00E037EC">
                    <w:t>44</w:t>
                  </w:r>
                  <w:r>
                    <w:t>,</w:t>
                  </w:r>
                  <w:r w:rsidRPr="00E037EC">
                    <w:t>323</w:t>
                  </w:r>
                </w:p>
              </w:tc>
              <w:tc>
                <w:tcPr>
                  <w:tcW w:w="670" w:type="pct"/>
                </w:tcPr>
                <w:p w14:paraId="64B1C7D6" w14:textId="77777777" w:rsidR="00360B6B" w:rsidRDefault="00360B6B" w:rsidP="0052424C">
                  <w:pPr>
                    <w:pStyle w:val="TableBodyText"/>
                  </w:pPr>
                  <w:r w:rsidRPr="00E037EC">
                    <w:t>54</w:t>
                  </w:r>
                  <w:r>
                    <w:t>,</w:t>
                  </w:r>
                  <w:r w:rsidRPr="00E037EC">
                    <w:t>544</w:t>
                  </w:r>
                </w:p>
              </w:tc>
              <w:tc>
                <w:tcPr>
                  <w:tcW w:w="668" w:type="pct"/>
                </w:tcPr>
                <w:p w14:paraId="134C45B8" w14:textId="77777777" w:rsidR="00360B6B" w:rsidRDefault="00360B6B" w:rsidP="0052424C">
                  <w:pPr>
                    <w:pStyle w:val="TableBodyText"/>
                  </w:pPr>
                  <w:r w:rsidRPr="00BD36E6">
                    <w:t>34</w:t>
                  </w:r>
                  <w:r>
                    <w:t>,</w:t>
                  </w:r>
                  <w:r w:rsidRPr="00BD36E6">
                    <w:t>571</w:t>
                  </w:r>
                </w:p>
              </w:tc>
              <w:tc>
                <w:tcPr>
                  <w:tcW w:w="668" w:type="pct"/>
                </w:tcPr>
                <w:p w14:paraId="701B69AD" w14:textId="77777777" w:rsidR="00360B6B" w:rsidRDefault="00360B6B" w:rsidP="0052424C">
                  <w:pPr>
                    <w:pStyle w:val="TableBodyText"/>
                  </w:pPr>
                  <w:r w:rsidRPr="00E037EC">
                    <w:t>40</w:t>
                  </w:r>
                  <w:r>
                    <w:t>,</w:t>
                  </w:r>
                  <w:r w:rsidRPr="00E037EC">
                    <w:t>737</w:t>
                  </w:r>
                </w:p>
              </w:tc>
              <w:tc>
                <w:tcPr>
                  <w:tcW w:w="668" w:type="pct"/>
                  <w:gridSpan w:val="2"/>
                </w:tcPr>
                <w:p w14:paraId="66B1F6C6" w14:textId="77777777" w:rsidR="00360B6B" w:rsidRDefault="00360B6B" w:rsidP="0052424C">
                  <w:pPr>
                    <w:pStyle w:val="TableBodyText"/>
                    <w:ind w:right="28"/>
                  </w:pPr>
                  <w:r w:rsidRPr="00E037EC">
                    <w:t>43</w:t>
                  </w:r>
                  <w:r>
                    <w:t>,</w:t>
                  </w:r>
                  <w:r w:rsidRPr="00E037EC">
                    <w:t>316</w:t>
                  </w:r>
                </w:p>
              </w:tc>
            </w:tr>
            <w:tr w:rsidR="00360B6B" w14:paraId="5EEE05C5" w14:textId="77777777" w:rsidTr="0052424C">
              <w:tc>
                <w:tcPr>
                  <w:tcW w:w="990" w:type="pct"/>
                </w:tcPr>
                <w:p w14:paraId="5B8FA1C0" w14:textId="77777777" w:rsidR="00360B6B" w:rsidRDefault="00360B6B" w:rsidP="0052424C">
                  <w:pPr>
                    <w:pStyle w:val="TableBodyText"/>
                    <w:jc w:val="left"/>
                  </w:pPr>
                  <w:r>
                    <w:t>GDP</w:t>
                  </w:r>
                </w:p>
              </w:tc>
              <w:tc>
                <w:tcPr>
                  <w:tcW w:w="668" w:type="pct"/>
                </w:tcPr>
                <w:p w14:paraId="303D1DF0" w14:textId="77777777" w:rsidR="00360B6B" w:rsidRDefault="00360B6B" w:rsidP="0052424C">
                  <w:pPr>
                    <w:pStyle w:val="TableBodyText"/>
                  </w:pPr>
                  <w:r>
                    <w:t>258</w:t>
                  </w:r>
                </w:p>
              </w:tc>
              <w:tc>
                <w:tcPr>
                  <w:tcW w:w="668" w:type="pct"/>
                </w:tcPr>
                <w:p w14:paraId="33B25C33" w14:textId="77777777" w:rsidR="00360B6B" w:rsidRDefault="00360B6B" w:rsidP="0052424C">
                  <w:pPr>
                    <w:pStyle w:val="TableBodyText"/>
                  </w:pPr>
                  <w:r>
                    <w:t>290</w:t>
                  </w:r>
                </w:p>
              </w:tc>
              <w:tc>
                <w:tcPr>
                  <w:tcW w:w="670" w:type="pct"/>
                </w:tcPr>
                <w:p w14:paraId="5C87EC77" w14:textId="77777777" w:rsidR="00360B6B" w:rsidRDefault="00360B6B" w:rsidP="0052424C">
                  <w:pPr>
                    <w:pStyle w:val="TableBodyText"/>
                  </w:pPr>
                  <w:r>
                    <w:t>364</w:t>
                  </w:r>
                </w:p>
              </w:tc>
              <w:tc>
                <w:tcPr>
                  <w:tcW w:w="668" w:type="pct"/>
                </w:tcPr>
                <w:p w14:paraId="65876632" w14:textId="77777777" w:rsidR="00360B6B" w:rsidRDefault="00360B6B" w:rsidP="0052424C">
                  <w:pPr>
                    <w:pStyle w:val="TableBodyText"/>
                  </w:pPr>
                  <w:r>
                    <w:t>220</w:t>
                  </w:r>
                </w:p>
              </w:tc>
              <w:tc>
                <w:tcPr>
                  <w:tcW w:w="668" w:type="pct"/>
                </w:tcPr>
                <w:p w14:paraId="16688B9F" w14:textId="77777777" w:rsidR="00360B6B" w:rsidRDefault="00360B6B" w:rsidP="0052424C">
                  <w:pPr>
                    <w:pStyle w:val="TableBodyText"/>
                  </w:pPr>
                  <w:r>
                    <w:t>266</w:t>
                  </w:r>
                </w:p>
              </w:tc>
              <w:tc>
                <w:tcPr>
                  <w:tcW w:w="668" w:type="pct"/>
                  <w:gridSpan w:val="2"/>
                </w:tcPr>
                <w:p w14:paraId="43C1051D" w14:textId="77777777" w:rsidR="00360B6B" w:rsidRDefault="00360B6B" w:rsidP="0052424C">
                  <w:pPr>
                    <w:pStyle w:val="TableBodyText"/>
                    <w:ind w:right="28"/>
                  </w:pPr>
                  <w:r>
                    <w:t>285</w:t>
                  </w:r>
                </w:p>
              </w:tc>
            </w:tr>
            <w:tr w:rsidR="00360B6B" w14:paraId="14F6E050" w14:textId="77777777" w:rsidTr="0052424C">
              <w:tc>
                <w:tcPr>
                  <w:tcW w:w="990" w:type="pct"/>
                </w:tcPr>
                <w:p w14:paraId="6C604768" w14:textId="77777777" w:rsidR="00360B6B" w:rsidRDefault="00360B6B" w:rsidP="0052424C">
                  <w:pPr>
                    <w:pStyle w:val="TableBodyText"/>
                    <w:jc w:val="left"/>
                  </w:pPr>
                  <w:r>
                    <w:t>GDP per capita</w:t>
                  </w:r>
                </w:p>
              </w:tc>
              <w:tc>
                <w:tcPr>
                  <w:tcW w:w="668" w:type="pct"/>
                </w:tcPr>
                <w:p w14:paraId="44A04FC0" w14:textId="77777777" w:rsidR="00360B6B" w:rsidRDefault="00360B6B" w:rsidP="0052424C">
                  <w:pPr>
                    <w:pStyle w:val="TableBodyText"/>
                  </w:pPr>
                  <w:r>
                    <w:t>150</w:t>
                  </w:r>
                </w:p>
              </w:tc>
              <w:tc>
                <w:tcPr>
                  <w:tcW w:w="668" w:type="pct"/>
                </w:tcPr>
                <w:p w14:paraId="5520530A" w14:textId="77777777" w:rsidR="00360B6B" w:rsidRDefault="00360B6B" w:rsidP="0052424C">
                  <w:pPr>
                    <w:pStyle w:val="TableBodyText"/>
                  </w:pPr>
                  <w:r>
                    <w:t>151</w:t>
                  </w:r>
                </w:p>
              </w:tc>
              <w:tc>
                <w:tcPr>
                  <w:tcW w:w="670" w:type="pct"/>
                </w:tcPr>
                <w:p w14:paraId="541E7BC0" w14:textId="77777777" w:rsidR="00360B6B" w:rsidRDefault="00360B6B" w:rsidP="0052424C">
                  <w:pPr>
                    <w:pStyle w:val="TableBodyText"/>
                  </w:pPr>
                  <w:r>
                    <w:t>154</w:t>
                  </w:r>
                </w:p>
              </w:tc>
              <w:tc>
                <w:tcPr>
                  <w:tcW w:w="668" w:type="pct"/>
                </w:tcPr>
                <w:p w14:paraId="307E5BC7" w14:textId="77777777" w:rsidR="00360B6B" w:rsidRDefault="00360B6B" w:rsidP="0052424C">
                  <w:pPr>
                    <w:pStyle w:val="TableBodyText"/>
                  </w:pPr>
                  <w:r>
                    <w:t>147</w:t>
                  </w:r>
                </w:p>
              </w:tc>
              <w:tc>
                <w:tcPr>
                  <w:tcW w:w="668" w:type="pct"/>
                </w:tcPr>
                <w:p w14:paraId="7A93B1C3" w14:textId="77777777" w:rsidR="00360B6B" w:rsidRDefault="00360B6B" w:rsidP="0052424C">
                  <w:pPr>
                    <w:pStyle w:val="TableBodyText"/>
                  </w:pPr>
                  <w:r>
                    <w:t>151</w:t>
                  </w:r>
                </w:p>
              </w:tc>
              <w:tc>
                <w:tcPr>
                  <w:tcW w:w="668" w:type="pct"/>
                  <w:gridSpan w:val="2"/>
                </w:tcPr>
                <w:p w14:paraId="0F178931" w14:textId="77777777" w:rsidR="00360B6B" w:rsidRDefault="00360B6B" w:rsidP="0052424C">
                  <w:pPr>
                    <w:pStyle w:val="TableBodyText"/>
                    <w:ind w:right="28"/>
                  </w:pPr>
                  <w:r>
                    <w:t>152</w:t>
                  </w:r>
                </w:p>
              </w:tc>
            </w:tr>
            <w:tr w:rsidR="00360B6B" w14:paraId="3C56C1D0" w14:textId="77777777" w:rsidTr="0052424C">
              <w:tc>
                <w:tcPr>
                  <w:tcW w:w="990" w:type="pct"/>
                  <w:tcBorders>
                    <w:bottom w:val="single" w:sz="6" w:space="0" w:color="BFBFBF"/>
                  </w:tcBorders>
                  <w:shd w:val="clear" w:color="auto" w:fill="auto"/>
                </w:tcPr>
                <w:p w14:paraId="5E0829CA" w14:textId="77777777" w:rsidR="00360B6B" w:rsidRDefault="00360B6B" w:rsidP="0052424C">
                  <w:pPr>
                    <w:pStyle w:val="TableBodyText"/>
                    <w:jc w:val="left"/>
                  </w:pPr>
                  <w:r>
                    <w:t>Age dependency ratio</w:t>
                  </w:r>
                </w:p>
              </w:tc>
              <w:tc>
                <w:tcPr>
                  <w:tcW w:w="668" w:type="pct"/>
                  <w:tcBorders>
                    <w:bottom w:val="single" w:sz="6" w:space="0" w:color="BFBFBF"/>
                  </w:tcBorders>
                </w:tcPr>
                <w:p w14:paraId="7A380438" w14:textId="77777777" w:rsidR="00360B6B" w:rsidRDefault="00360B6B" w:rsidP="0052424C">
                  <w:pPr>
                    <w:pStyle w:val="TableBodyText"/>
                  </w:pPr>
                  <w:r>
                    <w:t>0.42</w:t>
                  </w:r>
                </w:p>
              </w:tc>
              <w:tc>
                <w:tcPr>
                  <w:tcW w:w="668" w:type="pct"/>
                  <w:tcBorders>
                    <w:bottom w:val="single" w:sz="6" w:space="0" w:color="BFBFBF"/>
                  </w:tcBorders>
                </w:tcPr>
                <w:p w14:paraId="5206D061" w14:textId="77777777" w:rsidR="00360B6B" w:rsidRDefault="00360B6B" w:rsidP="0052424C">
                  <w:pPr>
                    <w:pStyle w:val="TableBodyText"/>
                  </w:pPr>
                  <w:r>
                    <w:t>0.38</w:t>
                  </w:r>
                </w:p>
              </w:tc>
              <w:tc>
                <w:tcPr>
                  <w:tcW w:w="670" w:type="pct"/>
                  <w:tcBorders>
                    <w:bottom w:val="single" w:sz="6" w:space="0" w:color="BFBFBF"/>
                  </w:tcBorders>
                </w:tcPr>
                <w:p w14:paraId="6A74F2A0" w14:textId="77777777" w:rsidR="00360B6B" w:rsidRDefault="00360B6B" w:rsidP="0052424C">
                  <w:pPr>
                    <w:pStyle w:val="TableBodyText"/>
                  </w:pPr>
                  <w:r>
                    <w:t>0.32</w:t>
                  </w:r>
                </w:p>
              </w:tc>
              <w:tc>
                <w:tcPr>
                  <w:tcW w:w="668" w:type="pct"/>
                  <w:tcBorders>
                    <w:bottom w:val="single" w:sz="6" w:space="0" w:color="BFBFBF"/>
                  </w:tcBorders>
                </w:tcPr>
                <w:p w14:paraId="238CD8B7" w14:textId="77777777" w:rsidR="00360B6B" w:rsidRDefault="00360B6B" w:rsidP="0052424C">
                  <w:pPr>
                    <w:pStyle w:val="TableBodyText"/>
                  </w:pPr>
                  <w:r>
                    <w:t>0.48</w:t>
                  </w:r>
                </w:p>
              </w:tc>
              <w:tc>
                <w:tcPr>
                  <w:tcW w:w="668" w:type="pct"/>
                  <w:tcBorders>
                    <w:bottom w:val="single" w:sz="6" w:space="0" w:color="BFBFBF"/>
                  </w:tcBorders>
                  <w:shd w:val="clear" w:color="auto" w:fill="auto"/>
                </w:tcPr>
                <w:p w14:paraId="6D62B03B" w14:textId="77777777" w:rsidR="00360B6B" w:rsidRDefault="00360B6B" w:rsidP="0052424C">
                  <w:pPr>
                    <w:pStyle w:val="TableBodyText"/>
                  </w:pPr>
                  <w:r>
                    <w:t>0.41</w:t>
                  </w:r>
                </w:p>
              </w:tc>
              <w:tc>
                <w:tcPr>
                  <w:tcW w:w="668" w:type="pct"/>
                  <w:gridSpan w:val="2"/>
                  <w:tcBorders>
                    <w:bottom w:val="single" w:sz="6" w:space="0" w:color="BFBFBF"/>
                  </w:tcBorders>
                  <w:shd w:val="clear" w:color="auto" w:fill="auto"/>
                </w:tcPr>
                <w:p w14:paraId="7E0FB9C5" w14:textId="77777777" w:rsidR="00360B6B" w:rsidRDefault="00360B6B" w:rsidP="0052424C">
                  <w:pPr>
                    <w:pStyle w:val="TableBodyText"/>
                    <w:ind w:right="28"/>
                  </w:pPr>
                  <w:r>
                    <w:t>0.39</w:t>
                  </w:r>
                </w:p>
              </w:tc>
            </w:tr>
          </w:tbl>
          <w:p w14:paraId="67561D28" w14:textId="77777777" w:rsidR="00360B6B" w:rsidRDefault="00360B6B" w:rsidP="0052424C">
            <w:pPr>
              <w:pStyle w:val="Box"/>
            </w:pPr>
          </w:p>
        </w:tc>
      </w:tr>
      <w:tr w:rsidR="00360B6B" w14:paraId="6DC3717E" w14:textId="77777777" w:rsidTr="0052424C">
        <w:trPr>
          <w:cantSplit/>
        </w:trPr>
        <w:tc>
          <w:tcPr>
            <w:tcW w:w="8771" w:type="dxa"/>
            <w:tcBorders>
              <w:top w:val="nil"/>
              <w:left w:val="nil"/>
              <w:bottom w:val="nil"/>
              <w:right w:val="nil"/>
            </w:tcBorders>
            <w:shd w:val="clear" w:color="auto" w:fill="auto"/>
          </w:tcPr>
          <w:p w14:paraId="1673A667" w14:textId="77777777" w:rsidR="00360B6B" w:rsidRDefault="00360B6B" w:rsidP="0052424C">
            <w:pPr>
              <w:pStyle w:val="Source"/>
            </w:pPr>
            <w:r>
              <w:rPr>
                <w:i/>
              </w:rPr>
              <w:t>Source</w:t>
            </w:r>
            <w:r w:rsidRPr="00167F06">
              <w:t xml:space="preserve">: </w:t>
            </w:r>
            <w:r>
              <w:t>Productivity Commission preliminary projections.</w:t>
            </w:r>
          </w:p>
        </w:tc>
      </w:tr>
      <w:tr w:rsidR="00360B6B" w14:paraId="74AF90CC" w14:textId="77777777" w:rsidTr="0052424C">
        <w:trPr>
          <w:cantSplit/>
        </w:trPr>
        <w:tc>
          <w:tcPr>
            <w:tcW w:w="8771" w:type="dxa"/>
            <w:tcBorders>
              <w:top w:val="nil"/>
              <w:left w:val="nil"/>
              <w:bottom w:val="single" w:sz="6" w:space="0" w:color="78A22F"/>
              <w:right w:val="nil"/>
            </w:tcBorders>
            <w:shd w:val="clear" w:color="auto" w:fill="auto"/>
          </w:tcPr>
          <w:p w14:paraId="7DE5D1D3" w14:textId="77777777" w:rsidR="00360B6B" w:rsidRDefault="00360B6B" w:rsidP="0052424C">
            <w:pPr>
              <w:pStyle w:val="Box"/>
              <w:spacing w:before="0" w:line="120" w:lineRule="exact"/>
            </w:pPr>
          </w:p>
        </w:tc>
      </w:tr>
      <w:tr w:rsidR="00360B6B" w:rsidRPr="000863A5" w14:paraId="1B79378E" w14:textId="77777777" w:rsidTr="0052424C">
        <w:tc>
          <w:tcPr>
            <w:tcW w:w="8771" w:type="dxa"/>
            <w:tcBorders>
              <w:top w:val="single" w:sz="6" w:space="0" w:color="78A22F"/>
              <w:left w:val="nil"/>
              <w:bottom w:val="nil"/>
              <w:right w:val="nil"/>
            </w:tcBorders>
          </w:tcPr>
          <w:p w14:paraId="0E52D9C6" w14:textId="6252F1AA" w:rsidR="00360B6B" w:rsidRPr="00626D32" w:rsidRDefault="00360B6B" w:rsidP="0052424C">
            <w:pPr>
              <w:pStyle w:val="BoxSpaceBelow"/>
            </w:pPr>
          </w:p>
        </w:tc>
      </w:tr>
    </w:tbl>
    <w:p w14:paraId="1CD4D9F1" w14:textId="77777777" w:rsidR="00360B6B" w:rsidRDefault="00360B6B" w:rsidP="00360B6B">
      <w:pPr>
        <w:rPr>
          <w:szCs w:val="20"/>
        </w:rPr>
      </w:pPr>
      <w:r>
        <w:br w:type="page"/>
      </w:r>
    </w:p>
    <w:p w14:paraId="2CB9AA26" w14:textId="77777777" w:rsidR="00360B6B" w:rsidRPr="00506994" w:rsidRDefault="00360B6B" w:rsidP="00FB41B6">
      <w:pPr>
        <w:pStyle w:val="Heading2"/>
        <w:spacing w:after="240"/>
      </w:pPr>
      <w:r w:rsidRPr="00506994">
        <w:lastRenderedPageBreak/>
        <w:t>Appendix A</w:t>
      </w:r>
      <w:r w:rsidRPr="00506994">
        <w:tab/>
        <w:t>Key classifications</w:t>
      </w:r>
    </w:p>
    <w:tbl>
      <w:tblPr>
        <w:tblW w:w="8733" w:type="dxa"/>
        <w:jc w:val="center"/>
        <w:tblInd w:w="-1585" w:type="dxa"/>
        <w:tblLayout w:type="fixed"/>
        <w:tblLook w:val="04A0" w:firstRow="1" w:lastRow="0" w:firstColumn="1" w:lastColumn="0" w:noHBand="0" w:noVBand="1"/>
      </w:tblPr>
      <w:tblGrid>
        <w:gridCol w:w="937"/>
        <w:gridCol w:w="5528"/>
        <w:gridCol w:w="2268"/>
      </w:tblGrid>
      <w:tr w:rsidR="00360B6B" w:rsidRPr="007029F1" w14:paraId="20AD2CE4" w14:textId="77777777" w:rsidTr="0052424C">
        <w:trPr>
          <w:trHeight w:val="255"/>
          <w:jc w:val="center"/>
        </w:trPr>
        <w:tc>
          <w:tcPr>
            <w:tcW w:w="8733" w:type="dxa"/>
            <w:gridSpan w:val="3"/>
            <w:tcBorders>
              <w:top w:val="single" w:sz="4" w:space="0" w:color="78A22F" w:themeColor="accent1"/>
              <w:left w:val="nil"/>
              <w:bottom w:val="single" w:sz="4" w:space="0" w:color="C8C8C8" w:themeColor="background2"/>
              <w:right w:val="nil"/>
            </w:tcBorders>
          </w:tcPr>
          <w:p w14:paraId="3684D35B" w14:textId="77777777" w:rsidR="00360B6B" w:rsidRDefault="00360B6B" w:rsidP="0052424C">
            <w:pPr>
              <w:pStyle w:val="TableTitle"/>
            </w:pPr>
            <w:r>
              <w:t>Table A1</w:t>
            </w:r>
            <w:r>
              <w:tab/>
              <w:t xml:space="preserve">Industries in the </w:t>
            </w:r>
            <w:proofErr w:type="spellStart"/>
            <w:r>
              <w:t>VUMR</w:t>
            </w:r>
            <w:proofErr w:type="spellEnd"/>
            <w:r>
              <w:t xml:space="preserve"> model data base</w:t>
            </w:r>
          </w:p>
        </w:tc>
      </w:tr>
      <w:tr w:rsidR="00360B6B" w:rsidRPr="007029F1" w14:paraId="12451BC1" w14:textId="77777777" w:rsidTr="0052424C">
        <w:trPr>
          <w:trHeight w:val="255"/>
          <w:jc w:val="center"/>
        </w:trPr>
        <w:tc>
          <w:tcPr>
            <w:tcW w:w="937" w:type="dxa"/>
            <w:tcBorders>
              <w:top w:val="single" w:sz="4" w:space="0" w:color="C8C8C8" w:themeColor="background2"/>
              <w:left w:val="nil"/>
              <w:bottom w:val="single" w:sz="4" w:space="0" w:color="C8C8C8" w:themeColor="background2"/>
              <w:right w:val="nil"/>
            </w:tcBorders>
          </w:tcPr>
          <w:p w14:paraId="2E9FF0B5" w14:textId="77777777" w:rsidR="00360B6B" w:rsidRPr="007029F1" w:rsidRDefault="00360B6B" w:rsidP="0052424C">
            <w:pPr>
              <w:pStyle w:val="TableColumnHeading"/>
              <w:jc w:val="left"/>
            </w:pPr>
          </w:p>
        </w:tc>
        <w:tc>
          <w:tcPr>
            <w:tcW w:w="5528" w:type="dxa"/>
            <w:tcBorders>
              <w:top w:val="single" w:sz="4" w:space="0" w:color="C8C8C8" w:themeColor="background2"/>
              <w:left w:val="nil"/>
              <w:bottom w:val="single" w:sz="4" w:space="0" w:color="C8C8C8" w:themeColor="background2"/>
              <w:right w:val="nil"/>
            </w:tcBorders>
            <w:shd w:val="clear" w:color="auto" w:fill="auto"/>
            <w:noWrap/>
            <w:vAlign w:val="bottom"/>
            <w:hideMark/>
          </w:tcPr>
          <w:p w14:paraId="48E22D57" w14:textId="77777777" w:rsidR="00360B6B" w:rsidRPr="007029F1" w:rsidRDefault="00360B6B" w:rsidP="0052424C">
            <w:pPr>
              <w:pStyle w:val="TableColumnHeading"/>
              <w:jc w:val="left"/>
            </w:pPr>
            <w:r>
              <w:t xml:space="preserve">Industry </w:t>
            </w:r>
          </w:p>
        </w:tc>
        <w:tc>
          <w:tcPr>
            <w:tcW w:w="2268" w:type="dxa"/>
            <w:tcBorders>
              <w:top w:val="single" w:sz="4" w:space="0" w:color="C8C8C8" w:themeColor="background2"/>
              <w:left w:val="nil"/>
              <w:bottom w:val="single" w:sz="4" w:space="0" w:color="C8C8C8" w:themeColor="background2"/>
              <w:right w:val="nil"/>
            </w:tcBorders>
          </w:tcPr>
          <w:p w14:paraId="27F2376D" w14:textId="77777777" w:rsidR="00360B6B" w:rsidRDefault="00360B6B" w:rsidP="0052424C">
            <w:pPr>
              <w:pStyle w:val="TableColumnHeading"/>
            </w:pPr>
            <w:proofErr w:type="spellStart"/>
            <w:r>
              <w:t>IOIG</w:t>
            </w:r>
            <w:proofErr w:type="spellEnd"/>
            <w:r>
              <w:t xml:space="preserve"> number</w:t>
            </w:r>
          </w:p>
        </w:tc>
      </w:tr>
      <w:tr w:rsidR="00360B6B" w:rsidRPr="007029F1" w14:paraId="51BA2E33" w14:textId="77777777" w:rsidTr="0052424C">
        <w:trPr>
          <w:trHeight w:val="255"/>
          <w:jc w:val="center"/>
        </w:trPr>
        <w:tc>
          <w:tcPr>
            <w:tcW w:w="937" w:type="dxa"/>
            <w:tcBorders>
              <w:top w:val="single" w:sz="4" w:space="0" w:color="C8C8C8" w:themeColor="background2"/>
              <w:left w:val="nil"/>
              <w:bottom w:val="nil"/>
              <w:right w:val="nil"/>
            </w:tcBorders>
            <w:vAlign w:val="bottom"/>
          </w:tcPr>
          <w:p w14:paraId="004675B6" w14:textId="77777777" w:rsidR="00360B6B" w:rsidRPr="006F1364" w:rsidRDefault="00360B6B" w:rsidP="00FB41B6">
            <w:pPr>
              <w:pStyle w:val="TableBodyText"/>
              <w:spacing w:before="80"/>
              <w:jc w:val="left"/>
            </w:pPr>
            <w:r w:rsidRPr="006F1364">
              <w:t>1</w:t>
            </w:r>
          </w:p>
        </w:tc>
        <w:tc>
          <w:tcPr>
            <w:tcW w:w="5528" w:type="dxa"/>
            <w:tcBorders>
              <w:top w:val="single" w:sz="4" w:space="0" w:color="C8C8C8" w:themeColor="background2"/>
              <w:left w:val="nil"/>
              <w:bottom w:val="nil"/>
              <w:right w:val="nil"/>
            </w:tcBorders>
            <w:shd w:val="clear" w:color="auto" w:fill="auto"/>
            <w:noWrap/>
            <w:vAlign w:val="center"/>
          </w:tcPr>
          <w:p w14:paraId="2A1E7C3E" w14:textId="77777777" w:rsidR="00360B6B" w:rsidRPr="007029F1" w:rsidRDefault="00360B6B" w:rsidP="00FB41B6">
            <w:pPr>
              <w:pStyle w:val="TableBodyText"/>
              <w:spacing w:before="80"/>
              <w:jc w:val="left"/>
            </w:pPr>
            <w:r>
              <w:t>Sheep and beef cattle</w:t>
            </w:r>
          </w:p>
        </w:tc>
        <w:tc>
          <w:tcPr>
            <w:tcW w:w="2268" w:type="dxa"/>
            <w:tcBorders>
              <w:top w:val="single" w:sz="4" w:space="0" w:color="C8C8C8" w:themeColor="background2"/>
              <w:left w:val="nil"/>
              <w:bottom w:val="nil"/>
              <w:right w:val="nil"/>
            </w:tcBorders>
          </w:tcPr>
          <w:p w14:paraId="6E91280B" w14:textId="77777777" w:rsidR="00360B6B" w:rsidRDefault="00360B6B" w:rsidP="00FB41B6">
            <w:pPr>
              <w:pStyle w:val="TableBodyText"/>
              <w:spacing w:before="80"/>
            </w:pPr>
            <w:r>
              <w:t>0101 (part)</w:t>
            </w:r>
          </w:p>
        </w:tc>
      </w:tr>
      <w:tr w:rsidR="00360B6B" w:rsidRPr="007029F1" w14:paraId="6D16DB9C" w14:textId="77777777" w:rsidTr="0052424C">
        <w:trPr>
          <w:trHeight w:val="255"/>
          <w:jc w:val="center"/>
        </w:trPr>
        <w:tc>
          <w:tcPr>
            <w:tcW w:w="937" w:type="dxa"/>
            <w:tcBorders>
              <w:top w:val="nil"/>
              <w:left w:val="nil"/>
              <w:bottom w:val="nil"/>
              <w:right w:val="nil"/>
            </w:tcBorders>
            <w:vAlign w:val="bottom"/>
          </w:tcPr>
          <w:p w14:paraId="6E8B2C46" w14:textId="77777777" w:rsidR="00360B6B" w:rsidRPr="006F1364" w:rsidRDefault="00360B6B" w:rsidP="0052424C">
            <w:pPr>
              <w:pStyle w:val="TableBodyText"/>
              <w:jc w:val="left"/>
            </w:pPr>
            <w:r w:rsidRPr="006F1364">
              <w:t>2</w:t>
            </w:r>
          </w:p>
        </w:tc>
        <w:tc>
          <w:tcPr>
            <w:tcW w:w="5528" w:type="dxa"/>
            <w:tcBorders>
              <w:top w:val="nil"/>
              <w:left w:val="nil"/>
              <w:bottom w:val="nil"/>
              <w:right w:val="nil"/>
            </w:tcBorders>
            <w:shd w:val="clear" w:color="auto" w:fill="auto"/>
            <w:noWrap/>
            <w:vAlign w:val="center"/>
          </w:tcPr>
          <w:p w14:paraId="6C2E59C9" w14:textId="77777777" w:rsidR="00360B6B" w:rsidRPr="007029F1" w:rsidRDefault="00360B6B" w:rsidP="0052424C">
            <w:pPr>
              <w:pStyle w:val="TableBodyText"/>
              <w:jc w:val="left"/>
            </w:pPr>
            <w:r>
              <w:t>Whole milk and dairy cattle</w:t>
            </w:r>
          </w:p>
        </w:tc>
        <w:tc>
          <w:tcPr>
            <w:tcW w:w="2268" w:type="dxa"/>
            <w:tcBorders>
              <w:top w:val="nil"/>
              <w:left w:val="nil"/>
              <w:bottom w:val="nil"/>
              <w:right w:val="nil"/>
            </w:tcBorders>
          </w:tcPr>
          <w:p w14:paraId="4937647D" w14:textId="77777777" w:rsidR="00360B6B" w:rsidRDefault="00360B6B" w:rsidP="0052424C">
            <w:pPr>
              <w:pStyle w:val="TableBodyText"/>
            </w:pPr>
            <w:r>
              <w:t>0101 (part)</w:t>
            </w:r>
          </w:p>
        </w:tc>
      </w:tr>
      <w:tr w:rsidR="00360B6B" w:rsidRPr="007029F1" w14:paraId="79885ECA" w14:textId="77777777" w:rsidTr="0052424C">
        <w:trPr>
          <w:trHeight w:val="255"/>
          <w:jc w:val="center"/>
        </w:trPr>
        <w:tc>
          <w:tcPr>
            <w:tcW w:w="937" w:type="dxa"/>
            <w:tcBorders>
              <w:top w:val="nil"/>
              <w:left w:val="nil"/>
              <w:bottom w:val="nil"/>
              <w:right w:val="nil"/>
            </w:tcBorders>
            <w:vAlign w:val="bottom"/>
          </w:tcPr>
          <w:p w14:paraId="20F3E576" w14:textId="77777777" w:rsidR="00360B6B" w:rsidRPr="006F1364" w:rsidRDefault="00360B6B" w:rsidP="0052424C">
            <w:pPr>
              <w:pStyle w:val="TableBodyText"/>
              <w:jc w:val="left"/>
            </w:pPr>
            <w:r w:rsidRPr="006F1364">
              <w:t>3</w:t>
            </w:r>
          </w:p>
        </w:tc>
        <w:tc>
          <w:tcPr>
            <w:tcW w:w="5528" w:type="dxa"/>
            <w:tcBorders>
              <w:top w:val="nil"/>
              <w:left w:val="nil"/>
              <w:bottom w:val="nil"/>
              <w:right w:val="nil"/>
            </w:tcBorders>
            <w:shd w:val="clear" w:color="auto" w:fill="auto"/>
            <w:noWrap/>
            <w:vAlign w:val="center"/>
          </w:tcPr>
          <w:p w14:paraId="47B6A806" w14:textId="77777777" w:rsidR="00360B6B" w:rsidRPr="007029F1" w:rsidRDefault="00360B6B" w:rsidP="0052424C">
            <w:pPr>
              <w:pStyle w:val="TableBodyText"/>
              <w:jc w:val="left"/>
            </w:pPr>
            <w:r>
              <w:t>Animals other than cattle and sheep</w:t>
            </w:r>
          </w:p>
        </w:tc>
        <w:tc>
          <w:tcPr>
            <w:tcW w:w="2268" w:type="dxa"/>
            <w:tcBorders>
              <w:top w:val="nil"/>
              <w:left w:val="nil"/>
              <w:bottom w:val="nil"/>
              <w:right w:val="nil"/>
            </w:tcBorders>
          </w:tcPr>
          <w:p w14:paraId="4558C4F2" w14:textId="77777777" w:rsidR="00360B6B" w:rsidRDefault="00360B6B" w:rsidP="0052424C">
            <w:pPr>
              <w:pStyle w:val="TableBodyText"/>
            </w:pPr>
            <w:r>
              <w:t>0101 (part), 0102</w:t>
            </w:r>
          </w:p>
        </w:tc>
      </w:tr>
      <w:tr w:rsidR="00360B6B" w:rsidRPr="007029F1" w14:paraId="6378F657" w14:textId="77777777" w:rsidTr="0052424C">
        <w:trPr>
          <w:trHeight w:val="255"/>
          <w:jc w:val="center"/>
        </w:trPr>
        <w:tc>
          <w:tcPr>
            <w:tcW w:w="937" w:type="dxa"/>
            <w:tcBorders>
              <w:top w:val="nil"/>
              <w:left w:val="nil"/>
              <w:bottom w:val="nil"/>
              <w:right w:val="nil"/>
            </w:tcBorders>
            <w:vAlign w:val="bottom"/>
          </w:tcPr>
          <w:p w14:paraId="7FA95447" w14:textId="77777777" w:rsidR="00360B6B" w:rsidRPr="006F1364" w:rsidRDefault="00360B6B" w:rsidP="0052424C">
            <w:pPr>
              <w:pStyle w:val="TableBodyText"/>
              <w:jc w:val="left"/>
            </w:pPr>
            <w:r w:rsidRPr="006F1364">
              <w:t>4</w:t>
            </w:r>
          </w:p>
        </w:tc>
        <w:tc>
          <w:tcPr>
            <w:tcW w:w="5528" w:type="dxa"/>
            <w:tcBorders>
              <w:top w:val="nil"/>
              <w:left w:val="nil"/>
              <w:bottom w:val="nil"/>
              <w:right w:val="nil"/>
            </w:tcBorders>
            <w:shd w:val="clear" w:color="auto" w:fill="auto"/>
            <w:noWrap/>
            <w:vAlign w:val="center"/>
          </w:tcPr>
          <w:p w14:paraId="1E133363" w14:textId="77777777" w:rsidR="00360B6B" w:rsidRPr="007029F1" w:rsidRDefault="00360B6B" w:rsidP="0052424C">
            <w:pPr>
              <w:pStyle w:val="TableBodyText"/>
              <w:jc w:val="left"/>
            </w:pPr>
            <w:r>
              <w:t>Crops and grains</w:t>
            </w:r>
          </w:p>
        </w:tc>
        <w:tc>
          <w:tcPr>
            <w:tcW w:w="2268" w:type="dxa"/>
            <w:tcBorders>
              <w:top w:val="nil"/>
              <w:left w:val="nil"/>
              <w:bottom w:val="nil"/>
              <w:right w:val="nil"/>
            </w:tcBorders>
          </w:tcPr>
          <w:p w14:paraId="61A71FB9" w14:textId="77777777" w:rsidR="00360B6B" w:rsidRDefault="00360B6B" w:rsidP="0052424C">
            <w:pPr>
              <w:pStyle w:val="TableBodyText"/>
            </w:pPr>
            <w:r>
              <w:t>0101 (part)</w:t>
            </w:r>
          </w:p>
        </w:tc>
      </w:tr>
      <w:tr w:rsidR="00360B6B" w:rsidRPr="007029F1" w14:paraId="04647A89" w14:textId="77777777" w:rsidTr="0052424C">
        <w:trPr>
          <w:trHeight w:val="255"/>
          <w:jc w:val="center"/>
        </w:trPr>
        <w:tc>
          <w:tcPr>
            <w:tcW w:w="937" w:type="dxa"/>
            <w:tcBorders>
              <w:top w:val="nil"/>
              <w:left w:val="nil"/>
              <w:bottom w:val="nil"/>
              <w:right w:val="nil"/>
            </w:tcBorders>
            <w:vAlign w:val="bottom"/>
          </w:tcPr>
          <w:p w14:paraId="328F444B" w14:textId="77777777" w:rsidR="00360B6B" w:rsidRPr="006F1364" w:rsidRDefault="00360B6B" w:rsidP="0052424C">
            <w:pPr>
              <w:pStyle w:val="TableBodyText"/>
              <w:jc w:val="left"/>
            </w:pPr>
            <w:r w:rsidRPr="006F1364">
              <w:t>5</w:t>
            </w:r>
          </w:p>
        </w:tc>
        <w:tc>
          <w:tcPr>
            <w:tcW w:w="5528" w:type="dxa"/>
            <w:tcBorders>
              <w:top w:val="nil"/>
              <w:left w:val="nil"/>
              <w:bottom w:val="nil"/>
              <w:right w:val="nil"/>
            </w:tcBorders>
            <w:shd w:val="clear" w:color="auto" w:fill="auto"/>
            <w:noWrap/>
            <w:vAlign w:val="center"/>
          </w:tcPr>
          <w:p w14:paraId="3D3BBF2C" w14:textId="77777777" w:rsidR="00360B6B" w:rsidRPr="007029F1" w:rsidRDefault="00360B6B" w:rsidP="0052424C">
            <w:pPr>
              <w:pStyle w:val="TableBodyText"/>
              <w:jc w:val="left"/>
            </w:pPr>
            <w:r>
              <w:t>Other agriculture</w:t>
            </w:r>
          </w:p>
        </w:tc>
        <w:tc>
          <w:tcPr>
            <w:tcW w:w="2268" w:type="dxa"/>
            <w:tcBorders>
              <w:top w:val="nil"/>
              <w:left w:val="nil"/>
              <w:bottom w:val="nil"/>
              <w:right w:val="nil"/>
            </w:tcBorders>
          </w:tcPr>
          <w:p w14:paraId="3821D13A" w14:textId="77777777" w:rsidR="00360B6B" w:rsidRDefault="00360B6B" w:rsidP="0052424C">
            <w:pPr>
              <w:pStyle w:val="TableBodyText"/>
            </w:pPr>
            <w:r>
              <w:t>0103</w:t>
            </w:r>
          </w:p>
        </w:tc>
      </w:tr>
      <w:tr w:rsidR="00360B6B" w:rsidRPr="007029F1" w14:paraId="543664D6" w14:textId="77777777" w:rsidTr="0052424C">
        <w:trPr>
          <w:trHeight w:val="255"/>
          <w:jc w:val="center"/>
        </w:trPr>
        <w:tc>
          <w:tcPr>
            <w:tcW w:w="937" w:type="dxa"/>
            <w:tcBorders>
              <w:top w:val="nil"/>
              <w:left w:val="nil"/>
              <w:bottom w:val="nil"/>
              <w:right w:val="nil"/>
            </w:tcBorders>
            <w:vAlign w:val="bottom"/>
          </w:tcPr>
          <w:p w14:paraId="1DBD92CB" w14:textId="77777777" w:rsidR="00360B6B" w:rsidRPr="006F1364" w:rsidRDefault="00360B6B" w:rsidP="0052424C">
            <w:pPr>
              <w:pStyle w:val="TableBodyText"/>
              <w:jc w:val="left"/>
            </w:pPr>
            <w:r w:rsidRPr="006F1364">
              <w:t>6</w:t>
            </w:r>
          </w:p>
        </w:tc>
        <w:tc>
          <w:tcPr>
            <w:tcW w:w="5528" w:type="dxa"/>
            <w:tcBorders>
              <w:top w:val="nil"/>
              <w:left w:val="nil"/>
              <w:bottom w:val="nil"/>
              <w:right w:val="nil"/>
            </w:tcBorders>
            <w:shd w:val="clear" w:color="auto" w:fill="auto"/>
            <w:noWrap/>
            <w:vAlign w:val="center"/>
          </w:tcPr>
          <w:p w14:paraId="0CB531FE" w14:textId="77777777" w:rsidR="00360B6B" w:rsidRPr="007029F1" w:rsidRDefault="00360B6B" w:rsidP="0052424C">
            <w:pPr>
              <w:pStyle w:val="TableBodyText"/>
              <w:jc w:val="left"/>
            </w:pPr>
            <w:r>
              <w:t>Fishing, hunting and aquaculture</w:t>
            </w:r>
          </w:p>
        </w:tc>
        <w:tc>
          <w:tcPr>
            <w:tcW w:w="2268" w:type="dxa"/>
            <w:tcBorders>
              <w:top w:val="nil"/>
              <w:left w:val="nil"/>
              <w:bottom w:val="nil"/>
              <w:right w:val="nil"/>
            </w:tcBorders>
          </w:tcPr>
          <w:p w14:paraId="1E4B9240" w14:textId="77777777" w:rsidR="00360B6B" w:rsidRDefault="00360B6B" w:rsidP="0052424C">
            <w:pPr>
              <w:pStyle w:val="TableBodyText"/>
            </w:pPr>
            <w:r>
              <w:t>0201, 0401</w:t>
            </w:r>
          </w:p>
        </w:tc>
      </w:tr>
      <w:tr w:rsidR="00360B6B" w:rsidRPr="007029F1" w14:paraId="321B30E2" w14:textId="77777777" w:rsidTr="0052424C">
        <w:trPr>
          <w:trHeight w:val="255"/>
          <w:jc w:val="center"/>
        </w:trPr>
        <w:tc>
          <w:tcPr>
            <w:tcW w:w="937" w:type="dxa"/>
            <w:tcBorders>
              <w:top w:val="nil"/>
              <w:left w:val="nil"/>
              <w:bottom w:val="nil"/>
              <w:right w:val="nil"/>
            </w:tcBorders>
            <w:vAlign w:val="bottom"/>
          </w:tcPr>
          <w:p w14:paraId="45C73970" w14:textId="77777777" w:rsidR="00360B6B" w:rsidRPr="006F1364" w:rsidRDefault="00360B6B" w:rsidP="0052424C">
            <w:pPr>
              <w:pStyle w:val="TableBodyText"/>
              <w:jc w:val="left"/>
            </w:pPr>
            <w:r w:rsidRPr="006F1364">
              <w:t>7</w:t>
            </w:r>
          </w:p>
        </w:tc>
        <w:tc>
          <w:tcPr>
            <w:tcW w:w="5528" w:type="dxa"/>
            <w:tcBorders>
              <w:top w:val="nil"/>
              <w:left w:val="nil"/>
              <w:bottom w:val="nil"/>
              <w:right w:val="nil"/>
            </w:tcBorders>
            <w:shd w:val="clear" w:color="auto" w:fill="auto"/>
            <w:noWrap/>
            <w:vAlign w:val="center"/>
          </w:tcPr>
          <w:p w14:paraId="06F35369" w14:textId="77777777" w:rsidR="00360B6B" w:rsidRPr="007029F1" w:rsidRDefault="00360B6B" w:rsidP="0052424C">
            <w:pPr>
              <w:pStyle w:val="TableBodyText"/>
              <w:jc w:val="left"/>
            </w:pPr>
            <w:r>
              <w:t>Forestry and logging</w:t>
            </w:r>
          </w:p>
        </w:tc>
        <w:tc>
          <w:tcPr>
            <w:tcW w:w="2268" w:type="dxa"/>
            <w:tcBorders>
              <w:top w:val="nil"/>
              <w:left w:val="nil"/>
              <w:bottom w:val="nil"/>
              <w:right w:val="nil"/>
            </w:tcBorders>
          </w:tcPr>
          <w:p w14:paraId="3FD38ED4" w14:textId="77777777" w:rsidR="00360B6B" w:rsidRDefault="00360B6B" w:rsidP="0052424C">
            <w:pPr>
              <w:pStyle w:val="TableBodyText"/>
            </w:pPr>
            <w:r>
              <w:t>0301</w:t>
            </w:r>
          </w:p>
        </w:tc>
      </w:tr>
      <w:tr w:rsidR="00360B6B" w:rsidRPr="007029F1" w14:paraId="2C61FBEF" w14:textId="77777777" w:rsidTr="0052424C">
        <w:trPr>
          <w:trHeight w:val="255"/>
          <w:jc w:val="center"/>
        </w:trPr>
        <w:tc>
          <w:tcPr>
            <w:tcW w:w="937" w:type="dxa"/>
            <w:tcBorders>
              <w:top w:val="nil"/>
              <w:left w:val="nil"/>
              <w:bottom w:val="nil"/>
              <w:right w:val="nil"/>
            </w:tcBorders>
            <w:vAlign w:val="bottom"/>
          </w:tcPr>
          <w:p w14:paraId="582F2E15" w14:textId="77777777" w:rsidR="00360B6B" w:rsidRPr="006F1364" w:rsidRDefault="00360B6B" w:rsidP="0052424C">
            <w:pPr>
              <w:pStyle w:val="TableBodyText"/>
              <w:jc w:val="left"/>
            </w:pPr>
            <w:r w:rsidRPr="006F1364">
              <w:t>8</w:t>
            </w:r>
          </w:p>
        </w:tc>
        <w:tc>
          <w:tcPr>
            <w:tcW w:w="5528" w:type="dxa"/>
            <w:tcBorders>
              <w:top w:val="nil"/>
              <w:left w:val="nil"/>
              <w:bottom w:val="nil"/>
              <w:right w:val="nil"/>
            </w:tcBorders>
            <w:shd w:val="clear" w:color="auto" w:fill="auto"/>
            <w:noWrap/>
            <w:vAlign w:val="center"/>
          </w:tcPr>
          <w:p w14:paraId="2507CF9F" w14:textId="77777777" w:rsidR="00360B6B" w:rsidRPr="007029F1" w:rsidRDefault="00360B6B" w:rsidP="0052424C">
            <w:pPr>
              <w:pStyle w:val="TableBodyText"/>
              <w:jc w:val="left"/>
            </w:pPr>
            <w:r>
              <w:t>Agriculture, forestry, fishing support services</w:t>
            </w:r>
          </w:p>
        </w:tc>
        <w:tc>
          <w:tcPr>
            <w:tcW w:w="2268" w:type="dxa"/>
            <w:tcBorders>
              <w:top w:val="nil"/>
              <w:left w:val="nil"/>
              <w:bottom w:val="nil"/>
              <w:right w:val="nil"/>
            </w:tcBorders>
          </w:tcPr>
          <w:p w14:paraId="37B4C122" w14:textId="77777777" w:rsidR="00360B6B" w:rsidRDefault="00360B6B" w:rsidP="0052424C">
            <w:pPr>
              <w:pStyle w:val="TableBodyText"/>
            </w:pPr>
            <w:r>
              <w:t>0501</w:t>
            </w:r>
          </w:p>
        </w:tc>
      </w:tr>
      <w:tr w:rsidR="00360B6B" w:rsidRPr="007029F1" w14:paraId="3FA736DF" w14:textId="77777777" w:rsidTr="0052424C">
        <w:trPr>
          <w:trHeight w:val="255"/>
          <w:jc w:val="center"/>
        </w:trPr>
        <w:tc>
          <w:tcPr>
            <w:tcW w:w="937" w:type="dxa"/>
            <w:tcBorders>
              <w:top w:val="nil"/>
              <w:left w:val="nil"/>
              <w:bottom w:val="nil"/>
              <w:right w:val="nil"/>
            </w:tcBorders>
            <w:vAlign w:val="bottom"/>
          </w:tcPr>
          <w:p w14:paraId="460ADDB6" w14:textId="77777777" w:rsidR="00360B6B" w:rsidRPr="006F1364" w:rsidRDefault="00360B6B" w:rsidP="0052424C">
            <w:pPr>
              <w:pStyle w:val="TableBodyText"/>
              <w:jc w:val="left"/>
            </w:pPr>
            <w:r w:rsidRPr="006F1364">
              <w:t>9</w:t>
            </w:r>
          </w:p>
        </w:tc>
        <w:tc>
          <w:tcPr>
            <w:tcW w:w="5528" w:type="dxa"/>
            <w:tcBorders>
              <w:top w:val="nil"/>
              <w:left w:val="nil"/>
              <w:bottom w:val="nil"/>
              <w:right w:val="nil"/>
            </w:tcBorders>
            <w:shd w:val="clear" w:color="auto" w:fill="auto"/>
            <w:noWrap/>
            <w:vAlign w:val="center"/>
          </w:tcPr>
          <w:p w14:paraId="29E85973" w14:textId="77777777" w:rsidR="00360B6B" w:rsidRPr="007029F1" w:rsidRDefault="00360B6B" w:rsidP="0052424C">
            <w:pPr>
              <w:pStyle w:val="TableBodyText"/>
              <w:jc w:val="left"/>
            </w:pPr>
            <w:r>
              <w:t>Coal mining</w:t>
            </w:r>
          </w:p>
        </w:tc>
        <w:tc>
          <w:tcPr>
            <w:tcW w:w="2268" w:type="dxa"/>
            <w:tcBorders>
              <w:top w:val="nil"/>
              <w:left w:val="nil"/>
              <w:bottom w:val="nil"/>
              <w:right w:val="nil"/>
            </w:tcBorders>
          </w:tcPr>
          <w:p w14:paraId="51BC4B72" w14:textId="77777777" w:rsidR="00360B6B" w:rsidRDefault="00360B6B" w:rsidP="0052424C">
            <w:pPr>
              <w:pStyle w:val="TableBodyText"/>
            </w:pPr>
            <w:r>
              <w:t>0601</w:t>
            </w:r>
          </w:p>
        </w:tc>
      </w:tr>
      <w:tr w:rsidR="00360B6B" w:rsidRPr="007029F1" w14:paraId="564DF833" w14:textId="77777777" w:rsidTr="0052424C">
        <w:trPr>
          <w:trHeight w:val="255"/>
          <w:jc w:val="center"/>
        </w:trPr>
        <w:tc>
          <w:tcPr>
            <w:tcW w:w="937" w:type="dxa"/>
            <w:tcBorders>
              <w:top w:val="nil"/>
              <w:left w:val="nil"/>
              <w:bottom w:val="nil"/>
              <w:right w:val="nil"/>
            </w:tcBorders>
            <w:vAlign w:val="bottom"/>
          </w:tcPr>
          <w:p w14:paraId="0CF0D66B" w14:textId="77777777" w:rsidR="00360B6B" w:rsidRPr="006F1364" w:rsidRDefault="00360B6B" w:rsidP="0052424C">
            <w:pPr>
              <w:pStyle w:val="TableBodyText"/>
              <w:jc w:val="left"/>
            </w:pPr>
            <w:r w:rsidRPr="006F1364">
              <w:t>10</w:t>
            </w:r>
          </w:p>
        </w:tc>
        <w:tc>
          <w:tcPr>
            <w:tcW w:w="5528" w:type="dxa"/>
            <w:tcBorders>
              <w:top w:val="nil"/>
              <w:left w:val="nil"/>
              <w:bottom w:val="nil"/>
              <w:right w:val="nil"/>
            </w:tcBorders>
            <w:shd w:val="clear" w:color="auto" w:fill="auto"/>
            <w:noWrap/>
            <w:vAlign w:val="center"/>
          </w:tcPr>
          <w:p w14:paraId="0E5E6C57" w14:textId="77777777" w:rsidR="00360B6B" w:rsidRPr="007029F1" w:rsidRDefault="00360B6B" w:rsidP="0052424C">
            <w:pPr>
              <w:pStyle w:val="TableBodyText"/>
              <w:jc w:val="left"/>
            </w:pPr>
            <w:r>
              <w:t>Oil mining (includes condensate)</w:t>
            </w:r>
          </w:p>
        </w:tc>
        <w:tc>
          <w:tcPr>
            <w:tcW w:w="2268" w:type="dxa"/>
            <w:tcBorders>
              <w:top w:val="nil"/>
              <w:left w:val="nil"/>
              <w:bottom w:val="nil"/>
              <w:right w:val="nil"/>
            </w:tcBorders>
          </w:tcPr>
          <w:p w14:paraId="576EF230" w14:textId="77777777" w:rsidR="00360B6B" w:rsidRDefault="00360B6B" w:rsidP="0052424C">
            <w:pPr>
              <w:pStyle w:val="TableBodyText"/>
            </w:pPr>
            <w:r>
              <w:t>0701 (part)</w:t>
            </w:r>
          </w:p>
        </w:tc>
      </w:tr>
      <w:tr w:rsidR="00360B6B" w:rsidRPr="007029F1" w14:paraId="6A89EE0D" w14:textId="77777777" w:rsidTr="0052424C">
        <w:trPr>
          <w:trHeight w:val="255"/>
          <w:jc w:val="center"/>
        </w:trPr>
        <w:tc>
          <w:tcPr>
            <w:tcW w:w="937" w:type="dxa"/>
            <w:tcBorders>
              <w:top w:val="nil"/>
              <w:left w:val="nil"/>
              <w:bottom w:val="nil"/>
              <w:right w:val="nil"/>
            </w:tcBorders>
            <w:vAlign w:val="bottom"/>
          </w:tcPr>
          <w:p w14:paraId="0837916D" w14:textId="77777777" w:rsidR="00360B6B" w:rsidRPr="006F1364" w:rsidRDefault="00360B6B" w:rsidP="0052424C">
            <w:pPr>
              <w:pStyle w:val="TableBodyText"/>
              <w:jc w:val="left"/>
            </w:pPr>
            <w:r w:rsidRPr="006F1364">
              <w:t>11</w:t>
            </w:r>
          </w:p>
        </w:tc>
        <w:tc>
          <w:tcPr>
            <w:tcW w:w="5528" w:type="dxa"/>
            <w:tcBorders>
              <w:top w:val="nil"/>
              <w:left w:val="nil"/>
              <w:bottom w:val="nil"/>
              <w:right w:val="nil"/>
            </w:tcBorders>
            <w:shd w:val="clear" w:color="auto" w:fill="auto"/>
            <w:noWrap/>
            <w:vAlign w:val="center"/>
          </w:tcPr>
          <w:p w14:paraId="56D2AE5B" w14:textId="77777777" w:rsidR="00360B6B" w:rsidRPr="007029F1" w:rsidRDefault="00360B6B" w:rsidP="0052424C">
            <w:pPr>
              <w:pStyle w:val="TableBodyText"/>
              <w:jc w:val="left"/>
            </w:pPr>
            <w:r>
              <w:t>Gas mining</w:t>
            </w:r>
          </w:p>
        </w:tc>
        <w:tc>
          <w:tcPr>
            <w:tcW w:w="2268" w:type="dxa"/>
            <w:tcBorders>
              <w:top w:val="nil"/>
              <w:left w:val="nil"/>
              <w:bottom w:val="nil"/>
              <w:right w:val="nil"/>
            </w:tcBorders>
          </w:tcPr>
          <w:p w14:paraId="6B77B5E4" w14:textId="77777777" w:rsidR="00360B6B" w:rsidRDefault="00360B6B" w:rsidP="0052424C">
            <w:pPr>
              <w:pStyle w:val="TableBodyText"/>
            </w:pPr>
            <w:r>
              <w:t>0701 (part)</w:t>
            </w:r>
          </w:p>
        </w:tc>
      </w:tr>
      <w:tr w:rsidR="00360B6B" w:rsidRPr="007029F1" w14:paraId="10DBF032" w14:textId="77777777" w:rsidTr="0052424C">
        <w:trPr>
          <w:trHeight w:val="255"/>
          <w:jc w:val="center"/>
        </w:trPr>
        <w:tc>
          <w:tcPr>
            <w:tcW w:w="937" w:type="dxa"/>
            <w:tcBorders>
              <w:top w:val="nil"/>
              <w:left w:val="nil"/>
              <w:bottom w:val="nil"/>
              <w:right w:val="nil"/>
            </w:tcBorders>
            <w:vAlign w:val="bottom"/>
          </w:tcPr>
          <w:p w14:paraId="487E5D16" w14:textId="77777777" w:rsidR="00360B6B" w:rsidRPr="006F1364" w:rsidRDefault="00360B6B" w:rsidP="0052424C">
            <w:pPr>
              <w:pStyle w:val="TableBodyText"/>
              <w:jc w:val="left"/>
            </w:pPr>
            <w:r w:rsidRPr="006F1364">
              <w:t>12</w:t>
            </w:r>
          </w:p>
        </w:tc>
        <w:tc>
          <w:tcPr>
            <w:tcW w:w="5528" w:type="dxa"/>
            <w:tcBorders>
              <w:top w:val="nil"/>
              <w:left w:val="nil"/>
              <w:bottom w:val="nil"/>
              <w:right w:val="nil"/>
            </w:tcBorders>
            <w:shd w:val="clear" w:color="auto" w:fill="auto"/>
            <w:noWrap/>
            <w:vAlign w:val="center"/>
          </w:tcPr>
          <w:p w14:paraId="32C5F234" w14:textId="77777777" w:rsidR="00360B6B" w:rsidRPr="007029F1" w:rsidRDefault="00360B6B" w:rsidP="0052424C">
            <w:pPr>
              <w:pStyle w:val="TableBodyText"/>
              <w:jc w:val="left"/>
            </w:pPr>
            <w:r>
              <w:t>Liquefied natural gas production</w:t>
            </w:r>
          </w:p>
        </w:tc>
        <w:tc>
          <w:tcPr>
            <w:tcW w:w="2268" w:type="dxa"/>
            <w:tcBorders>
              <w:top w:val="nil"/>
              <w:left w:val="nil"/>
              <w:bottom w:val="nil"/>
              <w:right w:val="nil"/>
            </w:tcBorders>
          </w:tcPr>
          <w:p w14:paraId="6EE98D3B" w14:textId="77777777" w:rsidR="00360B6B" w:rsidRDefault="00360B6B" w:rsidP="0052424C">
            <w:pPr>
              <w:pStyle w:val="TableBodyText"/>
            </w:pPr>
            <w:r>
              <w:t>0701 (part)</w:t>
            </w:r>
          </w:p>
        </w:tc>
      </w:tr>
      <w:tr w:rsidR="00360B6B" w:rsidRPr="007029F1" w14:paraId="668331FF" w14:textId="77777777" w:rsidTr="0052424C">
        <w:trPr>
          <w:trHeight w:val="255"/>
          <w:jc w:val="center"/>
        </w:trPr>
        <w:tc>
          <w:tcPr>
            <w:tcW w:w="937" w:type="dxa"/>
            <w:tcBorders>
              <w:top w:val="nil"/>
              <w:left w:val="nil"/>
              <w:bottom w:val="nil"/>
              <w:right w:val="nil"/>
            </w:tcBorders>
            <w:vAlign w:val="bottom"/>
          </w:tcPr>
          <w:p w14:paraId="609A66E2" w14:textId="77777777" w:rsidR="00360B6B" w:rsidRPr="006F1364" w:rsidRDefault="00360B6B" w:rsidP="0052424C">
            <w:pPr>
              <w:pStyle w:val="TableBodyText"/>
              <w:jc w:val="left"/>
            </w:pPr>
            <w:r w:rsidRPr="006F1364">
              <w:t>13</w:t>
            </w:r>
          </w:p>
        </w:tc>
        <w:tc>
          <w:tcPr>
            <w:tcW w:w="5528" w:type="dxa"/>
            <w:tcBorders>
              <w:top w:val="nil"/>
              <w:left w:val="nil"/>
              <w:bottom w:val="nil"/>
              <w:right w:val="nil"/>
            </w:tcBorders>
            <w:shd w:val="clear" w:color="auto" w:fill="auto"/>
            <w:noWrap/>
            <w:vAlign w:val="center"/>
          </w:tcPr>
          <w:p w14:paraId="1E69D933" w14:textId="77777777" w:rsidR="00360B6B" w:rsidRPr="007029F1" w:rsidRDefault="00360B6B" w:rsidP="0052424C">
            <w:pPr>
              <w:pStyle w:val="TableBodyText"/>
              <w:jc w:val="left"/>
            </w:pPr>
            <w:r>
              <w:t>Iron ore mining</w:t>
            </w:r>
          </w:p>
        </w:tc>
        <w:tc>
          <w:tcPr>
            <w:tcW w:w="2268" w:type="dxa"/>
            <w:tcBorders>
              <w:top w:val="nil"/>
              <w:left w:val="nil"/>
              <w:bottom w:val="nil"/>
              <w:right w:val="nil"/>
            </w:tcBorders>
          </w:tcPr>
          <w:p w14:paraId="5DBE3EFC" w14:textId="77777777" w:rsidR="00360B6B" w:rsidRDefault="00360B6B" w:rsidP="0052424C">
            <w:pPr>
              <w:pStyle w:val="TableBodyText"/>
            </w:pPr>
            <w:r>
              <w:t>0801</w:t>
            </w:r>
          </w:p>
        </w:tc>
      </w:tr>
      <w:tr w:rsidR="00360B6B" w:rsidRPr="007029F1" w14:paraId="0705148E" w14:textId="77777777" w:rsidTr="0052424C">
        <w:trPr>
          <w:trHeight w:val="255"/>
          <w:jc w:val="center"/>
        </w:trPr>
        <w:tc>
          <w:tcPr>
            <w:tcW w:w="937" w:type="dxa"/>
            <w:tcBorders>
              <w:top w:val="nil"/>
              <w:left w:val="nil"/>
              <w:bottom w:val="nil"/>
              <w:right w:val="nil"/>
            </w:tcBorders>
            <w:vAlign w:val="bottom"/>
          </w:tcPr>
          <w:p w14:paraId="5221E56B" w14:textId="77777777" w:rsidR="00360B6B" w:rsidRPr="006F1364" w:rsidRDefault="00360B6B" w:rsidP="0052424C">
            <w:pPr>
              <w:pStyle w:val="TableBodyText"/>
              <w:jc w:val="left"/>
            </w:pPr>
            <w:r w:rsidRPr="006F1364">
              <w:t>14</w:t>
            </w:r>
          </w:p>
        </w:tc>
        <w:tc>
          <w:tcPr>
            <w:tcW w:w="5528" w:type="dxa"/>
            <w:tcBorders>
              <w:top w:val="nil"/>
              <w:left w:val="nil"/>
              <w:bottom w:val="nil"/>
              <w:right w:val="nil"/>
            </w:tcBorders>
            <w:shd w:val="clear" w:color="auto" w:fill="auto"/>
            <w:noWrap/>
            <w:vAlign w:val="center"/>
          </w:tcPr>
          <w:p w14:paraId="796B1548" w14:textId="77777777" w:rsidR="00360B6B" w:rsidRPr="007029F1" w:rsidRDefault="00360B6B" w:rsidP="0052424C">
            <w:pPr>
              <w:pStyle w:val="TableBodyText"/>
              <w:jc w:val="left"/>
            </w:pPr>
            <w:r>
              <w:t>Non-ferrous metal ores</w:t>
            </w:r>
          </w:p>
        </w:tc>
        <w:tc>
          <w:tcPr>
            <w:tcW w:w="2268" w:type="dxa"/>
            <w:tcBorders>
              <w:top w:val="nil"/>
              <w:left w:val="nil"/>
              <w:bottom w:val="nil"/>
              <w:right w:val="nil"/>
            </w:tcBorders>
          </w:tcPr>
          <w:p w14:paraId="1C1C5C13" w14:textId="77777777" w:rsidR="00360B6B" w:rsidRDefault="00360B6B" w:rsidP="0052424C">
            <w:pPr>
              <w:pStyle w:val="TableBodyText"/>
            </w:pPr>
            <w:r>
              <w:t>0802</w:t>
            </w:r>
          </w:p>
        </w:tc>
      </w:tr>
      <w:tr w:rsidR="00360B6B" w:rsidRPr="007029F1" w14:paraId="6C2E6FA1" w14:textId="77777777" w:rsidTr="0052424C">
        <w:trPr>
          <w:trHeight w:val="255"/>
          <w:jc w:val="center"/>
        </w:trPr>
        <w:tc>
          <w:tcPr>
            <w:tcW w:w="937" w:type="dxa"/>
            <w:tcBorders>
              <w:top w:val="nil"/>
              <w:left w:val="nil"/>
              <w:bottom w:val="nil"/>
              <w:right w:val="nil"/>
            </w:tcBorders>
            <w:vAlign w:val="bottom"/>
          </w:tcPr>
          <w:p w14:paraId="68F24248" w14:textId="77777777" w:rsidR="00360B6B" w:rsidRPr="006F1364" w:rsidRDefault="00360B6B" w:rsidP="0052424C">
            <w:pPr>
              <w:pStyle w:val="TableBodyText"/>
              <w:jc w:val="left"/>
            </w:pPr>
            <w:r w:rsidRPr="006F1364">
              <w:t>15</w:t>
            </w:r>
          </w:p>
        </w:tc>
        <w:tc>
          <w:tcPr>
            <w:tcW w:w="5528" w:type="dxa"/>
            <w:tcBorders>
              <w:top w:val="nil"/>
              <w:left w:val="nil"/>
              <w:bottom w:val="nil"/>
              <w:right w:val="nil"/>
            </w:tcBorders>
            <w:shd w:val="clear" w:color="auto" w:fill="auto"/>
            <w:noWrap/>
            <w:vAlign w:val="center"/>
          </w:tcPr>
          <w:p w14:paraId="30E5B4ED" w14:textId="77777777" w:rsidR="00360B6B" w:rsidRPr="007029F1" w:rsidRDefault="00360B6B" w:rsidP="0052424C">
            <w:pPr>
              <w:pStyle w:val="TableBodyText"/>
              <w:jc w:val="left"/>
            </w:pPr>
            <w:r>
              <w:t>Non-metallic mineral mining</w:t>
            </w:r>
          </w:p>
        </w:tc>
        <w:tc>
          <w:tcPr>
            <w:tcW w:w="2268" w:type="dxa"/>
            <w:tcBorders>
              <w:top w:val="nil"/>
              <w:left w:val="nil"/>
              <w:bottom w:val="nil"/>
              <w:right w:val="nil"/>
            </w:tcBorders>
          </w:tcPr>
          <w:p w14:paraId="775AA9BB" w14:textId="77777777" w:rsidR="00360B6B" w:rsidRDefault="00360B6B" w:rsidP="0052424C">
            <w:pPr>
              <w:pStyle w:val="TableBodyText"/>
            </w:pPr>
            <w:r>
              <w:t>0901</w:t>
            </w:r>
          </w:p>
        </w:tc>
      </w:tr>
      <w:tr w:rsidR="00360B6B" w:rsidRPr="007029F1" w14:paraId="5C7A0F82" w14:textId="77777777" w:rsidTr="0052424C">
        <w:trPr>
          <w:trHeight w:val="255"/>
          <w:jc w:val="center"/>
        </w:trPr>
        <w:tc>
          <w:tcPr>
            <w:tcW w:w="937" w:type="dxa"/>
            <w:tcBorders>
              <w:top w:val="nil"/>
              <w:left w:val="nil"/>
              <w:bottom w:val="nil"/>
              <w:right w:val="nil"/>
            </w:tcBorders>
            <w:vAlign w:val="bottom"/>
          </w:tcPr>
          <w:p w14:paraId="4C7D67B4" w14:textId="77777777" w:rsidR="00360B6B" w:rsidRPr="006F1364" w:rsidRDefault="00360B6B" w:rsidP="0052424C">
            <w:pPr>
              <w:pStyle w:val="TableBodyText"/>
              <w:jc w:val="left"/>
            </w:pPr>
            <w:r w:rsidRPr="006F1364">
              <w:t>16</w:t>
            </w:r>
          </w:p>
        </w:tc>
        <w:tc>
          <w:tcPr>
            <w:tcW w:w="5528" w:type="dxa"/>
            <w:tcBorders>
              <w:top w:val="nil"/>
              <w:left w:val="nil"/>
              <w:bottom w:val="nil"/>
              <w:right w:val="nil"/>
            </w:tcBorders>
            <w:shd w:val="clear" w:color="auto" w:fill="auto"/>
            <w:noWrap/>
            <w:vAlign w:val="center"/>
          </w:tcPr>
          <w:p w14:paraId="020033BE" w14:textId="77777777" w:rsidR="00360B6B" w:rsidRPr="007029F1" w:rsidRDefault="00360B6B" w:rsidP="0052424C">
            <w:pPr>
              <w:pStyle w:val="TableBodyText"/>
              <w:jc w:val="left"/>
            </w:pPr>
            <w:r>
              <w:t>Exploration and mining support services</w:t>
            </w:r>
          </w:p>
        </w:tc>
        <w:tc>
          <w:tcPr>
            <w:tcW w:w="2268" w:type="dxa"/>
            <w:tcBorders>
              <w:top w:val="nil"/>
              <w:left w:val="nil"/>
              <w:bottom w:val="nil"/>
              <w:right w:val="nil"/>
            </w:tcBorders>
          </w:tcPr>
          <w:p w14:paraId="5CCDC136" w14:textId="77777777" w:rsidR="00360B6B" w:rsidRDefault="00360B6B" w:rsidP="0052424C">
            <w:pPr>
              <w:pStyle w:val="TableBodyText"/>
            </w:pPr>
            <w:r>
              <w:t>1001</w:t>
            </w:r>
          </w:p>
        </w:tc>
      </w:tr>
      <w:tr w:rsidR="00360B6B" w:rsidRPr="007029F1" w14:paraId="0E3B24A3" w14:textId="77777777" w:rsidTr="0052424C">
        <w:trPr>
          <w:trHeight w:val="255"/>
          <w:jc w:val="center"/>
        </w:trPr>
        <w:tc>
          <w:tcPr>
            <w:tcW w:w="937" w:type="dxa"/>
            <w:tcBorders>
              <w:top w:val="nil"/>
              <w:left w:val="nil"/>
              <w:bottom w:val="nil"/>
              <w:right w:val="nil"/>
            </w:tcBorders>
            <w:vAlign w:val="bottom"/>
          </w:tcPr>
          <w:p w14:paraId="51B1C55E" w14:textId="77777777" w:rsidR="00360B6B" w:rsidRPr="006F1364" w:rsidRDefault="00360B6B" w:rsidP="0052424C">
            <w:pPr>
              <w:pStyle w:val="TableBodyText"/>
              <w:jc w:val="left"/>
            </w:pPr>
            <w:r w:rsidRPr="006F1364">
              <w:t>17</w:t>
            </w:r>
          </w:p>
        </w:tc>
        <w:tc>
          <w:tcPr>
            <w:tcW w:w="5528" w:type="dxa"/>
            <w:tcBorders>
              <w:top w:val="nil"/>
              <w:left w:val="nil"/>
              <w:bottom w:val="nil"/>
              <w:right w:val="nil"/>
            </w:tcBorders>
            <w:shd w:val="clear" w:color="auto" w:fill="auto"/>
            <w:noWrap/>
            <w:vAlign w:val="center"/>
          </w:tcPr>
          <w:p w14:paraId="2BED8A81" w14:textId="77777777" w:rsidR="00360B6B" w:rsidRPr="007029F1" w:rsidRDefault="00360B6B" w:rsidP="0052424C">
            <w:pPr>
              <w:pStyle w:val="TableBodyText"/>
              <w:jc w:val="left"/>
            </w:pPr>
            <w:r>
              <w:t>Meat products</w:t>
            </w:r>
          </w:p>
        </w:tc>
        <w:tc>
          <w:tcPr>
            <w:tcW w:w="2268" w:type="dxa"/>
            <w:tcBorders>
              <w:top w:val="nil"/>
              <w:left w:val="nil"/>
              <w:bottom w:val="nil"/>
              <w:right w:val="nil"/>
            </w:tcBorders>
          </w:tcPr>
          <w:p w14:paraId="52E74B28" w14:textId="77777777" w:rsidR="00360B6B" w:rsidRDefault="00360B6B" w:rsidP="0052424C">
            <w:pPr>
              <w:pStyle w:val="TableBodyText"/>
            </w:pPr>
            <w:r>
              <w:t>1101</w:t>
            </w:r>
          </w:p>
        </w:tc>
      </w:tr>
      <w:tr w:rsidR="00360B6B" w:rsidRPr="007029F1" w14:paraId="1D8E8492" w14:textId="77777777" w:rsidTr="0052424C">
        <w:trPr>
          <w:trHeight w:val="255"/>
          <w:jc w:val="center"/>
        </w:trPr>
        <w:tc>
          <w:tcPr>
            <w:tcW w:w="937" w:type="dxa"/>
            <w:tcBorders>
              <w:top w:val="nil"/>
              <w:left w:val="nil"/>
              <w:bottom w:val="nil"/>
              <w:right w:val="nil"/>
            </w:tcBorders>
            <w:vAlign w:val="bottom"/>
          </w:tcPr>
          <w:p w14:paraId="0DF9324C" w14:textId="77777777" w:rsidR="00360B6B" w:rsidRPr="006F1364" w:rsidRDefault="00360B6B" w:rsidP="0052424C">
            <w:pPr>
              <w:pStyle w:val="TableBodyText"/>
              <w:jc w:val="left"/>
            </w:pPr>
            <w:r w:rsidRPr="006F1364">
              <w:t>18</w:t>
            </w:r>
          </w:p>
        </w:tc>
        <w:tc>
          <w:tcPr>
            <w:tcW w:w="5528" w:type="dxa"/>
            <w:tcBorders>
              <w:top w:val="nil"/>
              <w:left w:val="nil"/>
              <w:bottom w:val="nil"/>
              <w:right w:val="nil"/>
            </w:tcBorders>
            <w:shd w:val="clear" w:color="auto" w:fill="auto"/>
            <w:noWrap/>
            <w:vAlign w:val="center"/>
          </w:tcPr>
          <w:p w14:paraId="2C0B401D" w14:textId="77777777" w:rsidR="00360B6B" w:rsidRPr="007029F1" w:rsidRDefault="00360B6B" w:rsidP="0052424C">
            <w:pPr>
              <w:pStyle w:val="TableBodyText"/>
              <w:jc w:val="left"/>
            </w:pPr>
            <w:r>
              <w:t>Dairy products</w:t>
            </w:r>
          </w:p>
        </w:tc>
        <w:tc>
          <w:tcPr>
            <w:tcW w:w="2268" w:type="dxa"/>
            <w:tcBorders>
              <w:top w:val="nil"/>
              <w:left w:val="nil"/>
              <w:bottom w:val="nil"/>
              <w:right w:val="nil"/>
            </w:tcBorders>
          </w:tcPr>
          <w:p w14:paraId="46A75C58" w14:textId="77777777" w:rsidR="00360B6B" w:rsidRDefault="00360B6B" w:rsidP="0052424C">
            <w:pPr>
              <w:pStyle w:val="TableBodyText"/>
            </w:pPr>
            <w:r>
              <w:t>1103</w:t>
            </w:r>
          </w:p>
        </w:tc>
      </w:tr>
      <w:tr w:rsidR="00360B6B" w:rsidRPr="007029F1" w14:paraId="362E8163" w14:textId="77777777" w:rsidTr="0052424C">
        <w:trPr>
          <w:trHeight w:val="255"/>
          <w:jc w:val="center"/>
        </w:trPr>
        <w:tc>
          <w:tcPr>
            <w:tcW w:w="937" w:type="dxa"/>
            <w:tcBorders>
              <w:top w:val="nil"/>
              <w:left w:val="nil"/>
              <w:bottom w:val="nil"/>
              <w:right w:val="nil"/>
            </w:tcBorders>
            <w:vAlign w:val="bottom"/>
          </w:tcPr>
          <w:p w14:paraId="7F809E64" w14:textId="77777777" w:rsidR="00360B6B" w:rsidRPr="006F1364" w:rsidRDefault="00360B6B" w:rsidP="0052424C">
            <w:pPr>
              <w:pStyle w:val="TableBodyText"/>
              <w:jc w:val="left"/>
            </w:pPr>
            <w:r w:rsidRPr="006F1364">
              <w:t>19</w:t>
            </w:r>
          </w:p>
        </w:tc>
        <w:tc>
          <w:tcPr>
            <w:tcW w:w="5528" w:type="dxa"/>
            <w:tcBorders>
              <w:top w:val="nil"/>
              <w:left w:val="nil"/>
              <w:bottom w:val="nil"/>
              <w:right w:val="nil"/>
            </w:tcBorders>
            <w:shd w:val="clear" w:color="auto" w:fill="auto"/>
            <w:noWrap/>
            <w:vAlign w:val="center"/>
          </w:tcPr>
          <w:p w14:paraId="04495BDE" w14:textId="77777777" w:rsidR="00360B6B" w:rsidRPr="007029F1" w:rsidRDefault="00360B6B" w:rsidP="0052424C">
            <w:pPr>
              <w:pStyle w:val="TableBodyText"/>
              <w:jc w:val="left"/>
            </w:pPr>
            <w:r>
              <w:t>Other food products</w:t>
            </w:r>
          </w:p>
        </w:tc>
        <w:tc>
          <w:tcPr>
            <w:tcW w:w="2268" w:type="dxa"/>
            <w:tcBorders>
              <w:top w:val="nil"/>
              <w:left w:val="nil"/>
              <w:bottom w:val="nil"/>
              <w:right w:val="nil"/>
            </w:tcBorders>
          </w:tcPr>
          <w:p w14:paraId="0D55F897" w14:textId="77777777" w:rsidR="00360B6B" w:rsidRDefault="00360B6B" w:rsidP="0052424C">
            <w:pPr>
              <w:pStyle w:val="TableBodyText"/>
            </w:pPr>
            <w:r>
              <w:t>1102, 1104-09</w:t>
            </w:r>
          </w:p>
        </w:tc>
      </w:tr>
      <w:tr w:rsidR="00360B6B" w:rsidRPr="007029F1" w14:paraId="7D7D59C7" w14:textId="77777777" w:rsidTr="0052424C">
        <w:trPr>
          <w:trHeight w:val="255"/>
          <w:jc w:val="center"/>
        </w:trPr>
        <w:tc>
          <w:tcPr>
            <w:tcW w:w="937" w:type="dxa"/>
            <w:tcBorders>
              <w:top w:val="nil"/>
              <w:left w:val="nil"/>
              <w:bottom w:val="nil"/>
              <w:right w:val="nil"/>
            </w:tcBorders>
            <w:vAlign w:val="bottom"/>
          </w:tcPr>
          <w:p w14:paraId="31268636" w14:textId="77777777" w:rsidR="00360B6B" w:rsidRPr="006F1364" w:rsidRDefault="00360B6B" w:rsidP="0052424C">
            <w:pPr>
              <w:pStyle w:val="TableBodyText"/>
              <w:jc w:val="left"/>
            </w:pPr>
            <w:r w:rsidRPr="006F1364">
              <w:t>20</w:t>
            </w:r>
          </w:p>
        </w:tc>
        <w:tc>
          <w:tcPr>
            <w:tcW w:w="5528" w:type="dxa"/>
            <w:tcBorders>
              <w:top w:val="nil"/>
              <w:left w:val="nil"/>
              <w:bottom w:val="nil"/>
              <w:right w:val="nil"/>
            </w:tcBorders>
            <w:shd w:val="clear" w:color="auto" w:fill="auto"/>
            <w:noWrap/>
            <w:vAlign w:val="center"/>
          </w:tcPr>
          <w:p w14:paraId="2DF797E4" w14:textId="77777777" w:rsidR="00360B6B" w:rsidRPr="007029F1" w:rsidRDefault="00360B6B" w:rsidP="0052424C">
            <w:pPr>
              <w:pStyle w:val="TableBodyText"/>
              <w:jc w:val="left"/>
            </w:pPr>
            <w:r>
              <w:t>Beverages</w:t>
            </w:r>
          </w:p>
        </w:tc>
        <w:tc>
          <w:tcPr>
            <w:tcW w:w="2268" w:type="dxa"/>
            <w:tcBorders>
              <w:top w:val="nil"/>
              <w:left w:val="nil"/>
              <w:bottom w:val="nil"/>
              <w:right w:val="nil"/>
            </w:tcBorders>
          </w:tcPr>
          <w:p w14:paraId="0E8ACA3E" w14:textId="77777777" w:rsidR="00360B6B" w:rsidRDefault="00360B6B" w:rsidP="0052424C">
            <w:pPr>
              <w:pStyle w:val="TableBodyText"/>
            </w:pPr>
            <w:r>
              <w:t>1201-05</w:t>
            </w:r>
          </w:p>
        </w:tc>
      </w:tr>
      <w:tr w:rsidR="00360B6B" w:rsidRPr="007029F1" w14:paraId="4D7044F6" w14:textId="77777777" w:rsidTr="0052424C">
        <w:trPr>
          <w:trHeight w:val="255"/>
          <w:jc w:val="center"/>
        </w:trPr>
        <w:tc>
          <w:tcPr>
            <w:tcW w:w="937" w:type="dxa"/>
            <w:tcBorders>
              <w:top w:val="nil"/>
              <w:left w:val="nil"/>
              <w:bottom w:val="nil"/>
              <w:right w:val="nil"/>
            </w:tcBorders>
            <w:vAlign w:val="bottom"/>
          </w:tcPr>
          <w:p w14:paraId="4CEA1C68" w14:textId="77777777" w:rsidR="00360B6B" w:rsidRPr="006F1364" w:rsidRDefault="00360B6B" w:rsidP="0052424C">
            <w:pPr>
              <w:pStyle w:val="TableBodyText"/>
              <w:jc w:val="left"/>
            </w:pPr>
            <w:r w:rsidRPr="006F1364">
              <w:t>21</w:t>
            </w:r>
          </w:p>
        </w:tc>
        <w:tc>
          <w:tcPr>
            <w:tcW w:w="5528" w:type="dxa"/>
            <w:tcBorders>
              <w:top w:val="nil"/>
              <w:left w:val="nil"/>
              <w:bottom w:val="nil"/>
              <w:right w:val="nil"/>
            </w:tcBorders>
            <w:shd w:val="clear" w:color="auto" w:fill="auto"/>
            <w:noWrap/>
            <w:vAlign w:val="center"/>
          </w:tcPr>
          <w:p w14:paraId="4C509806" w14:textId="77777777" w:rsidR="00360B6B" w:rsidRPr="007029F1" w:rsidRDefault="00360B6B" w:rsidP="0052424C">
            <w:pPr>
              <w:pStyle w:val="TableBodyText"/>
              <w:jc w:val="left"/>
            </w:pPr>
            <w:r>
              <w:t>Textiles, clothing and footwear</w:t>
            </w:r>
          </w:p>
        </w:tc>
        <w:tc>
          <w:tcPr>
            <w:tcW w:w="2268" w:type="dxa"/>
            <w:tcBorders>
              <w:top w:val="nil"/>
              <w:left w:val="nil"/>
              <w:bottom w:val="nil"/>
              <w:right w:val="nil"/>
            </w:tcBorders>
          </w:tcPr>
          <w:p w14:paraId="4AE4FAA4" w14:textId="77777777" w:rsidR="00360B6B" w:rsidRDefault="00360B6B" w:rsidP="0052424C">
            <w:pPr>
              <w:pStyle w:val="TableBodyText"/>
            </w:pPr>
            <w:r>
              <w:t>1301-06</w:t>
            </w:r>
          </w:p>
        </w:tc>
      </w:tr>
      <w:tr w:rsidR="00360B6B" w:rsidRPr="007029F1" w14:paraId="17DA635D" w14:textId="77777777" w:rsidTr="0052424C">
        <w:trPr>
          <w:trHeight w:val="255"/>
          <w:jc w:val="center"/>
        </w:trPr>
        <w:tc>
          <w:tcPr>
            <w:tcW w:w="937" w:type="dxa"/>
            <w:tcBorders>
              <w:top w:val="nil"/>
              <w:left w:val="nil"/>
              <w:bottom w:val="nil"/>
              <w:right w:val="nil"/>
            </w:tcBorders>
            <w:vAlign w:val="bottom"/>
          </w:tcPr>
          <w:p w14:paraId="671273F9" w14:textId="77777777" w:rsidR="00360B6B" w:rsidRPr="006F1364" w:rsidRDefault="00360B6B" w:rsidP="0052424C">
            <w:pPr>
              <w:pStyle w:val="TableBodyText"/>
              <w:jc w:val="left"/>
            </w:pPr>
            <w:r w:rsidRPr="006F1364">
              <w:t>22</w:t>
            </w:r>
          </w:p>
        </w:tc>
        <w:tc>
          <w:tcPr>
            <w:tcW w:w="5528" w:type="dxa"/>
            <w:tcBorders>
              <w:top w:val="nil"/>
              <w:left w:val="nil"/>
              <w:bottom w:val="nil"/>
              <w:right w:val="nil"/>
            </w:tcBorders>
            <w:shd w:val="clear" w:color="auto" w:fill="auto"/>
            <w:noWrap/>
            <w:vAlign w:val="center"/>
          </w:tcPr>
          <w:p w14:paraId="49F7F2CB" w14:textId="77777777" w:rsidR="00360B6B" w:rsidRPr="007029F1" w:rsidRDefault="00360B6B" w:rsidP="0052424C">
            <w:pPr>
              <w:pStyle w:val="TableBodyText"/>
              <w:jc w:val="left"/>
            </w:pPr>
            <w:r>
              <w:t>Sawmill and other wood products</w:t>
            </w:r>
          </w:p>
        </w:tc>
        <w:tc>
          <w:tcPr>
            <w:tcW w:w="2268" w:type="dxa"/>
            <w:tcBorders>
              <w:top w:val="nil"/>
              <w:left w:val="nil"/>
              <w:bottom w:val="nil"/>
              <w:right w:val="nil"/>
            </w:tcBorders>
          </w:tcPr>
          <w:p w14:paraId="482A3FB2" w14:textId="77777777" w:rsidR="00360B6B" w:rsidRDefault="00360B6B" w:rsidP="0052424C">
            <w:pPr>
              <w:pStyle w:val="TableBodyText"/>
            </w:pPr>
            <w:r>
              <w:t>1401, 1402</w:t>
            </w:r>
          </w:p>
        </w:tc>
      </w:tr>
      <w:tr w:rsidR="00360B6B" w:rsidRPr="007029F1" w14:paraId="63325BC1" w14:textId="77777777" w:rsidTr="0052424C">
        <w:trPr>
          <w:trHeight w:val="255"/>
          <w:jc w:val="center"/>
        </w:trPr>
        <w:tc>
          <w:tcPr>
            <w:tcW w:w="937" w:type="dxa"/>
            <w:tcBorders>
              <w:top w:val="nil"/>
              <w:left w:val="nil"/>
              <w:bottom w:val="nil"/>
              <w:right w:val="nil"/>
            </w:tcBorders>
            <w:vAlign w:val="bottom"/>
          </w:tcPr>
          <w:p w14:paraId="30229624" w14:textId="77777777" w:rsidR="00360B6B" w:rsidRPr="006F1364" w:rsidRDefault="00360B6B" w:rsidP="0052424C">
            <w:pPr>
              <w:pStyle w:val="TableBodyText"/>
              <w:jc w:val="left"/>
            </w:pPr>
            <w:r w:rsidRPr="006F1364">
              <w:t>23</w:t>
            </w:r>
          </w:p>
        </w:tc>
        <w:tc>
          <w:tcPr>
            <w:tcW w:w="5528" w:type="dxa"/>
            <w:tcBorders>
              <w:top w:val="nil"/>
              <w:left w:val="nil"/>
              <w:bottom w:val="nil"/>
              <w:right w:val="nil"/>
            </w:tcBorders>
            <w:shd w:val="clear" w:color="auto" w:fill="auto"/>
            <w:noWrap/>
            <w:vAlign w:val="center"/>
          </w:tcPr>
          <w:p w14:paraId="39E6B520" w14:textId="77777777" w:rsidR="00360B6B" w:rsidRPr="007029F1" w:rsidRDefault="00360B6B" w:rsidP="0052424C">
            <w:pPr>
              <w:pStyle w:val="TableBodyText"/>
              <w:jc w:val="left"/>
            </w:pPr>
            <w:r>
              <w:t>Pulp, paper and paper products</w:t>
            </w:r>
          </w:p>
        </w:tc>
        <w:tc>
          <w:tcPr>
            <w:tcW w:w="2268" w:type="dxa"/>
            <w:tcBorders>
              <w:top w:val="nil"/>
              <w:left w:val="nil"/>
              <w:bottom w:val="nil"/>
              <w:right w:val="nil"/>
            </w:tcBorders>
          </w:tcPr>
          <w:p w14:paraId="62BF627E" w14:textId="77777777" w:rsidR="00360B6B" w:rsidRDefault="00360B6B" w:rsidP="0052424C">
            <w:pPr>
              <w:pStyle w:val="TableBodyText"/>
            </w:pPr>
            <w:r>
              <w:t>1501, 1502</w:t>
            </w:r>
          </w:p>
        </w:tc>
      </w:tr>
      <w:tr w:rsidR="00360B6B" w:rsidRPr="007029F1" w14:paraId="36835B22" w14:textId="77777777" w:rsidTr="0052424C">
        <w:trPr>
          <w:trHeight w:val="255"/>
          <w:jc w:val="center"/>
        </w:trPr>
        <w:tc>
          <w:tcPr>
            <w:tcW w:w="937" w:type="dxa"/>
            <w:tcBorders>
              <w:top w:val="nil"/>
              <w:left w:val="nil"/>
              <w:bottom w:val="nil"/>
              <w:right w:val="nil"/>
            </w:tcBorders>
            <w:vAlign w:val="bottom"/>
          </w:tcPr>
          <w:p w14:paraId="1DF6EF1B" w14:textId="77777777" w:rsidR="00360B6B" w:rsidRPr="006F1364" w:rsidRDefault="00360B6B" w:rsidP="0052424C">
            <w:pPr>
              <w:pStyle w:val="TableBodyText"/>
              <w:jc w:val="left"/>
            </w:pPr>
            <w:r w:rsidRPr="006F1364">
              <w:t>24</w:t>
            </w:r>
          </w:p>
        </w:tc>
        <w:tc>
          <w:tcPr>
            <w:tcW w:w="5528" w:type="dxa"/>
            <w:tcBorders>
              <w:top w:val="nil"/>
              <w:left w:val="nil"/>
              <w:bottom w:val="nil"/>
              <w:right w:val="nil"/>
            </w:tcBorders>
            <w:shd w:val="clear" w:color="auto" w:fill="auto"/>
            <w:noWrap/>
            <w:vAlign w:val="center"/>
          </w:tcPr>
          <w:p w14:paraId="253F992E" w14:textId="77777777" w:rsidR="00360B6B" w:rsidRPr="007029F1" w:rsidRDefault="00360B6B" w:rsidP="0052424C">
            <w:pPr>
              <w:pStyle w:val="TableBodyText"/>
              <w:jc w:val="left"/>
            </w:pPr>
            <w:r>
              <w:t>Printing and recorded media</w:t>
            </w:r>
          </w:p>
        </w:tc>
        <w:tc>
          <w:tcPr>
            <w:tcW w:w="2268" w:type="dxa"/>
            <w:tcBorders>
              <w:top w:val="nil"/>
              <w:left w:val="nil"/>
              <w:bottom w:val="nil"/>
              <w:right w:val="nil"/>
            </w:tcBorders>
          </w:tcPr>
          <w:p w14:paraId="13E4404C" w14:textId="77777777" w:rsidR="00360B6B" w:rsidRDefault="00360B6B" w:rsidP="0052424C">
            <w:pPr>
              <w:pStyle w:val="TableBodyText"/>
            </w:pPr>
            <w:r>
              <w:t>1601</w:t>
            </w:r>
          </w:p>
        </w:tc>
      </w:tr>
      <w:tr w:rsidR="00360B6B" w:rsidRPr="007029F1" w14:paraId="5D45AF95" w14:textId="77777777" w:rsidTr="0052424C">
        <w:trPr>
          <w:trHeight w:val="255"/>
          <w:jc w:val="center"/>
        </w:trPr>
        <w:tc>
          <w:tcPr>
            <w:tcW w:w="937" w:type="dxa"/>
            <w:tcBorders>
              <w:top w:val="nil"/>
              <w:left w:val="nil"/>
              <w:bottom w:val="nil"/>
              <w:right w:val="nil"/>
            </w:tcBorders>
            <w:vAlign w:val="bottom"/>
          </w:tcPr>
          <w:p w14:paraId="684BF1AE" w14:textId="77777777" w:rsidR="00360B6B" w:rsidRPr="006F1364" w:rsidRDefault="00360B6B" w:rsidP="0052424C">
            <w:pPr>
              <w:pStyle w:val="TableBodyText"/>
              <w:jc w:val="left"/>
            </w:pPr>
            <w:r w:rsidRPr="006F1364">
              <w:t>25</w:t>
            </w:r>
          </w:p>
        </w:tc>
        <w:tc>
          <w:tcPr>
            <w:tcW w:w="5528" w:type="dxa"/>
            <w:tcBorders>
              <w:top w:val="nil"/>
              <w:left w:val="nil"/>
              <w:bottom w:val="nil"/>
              <w:right w:val="nil"/>
            </w:tcBorders>
            <w:shd w:val="clear" w:color="auto" w:fill="auto"/>
            <w:noWrap/>
            <w:vAlign w:val="center"/>
          </w:tcPr>
          <w:p w14:paraId="4483813E" w14:textId="77777777" w:rsidR="00360B6B" w:rsidRPr="007029F1" w:rsidRDefault="00360B6B" w:rsidP="0052424C">
            <w:pPr>
              <w:pStyle w:val="TableBodyText"/>
              <w:jc w:val="left"/>
            </w:pPr>
            <w:r>
              <w:t>Petroleum and coal products</w:t>
            </w:r>
          </w:p>
        </w:tc>
        <w:tc>
          <w:tcPr>
            <w:tcW w:w="2268" w:type="dxa"/>
            <w:tcBorders>
              <w:top w:val="nil"/>
              <w:left w:val="nil"/>
              <w:bottom w:val="nil"/>
              <w:right w:val="nil"/>
            </w:tcBorders>
          </w:tcPr>
          <w:p w14:paraId="040209FC" w14:textId="77777777" w:rsidR="00360B6B" w:rsidRDefault="00360B6B" w:rsidP="0052424C">
            <w:pPr>
              <w:pStyle w:val="TableBodyText"/>
            </w:pPr>
            <w:r>
              <w:t>1701</w:t>
            </w:r>
          </w:p>
        </w:tc>
      </w:tr>
      <w:tr w:rsidR="00360B6B" w:rsidRPr="007029F1" w14:paraId="1C5D9258" w14:textId="77777777" w:rsidTr="0052424C">
        <w:trPr>
          <w:trHeight w:val="255"/>
          <w:jc w:val="center"/>
        </w:trPr>
        <w:tc>
          <w:tcPr>
            <w:tcW w:w="937" w:type="dxa"/>
            <w:tcBorders>
              <w:top w:val="nil"/>
              <w:left w:val="nil"/>
              <w:bottom w:val="nil"/>
              <w:right w:val="nil"/>
            </w:tcBorders>
            <w:vAlign w:val="bottom"/>
          </w:tcPr>
          <w:p w14:paraId="556DD952" w14:textId="77777777" w:rsidR="00360B6B" w:rsidRPr="006F1364" w:rsidRDefault="00360B6B" w:rsidP="0052424C">
            <w:pPr>
              <w:pStyle w:val="TableBodyText"/>
              <w:jc w:val="left"/>
            </w:pPr>
            <w:r w:rsidRPr="006F1364">
              <w:t>26</w:t>
            </w:r>
          </w:p>
        </w:tc>
        <w:tc>
          <w:tcPr>
            <w:tcW w:w="5528" w:type="dxa"/>
            <w:tcBorders>
              <w:top w:val="nil"/>
              <w:left w:val="nil"/>
              <w:bottom w:val="nil"/>
              <w:right w:val="nil"/>
            </w:tcBorders>
            <w:shd w:val="clear" w:color="auto" w:fill="auto"/>
            <w:noWrap/>
            <w:vAlign w:val="center"/>
          </w:tcPr>
          <w:p w14:paraId="7236F1BB" w14:textId="77777777" w:rsidR="00360B6B" w:rsidRPr="007029F1" w:rsidRDefault="00360B6B" w:rsidP="0052424C">
            <w:pPr>
              <w:pStyle w:val="TableBodyText"/>
              <w:jc w:val="left"/>
            </w:pPr>
            <w:r>
              <w:t>Basic chemicals and products</w:t>
            </w:r>
          </w:p>
        </w:tc>
        <w:tc>
          <w:tcPr>
            <w:tcW w:w="2268" w:type="dxa"/>
            <w:tcBorders>
              <w:top w:val="nil"/>
              <w:left w:val="nil"/>
              <w:bottom w:val="nil"/>
              <w:right w:val="nil"/>
            </w:tcBorders>
          </w:tcPr>
          <w:p w14:paraId="40E4960F" w14:textId="77777777" w:rsidR="00360B6B" w:rsidRDefault="00360B6B" w:rsidP="0052424C">
            <w:pPr>
              <w:pStyle w:val="TableBodyText"/>
            </w:pPr>
            <w:r>
              <w:t>1801-04</w:t>
            </w:r>
          </w:p>
        </w:tc>
      </w:tr>
      <w:tr w:rsidR="00360B6B" w:rsidRPr="007029F1" w14:paraId="396411C2" w14:textId="77777777" w:rsidTr="0052424C">
        <w:trPr>
          <w:trHeight w:val="255"/>
          <w:jc w:val="center"/>
        </w:trPr>
        <w:tc>
          <w:tcPr>
            <w:tcW w:w="937" w:type="dxa"/>
            <w:tcBorders>
              <w:top w:val="nil"/>
              <w:left w:val="nil"/>
              <w:bottom w:val="nil"/>
              <w:right w:val="nil"/>
            </w:tcBorders>
            <w:vAlign w:val="bottom"/>
          </w:tcPr>
          <w:p w14:paraId="4CC40C17" w14:textId="77777777" w:rsidR="00360B6B" w:rsidRPr="006F1364" w:rsidRDefault="00360B6B" w:rsidP="0052424C">
            <w:pPr>
              <w:pStyle w:val="TableBodyText"/>
              <w:jc w:val="left"/>
            </w:pPr>
            <w:r w:rsidRPr="006F1364">
              <w:t>27</w:t>
            </w:r>
          </w:p>
        </w:tc>
        <w:tc>
          <w:tcPr>
            <w:tcW w:w="5528" w:type="dxa"/>
            <w:tcBorders>
              <w:top w:val="nil"/>
              <w:left w:val="nil"/>
              <w:bottom w:val="nil"/>
              <w:right w:val="nil"/>
            </w:tcBorders>
            <w:shd w:val="clear" w:color="auto" w:fill="auto"/>
            <w:noWrap/>
            <w:vAlign w:val="center"/>
          </w:tcPr>
          <w:p w14:paraId="1810AB32" w14:textId="77777777" w:rsidR="00360B6B" w:rsidRPr="007029F1" w:rsidRDefault="00360B6B" w:rsidP="0052424C">
            <w:pPr>
              <w:pStyle w:val="TableBodyText"/>
              <w:jc w:val="left"/>
            </w:pPr>
            <w:r>
              <w:t>Polymer and rubber products</w:t>
            </w:r>
          </w:p>
        </w:tc>
        <w:tc>
          <w:tcPr>
            <w:tcW w:w="2268" w:type="dxa"/>
            <w:tcBorders>
              <w:top w:val="nil"/>
              <w:left w:val="nil"/>
              <w:bottom w:val="nil"/>
              <w:right w:val="nil"/>
            </w:tcBorders>
          </w:tcPr>
          <w:p w14:paraId="528452A9" w14:textId="77777777" w:rsidR="00360B6B" w:rsidRDefault="00360B6B" w:rsidP="0052424C">
            <w:pPr>
              <w:pStyle w:val="TableBodyText"/>
            </w:pPr>
            <w:r>
              <w:t>1901-2004</w:t>
            </w:r>
          </w:p>
        </w:tc>
      </w:tr>
      <w:tr w:rsidR="00360B6B" w:rsidRPr="007029F1" w14:paraId="03541B50" w14:textId="77777777" w:rsidTr="0052424C">
        <w:trPr>
          <w:trHeight w:val="255"/>
          <w:jc w:val="center"/>
        </w:trPr>
        <w:tc>
          <w:tcPr>
            <w:tcW w:w="937" w:type="dxa"/>
            <w:tcBorders>
              <w:top w:val="nil"/>
              <w:left w:val="nil"/>
              <w:bottom w:val="nil"/>
              <w:right w:val="nil"/>
            </w:tcBorders>
            <w:vAlign w:val="bottom"/>
          </w:tcPr>
          <w:p w14:paraId="4F0A1CB0" w14:textId="77777777" w:rsidR="00360B6B" w:rsidRPr="006F1364" w:rsidRDefault="00360B6B" w:rsidP="0052424C">
            <w:pPr>
              <w:pStyle w:val="TableBodyText"/>
              <w:jc w:val="left"/>
            </w:pPr>
            <w:r w:rsidRPr="006F1364">
              <w:t>28</w:t>
            </w:r>
          </w:p>
        </w:tc>
        <w:tc>
          <w:tcPr>
            <w:tcW w:w="5528" w:type="dxa"/>
            <w:tcBorders>
              <w:top w:val="nil"/>
              <w:left w:val="nil"/>
              <w:bottom w:val="nil"/>
              <w:right w:val="nil"/>
            </w:tcBorders>
            <w:shd w:val="clear" w:color="auto" w:fill="auto"/>
            <w:noWrap/>
            <w:vAlign w:val="center"/>
          </w:tcPr>
          <w:p w14:paraId="51FB6447" w14:textId="77777777" w:rsidR="00360B6B" w:rsidRPr="007029F1" w:rsidRDefault="00360B6B" w:rsidP="0052424C">
            <w:pPr>
              <w:pStyle w:val="TableBodyText"/>
              <w:jc w:val="left"/>
            </w:pPr>
            <w:r>
              <w:t>Non-metallic mineral products</w:t>
            </w:r>
          </w:p>
        </w:tc>
        <w:tc>
          <w:tcPr>
            <w:tcW w:w="2268" w:type="dxa"/>
            <w:tcBorders>
              <w:top w:val="nil"/>
              <w:left w:val="nil"/>
              <w:bottom w:val="nil"/>
              <w:right w:val="nil"/>
            </w:tcBorders>
          </w:tcPr>
          <w:p w14:paraId="3442D78D" w14:textId="77777777" w:rsidR="00360B6B" w:rsidRDefault="00360B6B" w:rsidP="0052424C">
            <w:pPr>
              <w:pStyle w:val="TableBodyText"/>
            </w:pPr>
            <w:r>
              <w:t>2001-05 (not 03)</w:t>
            </w:r>
          </w:p>
        </w:tc>
      </w:tr>
      <w:tr w:rsidR="00360B6B" w:rsidRPr="007029F1" w14:paraId="4A481DF6" w14:textId="77777777" w:rsidTr="0052424C">
        <w:trPr>
          <w:trHeight w:val="255"/>
          <w:jc w:val="center"/>
        </w:trPr>
        <w:tc>
          <w:tcPr>
            <w:tcW w:w="937" w:type="dxa"/>
            <w:tcBorders>
              <w:top w:val="nil"/>
              <w:left w:val="nil"/>
              <w:bottom w:val="nil"/>
              <w:right w:val="nil"/>
            </w:tcBorders>
            <w:vAlign w:val="bottom"/>
          </w:tcPr>
          <w:p w14:paraId="4CA86C6E" w14:textId="77777777" w:rsidR="00360B6B" w:rsidRPr="006F1364" w:rsidRDefault="00360B6B" w:rsidP="0052424C">
            <w:pPr>
              <w:pStyle w:val="TableBodyText"/>
              <w:jc w:val="left"/>
            </w:pPr>
            <w:r w:rsidRPr="006F1364">
              <w:t>29</w:t>
            </w:r>
          </w:p>
        </w:tc>
        <w:tc>
          <w:tcPr>
            <w:tcW w:w="5528" w:type="dxa"/>
            <w:tcBorders>
              <w:top w:val="nil"/>
              <w:left w:val="nil"/>
              <w:bottom w:val="nil"/>
              <w:right w:val="nil"/>
            </w:tcBorders>
            <w:shd w:val="clear" w:color="auto" w:fill="auto"/>
            <w:noWrap/>
            <w:vAlign w:val="center"/>
          </w:tcPr>
          <w:p w14:paraId="7454A3C8" w14:textId="77777777" w:rsidR="00360B6B" w:rsidRPr="007029F1" w:rsidRDefault="00360B6B" w:rsidP="0052424C">
            <w:pPr>
              <w:pStyle w:val="TableBodyText"/>
              <w:jc w:val="left"/>
            </w:pPr>
            <w:r>
              <w:t>Cement, lime and concrete</w:t>
            </w:r>
          </w:p>
        </w:tc>
        <w:tc>
          <w:tcPr>
            <w:tcW w:w="2268" w:type="dxa"/>
            <w:tcBorders>
              <w:top w:val="nil"/>
              <w:left w:val="nil"/>
              <w:bottom w:val="nil"/>
              <w:right w:val="nil"/>
            </w:tcBorders>
          </w:tcPr>
          <w:p w14:paraId="6E1C2F1B" w14:textId="77777777" w:rsidR="00360B6B" w:rsidRDefault="00360B6B" w:rsidP="0052424C">
            <w:pPr>
              <w:pStyle w:val="TableBodyText"/>
            </w:pPr>
            <w:r>
              <w:t>2003</w:t>
            </w:r>
          </w:p>
        </w:tc>
      </w:tr>
      <w:tr w:rsidR="00360B6B" w:rsidRPr="007029F1" w14:paraId="1A105E30" w14:textId="77777777" w:rsidTr="0052424C">
        <w:trPr>
          <w:trHeight w:val="255"/>
          <w:jc w:val="center"/>
        </w:trPr>
        <w:tc>
          <w:tcPr>
            <w:tcW w:w="937" w:type="dxa"/>
            <w:tcBorders>
              <w:top w:val="nil"/>
              <w:left w:val="nil"/>
              <w:bottom w:val="nil"/>
              <w:right w:val="nil"/>
            </w:tcBorders>
            <w:vAlign w:val="bottom"/>
          </w:tcPr>
          <w:p w14:paraId="4BB249A6" w14:textId="77777777" w:rsidR="00360B6B" w:rsidRPr="006F1364" w:rsidRDefault="00360B6B" w:rsidP="0052424C">
            <w:pPr>
              <w:pStyle w:val="TableBodyText"/>
              <w:jc w:val="left"/>
            </w:pPr>
            <w:r w:rsidRPr="006F1364">
              <w:t>30</w:t>
            </w:r>
          </w:p>
        </w:tc>
        <w:tc>
          <w:tcPr>
            <w:tcW w:w="5528" w:type="dxa"/>
            <w:tcBorders>
              <w:top w:val="nil"/>
              <w:left w:val="nil"/>
              <w:bottom w:val="nil"/>
              <w:right w:val="nil"/>
            </w:tcBorders>
            <w:shd w:val="clear" w:color="auto" w:fill="auto"/>
            <w:noWrap/>
            <w:vAlign w:val="center"/>
          </w:tcPr>
          <w:p w14:paraId="11C032A2" w14:textId="77777777" w:rsidR="00360B6B" w:rsidRPr="007029F1" w:rsidRDefault="00360B6B" w:rsidP="0052424C">
            <w:pPr>
              <w:pStyle w:val="TableBodyText"/>
              <w:jc w:val="left"/>
            </w:pPr>
            <w:r>
              <w:t>Iron and steel</w:t>
            </w:r>
          </w:p>
        </w:tc>
        <w:tc>
          <w:tcPr>
            <w:tcW w:w="2268" w:type="dxa"/>
            <w:tcBorders>
              <w:top w:val="nil"/>
              <w:left w:val="nil"/>
              <w:bottom w:val="nil"/>
              <w:right w:val="nil"/>
            </w:tcBorders>
          </w:tcPr>
          <w:p w14:paraId="156335B7" w14:textId="77777777" w:rsidR="00360B6B" w:rsidRDefault="00360B6B" w:rsidP="0052424C">
            <w:pPr>
              <w:pStyle w:val="TableBodyText"/>
            </w:pPr>
            <w:r>
              <w:t>2101</w:t>
            </w:r>
          </w:p>
        </w:tc>
      </w:tr>
      <w:tr w:rsidR="00360B6B" w:rsidRPr="007029F1" w14:paraId="1A96F492" w14:textId="77777777" w:rsidTr="0052424C">
        <w:trPr>
          <w:trHeight w:val="255"/>
          <w:jc w:val="center"/>
        </w:trPr>
        <w:tc>
          <w:tcPr>
            <w:tcW w:w="937" w:type="dxa"/>
            <w:tcBorders>
              <w:top w:val="nil"/>
              <w:left w:val="nil"/>
              <w:bottom w:val="nil"/>
              <w:right w:val="nil"/>
            </w:tcBorders>
            <w:vAlign w:val="bottom"/>
          </w:tcPr>
          <w:p w14:paraId="00FA0D77" w14:textId="77777777" w:rsidR="00360B6B" w:rsidRPr="006F1364" w:rsidRDefault="00360B6B" w:rsidP="0052424C">
            <w:pPr>
              <w:pStyle w:val="TableBodyText"/>
              <w:jc w:val="left"/>
            </w:pPr>
            <w:r w:rsidRPr="006F1364">
              <w:t>31</w:t>
            </w:r>
          </w:p>
        </w:tc>
        <w:tc>
          <w:tcPr>
            <w:tcW w:w="5528" w:type="dxa"/>
            <w:tcBorders>
              <w:top w:val="nil"/>
              <w:left w:val="nil"/>
              <w:bottom w:val="nil"/>
              <w:right w:val="nil"/>
            </w:tcBorders>
            <w:shd w:val="clear" w:color="auto" w:fill="auto"/>
            <w:noWrap/>
            <w:vAlign w:val="center"/>
          </w:tcPr>
          <w:p w14:paraId="13E34049" w14:textId="77777777" w:rsidR="00360B6B" w:rsidRPr="007029F1" w:rsidRDefault="00360B6B" w:rsidP="0052424C">
            <w:pPr>
              <w:pStyle w:val="TableBodyText"/>
              <w:jc w:val="left"/>
            </w:pPr>
            <w:r>
              <w:t>Alumina</w:t>
            </w:r>
          </w:p>
        </w:tc>
        <w:tc>
          <w:tcPr>
            <w:tcW w:w="2268" w:type="dxa"/>
            <w:tcBorders>
              <w:top w:val="nil"/>
              <w:left w:val="nil"/>
              <w:bottom w:val="nil"/>
              <w:right w:val="nil"/>
            </w:tcBorders>
          </w:tcPr>
          <w:p w14:paraId="1025F0E3" w14:textId="77777777" w:rsidR="00360B6B" w:rsidRDefault="00360B6B" w:rsidP="0052424C">
            <w:pPr>
              <w:pStyle w:val="TableBodyText"/>
            </w:pPr>
            <w:r>
              <w:t>2102 (part)</w:t>
            </w:r>
          </w:p>
        </w:tc>
      </w:tr>
      <w:tr w:rsidR="00360B6B" w:rsidRPr="007029F1" w14:paraId="78576316" w14:textId="77777777" w:rsidTr="0052424C">
        <w:trPr>
          <w:trHeight w:val="255"/>
          <w:jc w:val="center"/>
        </w:trPr>
        <w:tc>
          <w:tcPr>
            <w:tcW w:w="937" w:type="dxa"/>
            <w:tcBorders>
              <w:top w:val="nil"/>
              <w:left w:val="nil"/>
              <w:bottom w:val="nil"/>
              <w:right w:val="nil"/>
            </w:tcBorders>
            <w:vAlign w:val="bottom"/>
          </w:tcPr>
          <w:p w14:paraId="2C31346F" w14:textId="77777777" w:rsidR="00360B6B" w:rsidRPr="006F1364" w:rsidRDefault="00360B6B" w:rsidP="0052424C">
            <w:pPr>
              <w:pStyle w:val="TableBodyText"/>
              <w:jc w:val="left"/>
            </w:pPr>
            <w:r w:rsidRPr="006F1364">
              <w:t>32</w:t>
            </w:r>
          </w:p>
        </w:tc>
        <w:tc>
          <w:tcPr>
            <w:tcW w:w="5528" w:type="dxa"/>
            <w:tcBorders>
              <w:top w:val="nil"/>
              <w:left w:val="nil"/>
              <w:bottom w:val="nil"/>
              <w:right w:val="nil"/>
            </w:tcBorders>
            <w:shd w:val="clear" w:color="auto" w:fill="auto"/>
            <w:noWrap/>
            <w:vAlign w:val="center"/>
          </w:tcPr>
          <w:p w14:paraId="76B548AC" w14:textId="77777777" w:rsidR="00360B6B" w:rsidRPr="007029F1" w:rsidRDefault="00360B6B" w:rsidP="0052424C">
            <w:pPr>
              <w:pStyle w:val="TableBodyText"/>
              <w:jc w:val="left"/>
            </w:pPr>
            <w:r>
              <w:t>Aluminium</w:t>
            </w:r>
          </w:p>
        </w:tc>
        <w:tc>
          <w:tcPr>
            <w:tcW w:w="2268" w:type="dxa"/>
            <w:tcBorders>
              <w:top w:val="nil"/>
              <w:left w:val="nil"/>
              <w:bottom w:val="nil"/>
              <w:right w:val="nil"/>
            </w:tcBorders>
          </w:tcPr>
          <w:p w14:paraId="23B1D57A" w14:textId="77777777" w:rsidR="00360B6B" w:rsidRDefault="00360B6B" w:rsidP="0052424C">
            <w:pPr>
              <w:pStyle w:val="TableBodyText"/>
            </w:pPr>
            <w:r>
              <w:t>2102 (part)</w:t>
            </w:r>
          </w:p>
        </w:tc>
      </w:tr>
      <w:tr w:rsidR="00360B6B" w:rsidRPr="007029F1" w14:paraId="5243D03D" w14:textId="77777777" w:rsidTr="0052424C">
        <w:trPr>
          <w:trHeight w:val="255"/>
          <w:jc w:val="center"/>
        </w:trPr>
        <w:tc>
          <w:tcPr>
            <w:tcW w:w="937" w:type="dxa"/>
            <w:tcBorders>
              <w:top w:val="nil"/>
              <w:left w:val="nil"/>
              <w:bottom w:val="nil"/>
              <w:right w:val="nil"/>
            </w:tcBorders>
            <w:vAlign w:val="bottom"/>
          </w:tcPr>
          <w:p w14:paraId="4B8144EB" w14:textId="77777777" w:rsidR="00360B6B" w:rsidRPr="006F1364" w:rsidRDefault="00360B6B" w:rsidP="0052424C">
            <w:pPr>
              <w:pStyle w:val="TableBodyText"/>
              <w:jc w:val="left"/>
            </w:pPr>
            <w:r w:rsidRPr="006F1364">
              <w:t>33</w:t>
            </w:r>
          </w:p>
        </w:tc>
        <w:tc>
          <w:tcPr>
            <w:tcW w:w="5528" w:type="dxa"/>
            <w:tcBorders>
              <w:top w:val="nil"/>
              <w:left w:val="nil"/>
              <w:bottom w:val="nil"/>
              <w:right w:val="nil"/>
            </w:tcBorders>
            <w:shd w:val="clear" w:color="auto" w:fill="auto"/>
            <w:noWrap/>
            <w:vAlign w:val="center"/>
          </w:tcPr>
          <w:p w14:paraId="393DC3DD" w14:textId="77777777" w:rsidR="00360B6B" w:rsidRPr="007029F1" w:rsidRDefault="00360B6B" w:rsidP="0052424C">
            <w:pPr>
              <w:pStyle w:val="TableBodyText"/>
              <w:jc w:val="left"/>
            </w:pPr>
            <w:r>
              <w:t>Other non-ferrous metals</w:t>
            </w:r>
          </w:p>
        </w:tc>
        <w:tc>
          <w:tcPr>
            <w:tcW w:w="2268" w:type="dxa"/>
            <w:tcBorders>
              <w:top w:val="nil"/>
              <w:left w:val="nil"/>
              <w:bottom w:val="nil"/>
              <w:right w:val="nil"/>
            </w:tcBorders>
          </w:tcPr>
          <w:p w14:paraId="118FBC9F" w14:textId="77777777" w:rsidR="00360B6B" w:rsidRDefault="00360B6B" w:rsidP="0052424C">
            <w:pPr>
              <w:pStyle w:val="TableBodyText"/>
            </w:pPr>
            <w:r>
              <w:t>2102 (part)</w:t>
            </w:r>
          </w:p>
        </w:tc>
      </w:tr>
      <w:tr w:rsidR="00360B6B" w:rsidRPr="007029F1" w14:paraId="48AFA7BD" w14:textId="77777777" w:rsidTr="0052424C">
        <w:trPr>
          <w:trHeight w:val="255"/>
          <w:jc w:val="center"/>
        </w:trPr>
        <w:tc>
          <w:tcPr>
            <w:tcW w:w="937" w:type="dxa"/>
            <w:tcBorders>
              <w:top w:val="nil"/>
              <w:left w:val="nil"/>
              <w:bottom w:val="nil"/>
              <w:right w:val="nil"/>
            </w:tcBorders>
            <w:vAlign w:val="bottom"/>
          </w:tcPr>
          <w:p w14:paraId="0E98A202" w14:textId="77777777" w:rsidR="00360B6B" w:rsidRPr="006F1364" w:rsidRDefault="00360B6B" w:rsidP="0052424C">
            <w:pPr>
              <w:pStyle w:val="TableBodyText"/>
              <w:jc w:val="left"/>
            </w:pPr>
            <w:r w:rsidRPr="006F1364">
              <w:t>34</w:t>
            </w:r>
          </w:p>
        </w:tc>
        <w:tc>
          <w:tcPr>
            <w:tcW w:w="5528" w:type="dxa"/>
            <w:tcBorders>
              <w:top w:val="nil"/>
              <w:left w:val="nil"/>
              <w:bottom w:val="nil"/>
              <w:right w:val="nil"/>
            </w:tcBorders>
            <w:shd w:val="clear" w:color="auto" w:fill="auto"/>
            <w:noWrap/>
            <w:vAlign w:val="center"/>
          </w:tcPr>
          <w:p w14:paraId="108BE525" w14:textId="77777777" w:rsidR="00360B6B" w:rsidRPr="007029F1" w:rsidRDefault="00360B6B" w:rsidP="0052424C">
            <w:pPr>
              <w:pStyle w:val="TableBodyText"/>
              <w:jc w:val="left"/>
            </w:pPr>
            <w:r>
              <w:t>Metal products</w:t>
            </w:r>
          </w:p>
        </w:tc>
        <w:tc>
          <w:tcPr>
            <w:tcW w:w="2268" w:type="dxa"/>
            <w:tcBorders>
              <w:top w:val="nil"/>
              <w:left w:val="nil"/>
              <w:bottom w:val="nil"/>
              <w:right w:val="nil"/>
            </w:tcBorders>
          </w:tcPr>
          <w:p w14:paraId="61E27BAE" w14:textId="77777777" w:rsidR="00360B6B" w:rsidRDefault="00360B6B" w:rsidP="0052424C">
            <w:pPr>
              <w:pStyle w:val="TableBodyText"/>
            </w:pPr>
            <w:r>
              <w:t>2201-04</w:t>
            </w:r>
          </w:p>
        </w:tc>
      </w:tr>
      <w:tr w:rsidR="00360B6B" w:rsidRPr="007029F1" w14:paraId="699F2DDF" w14:textId="77777777" w:rsidTr="0052424C">
        <w:trPr>
          <w:trHeight w:val="255"/>
          <w:jc w:val="center"/>
        </w:trPr>
        <w:tc>
          <w:tcPr>
            <w:tcW w:w="937" w:type="dxa"/>
            <w:tcBorders>
              <w:top w:val="nil"/>
              <w:left w:val="nil"/>
              <w:bottom w:val="nil"/>
              <w:right w:val="nil"/>
            </w:tcBorders>
            <w:vAlign w:val="bottom"/>
          </w:tcPr>
          <w:p w14:paraId="15C2DC39" w14:textId="77777777" w:rsidR="00360B6B" w:rsidRPr="006F1364" w:rsidRDefault="00360B6B" w:rsidP="0052424C">
            <w:pPr>
              <w:pStyle w:val="TableBodyText"/>
              <w:ind w:right="6"/>
              <w:jc w:val="left"/>
            </w:pPr>
            <w:r w:rsidRPr="006F1364">
              <w:t>35</w:t>
            </w:r>
          </w:p>
        </w:tc>
        <w:tc>
          <w:tcPr>
            <w:tcW w:w="5528" w:type="dxa"/>
            <w:tcBorders>
              <w:top w:val="nil"/>
              <w:left w:val="nil"/>
              <w:bottom w:val="nil"/>
              <w:right w:val="nil"/>
            </w:tcBorders>
            <w:shd w:val="clear" w:color="auto" w:fill="auto"/>
            <w:noWrap/>
            <w:vAlign w:val="center"/>
          </w:tcPr>
          <w:p w14:paraId="6F873306" w14:textId="77777777" w:rsidR="00360B6B" w:rsidRPr="007029F1" w:rsidRDefault="00360B6B" w:rsidP="0052424C">
            <w:pPr>
              <w:pStyle w:val="TableBodyText"/>
              <w:jc w:val="left"/>
            </w:pPr>
            <w:r>
              <w:t>Motor vehicles and parts</w:t>
            </w:r>
          </w:p>
        </w:tc>
        <w:tc>
          <w:tcPr>
            <w:tcW w:w="2268" w:type="dxa"/>
            <w:tcBorders>
              <w:top w:val="nil"/>
              <w:left w:val="nil"/>
              <w:bottom w:val="nil"/>
              <w:right w:val="nil"/>
            </w:tcBorders>
          </w:tcPr>
          <w:p w14:paraId="30BD4F7D" w14:textId="77777777" w:rsidR="00360B6B" w:rsidRDefault="00360B6B" w:rsidP="0052424C">
            <w:pPr>
              <w:pStyle w:val="TableBodyText"/>
            </w:pPr>
            <w:r>
              <w:t>2301</w:t>
            </w:r>
          </w:p>
        </w:tc>
      </w:tr>
      <w:tr w:rsidR="00360B6B" w:rsidRPr="007029F1" w14:paraId="7C47E90F" w14:textId="77777777" w:rsidTr="0052424C">
        <w:trPr>
          <w:trHeight w:val="255"/>
          <w:jc w:val="center"/>
        </w:trPr>
        <w:tc>
          <w:tcPr>
            <w:tcW w:w="937" w:type="dxa"/>
            <w:tcBorders>
              <w:top w:val="nil"/>
              <w:left w:val="nil"/>
              <w:bottom w:val="nil"/>
              <w:right w:val="nil"/>
            </w:tcBorders>
            <w:vAlign w:val="bottom"/>
          </w:tcPr>
          <w:p w14:paraId="1AAFBE72" w14:textId="77777777" w:rsidR="00360B6B" w:rsidRPr="006F1364" w:rsidRDefault="00360B6B" w:rsidP="0052424C">
            <w:pPr>
              <w:pStyle w:val="TableBodyText"/>
              <w:jc w:val="left"/>
            </w:pPr>
            <w:r w:rsidRPr="006F1364">
              <w:t>36</w:t>
            </w:r>
          </w:p>
        </w:tc>
        <w:tc>
          <w:tcPr>
            <w:tcW w:w="5528" w:type="dxa"/>
            <w:tcBorders>
              <w:top w:val="nil"/>
              <w:left w:val="nil"/>
              <w:bottom w:val="nil"/>
              <w:right w:val="nil"/>
            </w:tcBorders>
            <w:shd w:val="clear" w:color="auto" w:fill="auto"/>
            <w:noWrap/>
            <w:vAlign w:val="center"/>
          </w:tcPr>
          <w:p w14:paraId="6329ED9C" w14:textId="77777777" w:rsidR="00360B6B" w:rsidRPr="007029F1" w:rsidRDefault="00360B6B" w:rsidP="0052424C">
            <w:pPr>
              <w:pStyle w:val="TableBodyText"/>
              <w:jc w:val="left"/>
            </w:pPr>
            <w:r>
              <w:t>Other equipment</w:t>
            </w:r>
          </w:p>
        </w:tc>
        <w:tc>
          <w:tcPr>
            <w:tcW w:w="2268" w:type="dxa"/>
            <w:tcBorders>
              <w:top w:val="nil"/>
              <w:left w:val="nil"/>
              <w:bottom w:val="nil"/>
              <w:right w:val="nil"/>
            </w:tcBorders>
          </w:tcPr>
          <w:p w14:paraId="5A8D5D7A" w14:textId="77777777" w:rsidR="00360B6B" w:rsidRDefault="00360B6B" w:rsidP="0052424C">
            <w:pPr>
              <w:pStyle w:val="TableBodyText"/>
            </w:pPr>
            <w:r>
              <w:t>2302-2405</w:t>
            </w:r>
          </w:p>
        </w:tc>
      </w:tr>
      <w:tr w:rsidR="00360B6B" w:rsidRPr="007029F1" w14:paraId="1EB41BB6" w14:textId="77777777" w:rsidTr="0052424C">
        <w:trPr>
          <w:trHeight w:val="255"/>
          <w:jc w:val="center"/>
        </w:trPr>
        <w:tc>
          <w:tcPr>
            <w:tcW w:w="937" w:type="dxa"/>
            <w:tcBorders>
              <w:top w:val="nil"/>
              <w:left w:val="nil"/>
              <w:right w:val="nil"/>
            </w:tcBorders>
            <w:vAlign w:val="bottom"/>
          </w:tcPr>
          <w:p w14:paraId="6DC4D92F" w14:textId="77777777" w:rsidR="00360B6B" w:rsidRPr="006F1364" w:rsidRDefault="00360B6B" w:rsidP="0052424C">
            <w:pPr>
              <w:pStyle w:val="TableBodyText"/>
              <w:jc w:val="left"/>
            </w:pPr>
            <w:r w:rsidRPr="006F1364">
              <w:t>37</w:t>
            </w:r>
          </w:p>
        </w:tc>
        <w:tc>
          <w:tcPr>
            <w:tcW w:w="5528" w:type="dxa"/>
            <w:tcBorders>
              <w:top w:val="nil"/>
              <w:left w:val="nil"/>
              <w:right w:val="nil"/>
            </w:tcBorders>
            <w:shd w:val="clear" w:color="auto" w:fill="auto"/>
            <w:noWrap/>
            <w:vAlign w:val="center"/>
          </w:tcPr>
          <w:p w14:paraId="33CCE021" w14:textId="77777777" w:rsidR="00360B6B" w:rsidRPr="007029F1" w:rsidRDefault="00360B6B" w:rsidP="0052424C">
            <w:pPr>
              <w:pStyle w:val="TableBodyText"/>
              <w:jc w:val="left"/>
            </w:pPr>
            <w:r>
              <w:t>Furniture and other manufactured products</w:t>
            </w:r>
          </w:p>
        </w:tc>
        <w:tc>
          <w:tcPr>
            <w:tcW w:w="2268" w:type="dxa"/>
            <w:tcBorders>
              <w:top w:val="nil"/>
              <w:left w:val="nil"/>
              <w:right w:val="nil"/>
            </w:tcBorders>
          </w:tcPr>
          <w:p w14:paraId="55BF15CC" w14:textId="77777777" w:rsidR="00360B6B" w:rsidRDefault="00360B6B" w:rsidP="0052424C">
            <w:pPr>
              <w:pStyle w:val="TableBodyText"/>
            </w:pPr>
            <w:r>
              <w:t>2501, 2502</w:t>
            </w:r>
          </w:p>
        </w:tc>
      </w:tr>
      <w:tr w:rsidR="00360B6B" w:rsidRPr="007029F1" w14:paraId="1C2E61C7" w14:textId="77777777" w:rsidTr="0052424C">
        <w:trPr>
          <w:trHeight w:val="255"/>
          <w:jc w:val="center"/>
        </w:trPr>
        <w:tc>
          <w:tcPr>
            <w:tcW w:w="937" w:type="dxa"/>
            <w:tcBorders>
              <w:top w:val="nil"/>
              <w:left w:val="nil"/>
              <w:bottom w:val="single" w:sz="4" w:space="0" w:color="C8C8C8" w:themeColor="background2"/>
              <w:right w:val="nil"/>
            </w:tcBorders>
            <w:vAlign w:val="bottom"/>
          </w:tcPr>
          <w:p w14:paraId="7E97DE78" w14:textId="77777777" w:rsidR="00360B6B" w:rsidRPr="006F1364" w:rsidRDefault="00360B6B" w:rsidP="0052424C">
            <w:pPr>
              <w:pStyle w:val="TableBodyText"/>
            </w:pPr>
          </w:p>
        </w:tc>
        <w:tc>
          <w:tcPr>
            <w:tcW w:w="5528" w:type="dxa"/>
            <w:tcBorders>
              <w:top w:val="nil"/>
              <w:left w:val="nil"/>
              <w:bottom w:val="single" w:sz="4" w:space="0" w:color="C8C8C8" w:themeColor="background2"/>
              <w:right w:val="nil"/>
            </w:tcBorders>
            <w:shd w:val="clear" w:color="auto" w:fill="auto"/>
            <w:noWrap/>
            <w:vAlign w:val="center"/>
          </w:tcPr>
          <w:p w14:paraId="233E9B21" w14:textId="77777777" w:rsidR="00360B6B" w:rsidRPr="007029F1" w:rsidRDefault="00360B6B" w:rsidP="0052424C">
            <w:pPr>
              <w:pStyle w:val="TableBodyText"/>
            </w:pPr>
          </w:p>
        </w:tc>
        <w:tc>
          <w:tcPr>
            <w:tcW w:w="2268" w:type="dxa"/>
            <w:tcBorders>
              <w:top w:val="nil"/>
              <w:left w:val="nil"/>
              <w:bottom w:val="single" w:sz="4" w:space="0" w:color="C8C8C8" w:themeColor="background2"/>
              <w:right w:val="nil"/>
            </w:tcBorders>
          </w:tcPr>
          <w:p w14:paraId="33D20C4B" w14:textId="77777777" w:rsidR="00360B6B" w:rsidRDefault="00360B6B" w:rsidP="0052424C">
            <w:pPr>
              <w:pStyle w:val="TableBodyText"/>
            </w:pPr>
          </w:p>
        </w:tc>
      </w:tr>
    </w:tbl>
    <w:p w14:paraId="3A69E28A" w14:textId="77777777" w:rsidR="00360B6B" w:rsidRDefault="00360B6B" w:rsidP="00FB41B6">
      <w:pPr>
        <w:pStyle w:val="Continued"/>
        <w:pBdr>
          <w:bottom w:val="single" w:sz="4" w:space="1" w:color="78A22F" w:themeColor="accent1"/>
        </w:pBdr>
      </w:pPr>
      <w:r>
        <w:t>(Continued next page)</w:t>
      </w:r>
    </w:p>
    <w:p w14:paraId="0B249A68" w14:textId="77777777" w:rsidR="00360B6B" w:rsidRPr="00FB41B6" w:rsidRDefault="00360B6B" w:rsidP="00FB41B6">
      <w:pPr>
        <w:pStyle w:val="TableTitle"/>
        <w:pBdr>
          <w:top w:val="single" w:sz="4" w:space="1" w:color="78A22F" w:themeColor="accent1"/>
        </w:pBdr>
        <w:rPr>
          <w:b w:val="0"/>
          <w:sz w:val="18"/>
          <w:szCs w:val="18"/>
        </w:rPr>
      </w:pPr>
      <w:r>
        <w:lastRenderedPageBreak/>
        <w:t>Table A1</w:t>
      </w:r>
      <w:r>
        <w:tab/>
      </w:r>
      <w:r w:rsidRPr="00FB41B6">
        <w:rPr>
          <w:b w:val="0"/>
          <w:sz w:val="18"/>
          <w:szCs w:val="18"/>
        </w:rPr>
        <w:t>(continued)</w:t>
      </w:r>
    </w:p>
    <w:tbl>
      <w:tblPr>
        <w:tblW w:w="8930" w:type="dxa"/>
        <w:jc w:val="center"/>
        <w:tblInd w:w="108" w:type="dxa"/>
        <w:tblLayout w:type="fixed"/>
        <w:tblLook w:val="04A0" w:firstRow="1" w:lastRow="0" w:firstColumn="1" w:lastColumn="0" w:noHBand="0" w:noVBand="1"/>
      </w:tblPr>
      <w:tblGrid>
        <w:gridCol w:w="71"/>
        <w:gridCol w:w="921"/>
        <w:gridCol w:w="5742"/>
        <w:gridCol w:w="2126"/>
        <w:gridCol w:w="70"/>
      </w:tblGrid>
      <w:tr w:rsidR="00360B6B" w:rsidRPr="007029F1" w14:paraId="6C92C1B6" w14:textId="77777777" w:rsidTr="0052424C">
        <w:trPr>
          <w:gridBefore w:val="1"/>
          <w:gridAfter w:val="1"/>
          <w:wBefore w:w="71" w:type="dxa"/>
          <w:wAfter w:w="70" w:type="dxa"/>
          <w:trHeight w:val="255"/>
          <w:jc w:val="center"/>
        </w:trPr>
        <w:tc>
          <w:tcPr>
            <w:tcW w:w="921" w:type="dxa"/>
            <w:tcBorders>
              <w:top w:val="single" w:sz="4" w:space="0" w:color="C8C8C8" w:themeColor="background2"/>
              <w:left w:val="nil"/>
              <w:bottom w:val="single" w:sz="4" w:space="0" w:color="C8C8C8" w:themeColor="background2"/>
              <w:right w:val="nil"/>
            </w:tcBorders>
          </w:tcPr>
          <w:p w14:paraId="16444C32" w14:textId="77777777" w:rsidR="00360B6B" w:rsidRPr="00F021DD" w:rsidRDefault="00360B6B" w:rsidP="0052424C">
            <w:pPr>
              <w:pStyle w:val="TableColumnHeading"/>
              <w:jc w:val="left"/>
            </w:pPr>
          </w:p>
        </w:tc>
        <w:tc>
          <w:tcPr>
            <w:tcW w:w="5742" w:type="dxa"/>
            <w:tcBorders>
              <w:top w:val="single" w:sz="4" w:space="0" w:color="C8C8C8" w:themeColor="background2"/>
              <w:left w:val="nil"/>
              <w:bottom w:val="single" w:sz="4" w:space="0" w:color="C8C8C8" w:themeColor="background2"/>
              <w:right w:val="nil"/>
            </w:tcBorders>
            <w:shd w:val="clear" w:color="auto" w:fill="auto"/>
            <w:noWrap/>
            <w:vAlign w:val="bottom"/>
            <w:hideMark/>
          </w:tcPr>
          <w:p w14:paraId="552BC76B" w14:textId="77777777" w:rsidR="00360B6B" w:rsidRPr="00F021DD" w:rsidRDefault="00360B6B" w:rsidP="0052424C">
            <w:pPr>
              <w:pStyle w:val="TableColumnHeading"/>
              <w:jc w:val="left"/>
            </w:pPr>
            <w:r w:rsidRPr="00F021DD">
              <w:t>Industry</w:t>
            </w:r>
          </w:p>
        </w:tc>
        <w:tc>
          <w:tcPr>
            <w:tcW w:w="2126" w:type="dxa"/>
            <w:tcBorders>
              <w:top w:val="single" w:sz="4" w:space="0" w:color="C8C8C8" w:themeColor="background2"/>
              <w:left w:val="nil"/>
              <w:bottom w:val="single" w:sz="4" w:space="0" w:color="C8C8C8" w:themeColor="background2"/>
              <w:right w:val="nil"/>
            </w:tcBorders>
          </w:tcPr>
          <w:p w14:paraId="0B8E48FD" w14:textId="77777777" w:rsidR="00360B6B" w:rsidRPr="00F021DD" w:rsidRDefault="00360B6B" w:rsidP="00FB41B6">
            <w:pPr>
              <w:pStyle w:val="TableColumnHeading"/>
            </w:pPr>
            <w:proofErr w:type="spellStart"/>
            <w:r w:rsidRPr="00F021DD">
              <w:t>IOIG</w:t>
            </w:r>
            <w:proofErr w:type="spellEnd"/>
            <w:r w:rsidRPr="00F021DD">
              <w:t xml:space="preserve"> number</w:t>
            </w:r>
          </w:p>
        </w:tc>
      </w:tr>
      <w:tr w:rsidR="00360B6B" w:rsidRPr="007029F1" w14:paraId="7A9C33BE"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1E34E772" w14:textId="77777777" w:rsidR="00360B6B" w:rsidRPr="006F1364" w:rsidRDefault="00360B6B" w:rsidP="00FB41B6">
            <w:pPr>
              <w:pStyle w:val="TableBodyText"/>
              <w:spacing w:before="80"/>
              <w:jc w:val="left"/>
            </w:pPr>
            <w:r w:rsidRPr="006F1364">
              <w:t>38</w:t>
            </w:r>
          </w:p>
        </w:tc>
        <w:tc>
          <w:tcPr>
            <w:tcW w:w="5742" w:type="dxa"/>
            <w:tcBorders>
              <w:top w:val="nil"/>
              <w:left w:val="nil"/>
              <w:bottom w:val="nil"/>
              <w:right w:val="nil"/>
            </w:tcBorders>
            <w:shd w:val="clear" w:color="auto" w:fill="auto"/>
            <w:noWrap/>
            <w:vAlign w:val="center"/>
          </w:tcPr>
          <w:p w14:paraId="6E9FCEB6" w14:textId="77777777" w:rsidR="00360B6B" w:rsidRPr="007029F1" w:rsidRDefault="00360B6B" w:rsidP="00FB41B6">
            <w:pPr>
              <w:pStyle w:val="TableBodyText"/>
              <w:spacing w:before="80"/>
              <w:jc w:val="left"/>
            </w:pPr>
            <w:r>
              <w:t>Electricity generation from coal</w:t>
            </w:r>
          </w:p>
        </w:tc>
        <w:tc>
          <w:tcPr>
            <w:tcW w:w="2126" w:type="dxa"/>
            <w:tcBorders>
              <w:top w:val="nil"/>
              <w:left w:val="nil"/>
              <w:bottom w:val="nil"/>
              <w:right w:val="nil"/>
            </w:tcBorders>
          </w:tcPr>
          <w:p w14:paraId="03CA1535" w14:textId="77777777" w:rsidR="00360B6B" w:rsidRDefault="00360B6B" w:rsidP="00FB41B6">
            <w:pPr>
              <w:pStyle w:val="TableBodyText"/>
              <w:spacing w:before="80"/>
            </w:pPr>
            <w:r>
              <w:t>2601 (part)</w:t>
            </w:r>
          </w:p>
        </w:tc>
      </w:tr>
      <w:tr w:rsidR="00360B6B" w:rsidRPr="007029F1" w14:paraId="000D90D0"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557A07A5" w14:textId="77777777" w:rsidR="00360B6B" w:rsidRPr="006F1364" w:rsidRDefault="00360B6B" w:rsidP="0052424C">
            <w:pPr>
              <w:pStyle w:val="TableBodyText"/>
              <w:jc w:val="left"/>
            </w:pPr>
            <w:r w:rsidRPr="006F1364">
              <w:t>39</w:t>
            </w:r>
          </w:p>
        </w:tc>
        <w:tc>
          <w:tcPr>
            <w:tcW w:w="5742" w:type="dxa"/>
            <w:tcBorders>
              <w:top w:val="nil"/>
              <w:left w:val="nil"/>
              <w:bottom w:val="nil"/>
              <w:right w:val="nil"/>
            </w:tcBorders>
            <w:shd w:val="clear" w:color="auto" w:fill="auto"/>
            <w:noWrap/>
            <w:vAlign w:val="center"/>
          </w:tcPr>
          <w:p w14:paraId="458415F0" w14:textId="77777777" w:rsidR="00360B6B" w:rsidRPr="007029F1" w:rsidRDefault="00360B6B" w:rsidP="0052424C">
            <w:pPr>
              <w:pStyle w:val="TableBodyText"/>
              <w:jc w:val="left"/>
            </w:pPr>
            <w:r>
              <w:t>Electricity generation from gas</w:t>
            </w:r>
          </w:p>
        </w:tc>
        <w:tc>
          <w:tcPr>
            <w:tcW w:w="2126" w:type="dxa"/>
            <w:tcBorders>
              <w:top w:val="nil"/>
              <w:left w:val="nil"/>
              <w:bottom w:val="nil"/>
              <w:right w:val="nil"/>
            </w:tcBorders>
          </w:tcPr>
          <w:p w14:paraId="774A7F96" w14:textId="77777777" w:rsidR="00360B6B" w:rsidRDefault="00360B6B" w:rsidP="0052424C">
            <w:pPr>
              <w:pStyle w:val="TableBodyText"/>
            </w:pPr>
            <w:r>
              <w:t>2601 (part)</w:t>
            </w:r>
          </w:p>
        </w:tc>
      </w:tr>
      <w:tr w:rsidR="00360B6B" w:rsidRPr="007029F1" w14:paraId="766B704A"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23791DA8" w14:textId="77777777" w:rsidR="00360B6B" w:rsidRPr="006F1364" w:rsidRDefault="00360B6B" w:rsidP="0052424C">
            <w:pPr>
              <w:pStyle w:val="TableBodyText"/>
              <w:jc w:val="left"/>
            </w:pPr>
            <w:r w:rsidRPr="006F1364">
              <w:t>40</w:t>
            </w:r>
          </w:p>
        </w:tc>
        <w:tc>
          <w:tcPr>
            <w:tcW w:w="5742" w:type="dxa"/>
            <w:tcBorders>
              <w:top w:val="nil"/>
              <w:left w:val="nil"/>
              <w:bottom w:val="nil"/>
              <w:right w:val="nil"/>
            </w:tcBorders>
            <w:shd w:val="clear" w:color="auto" w:fill="auto"/>
            <w:noWrap/>
            <w:vAlign w:val="center"/>
          </w:tcPr>
          <w:p w14:paraId="7873824E" w14:textId="77777777" w:rsidR="00360B6B" w:rsidRPr="007029F1" w:rsidRDefault="00360B6B" w:rsidP="0052424C">
            <w:pPr>
              <w:pStyle w:val="TableBodyText"/>
              <w:jc w:val="left"/>
            </w:pPr>
            <w:r>
              <w:t>Electricity generation from Hydro</w:t>
            </w:r>
          </w:p>
        </w:tc>
        <w:tc>
          <w:tcPr>
            <w:tcW w:w="2126" w:type="dxa"/>
            <w:tcBorders>
              <w:top w:val="nil"/>
              <w:left w:val="nil"/>
              <w:bottom w:val="nil"/>
              <w:right w:val="nil"/>
            </w:tcBorders>
          </w:tcPr>
          <w:p w14:paraId="025AF4BC" w14:textId="77777777" w:rsidR="00360B6B" w:rsidRDefault="00360B6B" w:rsidP="0052424C">
            <w:pPr>
              <w:pStyle w:val="TableBodyText"/>
            </w:pPr>
            <w:r>
              <w:t>2601 (part)</w:t>
            </w:r>
          </w:p>
        </w:tc>
      </w:tr>
      <w:tr w:rsidR="00360B6B" w:rsidRPr="007029F1" w14:paraId="10AF63F4"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12BFB63B" w14:textId="77777777" w:rsidR="00360B6B" w:rsidRPr="00C3006F" w:rsidRDefault="00360B6B" w:rsidP="0052424C">
            <w:pPr>
              <w:pStyle w:val="TableBodyText"/>
              <w:jc w:val="left"/>
            </w:pPr>
            <w:r w:rsidRPr="006F1364">
              <w:t>41</w:t>
            </w:r>
          </w:p>
        </w:tc>
        <w:tc>
          <w:tcPr>
            <w:tcW w:w="5742" w:type="dxa"/>
            <w:tcBorders>
              <w:top w:val="nil"/>
              <w:left w:val="nil"/>
              <w:bottom w:val="nil"/>
              <w:right w:val="nil"/>
            </w:tcBorders>
            <w:shd w:val="clear" w:color="auto" w:fill="auto"/>
            <w:noWrap/>
            <w:vAlign w:val="center"/>
          </w:tcPr>
          <w:p w14:paraId="5FBEBCB0" w14:textId="77777777" w:rsidR="00360B6B" w:rsidRPr="00C3006F" w:rsidRDefault="00360B6B" w:rsidP="0052424C">
            <w:pPr>
              <w:pStyle w:val="TableBodyText"/>
              <w:jc w:val="left"/>
            </w:pPr>
            <w:r w:rsidRPr="00C3006F">
              <w:t>Electricity generation from non-hydro renewables</w:t>
            </w:r>
          </w:p>
        </w:tc>
        <w:tc>
          <w:tcPr>
            <w:tcW w:w="2126" w:type="dxa"/>
            <w:tcBorders>
              <w:top w:val="nil"/>
              <w:left w:val="nil"/>
              <w:bottom w:val="nil"/>
              <w:right w:val="nil"/>
            </w:tcBorders>
          </w:tcPr>
          <w:p w14:paraId="3359A22D" w14:textId="77777777" w:rsidR="00360B6B" w:rsidRPr="00C3006F" w:rsidRDefault="00360B6B" w:rsidP="0052424C">
            <w:pPr>
              <w:pStyle w:val="TableBodyText"/>
            </w:pPr>
            <w:r w:rsidRPr="00C3006F">
              <w:t>2601 (part)</w:t>
            </w:r>
          </w:p>
        </w:tc>
      </w:tr>
      <w:tr w:rsidR="00360B6B" w:rsidRPr="007029F1" w14:paraId="4921FFC7"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339A45AF" w14:textId="77777777" w:rsidR="00360B6B" w:rsidRPr="006F1364" w:rsidRDefault="00360B6B" w:rsidP="0052424C">
            <w:pPr>
              <w:pStyle w:val="TableBodyText"/>
              <w:jc w:val="left"/>
            </w:pPr>
            <w:r w:rsidRPr="006F1364">
              <w:t>42</w:t>
            </w:r>
          </w:p>
        </w:tc>
        <w:tc>
          <w:tcPr>
            <w:tcW w:w="5742" w:type="dxa"/>
            <w:tcBorders>
              <w:top w:val="nil"/>
              <w:left w:val="nil"/>
              <w:bottom w:val="nil"/>
              <w:right w:val="nil"/>
            </w:tcBorders>
            <w:shd w:val="clear" w:color="auto" w:fill="auto"/>
            <w:noWrap/>
            <w:vAlign w:val="center"/>
          </w:tcPr>
          <w:p w14:paraId="40700D56" w14:textId="77777777" w:rsidR="00360B6B" w:rsidRPr="007029F1" w:rsidRDefault="00360B6B" w:rsidP="0052424C">
            <w:pPr>
              <w:pStyle w:val="TableBodyText"/>
              <w:jc w:val="left"/>
            </w:pPr>
            <w:r>
              <w:t>Electricity generation from nuclear</w:t>
            </w:r>
          </w:p>
        </w:tc>
        <w:tc>
          <w:tcPr>
            <w:tcW w:w="2126" w:type="dxa"/>
            <w:tcBorders>
              <w:top w:val="nil"/>
              <w:left w:val="nil"/>
              <w:bottom w:val="nil"/>
              <w:right w:val="nil"/>
            </w:tcBorders>
          </w:tcPr>
          <w:p w14:paraId="25BC7004" w14:textId="77777777" w:rsidR="00360B6B" w:rsidRDefault="00360B6B" w:rsidP="0052424C">
            <w:pPr>
              <w:pStyle w:val="TableBodyText"/>
            </w:pPr>
            <w:r>
              <w:t>2601 (part)</w:t>
            </w:r>
          </w:p>
        </w:tc>
      </w:tr>
      <w:tr w:rsidR="00360B6B" w:rsidRPr="007029F1" w14:paraId="62778706"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385E4338" w14:textId="77777777" w:rsidR="00360B6B" w:rsidRPr="006F1364" w:rsidRDefault="00360B6B" w:rsidP="0052424C">
            <w:pPr>
              <w:pStyle w:val="TableBodyText"/>
              <w:jc w:val="left"/>
            </w:pPr>
            <w:r w:rsidRPr="006F1364">
              <w:t>43</w:t>
            </w:r>
          </w:p>
        </w:tc>
        <w:tc>
          <w:tcPr>
            <w:tcW w:w="5742" w:type="dxa"/>
            <w:tcBorders>
              <w:top w:val="nil"/>
              <w:left w:val="nil"/>
              <w:bottom w:val="nil"/>
              <w:right w:val="nil"/>
            </w:tcBorders>
            <w:shd w:val="clear" w:color="auto" w:fill="auto"/>
            <w:noWrap/>
            <w:vAlign w:val="center"/>
          </w:tcPr>
          <w:p w14:paraId="13459197" w14:textId="77777777" w:rsidR="00360B6B" w:rsidRPr="007029F1" w:rsidRDefault="00360B6B" w:rsidP="0052424C">
            <w:pPr>
              <w:pStyle w:val="TableBodyText"/>
              <w:jc w:val="left"/>
            </w:pPr>
            <w:r>
              <w:t>Electricity supply (retail and wholesale)</w:t>
            </w:r>
          </w:p>
        </w:tc>
        <w:tc>
          <w:tcPr>
            <w:tcW w:w="2126" w:type="dxa"/>
            <w:tcBorders>
              <w:top w:val="nil"/>
              <w:left w:val="nil"/>
              <w:bottom w:val="nil"/>
              <w:right w:val="nil"/>
            </w:tcBorders>
          </w:tcPr>
          <w:p w14:paraId="6EEF03F3" w14:textId="77777777" w:rsidR="00360B6B" w:rsidRDefault="00360B6B" w:rsidP="0052424C">
            <w:pPr>
              <w:pStyle w:val="TableBodyText"/>
            </w:pPr>
            <w:r>
              <w:t>2605</w:t>
            </w:r>
          </w:p>
        </w:tc>
      </w:tr>
      <w:tr w:rsidR="00360B6B" w:rsidRPr="007029F1" w14:paraId="7BA8129F"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1E83D3DD" w14:textId="77777777" w:rsidR="00360B6B" w:rsidRPr="006F1364" w:rsidRDefault="00360B6B" w:rsidP="0052424C">
            <w:pPr>
              <w:pStyle w:val="TableBodyText"/>
              <w:jc w:val="left"/>
            </w:pPr>
            <w:r w:rsidRPr="006F1364">
              <w:t>44</w:t>
            </w:r>
          </w:p>
        </w:tc>
        <w:tc>
          <w:tcPr>
            <w:tcW w:w="5742" w:type="dxa"/>
            <w:tcBorders>
              <w:top w:val="nil"/>
              <w:left w:val="nil"/>
              <w:bottom w:val="nil"/>
              <w:right w:val="nil"/>
            </w:tcBorders>
            <w:shd w:val="clear" w:color="auto" w:fill="auto"/>
            <w:noWrap/>
            <w:vAlign w:val="center"/>
          </w:tcPr>
          <w:p w14:paraId="4263813A" w14:textId="77777777" w:rsidR="00360B6B" w:rsidRPr="007029F1" w:rsidRDefault="00360B6B" w:rsidP="0052424C">
            <w:pPr>
              <w:pStyle w:val="TableBodyText"/>
              <w:jc w:val="left"/>
            </w:pPr>
            <w:r>
              <w:t>Gas supply</w:t>
            </w:r>
          </w:p>
        </w:tc>
        <w:tc>
          <w:tcPr>
            <w:tcW w:w="2126" w:type="dxa"/>
            <w:tcBorders>
              <w:top w:val="nil"/>
              <w:left w:val="nil"/>
              <w:bottom w:val="nil"/>
              <w:right w:val="nil"/>
            </w:tcBorders>
          </w:tcPr>
          <w:p w14:paraId="7E6173E5" w14:textId="77777777" w:rsidR="00360B6B" w:rsidRDefault="00360B6B" w:rsidP="0052424C">
            <w:pPr>
              <w:pStyle w:val="TableBodyText"/>
            </w:pPr>
            <w:r>
              <w:t>2701</w:t>
            </w:r>
          </w:p>
        </w:tc>
      </w:tr>
      <w:tr w:rsidR="00360B6B" w:rsidRPr="007029F1" w14:paraId="5D695E81"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79DF5651" w14:textId="77777777" w:rsidR="00360B6B" w:rsidRPr="006F1364" w:rsidRDefault="00360B6B" w:rsidP="0052424C">
            <w:pPr>
              <w:pStyle w:val="TableBodyText"/>
              <w:jc w:val="left"/>
            </w:pPr>
            <w:r w:rsidRPr="006F1364">
              <w:t>45</w:t>
            </w:r>
          </w:p>
        </w:tc>
        <w:tc>
          <w:tcPr>
            <w:tcW w:w="5742" w:type="dxa"/>
            <w:tcBorders>
              <w:top w:val="nil"/>
              <w:left w:val="nil"/>
              <w:bottom w:val="nil"/>
              <w:right w:val="nil"/>
            </w:tcBorders>
            <w:shd w:val="clear" w:color="auto" w:fill="auto"/>
            <w:noWrap/>
            <w:vAlign w:val="center"/>
          </w:tcPr>
          <w:p w14:paraId="07FF6BAC" w14:textId="77777777" w:rsidR="00360B6B" w:rsidRPr="007029F1" w:rsidRDefault="00360B6B" w:rsidP="0052424C">
            <w:pPr>
              <w:pStyle w:val="TableBodyText"/>
              <w:jc w:val="left"/>
            </w:pPr>
            <w:r>
              <w:t>Water and drainage services</w:t>
            </w:r>
          </w:p>
        </w:tc>
        <w:tc>
          <w:tcPr>
            <w:tcW w:w="2126" w:type="dxa"/>
            <w:tcBorders>
              <w:top w:val="nil"/>
              <w:left w:val="nil"/>
              <w:bottom w:val="nil"/>
              <w:right w:val="nil"/>
            </w:tcBorders>
          </w:tcPr>
          <w:p w14:paraId="6CD25DE7" w14:textId="77777777" w:rsidR="00360B6B" w:rsidRDefault="00360B6B" w:rsidP="0052424C">
            <w:pPr>
              <w:pStyle w:val="TableBodyText"/>
            </w:pPr>
            <w:r>
              <w:t>2801</w:t>
            </w:r>
          </w:p>
        </w:tc>
      </w:tr>
      <w:tr w:rsidR="00360B6B" w:rsidRPr="007029F1" w14:paraId="2CFE3893"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2E5B50CF" w14:textId="77777777" w:rsidR="00360B6B" w:rsidRPr="006F1364" w:rsidRDefault="00360B6B" w:rsidP="0052424C">
            <w:pPr>
              <w:pStyle w:val="TableBodyText"/>
              <w:jc w:val="left"/>
            </w:pPr>
            <w:r w:rsidRPr="006F1364">
              <w:t>46</w:t>
            </w:r>
          </w:p>
        </w:tc>
        <w:tc>
          <w:tcPr>
            <w:tcW w:w="5742" w:type="dxa"/>
            <w:tcBorders>
              <w:top w:val="nil"/>
              <w:left w:val="nil"/>
              <w:bottom w:val="nil"/>
              <w:right w:val="nil"/>
            </w:tcBorders>
            <w:shd w:val="clear" w:color="auto" w:fill="auto"/>
            <w:noWrap/>
            <w:vAlign w:val="center"/>
          </w:tcPr>
          <w:p w14:paraId="0037D5CB" w14:textId="77777777" w:rsidR="00360B6B" w:rsidRPr="007029F1" w:rsidRDefault="00360B6B" w:rsidP="0052424C">
            <w:pPr>
              <w:pStyle w:val="TableBodyText"/>
              <w:jc w:val="left"/>
            </w:pPr>
            <w:r>
              <w:t>Waste collection and treatment</w:t>
            </w:r>
          </w:p>
        </w:tc>
        <w:tc>
          <w:tcPr>
            <w:tcW w:w="2126" w:type="dxa"/>
            <w:tcBorders>
              <w:top w:val="nil"/>
              <w:left w:val="nil"/>
              <w:bottom w:val="nil"/>
              <w:right w:val="nil"/>
            </w:tcBorders>
          </w:tcPr>
          <w:p w14:paraId="79116FE2" w14:textId="77777777" w:rsidR="00360B6B" w:rsidRDefault="00360B6B" w:rsidP="0052424C">
            <w:pPr>
              <w:pStyle w:val="TableBodyText"/>
            </w:pPr>
            <w:r>
              <w:t>2901</w:t>
            </w:r>
          </w:p>
        </w:tc>
      </w:tr>
      <w:tr w:rsidR="00360B6B" w:rsidRPr="007029F1" w14:paraId="3E9EB32D"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2FCD30DA" w14:textId="77777777" w:rsidR="00360B6B" w:rsidRPr="006F1364" w:rsidRDefault="00360B6B" w:rsidP="0052424C">
            <w:pPr>
              <w:pStyle w:val="TableBodyText"/>
              <w:jc w:val="left"/>
            </w:pPr>
            <w:r w:rsidRPr="006F1364">
              <w:t>47</w:t>
            </w:r>
          </w:p>
        </w:tc>
        <w:tc>
          <w:tcPr>
            <w:tcW w:w="5742" w:type="dxa"/>
            <w:tcBorders>
              <w:top w:val="nil"/>
              <w:left w:val="nil"/>
              <w:bottom w:val="nil"/>
              <w:right w:val="nil"/>
            </w:tcBorders>
            <w:shd w:val="clear" w:color="auto" w:fill="auto"/>
            <w:noWrap/>
            <w:vAlign w:val="center"/>
          </w:tcPr>
          <w:p w14:paraId="6DD7DFAD" w14:textId="77777777" w:rsidR="00360B6B" w:rsidRPr="007029F1" w:rsidRDefault="00360B6B" w:rsidP="0052424C">
            <w:pPr>
              <w:pStyle w:val="TableBodyText"/>
              <w:jc w:val="left"/>
            </w:pPr>
            <w:r>
              <w:t>Residential building construction</w:t>
            </w:r>
          </w:p>
        </w:tc>
        <w:tc>
          <w:tcPr>
            <w:tcW w:w="2126" w:type="dxa"/>
            <w:tcBorders>
              <w:top w:val="nil"/>
              <w:left w:val="nil"/>
              <w:bottom w:val="nil"/>
              <w:right w:val="nil"/>
            </w:tcBorders>
          </w:tcPr>
          <w:p w14:paraId="0DACF0CD" w14:textId="77777777" w:rsidR="00360B6B" w:rsidRDefault="00360B6B" w:rsidP="0052424C">
            <w:pPr>
              <w:pStyle w:val="TableBodyText"/>
            </w:pPr>
            <w:r>
              <w:t>3001</w:t>
            </w:r>
          </w:p>
        </w:tc>
      </w:tr>
      <w:tr w:rsidR="00360B6B" w:rsidRPr="007029F1" w14:paraId="57353179"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694CA2DB" w14:textId="77777777" w:rsidR="00360B6B" w:rsidRPr="006F1364" w:rsidRDefault="00360B6B" w:rsidP="0052424C">
            <w:pPr>
              <w:pStyle w:val="TableBodyText"/>
              <w:jc w:val="left"/>
            </w:pPr>
            <w:r w:rsidRPr="006F1364">
              <w:t>48</w:t>
            </w:r>
          </w:p>
        </w:tc>
        <w:tc>
          <w:tcPr>
            <w:tcW w:w="5742" w:type="dxa"/>
            <w:tcBorders>
              <w:top w:val="nil"/>
              <w:left w:val="nil"/>
              <w:bottom w:val="nil"/>
              <w:right w:val="nil"/>
            </w:tcBorders>
            <w:shd w:val="clear" w:color="auto" w:fill="auto"/>
            <w:noWrap/>
            <w:vAlign w:val="center"/>
          </w:tcPr>
          <w:p w14:paraId="3C109FC6" w14:textId="77777777" w:rsidR="00360B6B" w:rsidRPr="007029F1" w:rsidRDefault="00360B6B" w:rsidP="0052424C">
            <w:pPr>
              <w:pStyle w:val="TableBodyText"/>
              <w:jc w:val="left"/>
            </w:pPr>
            <w:r>
              <w:t>Non-residential building construction</w:t>
            </w:r>
          </w:p>
        </w:tc>
        <w:tc>
          <w:tcPr>
            <w:tcW w:w="2126" w:type="dxa"/>
            <w:tcBorders>
              <w:top w:val="nil"/>
              <w:left w:val="nil"/>
              <w:bottom w:val="nil"/>
              <w:right w:val="nil"/>
            </w:tcBorders>
          </w:tcPr>
          <w:p w14:paraId="64CE3E34" w14:textId="77777777" w:rsidR="00360B6B" w:rsidRDefault="00360B6B" w:rsidP="0052424C">
            <w:pPr>
              <w:pStyle w:val="TableBodyText"/>
            </w:pPr>
            <w:r>
              <w:t>3002, 3101</w:t>
            </w:r>
          </w:p>
        </w:tc>
      </w:tr>
      <w:tr w:rsidR="00360B6B" w:rsidRPr="007029F1" w14:paraId="48592593"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2EB7CDF8" w14:textId="77777777" w:rsidR="00360B6B" w:rsidRPr="006F1364" w:rsidRDefault="00360B6B" w:rsidP="0052424C">
            <w:pPr>
              <w:pStyle w:val="TableBodyText"/>
              <w:jc w:val="left"/>
            </w:pPr>
            <w:r w:rsidRPr="006F1364">
              <w:t>49</w:t>
            </w:r>
          </w:p>
        </w:tc>
        <w:tc>
          <w:tcPr>
            <w:tcW w:w="5742" w:type="dxa"/>
            <w:tcBorders>
              <w:top w:val="nil"/>
              <w:left w:val="nil"/>
              <w:bottom w:val="nil"/>
              <w:right w:val="nil"/>
            </w:tcBorders>
            <w:shd w:val="clear" w:color="auto" w:fill="auto"/>
            <w:noWrap/>
            <w:vAlign w:val="center"/>
          </w:tcPr>
          <w:p w14:paraId="5C6562DB" w14:textId="77777777" w:rsidR="00360B6B" w:rsidRPr="007029F1" w:rsidRDefault="00360B6B" w:rsidP="0052424C">
            <w:pPr>
              <w:pStyle w:val="TableBodyText"/>
              <w:jc w:val="left"/>
            </w:pPr>
            <w:r>
              <w:t>Construction services</w:t>
            </w:r>
          </w:p>
        </w:tc>
        <w:tc>
          <w:tcPr>
            <w:tcW w:w="2126" w:type="dxa"/>
            <w:tcBorders>
              <w:top w:val="nil"/>
              <w:left w:val="nil"/>
              <w:bottom w:val="nil"/>
              <w:right w:val="nil"/>
            </w:tcBorders>
          </w:tcPr>
          <w:p w14:paraId="388E5B81" w14:textId="77777777" w:rsidR="00360B6B" w:rsidRDefault="00360B6B" w:rsidP="0052424C">
            <w:pPr>
              <w:pStyle w:val="TableBodyText"/>
            </w:pPr>
            <w:r>
              <w:t>3201</w:t>
            </w:r>
          </w:p>
        </w:tc>
      </w:tr>
      <w:tr w:rsidR="00360B6B" w:rsidRPr="007029F1" w14:paraId="333435D6"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1F035DB5" w14:textId="77777777" w:rsidR="00360B6B" w:rsidRPr="006F1364" w:rsidRDefault="00360B6B" w:rsidP="0052424C">
            <w:pPr>
              <w:pStyle w:val="TableBodyText"/>
              <w:jc w:val="left"/>
            </w:pPr>
            <w:r w:rsidRPr="006F1364">
              <w:t>50</w:t>
            </w:r>
          </w:p>
        </w:tc>
        <w:tc>
          <w:tcPr>
            <w:tcW w:w="5742" w:type="dxa"/>
            <w:tcBorders>
              <w:top w:val="nil"/>
              <w:left w:val="nil"/>
              <w:bottom w:val="nil"/>
              <w:right w:val="nil"/>
            </w:tcBorders>
            <w:shd w:val="clear" w:color="auto" w:fill="auto"/>
            <w:noWrap/>
            <w:vAlign w:val="center"/>
          </w:tcPr>
          <w:p w14:paraId="5F2EB268" w14:textId="77777777" w:rsidR="00360B6B" w:rsidRPr="007029F1" w:rsidRDefault="00360B6B" w:rsidP="0052424C">
            <w:pPr>
              <w:pStyle w:val="TableBodyText"/>
              <w:jc w:val="left"/>
            </w:pPr>
            <w:r>
              <w:t>Wholesale trade</w:t>
            </w:r>
          </w:p>
        </w:tc>
        <w:tc>
          <w:tcPr>
            <w:tcW w:w="2126" w:type="dxa"/>
            <w:tcBorders>
              <w:top w:val="nil"/>
              <w:left w:val="nil"/>
              <w:bottom w:val="nil"/>
              <w:right w:val="nil"/>
            </w:tcBorders>
          </w:tcPr>
          <w:p w14:paraId="1D7F2ED4" w14:textId="77777777" w:rsidR="00360B6B" w:rsidRDefault="00360B6B" w:rsidP="0052424C">
            <w:pPr>
              <w:pStyle w:val="TableBodyText"/>
            </w:pPr>
            <w:r>
              <w:t>3301</w:t>
            </w:r>
          </w:p>
        </w:tc>
      </w:tr>
      <w:tr w:rsidR="00360B6B" w:rsidRPr="007029F1" w14:paraId="54F847AC"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75021CC5" w14:textId="77777777" w:rsidR="00360B6B" w:rsidRPr="006F1364" w:rsidRDefault="00360B6B" w:rsidP="0052424C">
            <w:pPr>
              <w:pStyle w:val="TableBodyText"/>
              <w:jc w:val="left"/>
            </w:pPr>
            <w:r w:rsidRPr="006F1364">
              <w:t>51</w:t>
            </w:r>
          </w:p>
        </w:tc>
        <w:tc>
          <w:tcPr>
            <w:tcW w:w="5742" w:type="dxa"/>
            <w:tcBorders>
              <w:top w:val="nil"/>
              <w:left w:val="nil"/>
              <w:bottom w:val="nil"/>
              <w:right w:val="nil"/>
            </w:tcBorders>
            <w:shd w:val="clear" w:color="auto" w:fill="auto"/>
            <w:noWrap/>
            <w:vAlign w:val="center"/>
          </w:tcPr>
          <w:p w14:paraId="6D169D16" w14:textId="77777777" w:rsidR="00360B6B" w:rsidRPr="007029F1" w:rsidRDefault="00360B6B" w:rsidP="0052424C">
            <w:pPr>
              <w:pStyle w:val="TableBodyText"/>
              <w:jc w:val="left"/>
            </w:pPr>
            <w:r>
              <w:t>Retail trade</w:t>
            </w:r>
          </w:p>
        </w:tc>
        <w:tc>
          <w:tcPr>
            <w:tcW w:w="2126" w:type="dxa"/>
            <w:tcBorders>
              <w:top w:val="nil"/>
              <w:left w:val="nil"/>
              <w:bottom w:val="nil"/>
              <w:right w:val="nil"/>
            </w:tcBorders>
          </w:tcPr>
          <w:p w14:paraId="17954803" w14:textId="77777777" w:rsidR="00360B6B" w:rsidRDefault="00360B6B" w:rsidP="0052424C">
            <w:pPr>
              <w:pStyle w:val="TableBodyText"/>
            </w:pPr>
            <w:r>
              <w:t>3901</w:t>
            </w:r>
          </w:p>
        </w:tc>
      </w:tr>
      <w:tr w:rsidR="00360B6B" w:rsidRPr="007029F1" w14:paraId="377B6421"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53E26E3F" w14:textId="77777777" w:rsidR="00360B6B" w:rsidRPr="006F1364" w:rsidRDefault="00360B6B" w:rsidP="0052424C">
            <w:pPr>
              <w:pStyle w:val="TableBodyText"/>
              <w:jc w:val="left"/>
            </w:pPr>
            <w:r w:rsidRPr="006F1364">
              <w:t>52</w:t>
            </w:r>
          </w:p>
        </w:tc>
        <w:tc>
          <w:tcPr>
            <w:tcW w:w="5742" w:type="dxa"/>
            <w:tcBorders>
              <w:top w:val="nil"/>
              <w:left w:val="nil"/>
              <w:bottom w:val="nil"/>
              <w:right w:val="nil"/>
            </w:tcBorders>
            <w:shd w:val="clear" w:color="auto" w:fill="auto"/>
            <w:noWrap/>
            <w:vAlign w:val="center"/>
          </w:tcPr>
          <w:p w14:paraId="30AC3BC8" w14:textId="77777777" w:rsidR="00360B6B" w:rsidRPr="007029F1" w:rsidRDefault="00360B6B" w:rsidP="0052424C">
            <w:pPr>
              <w:pStyle w:val="TableBodyText"/>
              <w:jc w:val="left"/>
            </w:pPr>
            <w:r>
              <w:t>Accommodation and food services</w:t>
            </w:r>
          </w:p>
        </w:tc>
        <w:tc>
          <w:tcPr>
            <w:tcW w:w="2126" w:type="dxa"/>
            <w:tcBorders>
              <w:top w:val="nil"/>
              <w:left w:val="nil"/>
              <w:bottom w:val="nil"/>
              <w:right w:val="nil"/>
            </w:tcBorders>
          </w:tcPr>
          <w:p w14:paraId="5A7E39C7" w14:textId="77777777" w:rsidR="00360B6B" w:rsidRDefault="00360B6B" w:rsidP="0052424C">
            <w:pPr>
              <w:pStyle w:val="TableBodyText"/>
            </w:pPr>
            <w:r>
              <w:t>4401, 4501</w:t>
            </w:r>
          </w:p>
        </w:tc>
      </w:tr>
      <w:tr w:rsidR="00360B6B" w:rsidRPr="007029F1" w14:paraId="7E84F036"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13BD21DA" w14:textId="77777777" w:rsidR="00360B6B" w:rsidRPr="006F1364" w:rsidRDefault="00360B6B" w:rsidP="0052424C">
            <w:pPr>
              <w:pStyle w:val="TableBodyText"/>
              <w:jc w:val="left"/>
            </w:pPr>
            <w:r w:rsidRPr="006F1364">
              <w:t>53</w:t>
            </w:r>
          </w:p>
        </w:tc>
        <w:tc>
          <w:tcPr>
            <w:tcW w:w="5742" w:type="dxa"/>
            <w:tcBorders>
              <w:top w:val="nil"/>
              <w:left w:val="nil"/>
              <w:bottom w:val="nil"/>
              <w:right w:val="nil"/>
            </w:tcBorders>
            <w:shd w:val="clear" w:color="auto" w:fill="auto"/>
            <w:noWrap/>
            <w:vAlign w:val="center"/>
          </w:tcPr>
          <w:p w14:paraId="59C87632" w14:textId="77777777" w:rsidR="00360B6B" w:rsidRPr="007029F1" w:rsidRDefault="00360B6B" w:rsidP="0052424C">
            <w:pPr>
              <w:pStyle w:val="TableBodyText"/>
              <w:jc w:val="left"/>
            </w:pPr>
            <w:r>
              <w:t>Road freight services</w:t>
            </w:r>
          </w:p>
        </w:tc>
        <w:tc>
          <w:tcPr>
            <w:tcW w:w="2126" w:type="dxa"/>
            <w:tcBorders>
              <w:top w:val="nil"/>
              <w:left w:val="nil"/>
              <w:bottom w:val="nil"/>
              <w:right w:val="nil"/>
            </w:tcBorders>
          </w:tcPr>
          <w:p w14:paraId="7A6B395F" w14:textId="77777777" w:rsidR="00360B6B" w:rsidRDefault="00360B6B" w:rsidP="0052424C">
            <w:pPr>
              <w:pStyle w:val="TableBodyText"/>
            </w:pPr>
            <w:r>
              <w:t>4601 (part)</w:t>
            </w:r>
          </w:p>
        </w:tc>
      </w:tr>
      <w:tr w:rsidR="00360B6B" w:rsidRPr="007029F1" w14:paraId="0F802CD1"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4D004DD0" w14:textId="77777777" w:rsidR="00360B6B" w:rsidRPr="006F1364" w:rsidRDefault="00360B6B" w:rsidP="0052424C">
            <w:pPr>
              <w:pStyle w:val="TableBodyText"/>
              <w:jc w:val="left"/>
            </w:pPr>
            <w:r w:rsidRPr="006F1364">
              <w:t>54</w:t>
            </w:r>
          </w:p>
        </w:tc>
        <w:tc>
          <w:tcPr>
            <w:tcW w:w="5742" w:type="dxa"/>
            <w:tcBorders>
              <w:top w:val="nil"/>
              <w:left w:val="nil"/>
              <w:bottom w:val="nil"/>
              <w:right w:val="nil"/>
            </w:tcBorders>
            <w:shd w:val="clear" w:color="auto" w:fill="auto"/>
            <w:noWrap/>
            <w:vAlign w:val="center"/>
          </w:tcPr>
          <w:p w14:paraId="1FB60AB1" w14:textId="77777777" w:rsidR="00360B6B" w:rsidRPr="007029F1" w:rsidRDefault="00360B6B" w:rsidP="0052424C">
            <w:pPr>
              <w:pStyle w:val="TableBodyText"/>
              <w:jc w:val="left"/>
            </w:pPr>
            <w:r>
              <w:t>Road passenger services</w:t>
            </w:r>
          </w:p>
        </w:tc>
        <w:tc>
          <w:tcPr>
            <w:tcW w:w="2126" w:type="dxa"/>
            <w:tcBorders>
              <w:top w:val="nil"/>
              <w:left w:val="nil"/>
              <w:bottom w:val="nil"/>
              <w:right w:val="nil"/>
            </w:tcBorders>
          </w:tcPr>
          <w:p w14:paraId="25C4F1E2" w14:textId="77777777" w:rsidR="00360B6B" w:rsidRDefault="00360B6B" w:rsidP="0052424C">
            <w:pPr>
              <w:pStyle w:val="TableBodyText"/>
            </w:pPr>
            <w:r>
              <w:t>4601 (part)</w:t>
            </w:r>
          </w:p>
        </w:tc>
      </w:tr>
      <w:tr w:rsidR="00360B6B" w:rsidRPr="007029F1" w14:paraId="3C1AA9A3"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43440CDE" w14:textId="77777777" w:rsidR="00360B6B" w:rsidRPr="006F1364" w:rsidRDefault="00360B6B" w:rsidP="0052424C">
            <w:pPr>
              <w:pStyle w:val="TableBodyText"/>
              <w:jc w:val="left"/>
            </w:pPr>
            <w:r w:rsidRPr="006F1364">
              <w:t>55</w:t>
            </w:r>
          </w:p>
        </w:tc>
        <w:tc>
          <w:tcPr>
            <w:tcW w:w="5742" w:type="dxa"/>
            <w:tcBorders>
              <w:top w:val="nil"/>
              <w:left w:val="nil"/>
              <w:bottom w:val="nil"/>
              <w:right w:val="nil"/>
            </w:tcBorders>
            <w:shd w:val="clear" w:color="auto" w:fill="auto"/>
            <w:noWrap/>
            <w:vAlign w:val="center"/>
          </w:tcPr>
          <w:p w14:paraId="24AE6A4E" w14:textId="77777777" w:rsidR="00360B6B" w:rsidRPr="007029F1" w:rsidRDefault="00360B6B" w:rsidP="0052424C">
            <w:pPr>
              <w:pStyle w:val="TableBodyText"/>
              <w:jc w:val="left"/>
            </w:pPr>
            <w:r>
              <w:t>Rail freight services</w:t>
            </w:r>
          </w:p>
        </w:tc>
        <w:tc>
          <w:tcPr>
            <w:tcW w:w="2126" w:type="dxa"/>
            <w:tcBorders>
              <w:top w:val="nil"/>
              <w:left w:val="nil"/>
              <w:bottom w:val="nil"/>
              <w:right w:val="nil"/>
            </w:tcBorders>
          </w:tcPr>
          <w:p w14:paraId="5230FB04" w14:textId="77777777" w:rsidR="00360B6B" w:rsidRDefault="00360B6B" w:rsidP="0052424C">
            <w:pPr>
              <w:pStyle w:val="TableBodyText"/>
            </w:pPr>
            <w:r>
              <w:t>4602 (part)</w:t>
            </w:r>
          </w:p>
        </w:tc>
      </w:tr>
      <w:tr w:rsidR="00360B6B" w:rsidRPr="007029F1" w14:paraId="69D16D16"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65EA9C3E" w14:textId="77777777" w:rsidR="00360B6B" w:rsidRPr="006F1364" w:rsidRDefault="00360B6B" w:rsidP="0052424C">
            <w:pPr>
              <w:pStyle w:val="TableBodyText"/>
              <w:jc w:val="left"/>
            </w:pPr>
            <w:r w:rsidRPr="006F1364">
              <w:t>56</w:t>
            </w:r>
          </w:p>
        </w:tc>
        <w:tc>
          <w:tcPr>
            <w:tcW w:w="5742" w:type="dxa"/>
            <w:tcBorders>
              <w:top w:val="nil"/>
              <w:left w:val="nil"/>
              <w:bottom w:val="nil"/>
              <w:right w:val="nil"/>
            </w:tcBorders>
            <w:shd w:val="clear" w:color="auto" w:fill="auto"/>
            <w:noWrap/>
            <w:vAlign w:val="center"/>
          </w:tcPr>
          <w:p w14:paraId="7478E20B" w14:textId="77777777" w:rsidR="00360B6B" w:rsidRPr="007029F1" w:rsidRDefault="00360B6B" w:rsidP="0052424C">
            <w:pPr>
              <w:pStyle w:val="TableBodyText"/>
              <w:jc w:val="left"/>
            </w:pPr>
            <w:r>
              <w:t>Rail passenger services</w:t>
            </w:r>
          </w:p>
        </w:tc>
        <w:tc>
          <w:tcPr>
            <w:tcW w:w="2126" w:type="dxa"/>
            <w:tcBorders>
              <w:top w:val="nil"/>
              <w:left w:val="nil"/>
              <w:bottom w:val="nil"/>
              <w:right w:val="nil"/>
            </w:tcBorders>
          </w:tcPr>
          <w:p w14:paraId="5C84B2EF" w14:textId="77777777" w:rsidR="00360B6B" w:rsidRDefault="00360B6B" w:rsidP="0052424C">
            <w:pPr>
              <w:pStyle w:val="TableBodyText"/>
            </w:pPr>
            <w:r>
              <w:t>4602 (part)</w:t>
            </w:r>
          </w:p>
        </w:tc>
      </w:tr>
      <w:tr w:rsidR="00360B6B" w:rsidRPr="007029F1" w14:paraId="085D15C8"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2252E546" w14:textId="77777777" w:rsidR="00360B6B" w:rsidRPr="006F1364" w:rsidRDefault="00360B6B" w:rsidP="0052424C">
            <w:pPr>
              <w:pStyle w:val="TableBodyText"/>
              <w:jc w:val="left"/>
            </w:pPr>
            <w:r w:rsidRPr="006F1364">
              <w:t>57</w:t>
            </w:r>
          </w:p>
        </w:tc>
        <w:tc>
          <w:tcPr>
            <w:tcW w:w="5742" w:type="dxa"/>
            <w:tcBorders>
              <w:top w:val="nil"/>
              <w:left w:val="nil"/>
              <w:bottom w:val="nil"/>
              <w:right w:val="nil"/>
            </w:tcBorders>
            <w:shd w:val="clear" w:color="auto" w:fill="auto"/>
            <w:noWrap/>
            <w:vAlign w:val="center"/>
          </w:tcPr>
          <w:p w14:paraId="613260B4" w14:textId="77777777" w:rsidR="00360B6B" w:rsidRPr="007029F1" w:rsidRDefault="00360B6B" w:rsidP="0052424C">
            <w:pPr>
              <w:pStyle w:val="TableBodyText"/>
              <w:jc w:val="left"/>
            </w:pPr>
            <w:r>
              <w:t>Pipeline services</w:t>
            </w:r>
          </w:p>
        </w:tc>
        <w:tc>
          <w:tcPr>
            <w:tcW w:w="2126" w:type="dxa"/>
            <w:tcBorders>
              <w:top w:val="nil"/>
              <w:left w:val="nil"/>
              <w:bottom w:val="nil"/>
              <w:right w:val="nil"/>
            </w:tcBorders>
          </w:tcPr>
          <w:p w14:paraId="64B4D505" w14:textId="77777777" w:rsidR="00360B6B" w:rsidRDefault="00360B6B" w:rsidP="0052424C">
            <w:pPr>
              <w:pStyle w:val="TableBodyText"/>
            </w:pPr>
            <w:r>
              <w:t>4801 (part)</w:t>
            </w:r>
          </w:p>
        </w:tc>
      </w:tr>
      <w:tr w:rsidR="00360B6B" w:rsidRPr="007029F1" w14:paraId="2589F54E"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761961E2" w14:textId="77777777" w:rsidR="00360B6B" w:rsidRPr="006F1364" w:rsidRDefault="00360B6B" w:rsidP="0052424C">
            <w:pPr>
              <w:pStyle w:val="TableBodyText"/>
              <w:jc w:val="left"/>
            </w:pPr>
            <w:r w:rsidRPr="006F1364">
              <w:t>58</w:t>
            </w:r>
          </w:p>
        </w:tc>
        <w:tc>
          <w:tcPr>
            <w:tcW w:w="5742" w:type="dxa"/>
            <w:tcBorders>
              <w:top w:val="nil"/>
              <w:left w:val="nil"/>
              <w:bottom w:val="nil"/>
              <w:right w:val="nil"/>
            </w:tcBorders>
            <w:shd w:val="clear" w:color="auto" w:fill="auto"/>
            <w:noWrap/>
            <w:vAlign w:val="center"/>
          </w:tcPr>
          <w:p w14:paraId="46CD1F33" w14:textId="77777777" w:rsidR="00360B6B" w:rsidRPr="007029F1" w:rsidRDefault="00360B6B" w:rsidP="0052424C">
            <w:pPr>
              <w:pStyle w:val="TableBodyText"/>
              <w:jc w:val="left"/>
            </w:pPr>
            <w:r>
              <w:t>Water transport services</w:t>
            </w:r>
          </w:p>
        </w:tc>
        <w:tc>
          <w:tcPr>
            <w:tcW w:w="2126" w:type="dxa"/>
            <w:tcBorders>
              <w:top w:val="nil"/>
              <w:left w:val="nil"/>
              <w:bottom w:val="nil"/>
              <w:right w:val="nil"/>
            </w:tcBorders>
          </w:tcPr>
          <w:p w14:paraId="4632CA5C" w14:textId="77777777" w:rsidR="00360B6B" w:rsidRDefault="00360B6B" w:rsidP="0052424C">
            <w:pPr>
              <w:pStyle w:val="TableBodyText"/>
            </w:pPr>
            <w:r>
              <w:t>4801 (part)</w:t>
            </w:r>
          </w:p>
        </w:tc>
      </w:tr>
      <w:tr w:rsidR="00360B6B" w:rsidRPr="007029F1" w14:paraId="5C2D5DCD"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3894688F" w14:textId="77777777" w:rsidR="00360B6B" w:rsidRPr="006F1364" w:rsidRDefault="00360B6B" w:rsidP="0052424C">
            <w:pPr>
              <w:pStyle w:val="TableBodyText"/>
              <w:jc w:val="left"/>
            </w:pPr>
            <w:r w:rsidRPr="006F1364">
              <w:t>59</w:t>
            </w:r>
          </w:p>
        </w:tc>
        <w:tc>
          <w:tcPr>
            <w:tcW w:w="5742" w:type="dxa"/>
            <w:tcBorders>
              <w:top w:val="nil"/>
              <w:left w:val="nil"/>
              <w:bottom w:val="nil"/>
              <w:right w:val="nil"/>
            </w:tcBorders>
            <w:shd w:val="clear" w:color="auto" w:fill="auto"/>
            <w:noWrap/>
            <w:vAlign w:val="center"/>
          </w:tcPr>
          <w:p w14:paraId="307C0AC5" w14:textId="77777777" w:rsidR="00360B6B" w:rsidRPr="007029F1" w:rsidRDefault="00360B6B" w:rsidP="0052424C">
            <w:pPr>
              <w:pStyle w:val="TableBodyText"/>
              <w:jc w:val="left"/>
            </w:pPr>
            <w:r>
              <w:t>Air transport services</w:t>
            </w:r>
          </w:p>
        </w:tc>
        <w:tc>
          <w:tcPr>
            <w:tcW w:w="2126" w:type="dxa"/>
            <w:tcBorders>
              <w:top w:val="nil"/>
              <w:left w:val="nil"/>
              <w:bottom w:val="nil"/>
              <w:right w:val="nil"/>
            </w:tcBorders>
          </w:tcPr>
          <w:p w14:paraId="21B5F2B9" w14:textId="77777777" w:rsidR="00360B6B" w:rsidRDefault="00360B6B" w:rsidP="0052424C">
            <w:pPr>
              <w:pStyle w:val="TableBodyText"/>
            </w:pPr>
            <w:r>
              <w:t>4901</w:t>
            </w:r>
          </w:p>
        </w:tc>
      </w:tr>
      <w:tr w:rsidR="00360B6B" w:rsidRPr="007029F1" w14:paraId="2A4868A0"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53745CF6" w14:textId="77777777" w:rsidR="00360B6B" w:rsidRPr="006F1364" w:rsidRDefault="00360B6B" w:rsidP="0052424C">
            <w:pPr>
              <w:pStyle w:val="TableBodyText"/>
              <w:jc w:val="left"/>
            </w:pPr>
            <w:r w:rsidRPr="006F1364">
              <w:t>60</w:t>
            </w:r>
          </w:p>
        </w:tc>
        <w:tc>
          <w:tcPr>
            <w:tcW w:w="5742" w:type="dxa"/>
            <w:tcBorders>
              <w:top w:val="nil"/>
              <w:left w:val="nil"/>
              <w:bottom w:val="nil"/>
              <w:right w:val="nil"/>
            </w:tcBorders>
            <w:shd w:val="clear" w:color="auto" w:fill="auto"/>
            <w:noWrap/>
            <w:vAlign w:val="center"/>
          </w:tcPr>
          <w:p w14:paraId="321F1AE4" w14:textId="77777777" w:rsidR="00360B6B" w:rsidRPr="007029F1" w:rsidRDefault="00360B6B" w:rsidP="0052424C">
            <w:pPr>
              <w:pStyle w:val="TableBodyText"/>
              <w:jc w:val="left"/>
            </w:pPr>
            <w:r>
              <w:t>Courier and other transport services</w:t>
            </w:r>
          </w:p>
        </w:tc>
        <w:tc>
          <w:tcPr>
            <w:tcW w:w="2126" w:type="dxa"/>
            <w:tcBorders>
              <w:top w:val="nil"/>
              <w:left w:val="nil"/>
              <w:bottom w:val="nil"/>
              <w:right w:val="nil"/>
            </w:tcBorders>
          </w:tcPr>
          <w:p w14:paraId="6E576847" w14:textId="77777777" w:rsidR="00360B6B" w:rsidRDefault="00360B6B" w:rsidP="0052424C">
            <w:pPr>
              <w:pStyle w:val="TableBodyText"/>
            </w:pPr>
            <w:r>
              <w:t>5101, 5201</w:t>
            </w:r>
          </w:p>
        </w:tc>
      </w:tr>
      <w:tr w:rsidR="00360B6B" w:rsidRPr="007029F1" w14:paraId="06023748"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36E28D21" w14:textId="77777777" w:rsidR="00360B6B" w:rsidRPr="006F1364" w:rsidRDefault="00360B6B" w:rsidP="0052424C">
            <w:pPr>
              <w:pStyle w:val="TableBodyText"/>
              <w:jc w:val="left"/>
            </w:pPr>
            <w:r w:rsidRPr="006F1364">
              <w:t>61</w:t>
            </w:r>
          </w:p>
        </w:tc>
        <w:tc>
          <w:tcPr>
            <w:tcW w:w="5742" w:type="dxa"/>
            <w:tcBorders>
              <w:top w:val="nil"/>
              <w:left w:val="nil"/>
              <w:bottom w:val="nil"/>
              <w:right w:val="nil"/>
            </w:tcBorders>
            <w:shd w:val="clear" w:color="auto" w:fill="auto"/>
            <w:noWrap/>
            <w:vAlign w:val="center"/>
          </w:tcPr>
          <w:p w14:paraId="2C4CFE03" w14:textId="77777777" w:rsidR="00360B6B" w:rsidRPr="007029F1" w:rsidRDefault="00360B6B" w:rsidP="0052424C">
            <w:pPr>
              <w:pStyle w:val="TableBodyText"/>
              <w:jc w:val="left"/>
            </w:pPr>
            <w:r>
              <w:t>Publishing, information and media</w:t>
            </w:r>
          </w:p>
        </w:tc>
        <w:tc>
          <w:tcPr>
            <w:tcW w:w="2126" w:type="dxa"/>
            <w:tcBorders>
              <w:top w:val="nil"/>
              <w:left w:val="nil"/>
              <w:bottom w:val="nil"/>
              <w:right w:val="nil"/>
            </w:tcBorders>
          </w:tcPr>
          <w:p w14:paraId="20B97675" w14:textId="77777777" w:rsidR="00360B6B" w:rsidRDefault="00360B6B" w:rsidP="0052424C">
            <w:pPr>
              <w:pStyle w:val="TableBodyText"/>
            </w:pPr>
            <w:r>
              <w:t>5401-5701, 6001</w:t>
            </w:r>
          </w:p>
        </w:tc>
      </w:tr>
      <w:tr w:rsidR="00360B6B" w:rsidRPr="007029F1" w14:paraId="450872E5"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1E0F714B" w14:textId="77777777" w:rsidR="00360B6B" w:rsidRPr="006F1364" w:rsidRDefault="00360B6B" w:rsidP="0052424C">
            <w:pPr>
              <w:pStyle w:val="TableBodyText"/>
              <w:jc w:val="left"/>
            </w:pPr>
            <w:r w:rsidRPr="006F1364">
              <w:t>62</w:t>
            </w:r>
          </w:p>
        </w:tc>
        <w:tc>
          <w:tcPr>
            <w:tcW w:w="5742" w:type="dxa"/>
            <w:tcBorders>
              <w:top w:val="nil"/>
              <w:left w:val="nil"/>
              <w:bottom w:val="nil"/>
              <w:right w:val="nil"/>
            </w:tcBorders>
            <w:shd w:val="clear" w:color="auto" w:fill="auto"/>
            <w:noWrap/>
            <w:vAlign w:val="center"/>
          </w:tcPr>
          <w:p w14:paraId="5179FD32" w14:textId="77777777" w:rsidR="00360B6B" w:rsidRPr="007029F1" w:rsidRDefault="00360B6B" w:rsidP="0052424C">
            <w:pPr>
              <w:pStyle w:val="TableBodyText"/>
              <w:jc w:val="left"/>
            </w:pPr>
            <w:r>
              <w:t>Telecommunication services</w:t>
            </w:r>
          </w:p>
        </w:tc>
        <w:tc>
          <w:tcPr>
            <w:tcW w:w="2126" w:type="dxa"/>
            <w:tcBorders>
              <w:top w:val="nil"/>
              <w:left w:val="nil"/>
              <w:bottom w:val="nil"/>
              <w:right w:val="nil"/>
            </w:tcBorders>
          </w:tcPr>
          <w:p w14:paraId="4FF354C9" w14:textId="77777777" w:rsidR="00360B6B" w:rsidRDefault="00360B6B" w:rsidP="0052424C">
            <w:pPr>
              <w:pStyle w:val="TableBodyText"/>
            </w:pPr>
            <w:r>
              <w:t>5801</w:t>
            </w:r>
          </w:p>
        </w:tc>
      </w:tr>
      <w:tr w:rsidR="00360B6B" w:rsidRPr="007029F1" w14:paraId="1E6EDE4F"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702C86CB" w14:textId="77777777" w:rsidR="00360B6B" w:rsidRPr="006F1364" w:rsidRDefault="00360B6B" w:rsidP="0052424C">
            <w:pPr>
              <w:pStyle w:val="TableBodyText"/>
              <w:jc w:val="left"/>
            </w:pPr>
            <w:r w:rsidRPr="006F1364">
              <w:t>63</w:t>
            </w:r>
          </w:p>
        </w:tc>
        <w:tc>
          <w:tcPr>
            <w:tcW w:w="5742" w:type="dxa"/>
            <w:tcBorders>
              <w:top w:val="nil"/>
              <w:left w:val="nil"/>
              <w:bottom w:val="nil"/>
              <w:right w:val="nil"/>
            </w:tcBorders>
            <w:shd w:val="clear" w:color="auto" w:fill="auto"/>
            <w:noWrap/>
            <w:vAlign w:val="center"/>
          </w:tcPr>
          <w:p w14:paraId="773BFE26" w14:textId="77777777" w:rsidR="00360B6B" w:rsidRPr="007029F1" w:rsidRDefault="00360B6B" w:rsidP="0052424C">
            <w:pPr>
              <w:pStyle w:val="TableBodyText"/>
              <w:jc w:val="left"/>
            </w:pPr>
            <w:r>
              <w:t>Banking services</w:t>
            </w:r>
          </w:p>
        </w:tc>
        <w:tc>
          <w:tcPr>
            <w:tcW w:w="2126" w:type="dxa"/>
            <w:tcBorders>
              <w:top w:val="nil"/>
              <w:left w:val="nil"/>
              <w:bottom w:val="nil"/>
              <w:right w:val="nil"/>
            </w:tcBorders>
          </w:tcPr>
          <w:p w14:paraId="5391E0EE" w14:textId="77777777" w:rsidR="00360B6B" w:rsidRDefault="00360B6B" w:rsidP="0052424C">
            <w:pPr>
              <w:pStyle w:val="TableBodyText"/>
            </w:pPr>
            <w:r>
              <w:t>6201 (part)</w:t>
            </w:r>
          </w:p>
        </w:tc>
      </w:tr>
      <w:tr w:rsidR="00360B6B" w:rsidRPr="007029F1" w14:paraId="6C945F0A"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1E5339FE" w14:textId="77777777" w:rsidR="00360B6B" w:rsidRPr="006F1364" w:rsidRDefault="00360B6B" w:rsidP="0052424C">
            <w:pPr>
              <w:pStyle w:val="TableBodyText"/>
              <w:jc w:val="left"/>
            </w:pPr>
            <w:r w:rsidRPr="006F1364">
              <w:t>64</w:t>
            </w:r>
          </w:p>
        </w:tc>
        <w:tc>
          <w:tcPr>
            <w:tcW w:w="5742" w:type="dxa"/>
            <w:tcBorders>
              <w:top w:val="nil"/>
              <w:left w:val="nil"/>
              <w:bottom w:val="nil"/>
              <w:right w:val="nil"/>
            </w:tcBorders>
            <w:shd w:val="clear" w:color="auto" w:fill="auto"/>
            <w:noWrap/>
            <w:vAlign w:val="center"/>
          </w:tcPr>
          <w:p w14:paraId="79E48F13" w14:textId="77777777" w:rsidR="00360B6B" w:rsidRPr="007029F1" w:rsidRDefault="00360B6B" w:rsidP="0052424C">
            <w:pPr>
              <w:pStyle w:val="TableBodyText"/>
              <w:jc w:val="left"/>
            </w:pPr>
            <w:r>
              <w:t>Finance services other than banking</w:t>
            </w:r>
          </w:p>
        </w:tc>
        <w:tc>
          <w:tcPr>
            <w:tcW w:w="2126" w:type="dxa"/>
            <w:tcBorders>
              <w:top w:val="nil"/>
              <w:left w:val="nil"/>
              <w:bottom w:val="nil"/>
              <w:right w:val="nil"/>
            </w:tcBorders>
          </w:tcPr>
          <w:p w14:paraId="5051C8E2" w14:textId="77777777" w:rsidR="00360B6B" w:rsidRDefault="00360B6B" w:rsidP="0052424C">
            <w:pPr>
              <w:pStyle w:val="TableBodyText"/>
            </w:pPr>
            <w:r>
              <w:t>6201 (part)</w:t>
            </w:r>
          </w:p>
        </w:tc>
      </w:tr>
      <w:tr w:rsidR="00360B6B" w:rsidRPr="007029F1" w14:paraId="37268106"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130EF3C7" w14:textId="77777777" w:rsidR="00360B6B" w:rsidRPr="006F1364" w:rsidRDefault="00360B6B" w:rsidP="0052424C">
            <w:pPr>
              <w:pStyle w:val="TableBodyText"/>
              <w:jc w:val="left"/>
            </w:pPr>
            <w:r w:rsidRPr="006F1364">
              <w:t>65</w:t>
            </w:r>
          </w:p>
        </w:tc>
        <w:tc>
          <w:tcPr>
            <w:tcW w:w="5742" w:type="dxa"/>
            <w:tcBorders>
              <w:top w:val="nil"/>
              <w:left w:val="nil"/>
              <w:bottom w:val="nil"/>
              <w:right w:val="nil"/>
            </w:tcBorders>
            <w:shd w:val="clear" w:color="auto" w:fill="auto"/>
            <w:noWrap/>
            <w:vAlign w:val="center"/>
          </w:tcPr>
          <w:p w14:paraId="3FAAD769" w14:textId="77777777" w:rsidR="00360B6B" w:rsidRPr="007029F1" w:rsidRDefault="00360B6B" w:rsidP="0052424C">
            <w:pPr>
              <w:pStyle w:val="TableBodyText"/>
              <w:jc w:val="left"/>
            </w:pPr>
            <w:r>
              <w:t>Insurance services</w:t>
            </w:r>
          </w:p>
        </w:tc>
        <w:tc>
          <w:tcPr>
            <w:tcW w:w="2126" w:type="dxa"/>
            <w:tcBorders>
              <w:top w:val="nil"/>
              <w:left w:val="nil"/>
              <w:bottom w:val="nil"/>
              <w:right w:val="nil"/>
            </w:tcBorders>
          </w:tcPr>
          <w:p w14:paraId="1816A0E0" w14:textId="77777777" w:rsidR="00360B6B" w:rsidRDefault="00360B6B" w:rsidP="0052424C">
            <w:pPr>
              <w:pStyle w:val="TableBodyText"/>
            </w:pPr>
            <w:r>
              <w:t>6301 (part)</w:t>
            </w:r>
          </w:p>
        </w:tc>
      </w:tr>
      <w:tr w:rsidR="00360B6B" w:rsidRPr="007029F1" w14:paraId="4DBCAD6B"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5B30A03D" w14:textId="77777777" w:rsidR="00360B6B" w:rsidRPr="006F1364" w:rsidRDefault="00360B6B" w:rsidP="0052424C">
            <w:pPr>
              <w:pStyle w:val="TableBodyText"/>
              <w:jc w:val="left"/>
            </w:pPr>
            <w:r w:rsidRPr="006F1364">
              <w:t>66</w:t>
            </w:r>
          </w:p>
        </w:tc>
        <w:tc>
          <w:tcPr>
            <w:tcW w:w="5742" w:type="dxa"/>
            <w:tcBorders>
              <w:top w:val="nil"/>
              <w:left w:val="nil"/>
              <w:bottom w:val="nil"/>
              <w:right w:val="nil"/>
            </w:tcBorders>
            <w:shd w:val="clear" w:color="auto" w:fill="auto"/>
            <w:noWrap/>
            <w:vAlign w:val="center"/>
          </w:tcPr>
          <w:p w14:paraId="738034ED" w14:textId="77777777" w:rsidR="00360B6B" w:rsidRPr="007029F1" w:rsidRDefault="00360B6B" w:rsidP="0052424C">
            <w:pPr>
              <w:pStyle w:val="TableBodyText"/>
              <w:jc w:val="left"/>
            </w:pPr>
            <w:r>
              <w:t>Superannuation fund services</w:t>
            </w:r>
          </w:p>
        </w:tc>
        <w:tc>
          <w:tcPr>
            <w:tcW w:w="2126" w:type="dxa"/>
            <w:tcBorders>
              <w:top w:val="nil"/>
              <w:left w:val="nil"/>
              <w:bottom w:val="nil"/>
              <w:right w:val="nil"/>
            </w:tcBorders>
          </w:tcPr>
          <w:p w14:paraId="187B501A" w14:textId="77777777" w:rsidR="00360B6B" w:rsidRDefault="00360B6B" w:rsidP="0052424C">
            <w:pPr>
              <w:pStyle w:val="TableBodyText"/>
            </w:pPr>
            <w:r>
              <w:t>6301 (part)</w:t>
            </w:r>
          </w:p>
        </w:tc>
      </w:tr>
      <w:tr w:rsidR="00360B6B" w:rsidRPr="007029F1" w14:paraId="4083A582"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5A55AFA5" w14:textId="77777777" w:rsidR="00360B6B" w:rsidRPr="006F1364" w:rsidRDefault="00360B6B" w:rsidP="0052424C">
            <w:pPr>
              <w:pStyle w:val="TableBodyText"/>
              <w:jc w:val="left"/>
            </w:pPr>
            <w:r w:rsidRPr="006F1364">
              <w:t>67</w:t>
            </w:r>
          </w:p>
        </w:tc>
        <w:tc>
          <w:tcPr>
            <w:tcW w:w="5742" w:type="dxa"/>
            <w:tcBorders>
              <w:top w:val="nil"/>
              <w:left w:val="nil"/>
              <w:bottom w:val="nil"/>
              <w:right w:val="nil"/>
            </w:tcBorders>
            <w:shd w:val="clear" w:color="auto" w:fill="auto"/>
            <w:noWrap/>
            <w:vAlign w:val="center"/>
          </w:tcPr>
          <w:p w14:paraId="24403B9D" w14:textId="77777777" w:rsidR="00360B6B" w:rsidRPr="007029F1" w:rsidRDefault="00360B6B" w:rsidP="0052424C">
            <w:pPr>
              <w:pStyle w:val="TableBodyText"/>
              <w:jc w:val="left"/>
            </w:pPr>
            <w:r>
              <w:t>Other financial services</w:t>
            </w:r>
          </w:p>
        </w:tc>
        <w:tc>
          <w:tcPr>
            <w:tcW w:w="2126" w:type="dxa"/>
            <w:tcBorders>
              <w:top w:val="nil"/>
              <w:left w:val="nil"/>
              <w:bottom w:val="nil"/>
              <w:right w:val="nil"/>
            </w:tcBorders>
          </w:tcPr>
          <w:p w14:paraId="4F3BB460" w14:textId="77777777" w:rsidR="00360B6B" w:rsidRDefault="00360B6B" w:rsidP="0052424C">
            <w:pPr>
              <w:pStyle w:val="TableBodyText"/>
            </w:pPr>
            <w:r>
              <w:t>6401</w:t>
            </w:r>
          </w:p>
        </w:tc>
      </w:tr>
      <w:tr w:rsidR="00360B6B" w:rsidRPr="007029F1" w14:paraId="0409FCB8"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157155E1" w14:textId="77777777" w:rsidR="00360B6B" w:rsidRPr="006F1364" w:rsidRDefault="00360B6B" w:rsidP="0052424C">
            <w:pPr>
              <w:pStyle w:val="TableBodyText"/>
              <w:jc w:val="left"/>
            </w:pPr>
            <w:r w:rsidRPr="006F1364">
              <w:t>68</w:t>
            </w:r>
          </w:p>
        </w:tc>
        <w:tc>
          <w:tcPr>
            <w:tcW w:w="5742" w:type="dxa"/>
            <w:tcBorders>
              <w:top w:val="nil"/>
              <w:left w:val="nil"/>
              <w:bottom w:val="nil"/>
              <w:right w:val="nil"/>
            </w:tcBorders>
            <w:shd w:val="clear" w:color="auto" w:fill="auto"/>
            <w:noWrap/>
            <w:vAlign w:val="center"/>
          </w:tcPr>
          <w:p w14:paraId="37F85090" w14:textId="77777777" w:rsidR="00360B6B" w:rsidRPr="007029F1" w:rsidRDefault="00360B6B" w:rsidP="0052424C">
            <w:pPr>
              <w:pStyle w:val="TableBodyText"/>
              <w:jc w:val="left"/>
            </w:pPr>
            <w:r>
              <w:t>Ownership of dwellings</w:t>
            </w:r>
          </w:p>
        </w:tc>
        <w:tc>
          <w:tcPr>
            <w:tcW w:w="2126" w:type="dxa"/>
            <w:tcBorders>
              <w:top w:val="nil"/>
              <w:left w:val="nil"/>
              <w:bottom w:val="nil"/>
              <w:right w:val="nil"/>
            </w:tcBorders>
          </w:tcPr>
          <w:p w14:paraId="4C376427" w14:textId="77777777" w:rsidR="00360B6B" w:rsidRDefault="00360B6B" w:rsidP="0052424C">
            <w:pPr>
              <w:pStyle w:val="TableBodyText"/>
            </w:pPr>
            <w:r>
              <w:t>6701, 7310</w:t>
            </w:r>
          </w:p>
        </w:tc>
      </w:tr>
      <w:tr w:rsidR="00360B6B" w:rsidRPr="007029F1" w14:paraId="3045B294"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0E30DC70" w14:textId="77777777" w:rsidR="00360B6B" w:rsidRPr="006F1364" w:rsidRDefault="00360B6B" w:rsidP="0052424C">
            <w:pPr>
              <w:pStyle w:val="TableBodyText"/>
              <w:jc w:val="left"/>
            </w:pPr>
            <w:r w:rsidRPr="006F1364">
              <w:t>69</w:t>
            </w:r>
          </w:p>
        </w:tc>
        <w:tc>
          <w:tcPr>
            <w:tcW w:w="5742" w:type="dxa"/>
            <w:tcBorders>
              <w:top w:val="nil"/>
              <w:left w:val="nil"/>
              <w:bottom w:val="nil"/>
              <w:right w:val="nil"/>
            </w:tcBorders>
            <w:shd w:val="clear" w:color="auto" w:fill="auto"/>
            <w:noWrap/>
            <w:vAlign w:val="center"/>
          </w:tcPr>
          <w:p w14:paraId="03857402" w14:textId="77777777" w:rsidR="00360B6B" w:rsidRPr="007029F1" w:rsidRDefault="00360B6B" w:rsidP="0052424C">
            <w:pPr>
              <w:pStyle w:val="TableBodyText"/>
              <w:jc w:val="left"/>
            </w:pPr>
            <w:r>
              <w:t>Business services</w:t>
            </w:r>
          </w:p>
        </w:tc>
        <w:tc>
          <w:tcPr>
            <w:tcW w:w="2126" w:type="dxa"/>
            <w:tcBorders>
              <w:top w:val="nil"/>
              <w:left w:val="nil"/>
              <w:bottom w:val="nil"/>
              <w:right w:val="nil"/>
            </w:tcBorders>
          </w:tcPr>
          <w:p w14:paraId="31C0107F" w14:textId="77777777" w:rsidR="00360B6B" w:rsidRDefault="00360B6B" w:rsidP="0052424C">
            <w:pPr>
              <w:pStyle w:val="TableBodyText"/>
            </w:pPr>
            <w:r>
              <w:t>6601, 6702-7310</w:t>
            </w:r>
          </w:p>
        </w:tc>
      </w:tr>
      <w:tr w:rsidR="00360B6B" w:rsidRPr="007029F1" w14:paraId="751FCC9E"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7CE09474" w14:textId="77777777" w:rsidR="00360B6B" w:rsidRPr="006F1364" w:rsidRDefault="00360B6B" w:rsidP="0052424C">
            <w:pPr>
              <w:pStyle w:val="TableBodyText"/>
              <w:jc w:val="left"/>
            </w:pPr>
            <w:r w:rsidRPr="006F1364">
              <w:t>70</w:t>
            </w:r>
          </w:p>
        </w:tc>
        <w:tc>
          <w:tcPr>
            <w:tcW w:w="5742" w:type="dxa"/>
            <w:tcBorders>
              <w:top w:val="nil"/>
              <w:left w:val="nil"/>
              <w:bottom w:val="nil"/>
              <w:right w:val="nil"/>
            </w:tcBorders>
            <w:shd w:val="clear" w:color="auto" w:fill="auto"/>
            <w:noWrap/>
            <w:vAlign w:val="center"/>
          </w:tcPr>
          <w:p w14:paraId="4EAC2B4A" w14:textId="77777777" w:rsidR="00360B6B" w:rsidRPr="007029F1" w:rsidRDefault="00360B6B" w:rsidP="0052424C">
            <w:pPr>
              <w:pStyle w:val="TableBodyText"/>
              <w:jc w:val="left"/>
            </w:pPr>
            <w:r>
              <w:t>Public administration and public order and safety</w:t>
            </w:r>
          </w:p>
        </w:tc>
        <w:tc>
          <w:tcPr>
            <w:tcW w:w="2126" w:type="dxa"/>
            <w:tcBorders>
              <w:top w:val="nil"/>
              <w:left w:val="nil"/>
              <w:bottom w:val="nil"/>
              <w:right w:val="nil"/>
            </w:tcBorders>
          </w:tcPr>
          <w:p w14:paraId="3E05872E" w14:textId="77777777" w:rsidR="00360B6B" w:rsidRDefault="00360B6B" w:rsidP="0052424C">
            <w:pPr>
              <w:pStyle w:val="TableBodyText"/>
            </w:pPr>
            <w:r>
              <w:t>7501, 7701</w:t>
            </w:r>
          </w:p>
        </w:tc>
      </w:tr>
      <w:tr w:rsidR="00360B6B" w:rsidRPr="007029F1" w14:paraId="37887DD5"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5FF9D297" w14:textId="77777777" w:rsidR="00360B6B" w:rsidRPr="006F1364" w:rsidRDefault="00360B6B" w:rsidP="0052424C">
            <w:pPr>
              <w:pStyle w:val="TableBodyText"/>
              <w:jc w:val="left"/>
            </w:pPr>
            <w:r w:rsidRPr="006F1364">
              <w:t>71</w:t>
            </w:r>
          </w:p>
        </w:tc>
        <w:tc>
          <w:tcPr>
            <w:tcW w:w="5742" w:type="dxa"/>
            <w:tcBorders>
              <w:top w:val="nil"/>
              <w:left w:val="nil"/>
              <w:bottom w:val="nil"/>
              <w:right w:val="nil"/>
            </w:tcBorders>
            <w:shd w:val="clear" w:color="auto" w:fill="auto"/>
            <w:noWrap/>
            <w:vAlign w:val="center"/>
          </w:tcPr>
          <w:p w14:paraId="0E10DB2D" w14:textId="77777777" w:rsidR="00360B6B" w:rsidRPr="007029F1" w:rsidRDefault="00360B6B" w:rsidP="0052424C">
            <w:pPr>
              <w:pStyle w:val="TableBodyText"/>
              <w:jc w:val="left"/>
            </w:pPr>
            <w:r>
              <w:t>Defence</w:t>
            </w:r>
          </w:p>
        </w:tc>
        <w:tc>
          <w:tcPr>
            <w:tcW w:w="2126" w:type="dxa"/>
            <w:tcBorders>
              <w:top w:val="nil"/>
              <w:left w:val="nil"/>
              <w:bottom w:val="nil"/>
              <w:right w:val="nil"/>
            </w:tcBorders>
          </w:tcPr>
          <w:p w14:paraId="37B50B8A" w14:textId="77777777" w:rsidR="00360B6B" w:rsidRDefault="00360B6B" w:rsidP="0052424C">
            <w:pPr>
              <w:pStyle w:val="TableBodyText"/>
            </w:pPr>
            <w:r>
              <w:t>7601</w:t>
            </w:r>
          </w:p>
        </w:tc>
      </w:tr>
      <w:tr w:rsidR="00360B6B" w:rsidRPr="007029F1" w14:paraId="70120BF7"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0A501FE9" w14:textId="77777777" w:rsidR="00360B6B" w:rsidRPr="006F1364" w:rsidRDefault="00360B6B" w:rsidP="0052424C">
            <w:pPr>
              <w:pStyle w:val="TableBodyText"/>
              <w:jc w:val="left"/>
            </w:pPr>
            <w:r w:rsidRPr="006F1364">
              <w:t>72</w:t>
            </w:r>
          </w:p>
        </w:tc>
        <w:tc>
          <w:tcPr>
            <w:tcW w:w="5742" w:type="dxa"/>
            <w:tcBorders>
              <w:top w:val="nil"/>
              <w:left w:val="nil"/>
              <w:bottom w:val="nil"/>
              <w:right w:val="nil"/>
            </w:tcBorders>
            <w:shd w:val="clear" w:color="auto" w:fill="auto"/>
            <w:noWrap/>
            <w:vAlign w:val="center"/>
          </w:tcPr>
          <w:p w14:paraId="3EE4E4B8" w14:textId="77777777" w:rsidR="00360B6B" w:rsidRPr="007029F1" w:rsidRDefault="00360B6B" w:rsidP="0052424C">
            <w:pPr>
              <w:pStyle w:val="TableBodyText"/>
              <w:jc w:val="left"/>
            </w:pPr>
            <w:r>
              <w:t>Primary and secondary education</w:t>
            </w:r>
          </w:p>
        </w:tc>
        <w:tc>
          <w:tcPr>
            <w:tcW w:w="2126" w:type="dxa"/>
            <w:tcBorders>
              <w:top w:val="nil"/>
              <w:left w:val="nil"/>
              <w:bottom w:val="nil"/>
              <w:right w:val="nil"/>
            </w:tcBorders>
          </w:tcPr>
          <w:p w14:paraId="6E272DB9" w14:textId="77777777" w:rsidR="00360B6B" w:rsidRDefault="00360B6B" w:rsidP="0052424C">
            <w:pPr>
              <w:pStyle w:val="TableBodyText"/>
            </w:pPr>
            <w:r>
              <w:t>8010</w:t>
            </w:r>
          </w:p>
        </w:tc>
      </w:tr>
      <w:tr w:rsidR="00360B6B" w:rsidRPr="007029F1" w14:paraId="75AAD5A6"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7F61E303" w14:textId="77777777" w:rsidR="00360B6B" w:rsidRPr="006F1364" w:rsidRDefault="00360B6B" w:rsidP="0052424C">
            <w:pPr>
              <w:pStyle w:val="TableBodyText"/>
              <w:jc w:val="left"/>
            </w:pPr>
            <w:r w:rsidRPr="006F1364">
              <w:t>73</w:t>
            </w:r>
          </w:p>
        </w:tc>
        <w:tc>
          <w:tcPr>
            <w:tcW w:w="5742" w:type="dxa"/>
            <w:tcBorders>
              <w:top w:val="nil"/>
              <w:left w:val="nil"/>
              <w:bottom w:val="nil"/>
              <w:right w:val="nil"/>
            </w:tcBorders>
            <w:shd w:val="clear" w:color="auto" w:fill="auto"/>
            <w:noWrap/>
            <w:vAlign w:val="center"/>
          </w:tcPr>
          <w:p w14:paraId="694ED3A9" w14:textId="77777777" w:rsidR="00360B6B" w:rsidRPr="007029F1" w:rsidRDefault="00360B6B" w:rsidP="0052424C">
            <w:pPr>
              <w:pStyle w:val="TableBodyText"/>
              <w:jc w:val="left"/>
            </w:pPr>
            <w:r>
              <w:t>Technical, vocational and tertiary education</w:t>
            </w:r>
          </w:p>
        </w:tc>
        <w:tc>
          <w:tcPr>
            <w:tcW w:w="2126" w:type="dxa"/>
            <w:tcBorders>
              <w:top w:val="nil"/>
              <w:left w:val="nil"/>
              <w:bottom w:val="nil"/>
              <w:right w:val="nil"/>
            </w:tcBorders>
          </w:tcPr>
          <w:p w14:paraId="101AF80D" w14:textId="77777777" w:rsidR="00360B6B" w:rsidRDefault="00360B6B" w:rsidP="0052424C">
            <w:pPr>
              <w:pStyle w:val="TableBodyText"/>
            </w:pPr>
            <w:r>
              <w:t>8110</w:t>
            </w:r>
          </w:p>
        </w:tc>
      </w:tr>
      <w:tr w:rsidR="00360B6B" w:rsidRPr="007029F1" w14:paraId="140DD7BA"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35D333B9" w14:textId="77777777" w:rsidR="00360B6B" w:rsidRPr="006F1364" w:rsidRDefault="00360B6B" w:rsidP="0052424C">
            <w:pPr>
              <w:pStyle w:val="TableBodyText"/>
              <w:jc w:val="left"/>
            </w:pPr>
            <w:r w:rsidRPr="006F1364">
              <w:t>74</w:t>
            </w:r>
          </w:p>
        </w:tc>
        <w:tc>
          <w:tcPr>
            <w:tcW w:w="5742" w:type="dxa"/>
            <w:tcBorders>
              <w:top w:val="nil"/>
              <w:left w:val="nil"/>
              <w:bottom w:val="nil"/>
              <w:right w:val="nil"/>
            </w:tcBorders>
            <w:shd w:val="clear" w:color="auto" w:fill="auto"/>
            <w:noWrap/>
            <w:vAlign w:val="center"/>
          </w:tcPr>
          <w:p w14:paraId="027401C6" w14:textId="77777777" w:rsidR="00360B6B" w:rsidRPr="007029F1" w:rsidRDefault="00360B6B" w:rsidP="0052424C">
            <w:pPr>
              <w:pStyle w:val="TableBodyText"/>
              <w:jc w:val="left"/>
            </w:pPr>
            <w:r>
              <w:t>Health care services</w:t>
            </w:r>
          </w:p>
        </w:tc>
        <w:tc>
          <w:tcPr>
            <w:tcW w:w="2126" w:type="dxa"/>
            <w:tcBorders>
              <w:top w:val="nil"/>
              <w:left w:val="nil"/>
              <w:bottom w:val="nil"/>
              <w:right w:val="nil"/>
            </w:tcBorders>
          </w:tcPr>
          <w:p w14:paraId="3774B9EF" w14:textId="77777777" w:rsidR="00360B6B" w:rsidRDefault="00360B6B" w:rsidP="0052424C">
            <w:pPr>
              <w:pStyle w:val="TableBodyText"/>
            </w:pPr>
            <w:r>
              <w:t>8401</w:t>
            </w:r>
          </w:p>
        </w:tc>
      </w:tr>
      <w:tr w:rsidR="00360B6B" w:rsidRPr="007029F1" w14:paraId="04D04FA0"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7219B323" w14:textId="77777777" w:rsidR="00360B6B" w:rsidRPr="006F1364" w:rsidRDefault="00360B6B" w:rsidP="0052424C">
            <w:pPr>
              <w:pStyle w:val="TableBodyText"/>
              <w:jc w:val="left"/>
            </w:pPr>
            <w:r w:rsidRPr="006F1364">
              <w:t>75</w:t>
            </w:r>
          </w:p>
        </w:tc>
        <w:tc>
          <w:tcPr>
            <w:tcW w:w="5742" w:type="dxa"/>
            <w:tcBorders>
              <w:top w:val="nil"/>
              <w:left w:val="nil"/>
              <w:bottom w:val="nil"/>
              <w:right w:val="nil"/>
            </w:tcBorders>
            <w:shd w:val="clear" w:color="auto" w:fill="auto"/>
            <w:noWrap/>
            <w:vAlign w:val="center"/>
          </w:tcPr>
          <w:p w14:paraId="5EFA4B3C" w14:textId="77777777" w:rsidR="00360B6B" w:rsidRPr="007029F1" w:rsidRDefault="00360B6B" w:rsidP="0052424C">
            <w:pPr>
              <w:pStyle w:val="TableBodyText"/>
              <w:jc w:val="left"/>
            </w:pPr>
            <w:r>
              <w:t>Residential care and social assistance services</w:t>
            </w:r>
          </w:p>
        </w:tc>
        <w:tc>
          <w:tcPr>
            <w:tcW w:w="2126" w:type="dxa"/>
            <w:tcBorders>
              <w:top w:val="nil"/>
              <w:left w:val="nil"/>
              <w:bottom w:val="nil"/>
              <w:right w:val="nil"/>
            </w:tcBorders>
          </w:tcPr>
          <w:p w14:paraId="432530DC" w14:textId="77777777" w:rsidR="00360B6B" w:rsidRDefault="00360B6B" w:rsidP="0052424C">
            <w:pPr>
              <w:pStyle w:val="TableBodyText"/>
            </w:pPr>
            <w:r>
              <w:t>8601</w:t>
            </w:r>
          </w:p>
        </w:tc>
      </w:tr>
      <w:tr w:rsidR="00360B6B" w:rsidRPr="007029F1" w14:paraId="04EB173D"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468B6F96" w14:textId="77777777" w:rsidR="00360B6B" w:rsidRPr="006F1364" w:rsidRDefault="00360B6B" w:rsidP="0052424C">
            <w:pPr>
              <w:pStyle w:val="TableBodyText"/>
              <w:jc w:val="left"/>
            </w:pPr>
            <w:r w:rsidRPr="006F1364">
              <w:t>76</w:t>
            </w:r>
          </w:p>
        </w:tc>
        <w:tc>
          <w:tcPr>
            <w:tcW w:w="5742" w:type="dxa"/>
            <w:tcBorders>
              <w:top w:val="nil"/>
              <w:left w:val="nil"/>
              <w:bottom w:val="nil"/>
              <w:right w:val="nil"/>
            </w:tcBorders>
            <w:shd w:val="clear" w:color="auto" w:fill="auto"/>
            <w:noWrap/>
            <w:vAlign w:val="center"/>
          </w:tcPr>
          <w:p w14:paraId="6E44ABC0" w14:textId="77777777" w:rsidR="00360B6B" w:rsidRPr="007029F1" w:rsidRDefault="00360B6B" w:rsidP="0052424C">
            <w:pPr>
              <w:pStyle w:val="TableBodyText"/>
              <w:jc w:val="left"/>
            </w:pPr>
            <w:r>
              <w:t>Arts and recreation services</w:t>
            </w:r>
          </w:p>
        </w:tc>
        <w:tc>
          <w:tcPr>
            <w:tcW w:w="2126" w:type="dxa"/>
            <w:tcBorders>
              <w:top w:val="nil"/>
              <w:left w:val="nil"/>
              <w:bottom w:val="nil"/>
              <w:right w:val="nil"/>
            </w:tcBorders>
          </w:tcPr>
          <w:p w14:paraId="5B7DD1EB" w14:textId="77777777" w:rsidR="00360B6B" w:rsidRDefault="00360B6B" w:rsidP="0052424C">
            <w:pPr>
              <w:pStyle w:val="TableBodyText"/>
            </w:pPr>
            <w:r>
              <w:t>8210-9201</w:t>
            </w:r>
          </w:p>
        </w:tc>
      </w:tr>
      <w:tr w:rsidR="00360B6B" w:rsidRPr="007029F1" w14:paraId="480E9007" w14:textId="77777777" w:rsidTr="0052424C">
        <w:trPr>
          <w:gridBefore w:val="1"/>
          <w:gridAfter w:val="1"/>
          <w:wBefore w:w="71" w:type="dxa"/>
          <w:wAfter w:w="70" w:type="dxa"/>
          <w:trHeight w:val="255"/>
          <w:jc w:val="center"/>
        </w:trPr>
        <w:tc>
          <w:tcPr>
            <w:tcW w:w="921" w:type="dxa"/>
            <w:tcBorders>
              <w:top w:val="nil"/>
              <w:left w:val="nil"/>
              <w:bottom w:val="nil"/>
              <w:right w:val="nil"/>
            </w:tcBorders>
            <w:vAlign w:val="bottom"/>
          </w:tcPr>
          <w:p w14:paraId="49E74418" w14:textId="77777777" w:rsidR="00360B6B" w:rsidRPr="006F1364" w:rsidRDefault="00360B6B" w:rsidP="0052424C">
            <w:pPr>
              <w:pStyle w:val="TableBodyText"/>
              <w:jc w:val="left"/>
            </w:pPr>
            <w:r w:rsidRPr="006F1364">
              <w:t>77</w:t>
            </w:r>
          </w:p>
        </w:tc>
        <w:tc>
          <w:tcPr>
            <w:tcW w:w="5742" w:type="dxa"/>
            <w:tcBorders>
              <w:top w:val="nil"/>
              <w:left w:val="nil"/>
              <w:bottom w:val="nil"/>
              <w:right w:val="nil"/>
            </w:tcBorders>
            <w:shd w:val="clear" w:color="auto" w:fill="auto"/>
            <w:noWrap/>
            <w:vAlign w:val="center"/>
          </w:tcPr>
          <w:p w14:paraId="482C2AC1" w14:textId="77777777" w:rsidR="00360B6B" w:rsidRPr="007029F1" w:rsidRDefault="00360B6B" w:rsidP="0052424C">
            <w:pPr>
              <w:pStyle w:val="TableBodyText"/>
              <w:jc w:val="left"/>
            </w:pPr>
            <w:r>
              <w:t>Automotive repair and maintenance</w:t>
            </w:r>
          </w:p>
        </w:tc>
        <w:tc>
          <w:tcPr>
            <w:tcW w:w="2126" w:type="dxa"/>
            <w:tcBorders>
              <w:top w:val="nil"/>
              <w:left w:val="nil"/>
              <w:bottom w:val="nil"/>
              <w:right w:val="nil"/>
            </w:tcBorders>
          </w:tcPr>
          <w:p w14:paraId="61710661" w14:textId="77777777" w:rsidR="00360B6B" w:rsidRDefault="00360B6B" w:rsidP="0052424C">
            <w:pPr>
              <w:pStyle w:val="TableBodyText"/>
            </w:pPr>
            <w:r>
              <w:t>9401</w:t>
            </w:r>
          </w:p>
        </w:tc>
      </w:tr>
      <w:tr w:rsidR="00360B6B" w:rsidRPr="007029F1" w14:paraId="004EE4BC" w14:textId="77777777" w:rsidTr="0052424C">
        <w:trPr>
          <w:gridBefore w:val="1"/>
          <w:gridAfter w:val="1"/>
          <w:wBefore w:w="71" w:type="dxa"/>
          <w:wAfter w:w="70" w:type="dxa"/>
          <w:trHeight w:val="255"/>
          <w:jc w:val="center"/>
        </w:trPr>
        <w:tc>
          <w:tcPr>
            <w:tcW w:w="921" w:type="dxa"/>
            <w:tcBorders>
              <w:top w:val="nil"/>
              <w:left w:val="nil"/>
              <w:right w:val="nil"/>
            </w:tcBorders>
            <w:vAlign w:val="bottom"/>
          </w:tcPr>
          <w:p w14:paraId="71B83FBF" w14:textId="77777777" w:rsidR="00360B6B" w:rsidRPr="006F1364" w:rsidRDefault="00360B6B" w:rsidP="0052424C">
            <w:pPr>
              <w:pStyle w:val="TableBodyText"/>
              <w:jc w:val="left"/>
            </w:pPr>
            <w:r w:rsidRPr="006F1364">
              <w:t>78</w:t>
            </w:r>
          </w:p>
        </w:tc>
        <w:tc>
          <w:tcPr>
            <w:tcW w:w="5742" w:type="dxa"/>
            <w:tcBorders>
              <w:top w:val="nil"/>
              <w:left w:val="nil"/>
              <w:right w:val="nil"/>
            </w:tcBorders>
            <w:shd w:val="clear" w:color="auto" w:fill="auto"/>
            <w:noWrap/>
            <w:vAlign w:val="center"/>
          </w:tcPr>
          <w:p w14:paraId="44726F1C" w14:textId="77777777" w:rsidR="00360B6B" w:rsidRPr="007029F1" w:rsidRDefault="00360B6B" w:rsidP="0052424C">
            <w:pPr>
              <w:pStyle w:val="TableBodyText"/>
              <w:jc w:val="left"/>
            </w:pPr>
            <w:r>
              <w:t>Other repair and maintenance</w:t>
            </w:r>
          </w:p>
        </w:tc>
        <w:tc>
          <w:tcPr>
            <w:tcW w:w="2126" w:type="dxa"/>
            <w:tcBorders>
              <w:top w:val="nil"/>
              <w:left w:val="nil"/>
              <w:right w:val="nil"/>
            </w:tcBorders>
          </w:tcPr>
          <w:p w14:paraId="751D4E39" w14:textId="77777777" w:rsidR="00360B6B" w:rsidRDefault="00360B6B" w:rsidP="0052424C">
            <w:pPr>
              <w:pStyle w:val="TableBodyText"/>
            </w:pPr>
            <w:r>
              <w:t>9402</w:t>
            </w:r>
          </w:p>
        </w:tc>
      </w:tr>
      <w:tr w:rsidR="00360B6B" w:rsidRPr="007029F1" w14:paraId="5B0A7AE8" w14:textId="77777777" w:rsidTr="0052424C">
        <w:trPr>
          <w:gridBefore w:val="1"/>
          <w:gridAfter w:val="1"/>
          <w:wBefore w:w="71" w:type="dxa"/>
          <w:wAfter w:w="70" w:type="dxa"/>
          <w:trHeight w:val="255"/>
          <w:jc w:val="center"/>
        </w:trPr>
        <w:tc>
          <w:tcPr>
            <w:tcW w:w="921" w:type="dxa"/>
            <w:tcBorders>
              <w:left w:val="nil"/>
              <w:bottom w:val="single" w:sz="4" w:space="0" w:color="C8C8C8" w:themeColor="background2"/>
              <w:right w:val="nil"/>
            </w:tcBorders>
            <w:vAlign w:val="bottom"/>
          </w:tcPr>
          <w:p w14:paraId="6DA9B5B8" w14:textId="77777777" w:rsidR="00360B6B" w:rsidRPr="006F1364" w:rsidRDefault="00360B6B" w:rsidP="0052424C">
            <w:pPr>
              <w:pStyle w:val="TableBodyText"/>
              <w:jc w:val="left"/>
            </w:pPr>
            <w:r>
              <w:t>79</w:t>
            </w:r>
          </w:p>
        </w:tc>
        <w:tc>
          <w:tcPr>
            <w:tcW w:w="5742" w:type="dxa"/>
            <w:tcBorders>
              <w:left w:val="nil"/>
              <w:bottom w:val="single" w:sz="4" w:space="0" w:color="C8C8C8" w:themeColor="background2"/>
              <w:right w:val="nil"/>
            </w:tcBorders>
            <w:shd w:val="clear" w:color="auto" w:fill="auto"/>
            <w:noWrap/>
            <w:vAlign w:val="center"/>
          </w:tcPr>
          <w:p w14:paraId="22AD413E" w14:textId="77777777" w:rsidR="00360B6B" w:rsidRPr="007029F1" w:rsidRDefault="00360B6B" w:rsidP="0052424C">
            <w:pPr>
              <w:pStyle w:val="TableBodyText"/>
              <w:jc w:val="left"/>
            </w:pPr>
            <w:r>
              <w:t>Personal and other services</w:t>
            </w:r>
          </w:p>
        </w:tc>
        <w:tc>
          <w:tcPr>
            <w:tcW w:w="2126" w:type="dxa"/>
            <w:tcBorders>
              <w:left w:val="nil"/>
              <w:bottom w:val="single" w:sz="4" w:space="0" w:color="C8C8C8" w:themeColor="background2"/>
              <w:right w:val="nil"/>
            </w:tcBorders>
          </w:tcPr>
          <w:p w14:paraId="6BACB0E0" w14:textId="77777777" w:rsidR="00360B6B" w:rsidRDefault="00360B6B" w:rsidP="0052424C">
            <w:pPr>
              <w:pStyle w:val="TableBodyText"/>
            </w:pPr>
            <w:r>
              <w:t>9501, 9502</w:t>
            </w:r>
          </w:p>
        </w:tc>
      </w:tr>
      <w:tr w:rsidR="00360B6B" w14:paraId="4DAFBDCF" w14:textId="77777777" w:rsidTr="0052424C">
        <w:tblPrEx>
          <w:jc w:val="lef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Ex>
        <w:trPr>
          <w:cantSplit/>
        </w:trPr>
        <w:tc>
          <w:tcPr>
            <w:tcW w:w="8930" w:type="dxa"/>
            <w:gridSpan w:val="5"/>
            <w:tcBorders>
              <w:top w:val="nil"/>
              <w:left w:val="nil"/>
              <w:bottom w:val="nil"/>
              <w:right w:val="nil"/>
            </w:tcBorders>
            <w:shd w:val="clear" w:color="auto" w:fill="auto"/>
          </w:tcPr>
          <w:p w14:paraId="3C1A07F3" w14:textId="77777777" w:rsidR="00360B6B" w:rsidRDefault="00360B6B" w:rsidP="0052424C">
            <w:pPr>
              <w:pStyle w:val="Source"/>
            </w:pPr>
            <w:r>
              <w:rPr>
                <w:i/>
              </w:rPr>
              <w:t>Source</w:t>
            </w:r>
            <w:r w:rsidRPr="00167F06">
              <w:t>:</w:t>
            </w:r>
            <w:r>
              <w:t xml:space="preserve"> </w:t>
            </w:r>
            <w:proofErr w:type="spellStart"/>
            <w:r w:rsidRPr="00235B9E">
              <w:rPr>
                <w:i/>
              </w:rPr>
              <w:t>CoPS</w:t>
            </w:r>
            <w:proofErr w:type="spellEnd"/>
            <w:r w:rsidRPr="00235B9E">
              <w:rPr>
                <w:i/>
              </w:rPr>
              <w:t xml:space="preserve"> 2015, </w:t>
            </w:r>
            <w:r>
              <w:rPr>
                <w:i/>
              </w:rPr>
              <w:t>‘</w:t>
            </w:r>
            <w:r w:rsidRPr="0037676B">
              <w:rPr>
                <w:i/>
              </w:rPr>
              <w:t>Construction of the 2009-10 Database for the Victoria University Multi-Regional Model</w:t>
            </w:r>
            <w:r w:rsidRPr="0037676B">
              <w:t>’</w:t>
            </w:r>
            <w:r w:rsidRPr="00235B9E">
              <w:rPr>
                <w:i/>
              </w:rPr>
              <w:t xml:space="preserve">, </w:t>
            </w:r>
            <w:r w:rsidRPr="00235B9E">
              <w:t xml:space="preserve">database prepared by Glyn </w:t>
            </w:r>
            <w:proofErr w:type="spellStart"/>
            <w:r w:rsidRPr="00235B9E">
              <w:t>Wittwer</w:t>
            </w:r>
            <w:proofErr w:type="spellEnd"/>
            <w:r w:rsidRPr="00235B9E">
              <w:t xml:space="preserve">, Philip Adams, Janine Dixon and </w:t>
            </w:r>
            <w:proofErr w:type="spellStart"/>
            <w:r w:rsidRPr="00235B9E">
              <w:t>Nhi</w:t>
            </w:r>
            <w:proofErr w:type="spellEnd"/>
            <w:r w:rsidRPr="00235B9E">
              <w:t xml:space="preserve"> Tran, Centre of Policy Studies, Victoria University, with contributions from staff at the Productivity Commission, 27 August 2015 (Version 1.0).</w:t>
            </w:r>
            <w:r>
              <w:t xml:space="preserve"> </w:t>
            </w:r>
          </w:p>
        </w:tc>
      </w:tr>
      <w:tr w:rsidR="00360B6B" w14:paraId="3C9FC4B0" w14:textId="77777777" w:rsidTr="0052424C">
        <w:tblPrEx>
          <w:jc w:val="lef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Ex>
        <w:trPr>
          <w:cantSplit/>
        </w:trPr>
        <w:tc>
          <w:tcPr>
            <w:tcW w:w="8930" w:type="dxa"/>
            <w:gridSpan w:val="5"/>
            <w:tcBorders>
              <w:top w:val="nil"/>
              <w:left w:val="nil"/>
              <w:bottom w:val="single" w:sz="6" w:space="0" w:color="78A22F"/>
              <w:right w:val="nil"/>
            </w:tcBorders>
            <w:shd w:val="clear" w:color="auto" w:fill="auto"/>
          </w:tcPr>
          <w:p w14:paraId="6A118171" w14:textId="77777777" w:rsidR="00360B6B" w:rsidRDefault="00360B6B" w:rsidP="0052424C">
            <w:pPr>
              <w:pStyle w:val="Box"/>
              <w:spacing w:before="0" w:line="120" w:lineRule="exact"/>
            </w:pPr>
          </w:p>
        </w:tc>
      </w:tr>
      <w:tr w:rsidR="00360B6B" w:rsidRPr="00626D32" w14:paraId="10CF21F5" w14:textId="77777777" w:rsidTr="0052424C">
        <w:tblPrEx>
          <w:jc w:val="lef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Ex>
        <w:tc>
          <w:tcPr>
            <w:tcW w:w="8930" w:type="dxa"/>
            <w:gridSpan w:val="5"/>
            <w:tcBorders>
              <w:top w:val="single" w:sz="6" w:space="0" w:color="78A22F"/>
              <w:left w:val="nil"/>
              <w:bottom w:val="nil"/>
              <w:right w:val="nil"/>
            </w:tcBorders>
          </w:tcPr>
          <w:p w14:paraId="58495859" w14:textId="230DFEB8" w:rsidR="00360B6B" w:rsidRPr="00626D32" w:rsidRDefault="00360B6B" w:rsidP="0052424C">
            <w:pPr>
              <w:pStyle w:val="BoxSpaceBelow"/>
            </w:pPr>
          </w:p>
        </w:tc>
      </w:tr>
    </w:tbl>
    <w:p w14:paraId="75565C63" w14:textId="6AF1AB43" w:rsidR="00360B6B" w:rsidRDefault="00360B6B" w:rsidP="00360B6B">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60B6B" w14:paraId="1C2163A2" w14:textId="77777777" w:rsidTr="0052424C">
        <w:tc>
          <w:tcPr>
            <w:tcW w:w="8771" w:type="dxa"/>
            <w:tcBorders>
              <w:top w:val="single" w:sz="6" w:space="0" w:color="78A22F"/>
              <w:left w:val="nil"/>
              <w:bottom w:val="nil"/>
              <w:right w:val="nil"/>
            </w:tcBorders>
            <w:shd w:val="clear" w:color="auto" w:fill="auto"/>
          </w:tcPr>
          <w:p w14:paraId="0D233E80" w14:textId="77777777" w:rsidR="00360B6B" w:rsidRPr="00784A05" w:rsidRDefault="00360B6B" w:rsidP="0052424C">
            <w:pPr>
              <w:pStyle w:val="TableTitle"/>
            </w:pPr>
            <w:r>
              <w:rPr>
                <w:b w:val="0"/>
              </w:rPr>
              <w:t xml:space="preserve">Table </w:t>
            </w:r>
            <w:proofErr w:type="spellStart"/>
            <w:r>
              <w:rPr>
                <w:b w:val="0"/>
              </w:rPr>
              <w:t>A2</w:t>
            </w:r>
            <w:proofErr w:type="spellEnd"/>
            <w:r>
              <w:tab/>
              <w:t>Occupational classification</w:t>
            </w:r>
          </w:p>
        </w:tc>
      </w:tr>
      <w:tr w:rsidR="00360B6B" w14:paraId="014D54A8" w14:textId="77777777" w:rsidTr="0052424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36"/>
              <w:gridCol w:w="2376"/>
              <w:gridCol w:w="2599"/>
              <w:gridCol w:w="3076"/>
            </w:tblGrid>
            <w:tr w:rsidR="00360B6B" w14:paraId="2F65A6E1" w14:textId="77777777" w:rsidTr="0052424C">
              <w:tc>
                <w:tcPr>
                  <w:tcW w:w="257" w:type="pct"/>
                  <w:tcBorders>
                    <w:top w:val="single" w:sz="4" w:space="0" w:color="C8C8C8" w:themeColor="background2"/>
                    <w:bottom w:val="single" w:sz="4" w:space="0" w:color="C8C8C8" w:themeColor="background2"/>
                  </w:tcBorders>
                  <w:shd w:val="clear" w:color="auto" w:fill="auto"/>
                  <w:tcMar>
                    <w:top w:w="28" w:type="dxa"/>
                  </w:tcMar>
                </w:tcPr>
                <w:p w14:paraId="47F7FAFE" w14:textId="77777777" w:rsidR="00360B6B" w:rsidRDefault="00360B6B" w:rsidP="0052424C">
                  <w:pPr>
                    <w:pStyle w:val="TableColumnHeading"/>
                    <w:jc w:val="left"/>
                  </w:pPr>
                </w:p>
              </w:tc>
              <w:tc>
                <w:tcPr>
                  <w:tcW w:w="1400" w:type="pct"/>
                  <w:tcBorders>
                    <w:top w:val="single" w:sz="4" w:space="0" w:color="C8C8C8" w:themeColor="background2"/>
                    <w:bottom w:val="single" w:sz="4" w:space="0" w:color="C8C8C8" w:themeColor="background2"/>
                  </w:tcBorders>
                  <w:shd w:val="clear" w:color="auto" w:fill="auto"/>
                  <w:tcMar>
                    <w:top w:w="28" w:type="dxa"/>
                  </w:tcMar>
                </w:tcPr>
                <w:p w14:paraId="0F64C482" w14:textId="77777777" w:rsidR="00360B6B" w:rsidRDefault="00360B6B" w:rsidP="0052424C">
                  <w:pPr>
                    <w:pStyle w:val="TableColumnHeading"/>
                    <w:jc w:val="left"/>
                  </w:pPr>
                  <w:r>
                    <w:t>Major group</w:t>
                  </w:r>
                </w:p>
              </w:tc>
              <w:tc>
                <w:tcPr>
                  <w:tcW w:w="1531" w:type="pct"/>
                  <w:tcBorders>
                    <w:top w:val="single" w:sz="4" w:space="0" w:color="C8C8C8" w:themeColor="background2"/>
                    <w:bottom w:val="single" w:sz="4" w:space="0" w:color="C8C8C8" w:themeColor="background2"/>
                  </w:tcBorders>
                  <w:shd w:val="clear" w:color="auto" w:fill="auto"/>
                  <w:tcMar>
                    <w:top w:w="28" w:type="dxa"/>
                  </w:tcMar>
                </w:tcPr>
                <w:p w14:paraId="27D367B9" w14:textId="77777777" w:rsidR="00360B6B" w:rsidRDefault="00360B6B" w:rsidP="00FB41B6">
                  <w:pPr>
                    <w:pStyle w:val="TableColumnHeading"/>
                    <w:ind w:right="28"/>
                    <w:jc w:val="left"/>
                  </w:pPr>
                  <w:r>
                    <w:t>Description</w:t>
                  </w:r>
                </w:p>
              </w:tc>
              <w:tc>
                <w:tcPr>
                  <w:tcW w:w="1812" w:type="pct"/>
                  <w:tcBorders>
                    <w:top w:val="single" w:sz="4" w:space="0" w:color="C8C8C8" w:themeColor="background2"/>
                    <w:bottom w:val="single" w:sz="4" w:space="0" w:color="C8C8C8" w:themeColor="background2"/>
                  </w:tcBorders>
                </w:tcPr>
                <w:p w14:paraId="743EFC65" w14:textId="77777777" w:rsidR="00360B6B" w:rsidRDefault="00360B6B" w:rsidP="00FB41B6">
                  <w:pPr>
                    <w:pStyle w:val="TableColumnHeading"/>
                    <w:ind w:right="28"/>
                    <w:jc w:val="left"/>
                  </w:pPr>
                  <w:r>
                    <w:t>Predominant skill levels</w:t>
                  </w:r>
                </w:p>
              </w:tc>
            </w:tr>
            <w:tr w:rsidR="00360B6B" w14:paraId="406E45F9" w14:textId="77777777" w:rsidTr="0052424C">
              <w:tc>
                <w:tcPr>
                  <w:tcW w:w="257" w:type="pct"/>
                  <w:tcBorders>
                    <w:top w:val="single" w:sz="4" w:space="0" w:color="C8C8C8" w:themeColor="background2"/>
                  </w:tcBorders>
                </w:tcPr>
                <w:p w14:paraId="69BFC6B3" w14:textId="77777777" w:rsidR="00360B6B" w:rsidRDefault="00360B6B" w:rsidP="00FB41B6">
                  <w:pPr>
                    <w:pStyle w:val="TableUnitsRow"/>
                    <w:spacing w:before="80"/>
                    <w:jc w:val="left"/>
                  </w:pPr>
                  <w:r>
                    <w:t>1</w:t>
                  </w:r>
                </w:p>
              </w:tc>
              <w:tc>
                <w:tcPr>
                  <w:tcW w:w="1400" w:type="pct"/>
                  <w:tcBorders>
                    <w:top w:val="single" w:sz="4" w:space="0" w:color="C8C8C8" w:themeColor="background2"/>
                  </w:tcBorders>
                </w:tcPr>
                <w:p w14:paraId="7D36AD5F" w14:textId="77777777" w:rsidR="00360B6B" w:rsidRDefault="00360B6B" w:rsidP="00FB41B6">
                  <w:pPr>
                    <w:pStyle w:val="TableUnitsRow"/>
                    <w:spacing w:before="80"/>
                    <w:jc w:val="left"/>
                  </w:pPr>
                  <w:r>
                    <w:t>Managers</w:t>
                  </w:r>
                </w:p>
              </w:tc>
              <w:tc>
                <w:tcPr>
                  <w:tcW w:w="1531" w:type="pct"/>
                  <w:tcBorders>
                    <w:top w:val="single" w:sz="4" w:space="0" w:color="C8C8C8" w:themeColor="background2"/>
                  </w:tcBorders>
                </w:tcPr>
                <w:p w14:paraId="35A60861" w14:textId="77777777" w:rsidR="00360B6B" w:rsidRDefault="00360B6B" w:rsidP="00FB41B6">
                  <w:pPr>
                    <w:pStyle w:val="TableBodyText"/>
                    <w:spacing w:before="80"/>
                    <w:jc w:val="left"/>
                  </w:pPr>
                  <w:r w:rsidRPr="000318BB">
                    <w:t>MANAGERS plan, organise, direct, control, coordinate and review the operations of government, commercial, agricultural, industrial, non-profit and other organisations, and departments.</w:t>
                  </w:r>
                  <w:r>
                    <w:t xml:space="preserve"> </w:t>
                  </w:r>
                </w:p>
              </w:tc>
              <w:tc>
                <w:tcPr>
                  <w:tcW w:w="1812" w:type="pct"/>
                  <w:tcBorders>
                    <w:top w:val="single" w:sz="4" w:space="0" w:color="C8C8C8" w:themeColor="background2"/>
                  </w:tcBorders>
                </w:tcPr>
                <w:p w14:paraId="3D9C363F" w14:textId="77777777" w:rsidR="00360B6B" w:rsidRDefault="00360B6B" w:rsidP="00FB41B6">
                  <w:pPr>
                    <w:pStyle w:val="TableUnitsRow"/>
                    <w:spacing w:before="80"/>
                    <w:jc w:val="left"/>
                  </w:pPr>
                  <w:r>
                    <w:t>Bachelor of higher qualification; Associate Degree; or</w:t>
                  </w:r>
                  <w:r w:rsidRPr="00F337FE">
                    <w:t xml:space="preserve"> </w:t>
                  </w:r>
                </w:p>
                <w:p w14:paraId="2CD9F3E4" w14:textId="77777777" w:rsidR="00360B6B" w:rsidRDefault="00360B6B" w:rsidP="00FB41B6">
                  <w:pPr>
                    <w:pStyle w:val="TableUnitsRow"/>
                    <w:spacing w:before="80"/>
                    <w:jc w:val="left"/>
                  </w:pPr>
                  <w:r w:rsidRPr="00F337FE">
                    <w:t>Advanced Diploma or Diploma, or at least three years of relevant experience</w:t>
                  </w:r>
                  <w:r>
                    <w:t>.</w:t>
                  </w:r>
                </w:p>
              </w:tc>
            </w:tr>
            <w:tr w:rsidR="00360B6B" w14:paraId="5DE7B96C" w14:textId="77777777" w:rsidTr="0052424C">
              <w:tc>
                <w:tcPr>
                  <w:tcW w:w="257" w:type="pct"/>
                </w:tcPr>
                <w:p w14:paraId="617F3A9F" w14:textId="77777777" w:rsidR="00360B6B" w:rsidRDefault="00360B6B" w:rsidP="0052424C">
                  <w:pPr>
                    <w:pStyle w:val="TableBodyText"/>
                    <w:jc w:val="left"/>
                  </w:pPr>
                  <w:r>
                    <w:t>2</w:t>
                  </w:r>
                </w:p>
              </w:tc>
              <w:tc>
                <w:tcPr>
                  <w:tcW w:w="1400" w:type="pct"/>
                </w:tcPr>
                <w:p w14:paraId="68F8C571" w14:textId="77777777" w:rsidR="00360B6B" w:rsidRDefault="00360B6B" w:rsidP="0052424C">
                  <w:pPr>
                    <w:pStyle w:val="TableBodyText"/>
                    <w:jc w:val="left"/>
                  </w:pPr>
                  <w:r>
                    <w:t>Professionals</w:t>
                  </w:r>
                </w:p>
              </w:tc>
              <w:tc>
                <w:tcPr>
                  <w:tcW w:w="1531" w:type="pct"/>
                </w:tcPr>
                <w:p w14:paraId="2ABB7E88" w14:textId="77777777" w:rsidR="00360B6B" w:rsidRDefault="00360B6B" w:rsidP="0052424C">
                  <w:pPr>
                    <w:pStyle w:val="TableBodyText"/>
                    <w:jc w:val="left"/>
                  </w:pPr>
                  <w:r w:rsidRPr="000318BB">
                    <w:t>PROFESSIONALS perform analytical, conceptual and creative tasks through the application of theoretical knowledge and experience in the fields of the arts, media, business, design, engineering, the physical and life sciences, transport, education, health, information and communication technology, the law, social sciences and social welfare.</w:t>
                  </w:r>
                </w:p>
              </w:tc>
              <w:tc>
                <w:tcPr>
                  <w:tcW w:w="1812" w:type="pct"/>
                </w:tcPr>
                <w:p w14:paraId="75F1F242" w14:textId="77777777" w:rsidR="00360B6B" w:rsidRDefault="00360B6B" w:rsidP="0052424C">
                  <w:pPr>
                    <w:pStyle w:val="TableUnitsRow"/>
                    <w:jc w:val="left"/>
                  </w:pPr>
                  <w:r>
                    <w:t>Bachelor or higher qualification.</w:t>
                  </w:r>
                </w:p>
              </w:tc>
            </w:tr>
            <w:tr w:rsidR="00360B6B" w14:paraId="539E2D7B" w14:textId="77777777" w:rsidTr="0052424C">
              <w:tc>
                <w:tcPr>
                  <w:tcW w:w="257" w:type="pct"/>
                </w:tcPr>
                <w:p w14:paraId="1DC15035" w14:textId="77777777" w:rsidR="00360B6B" w:rsidRDefault="00360B6B" w:rsidP="0052424C">
                  <w:pPr>
                    <w:pStyle w:val="TableBodyText"/>
                    <w:jc w:val="left"/>
                  </w:pPr>
                  <w:r>
                    <w:t>3</w:t>
                  </w:r>
                </w:p>
              </w:tc>
              <w:tc>
                <w:tcPr>
                  <w:tcW w:w="1400" w:type="pct"/>
                </w:tcPr>
                <w:p w14:paraId="1C2ED148" w14:textId="77777777" w:rsidR="00360B6B" w:rsidRDefault="00360B6B" w:rsidP="0052424C">
                  <w:pPr>
                    <w:pStyle w:val="TableBodyText"/>
                    <w:jc w:val="left"/>
                  </w:pPr>
                  <w:r>
                    <w:t>Technicians and trades workers</w:t>
                  </w:r>
                </w:p>
              </w:tc>
              <w:tc>
                <w:tcPr>
                  <w:tcW w:w="1531" w:type="pct"/>
                </w:tcPr>
                <w:p w14:paraId="4B1F6A55" w14:textId="77777777" w:rsidR="00360B6B" w:rsidRDefault="00360B6B" w:rsidP="0052424C">
                  <w:pPr>
                    <w:pStyle w:val="TableBodyText"/>
                    <w:jc w:val="left"/>
                  </w:pPr>
                  <w:r w:rsidRPr="000318BB">
                    <w:t>TECHNICIANS AND TRADES WORKERS perform a variety of skilled tasks, applying broad or in-depth technical, trade or industry specific knowledge, often in support of scientific, engineering, building and manufacturing activities.</w:t>
                  </w:r>
                </w:p>
              </w:tc>
              <w:tc>
                <w:tcPr>
                  <w:tcW w:w="1812" w:type="pct"/>
                </w:tcPr>
                <w:p w14:paraId="0F3F1B0B" w14:textId="77777777" w:rsidR="00360B6B" w:rsidRPr="00F337FE" w:rsidRDefault="00360B6B" w:rsidP="0052424C">
                  <w:pPr>
                    <w:pStyle w:val="TableUnitsRow"/>
                    <w:jc w:val="left"/>
                  </w:pPr>
                  <w:r w:rsidRPr="00F337FE">
                    <w:t>Associate Degree, Advanced Diploma or Diploma, or at least three years of experience</w:t>
                  </w:r>
                  <w:r>
                    <w:t>; or</w:t>
                  </w:r>
                </w:p>
                <w:p w14:paraId="02FD3883" w14:textId="77777777" w:rsidR="00360B6B" w:rsidRDefault="00360B6B" w:rsidP="0052424C">
                  <w:pPr>
                    <w:pStyle w:val="TableUnitsRow"/>
                    <w:jc w:val="left"/>
                  </w:pPr>
                  <w:r w:rsidRPr="00F337FE">
                    <w:t>Certificate III including at least two years of on-the-job training</w:t>
                  </w:r>
                  <w:r>
                    <w:t>; or</w:t>
                  </w:r>
                </w:p>
                <w:p w14:paraId="476D9FF4" w14:textId="77777777" w:rsidR="00360B6B" w:rsidRDefault="00360B6B" w:rsidP="0052424C">
                  <w:pPr>
                    <w:pStyle w:val="TableUnitsRow"/>
                    <w:jc w:val="left"/>
                  </w:pPr>
                  <w:r w:rsidRPr="00F337FE">
                    <w:t>Certificate IV or at least three years of relevant experience</w:t>
                  </w:r>
                  <w:r>
                    <w:t>.</w:t>
                  </w:r>
                </w:p>
              </w:tc>
            </w:tr>
            <w:tr w:rsidR="00360B6B" w14:paraId="42EEC09B" w14:textId="77777777" w:rsidTr="0052424C">
              <w:tc>
                <w:tcPr>
                  <w:tcW w:w="257" w:type="pct"/>
                </w:tcPr>
                <w:p w14:paraId="7643B05B" w14:textId="77777777" w:rsidR="00360B6B" w:rsidRDefault="00360B6B" w:rsidP="0052424C">
                  <w:pPr>
                    <w:pStyle w:val="TableBodyText"/>
                    <w:jc w:val="left"/>
                  </w:pPr>
                  <w:r>
                    <w:t>4</w:t>
                  </w:r>
                </w:p>
              </w:tc>
              <w:tc>
                <w:tcPr>
                  <w:tcW w:w="1400" w:type="pct"/>
                </w:tcPr>
                <w:p w14:paraId="1DD189BF" w14:textId="77777777" w:rsidR="00360B6B" w:rsidRDefault="00360B6B" w:rsidP="0052424C">
                  <w:pPr>
                    <w:pStyle w:val="TableBodyText"/>
                    <w:jc w:val="left"/>
                  </w:pPr>
                  <w:r>
                    <w:t>Community and personal service workers</w:t>
                  </w:r>
                </w:p>
              </w:tc>
              <w:tc>
                <w:tcPr>
                  <w:tcW w:w="1531" w:type="pct"/>
                </w:tcPr>
                <w:p w14:paraId="0A9E3371" w14:textId="77777777" w:rsidR="00360B6B" w:rsidRDefault="00360B6B" w:rsidP="0052424C">
                  <w:pPr>
                    <w:pStyle w:val="TableBodyText"/>
                    <w:jc w:val="left"/>
                  </w:pPr>
                  <w:r w:rsidRPr="000318BB">
                    <w:t>COMMUNITY AND PERSONAL SERVICE WORKERS assist Health Professionals in the provision of patient care, provide information and support on a range of social welfare matters, and provide other services in the areas of aged care and childcare, education support, hospitality, defence, policing and emergency services, security, travel and tourism, fitness, sports and personal services.</w:t>
                  </w:r>
                </w:p>
              </w:tc>
              <w:tc>
                <w:tcPr>
                  <w:tcW w:w="1812" w:type="pct"/>
                </w:tcPr>
                <w:p w14:paraId="72281B5D" w14:textId="77777777" w:rsidR="00360B6B" w:rsidRDefault="00360B6B" w:rsidP="0052424C">
                  <w:pPr>
                    <w:pStyle w:val="TableUnitsRow"/>
                    <w:jc w:val="left"/>
                  </w:pPr>
                  <w:r w:rsidRPr="00F337FE">
                    <w:t>Associate Degree, Advanced Diploma or Diploma, or at least three years of relevant experience</w:t>
                  </w:r>
                  <w:r>
                    <w:t>; or</w:t>
                  </w:r>
                  <w:r w:rsidRPr="00F337FE">
                    <w:t xml:space="preserve"> </w:t>
                  </w:r>
                </w:p>
                <w:p w14:paraId="07AEAA29" w14:textId="77777777" w:rsidR="00360B6B" w:rsidRDefault="00360B6B" w:rsidP="0052424C">
                  <w:pPr>
                    <w:pStyle w:val="TableUnitsRow"/>
                    <w:jc w:val="left"/>
                  </w:pPr>
                  <w:r w:rsidRPr="00F337FE">
                    <w:t>Certificate III including at least two years of on-the-job training</w:t>
                  </w:r>
                  <w:r>
                    <w:t>; or</w:t>
                  </w:r>
                </w:p>
                <w:p w14:paraId="52C2A59C" w14:textId="77777777" w:rsidR="00360B6B" w:rsidRDefault="00360B6B" w:rsidP="0052424C">
                  <w:pPr>
                    <w:pStyle w:val="TableUnitsRow"/>
                    <w:jc w:val="left"/>
                  </w:pPr>
                  <w:r w:rsidRPr="00F337FE">
                    <w:t>Certificate IV, or at least three years of relevant experience</w:t>
                  </w:r>
                  <w:r>
                    <w:t>; or</w:t>
                  </w:r>
                </w:p>
                <w:p w14:paraId="10582CCA" w14:textId="77777777" w:rsidR="00360B6B" w:rsidRDefault="00360B6B" w:rsidP="0052424C">
                  <w:pPr>
                    <w:pStyle w:val="TableUnitsRow"/>
                    <w:jc w:val="left"/>
                  </w:pPr>
                  <w:r w:rsidRPr="00F337FE">
                    <w:t>Certificate II or III, or at least one year of relevant experience</w:t>
                  </w:r>
                  <w:r>
                    <w:t>; or</w:t>
                  </w:r>
                </w:p>
                <w:p w14:paraId="21BAF011" w14:textId="77777777" w:rsidR="00360B6B" w:rsidRPr="00F337FE" w:rsidRDefault="00360B6B" w:rsidP="0052424C">
                  <w:pPr>
                    <w:pStyle w:val="TableUnitsRow"/>
                    <w:jc w:val="left"/>
                  </w:pPr>
                  <w:proofErr w:type="spellStart"/>
                  <w:r w:rsidRPr="00F337FE">
                    <w:t>AQF</w:t>
                  </w:r>
                  <w:proofErr w:type="spellEnd"/>
                  <w:r w:rsidRPr="00F337FE">
                    <w:t xml:space="preserve"> Certificate I, or compulsory secondary education</w:t>
                  </w:r>
                  <w:r>
                    <w:t>.</w:t>
                  </w:r>
                </w:p>
                <w:p w14:paraId="1B9875E0" w14:textId="77777777" w:rsidR="00360B6B" w:rsidRDefault="00360B6B" w:rsidP="0052424C">
                  <w:pPr>
                    <w:pStyle w:val="TableUnitsRow"/>
                  </w:pPr>
                </w:p>
              </w:tc>
            </w:tr>
            <w:tr w:rsidR="00360B6B" w14:paraId="41F276D8" w14:textId="77777777" w:rsidTr="0052424C">
              <w:tc>
                <w:tcPr>
                  <w:tcW w:w="257" w:type="pct"/>
                  <w:tcBorders>
                    <w:bottom w:val="single" w:sz="4" w:space="0" w:color="C8C8C8" w:themeColor="background2"/>
                  </w:tcBorders>
                </w:tcPr>
                <w:p w14:paraId="5C5FD6EB" w14:textId="77777777" w:rsidR="00360B6B" w:rsidRDefault="00360B6B" w:rsidP="0052424C">
                  <w:pPr>
                    <w:pStyle w:val="TableBodyText"/>
                    <w:jc w:val="left"/>
                  </w:pPr>
                  <w:r>
                    <w:t>5</w:t>
                  </w:r>
                </w:p>
              </w:tc>
              <w:tc>
                <w:tcPr>
                  <w:tcW w:w="1400" w:type="pct"/>
                  <w:tcBorders>
                    <w:bottom w:val="single" w:sz="4" w:space="0" w:color="C8C8C8" w:themeColor="background2"/>
                  </w:tcBorders>
                </w:tcPr>
                <w:p w14:paraId="63C4E2B1" w14:textId="77777777" w:rsidR="00360B6B" w:rsidRDefault="00360B6B" w:rsidP="0052424C">
                  <w:pPr>
                    <w:pStyle w:val="TableBodyText"/>
                    <w:jc w:val="left"/>
                  </w:pPr>
                  <w:r>
                    <w:t>Clerical and administrative workers</w:t>
                  </w:r>
                </w:p>
              </w:tc>
              <w:tc>
                <w:tcPr>
                  <w:tcW w:w="1531" w:type="pct"/>
                  <w:tcBorders>
                    <w:bottom w:val="single" w:sz="4" w:space="0" w:color="C8C8C8" w:themeColor="background2"/>
                  </w:tcBorders>
                </w:tcPr>
                <w:p w14:paraId="13397AAB" w14:textId="77777777" w:rsidR="00360B6B" w:rsidRDefault="00360B6B" w:rsidP="0052424C">
                  <w:pPr>
                    <w:pStyle w:val="TableUnitsRow"/>
                    <w:jc w:val="left"/>
                  </w:pPr>
                  <w:r w:rsidRPr="00975EA1">
                    <w:t>CLERICAL AND ADMINISTRATIVE WORKERS provide support to Managers, Professionals and organisations by organising, storing, manipulating and retrieving information.</w:t>
                  </w:r>
                </w:p>
              </w:tc>
              <w:tc>
                <w:tcPr>
                  <w:tcW w:w="1812" w:type="pct"/>
                  <w:tcBorders>
                    <w:bottom w:val="single" w:sz="4" w:space="0" w:color="C8C8C8" w:themeColor="background2"/>
                  </w:tcBorders>
                </w:tcPr>
                <w:p w14:paraId="1F23A7D9" w14:textId="77777777" w:rsidR="00360B6B" w:rsidRDefault="00360B6B" w:rsidP="0052424C">
                  <w:pPr>
                    <w:pStyle w:val="TableUnitsRow"/>
                    <w:jc w:val="left"/>
                  </w:pPr>
                  <w:r w:rsidRPr="00F337FE">
                    <w:t>Associate Degree, Advanced Diploma or Diploma, or at least three years of relevant experience; or </w:t>
                  </w:r>
                </w:p>
                <w:p w14:paraId="35EAEC60" w14:textId="77777777" w:rsidR="00360B6B" w:rsidRDefault="00360B6B" w:rsidP="0052424C">
                  <w:pPr>
                    <w:pStyle w:val="TableUnitsRow"/>
                    <w:jc w:val="left"/>
                  </w:pPr>
                  <w:r w:rsidRPr="00F337FE">
                    <w:t>Certificate III including at least two years of on-the-job training, or Certificate IV, or at least three years of relevant experience; or </w:t>
                  </w:r>
                </w:p>
                <w:p w14:paraId="107AEFBA" w14:textId="77777777" w:rsidR="00360B6B" w:rsidRPr="00390779" w:rsidRDefault="00360B6B" w:rsidP="0052424C">
                  <w:pPr>
                    <w:pStyle w:val="TableUnitsRow"/>
                    <w:jc w:val="left"/>
                  </w:pPr>
                  <w:r w:rsidRPr="00F337FE">
                    <w:t>Certificate II or III, or at least one year of relevant experience; or</w:t>
                  </w:r>
                  <w:r w:rsidRPr="00390779">
                    <w:t> </w:t>
                  </w:r>
                </w:p>
                <w:p w14:paraId="574B65AC" w14:textId="77777777" w:rsidR="00360B6B" w:rsidRPr="00F337FE" w:rsidRDefault="00360B6B" w:rsidP="0052424C">
                  <w:pPr>
                    <w:pStyle w:val="TableUnitsRow"/>
                    <w:jc w:val="left"/>
                  </w:pPr>
                  <w:r w:rsidRPr="00F337FE">
                    <w:t>Certificate I, or compulsory secondary education</w:t>
                  </w:r>
                  <w:r w:rsidRPr="00390779">
                    <w:t>.</w:t>
                  </w:r>
                </w:p>
                <w:p w14:paraId="02884CAF" w14:textId="77777777" w:rsidR="00360B6B" w:rsidRDefault="00360B6B" w:rsidP="0052424C">
                  <w:pPr>
                    <w:pStyle w:val="TableUnitsRow"/>
                    <w:ind w:left="0"/>
                  </w:pPr>
                </w:p>
              </w:tc>
            </w:tr>
          </w:tbl>
          <w:p w14:paraId="0DC608D4" w14:textId="77777777" w:rsidR="00360B6B" w:rsidRDefault="00360B6B" w:rsidP="0052424C">
            <w:pPr>
              <w:pStyle w:val="Box"/>
            </w:pPr>
          </w:p>
        </w:tc>
      </w:tr>
      <w:tr w:rsidR="00360B6B" w14:paraId="605EFB14" w14:textId="77777777" w:rsidTr="0052424C">
        <w:trPr>
          <w:cantSplit/>
        </w:trPr>
        <w:tc>
          <w:tcPr>
            <w:tcW w:w="8771" w:type="dxa"/>
            <w:tcBorders>
              <w:top w:val="nil"/>
              <w:left w:val="nil"/>
              <w:bottom w:val="nil"/>
              <w:right w:val="nil"/>
            </w:tcBorders>
            <w:shd w:val="clear" w:color="auto" w:fill="auto"/>
          </w:tcPr>
          <w:p w14:paraId="0EB567E2" w14:textId="77777777" w:rsidR="00360B6B" w:rsidRPr="005A57BF" w:rsidRDefault="00360B6B" w:rsidP="0052424C">
            <w:pPr>
              <w:pStyle w:val="Continued"/>
              <w:rPr>
                <w:i/>
              </w:rPr>
            </w:pPr>
            <w:r>
              <w:lastRenderedPageBreak/>
              <w:t>(Continued next page)</w:t>
            </w:r>
          </w:p>
        </w:tc>
      </w:tr>
    </w:tbl>
    <w:p w14:paraId="36D31987" w14:textId="77777777" w:rsidR="00360B6B" w:rsidRDefault="00360B6B" w:rsidP="00360B6B">
      <w:pPr>
        <w:pStyle w:val="TableTitle"/>
      </w:pPr>
      <w:r>
        <w:t xml:space="preserve">Table </w:t>
      </w:r>
      <w:proofErr w:type="spellStart"/>
      <w:r>
        <w:t>A2</w:t>
      </w:r>
      <w:proofErr w:type="spellEnd"/>
      <w:r>
        <w:tab/>
      </w:r>
      <w:r w:rsidRPr="00FB41B6">
        <w:rPr>
          <w:b w:val="0"/>
          <w:sz w:val="18"/>
          <w:szCs w:val="18"/>
        </w:rPr>
        <w:t>(continued)</w:t>
      </w:r>
    </w:p>
    <w:tbl>
      <w:tblPr>
        <w:tblW w:w="5002" w:type="pct"/>
        <w:tblCellMar>
          <w:top w:w="28" w:type="dxa"/>
          <w:left w:w="0" w:type="dxa"/>
          <w:right w:w="0" w:type="dxa"/>
        </w:tblCellMar>
        <w:tblLook w:val="0000" w:firstRow="0" w:lastRow="0" w:firstColumn="0" w:lastColumn="0" w:noHBand="0" w:noVBand="0"/>
      </w:tblPr>
      <w:tblGrid>
        <w:gridCol w:w="452"/>
        <w:gridCol w:w="2460"/>
        <w:gridCol w:w="2691"/>
        <w:gridCol w:w="3190"/>
      </w:tblGrid>
      <w:tr w:rsidR="00360B6B" w14:paraId="3A38796F" w14:textId="77777777" w:rsidTr="0052424C">
        <w:tc>
          <w:tcPr>
            <w:tcW w:w="257" w:type="pct"/>
            <w:tcBorders>
              <w:top w:val="single" w:sz="4" w:space="0" w:color="C8C8C8" w:themeColor="background2"/>
              <w:bottom w:val="single" w:sz="4" w:space="0" w:color="C8C8C8" w:themeColor="background2"/>
            </w:tcBorders>
          </w:tcPr>
          <w:p w14:paraId="5B871773" w14:textId="77777777" w:rsidR="00360B6B" w:rsidRDefault="00360B6B" w:rsidP="0052424C">
            <w:pPr>
              <w:pStyle w:val="TableColumnHeading"/>
              <w:jc w:val="left"/>
            </w:pPr>
          </w:p>
        </w:tc>
        <w:tc>
          <w:tcPr>
            <w:tcW w:w="1399" w:type="pct"/>
            <w:tcBorders>
              <w:top w:val="single" w:sz="4" w:space="0" w:color="C8C8C8" w:themeColor="background2"/>
              <w:bottom w:val="single" w:sz="4" w:space="0" w:color="C8C8C8" w:themeColor="background2"/>
            </w:tcBorders>
          </w:tcPr>
          <w:p w14:paraId="689B7496" w14:textId="77777777" w:rsidR="00360B6B" w:rsidRDefault="00360B6B" w:rsidP="0052424C">
            <w:pPr>
              <w:pStyle w:val="TableColumnHeading"/>
              <w:jc w:val="left"/>
            </w:pPr>
            <w:r>
              <w:t>Major group</w:t>
            </w:r>
          </w:p>
        </w:tc>
        <w:tc>
          <w:tcPr>
            <w:tcW w:w="1530" w:type="pct"/>
            <w:tcBorders>
              <w:top w:val="single" w:sz="4" w:space="0" w:color="C8C8C8" w:themeColor="background2"/>
              <w:bottom w:val="single" w:sz="4" w:space="0" w:color="C8C8C8" w:themeColor="background2"/>
            </w:tcBorders>
          </w:tcPr>
          <w:p w14:paraId="2ED48838" w14:textId="77777777" w:rsidR="00360B6B" w:rsidRDefault="00360B6B" w:rsidP="00FB41B6">
            <w:pPr>
              <w:pStyle w:val="TableColumnHeading"/>
              <w:ind w:right="28"/>
              <w:jc w:val="left"/>
            </w:pPr>
            <w:r>
              <w:t>Description</w:t>
            </w:r>
          </w:p>
        </w:tc>
        <w:tc>
          <w:tcPr>
            <w:tcW w:w="1814" w:type="pct"/>
            <w:tcBorders>
              <w:top w:val="single" w:sz="4" w:space="0" w:color="C8C8C8" w:themeColor="background2"/>
              <w:bottom w:val="single" w:sz="4" w:space="0" w:color="C8C8C8" w:themeColor="background2"/>
            </w:tcBorders>
          </w:tcPr>
          <w:p w14:paraId="2A7A8B23" w14:textId="77777777" w:rsidR="00360B6B" w:rsidRDefault="00360B6B" w:rsidP="00FB41B6">
            <w:pPr>
              <w:pStyle w:val="TableColumnHeading"/>
              <w:ind w:right="28"/>
              <w:jc w:val="left"/>
            </w:pPr>
            <w:r>
              <w:t>Predominant skill levels</w:t>
            </w:r>
          </w:p>
        </w:tc>
      </w:tr>
      <w:tr w:rsidR="00360B6B" w14:paraId="3FB25CD8" w14:textId="77777777" w:rsidTr="0052424C">
        <w:tc>
          <w:tcPr>
            <w:tcW w:w="257" w:type="pct"/>
            <w:tcBorders>
              <w:top w:val="single" w:sz="4" w:space="0" w:color="C8C8C8" w:themeColor="background2"/>
            </w:tcBorders>
          </w:tcPr>
          <w:p w14:paraId="23976840" w14:textId="77777777" w:rsidR="00360B6B" w:rsidRDefault="00360B6B" w:rsidP="0052424C">
            <w:pPr>
              <w:pStyle w:val="TableBodyText"/>
              <w:jc w:val="left"/>
            </w:pPr>
            <w:r>
              <w:t>6</w:t>
            </w:r>
          </w:p>
        </w:tc>
        <w:tc>
          <w:tcPr>
            <w:tcW w:w="1399" w:type="pct"/>
            <w:tcBorders>
              <w:top w:val="single" w:sz="4" w:space="0" w:color="C8C8C8" w:themeColor="background2"/>
            </w:tcBorders>
          </w:tcPr>
          <w:p w14:paraId="02871953" w14:textId="77777777" w:rsidR="00360B6B" w:rsidRDefault="00360B6B" w:rsidP="0052424C">
            <w:pPr>
              <w:pStyle w:val="TableBodyText"/>
              <w:jc w:val="left"/>
            </w:pPr>
            <w:r>
              <w:t>Sales workers</w:t>
            </w:r>
          </w:p>
        </w:tc>
        <w:tc>
          <w:tcPr>
            <w:tcW w:w="1530" w:type="pct"/>
            <w:tcBorders>
              <w:top w:val="single" w:sz="4" w:space="0" w:color="C8C8C8" w:themeColor="background2"/>
            </w:tcBorders>
          </w:tcPr>
          <w:p w14:paraId="13E32FDD" w14:textId="77777777" w:rsidR="00360B6B" w:rsidRPr="00975EA1" w:rsidRDefault="00360B6B" w:rsidP="0052424C">
            <w:pPr>
              <w:pStyle w:val="TableBodyText"/>
              <w:jc w:val="left"/>
            </w:pPr>
            <w:r w:rsidRPr="00975EA1">
              <w:t>SALES WORKERS sell goods, services and property, and provide sales support in areas such as operating cash registers and displaying and demonstrating goods.</w:t>
            </w:r>
          </w:p>
          <w:p w14:paraId="0DAFF94C" w14:textId="77777777" w:rsidR="00360B6B" w:rsidRDefault="00360B6B" w:rsidP="0052424C">
            <w:pPr>
              <w:pStyle w:val="TableBodyText"/>
              <w:jc w:val="left"/>
            </w:pPr>
            <w:r w:rsidRPr="00975EA1">
              <w:t>ICT and Technical Sales Representatives are excluded from this major group.</w:t>
            </w:r>
            <w:r>
              <w:t xml:space="preserve"> </w:t>
            </w:r>
          </w:p>
        </w:tc>
        <w:tc>
          <w:tcPr>
            <w:tcW w:w="1814" w:type="pct"/>
            <w:tcBorders>
              <w:top w:val="single" w:sz="4" w:space="0" w:color="C8C8C8" w:themeColor="background2"/>
            </w:tcBorders>
          </w:tcPr>
          <w:p w14:paraId="32FB9215" w14:textId="77777777" w:rsidR="00360B6B" w:rsidRPr="00390779" w:rsidRDefault="00360B6B" w:rsidP="0052424C">
            <w:pPr>
              <w:pStyle w:val="TableBodyText"/>
              <w:jc w:val="left"/>
            </w:pPr>
            <w:r w:rsidRPr="00390779">
              <w:t>Associate Degree, Advanced Diploma or Diploma, or at least three years of relevant experience; or </w:t>
            </w:r>
          </w:p>
          <w:p w14:paraId="781FEF51" w14:textId="77777777" w:rsidR="00360B6B" w:rsidRDefault="00360B6B" w:rsidP="0052424C">
            <w:pPr>
              <w:pStyle w:val="TableBodyText"/>
              <w:jc w:val="left"/>
            </w:pPr>
            <w:r w:rsidRPr="00390779">
              <w:t>Certificate III including at least two years of on-the-job training</w:t>
            </w:r>
            <w:r>
              <w:t>;</w:t>
            </w:r>
            <w:r w:rsidRPr="00390779">
              <w:t xml:space="preserve"> or</w:t>
            </w:r>
          </w:p>
          <w:p w14:paraId="7C2CDF66" w14:textId="77777777" w:rsidR="00360B6B" w:rsidRPr="00390779" w:rsidRDefault="00360B6B" w:rsidP="0052424C">
            <w:pPr>
              <w:pStyle w:val="TableBodyText"/>
              <w:jc w:val="left"/>
            </w:pPr>
            <w:r w:rsidRPr="00390779">
              <w:t xml:space="preserve">Certificate IV, or at least three years of relevant experience; or  </w:t>
            </w:r>
          </w:p>
          <w:p w14:paraId="60833853" w14:textId="77777777" w:rsidR="00360B6B" w:rsidRPr="00390779" w:rsidRDefault="00360B6B" w:rsidP="0052424C">
            <w:pPr>
              <w:pStyle w:val="TableBodyText"/>
              <w:jc w:val="left"/>
            </w:pPr>
            <w:r w:rsidRPr="00390779">
              <w:t>Certificate II or III, or at least one year of relevant experience; or </w:t>
            </w:r>
          </w:p>
          <w:p w14:paraId="264EFFA6" w14:textId="638EA9C0" w:rsidR="00360B6B" w:rsidRDefault="00360B6B" w:rsidP="00FB41B6">
            <w:pPr>
              <w:pStyle w:val="TableBodyText"/>
              <w:jc w:val="left"/>
            </w:pPr>
            <w:r w:rsidRPr="00390779">
              <w:t>Certificate I, or compulsory secondary education.</w:t>
            </w:r>
          </w:p>
        </w:tc>
      </w:tr>
      <w:tr w:rsidR="00360B6B" w14:paraId="43D2303E" w14:textId="77777777" w:rsidTr="0052424C">
        <w:tc>
          <w:tcPr>
            <w:tcW w:w="257" w:type="pct"/>
          </w:tcPr>
          <w:p w14:paraId="38A0A6A2" w14:textId="77777777" w:rsidR="00360B6B" w:rsidRDefault="00360B6B" w:rsidP="0052424C">
            <w:pPr>
              <w:pStyle w:val="TableBodyText"/>
              <w:jc w:val="left"/>
            </w:pPr>
            <w:r>
              <w:t>7</w:t>
            </w:r>
          </w:p>
        </w:tc>
        <w:tc>
          <w:tcPr>
            <w:tcW w:w="1399" w:type="pct"/>
          </w:tcPr>
          <w:p w14:paraId="0625585E" w14:textId="77777777" w:rsidR="00360B6B" w:rsidRDefault="00360B6B" w:rsidP="0052424C">
            <w:pPr>
              <w:pStyle w:val="TableBodyText"/>
              <w:jc w:val="left"/>
            </w:pPr>
            <w:r>
              <w:t>Machinery operators and drivers</w:t>
            </w:r>
          </w:p>
        </w:tc>
        <w:tc>
          <w:tcPr>
            <w:tcW w:w="1530" w:type="pct"/>
          </w:tcPr>
          <w:p w14:paraId="61BBB483" w14:textId="77777777" w:rsidR="00360B6B" w:rsidRDefault="00360B6B" w:rsidP="0052424C">
            <w:pPr>
              <w:pStyle w:val="TableBodyText"/>
              <w:jc w:val="left"/>
            </w:pPr>
            <w:r w:rsidRPr="00975EA1">
              <w:t>MACHINERY OPERATORS AND DRIVERS operate machines, plant, vehicles and other equipment to perform a range of agricultural, manufacturing and construction functions, move materials, and transport passengers and freight.</w:t>
            </w:r>
          </w:p>
        </w:tc>
        <w:tc>
          <w:tcPr>
            <w:tcW w:w="1814" w:type="pct"/>
          </w:tcPr>
          <w:p w14:paraId="7908DF6D" w14:textId="77777777" w:rsidR="00360B6B" w:rsidRPr="00390779" w:rsidRDefault="00360B6B" w:rsidP="0052424C">
            <w:pPr>
              <w:pStyle w:val="TableBodyText"/>
              <w:jc w:val="left"/>
            </w:pPr>
            <w:r w:rsidRPr="00390779">
              <w:t>Certificate II or III</w:t>
            </w:r>
            <w:r>
              <w:t xml:space="preserve">. </w:t>
            </w:r>
          </w:p>
          <w:p w14:paraId="647050A2" w14:textId="77777777" w:rsidR="00360B6B" w:rsidRDefault="00360B6B" w:rsidP="0052424C">
            <w:pPr>
              <w:pStyle w:val="TableUnitsRow"/>
            </w:pPr>
          </w:p>
        </w:tc>
      </w:tr>
      <w:tr w:rsidR="00360B6B" w14:paraId="4043E4F5" w14:textId="77777777" w:rsidTr="0052424C">
        <w:tc>
          <w:tcPr>
            <w:tcW w:w="257" w:type="pct"/>
            <w:tcBorders>
              <w:bottom w:val="single" w:sz="4" w:space="0" w:color="C8C8C8" w:themeColor="background2"/>
            </w:tcBorders>
          </w:tcPr>
          <w:p w14:paraId="719188BF" w14:textId="77777777" w:rsidR="00360B6B" w:rsidRDefault="00360B6B" w:rsidP="0052424C">
            <w:pPr>
              <w:pStyle w:val="TableBodyText"/>
              <w:jc w:val="left"/>
            </w:pPr>
            <w:r>
              <w:t>8</w:t>
            </w:r>
          </w:p>
        </w:tc>
        <w:tc>
          <w:tcPr>
            <w:tcW w:w="1399" w:type="pct"/>
            <w:tcBorders>
              <w:bottom w:val="single" w:sz="4" w:space="0" w:color="C8C8C8" w:themeColor="background2"/>
            </w:tcBorders>
          </w:tcPr>
          <w:p w14:paraId="7737F980" w14:textId="77777777" w:rsidR="00360B6B" w:rsidRDefault="00360B6B" w:rsidP="0052424C">
            <w:pPr>
              <w:pStyle w:val="TableBodyText"/>
              <w:jc w:val="left"/>
            </w:pPr>
            <w:r>
              <w:t>Labourers</w:t>
            </w:r>
          </w:p>
        </w:tc>
        <w:tc>
          <w:tcPr>
            <w:tcW w:w="1530" w:type="pct"/>
            <w:tcBorders>
              <w:bottom w:val="single" w:sz="4" w:space="0" w:color="C8C8C8" w:themeColor="background2"/>
            </w:tcBorders>
          </w:tcPr>
          <w:p w14:paraId="396B95EB" w14:textId="77777777" w:rsidR="00360B6B" w:rsidRDefault="00360B6B" w:rsidP="0052424C">
            <w:pPr>
              <w:pStyle w:val="TableBodyText"/>
              <w:jc w:val="left"/>
            </w:pPr>
            <w:r w:rsidRPr="00975EA1">
              <w:t>LABOURERS perform a variety of routine and repetitive physical tasks using hand and power tools, and machines either as an individual or as part of a team assisting more skilled workers such as Trades Workers, and Machinery Operators and Drivers.</w:t>
            </w:r>
          </w:p>
        </w:tc>
        <w:tc>
          <w:tcPr>
            <w:tcW w:w="1814" w:type="pct"/>
            <w:tcBorders>
              <w:bottom w:val="single" w:sz="4" w:space="0" w:color="C8C8C8" w:themeColor="background2"/>
            </w:tcBorders>
          </w:tcPr>
          <w:p w14:paraId="6F6319EE" w14:textId="77777777" w:rsidR="00360B6B" w:rsidRDefault="00360B6B" w:rsidP="0052424C">
            <w:pPr>
              <w:pStyle w:val="TableBodyText"/>
              <w:jc w:val="left"/>
            </w:pPr>
            <w:r w:rsidRPr="00390779">
              <w:t>Certificate II or III, or at least one year of relevant experience (</w:t>
            </w:r>
            <w:proofErr w:type="spellStart"/>
            <w:r w:rsidRPr="00390779">
              <w:t>ANZSCO</w:t>
            </w:r>
            <w:proofErr w:type="spellEnd"/>
            <w:r w:rsidRPr="00390779">
              <w:t xml:space="preserve"> Skill Level 4); or </w:t>
            </w:r>
          </w:p>
          <w:p w14:paraId="47E6BD31" w14:textId="77777777" w:rsidR="00360B6B" w:rsidRPr="00390779" w:rsidRDefault="00360B6B" w:rsidP="0052424C">
            <w:pPr>
              <w:pStyle w:val="TableBodyText"/>
              <w:jc w:val="left"/>
            </w:pPr>
            <w:r w:rsidRPr="00390779">
              <w:t>Certificate I, or compulsory secondary education</w:t>
            </w:r>
            <w:r>
              <w:t xml:space="preserve">. </w:t>
            </w:r>
          </w:p>
          <w:p w14:paraId="79F4D2B2" w14:textId="77777777" w:rsidR="00360B6B" w:rsidRDefault="00360B6B" w:rsidP="0052424C">
            <w:pPr>
              <w:pStyle w:val="TableUnitsRow"/>
            </w:pPr>
          </w:p>
        </w:tc>
      </w:tr>
      <w:tr w:rsidR="00360B6B" w14:paraId="0A586B50" w14:textId="77777777" w:rsidTr="0052424C">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rPr>
          <w:cantSplit/>
        </w:trPr>
        <w:tc>
          <w:tcPr>
            <w:tcW w:w="5000" w:type="pct"/>
            <w:gridSpan w:val="4"/>
            <w:tcBorders>
              <w:top w:val="single" w:sz="4" w:space="0" w:color="C8C8C8" w:themeColor="background2"/>
              <w:left w:val="nil"/>
              <w:bottom w:val="nil"/>
              <w:right w:val="nil"/>
            </w:tcBorders>
            <w:shd w:val="clear" w:color="auto" w:fill="auto"/>
          </w:tcPr>
          <w:p w14:paraId="07B3733C" w14:textId="77777777" w:rsidR="00360B6B" w:rsidRDefault="00360B6B" w:rsidP="0052424C">
            <w:pPr>
              <w:pStyle w:val="Source"/>
            </w:pPr>
            <w:r>
              <w:rPr>
                <w:i/>
              </w:rPr>
              <w:t>Source</w:t>
            </w:r>
            <w:r w:rsidRPr="00167F06">
              <w:t xml:space="preserve">: </w:t>
            </w:r>
            <w:r>
              <w:t xml:space="preserve">ABS, </w:t>
            </w:r>
            <w:r w:rsidRPr="0037676B">
              <w:rPr>
                <w:i/>
              </w:rPr>
              <w:t>Australian and new Zealand Standard Classification of Occupations, 2013</w:t>
            </w:r>
            <w:r>
              <w:t xml:space="preserve">, cat. no. 1220.0, Version 1.2, June 2013. </w:t>
            </w:r>
          </w:p>
        </w:tc>
      </w:tr>
      <w:tr w:rsidR="00360B6B" w14:paraId="5ABB1AC0" w14:textId="77777777" w:rsidTr="0052424C">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rPr>
          <w:cantSplit/>
        </w:trPr>
        <w:tc>
          <w:tcPr>
            <w:tcW w:w="5000" w:type="pct"/>
            <w:gridSpan w:val="4"/>
            <w:tcBorders>
              <w:top w:val="nil"/>
              <w:left w:val="nil"/>
              <w:bottom w:val="single" w:sz="6" w:space="0" w:color="78A22F"/>
              <w:right w:val="nil"/>
            </w:tcBorders>
            <w:shd w:val="clear" w:color="auto" w:fill="auto"/>
          </w:tcPr>
          <w:p w14:paraId="7D199D79" w14:textId="77777777" w:rsidR="00360B6B" w:rsidRDefault="00360B6B" w:rsidP="0052424C">
            <w:pPr>
              <w:pStyle w:val="Box"/>
              <w:spacing w:before="0" w:line="120" w:lineRule="exact"/>
            </w:pPr>
          </w:p>
        </w:tc>
      </w:tr>
      <w:tr w:rsidR="00360B6B" w:rsidRPr="00626D32" w14:paraId="6C011F02" w14:textId="77777777" w:rsidTr="0052424C">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c>
          <w:tcPr>
            <w:tcW w:w="5000" w:type="pct"/>
            <w:gridSpan w:val="4"/>
            <w:tcBorders>
              <w:top w:val="single" w:sz="6" w:space="0" w:color="78A22F"/>
              <w:left w:val="nil"/>
              <w:bottom w:val="nil"/>
              <w:right w:val="nil"/>
            </w:tcBorders>
          </w:tcPr>
          <w:p w14:paraId="56FE11E3" w14:textId="5444220C" w:rsidR="00360B6B" w:rsidRPr="00626D32" w:rsidRDefault="00360B6B" w:rsidP="0052424C">
            <w:pPr>
              <w:pStyle w:val="BoxSpaceBelow"/>
            </w:pPr>
          </w:p>
        </w:tc>
      </w:tr>
    </w:tbl>
    <w:p w14:paraId="020F7F00" w14:textId="77777777" w:rsidR="00360B6B" w:rsidRDefault="00360B6B" w:rsidP="00360B6B">
      <w:pPr>
        <w:pStyle w:val="BodyText"/>
        <w:rPr>
          <w:rFonts w:ascii="Arial" w:hAnsi="Arial"/>
          <w:sz w:val="32"/>
        </w:rPr>
      </w:pPr>
      <w:r>
        <w:br w:type="page"/>
      </w:r>
    </w:p>
    <w:p w14:paraId="2787CC70" w14:textId="77777777" w:rsidR="00360B6B" w:rsidRDefault="00360B6B" w:rsidP="00360B6B">
      <w:pPr>
        <w:pStyle w:val="Heading2"/>
      </w:pPr>
      <w:r>
        <w:lastRenderedPageBreak/>
        <w:t>Appendix B</w:t>
      </w:r>
      <w:r>
        <w:tab/>
        <w:t xml:space="preserve">Coding details of </w:t>
      </w:r>
      <w:proofErr w:type="spellStart"/>
      <w:r>
        <w:t>VUMR</w:t>
      </w:r>
      <w:proofErr w:type="spellEnd"/>
      <w:r>
        <w:t xml:space="preserve"> model extensions </w:t>
      </w:r>
    </w:p>
    <w:p w14:paraId="1FBAA954" w14:textId="77777777" w:rsidR="00360B6B" w:rsidRDefault="00360B6B" w:rsidP="00360B6B">
      <w:pPr>
        <w:pStyle w:val="BodyText"/>
      </w:pPr>
      <w:r>
        <w:t xml:space="preserve">This appendix provides coding changes to the standard </w:t>
      </w:r>
      <w:proofErr w:type="spellStart"/>
      <w:r>
        <w:t>VUMR</w:t>
      </w:r>
      <w:proofErr w:type="spellEnd"/>
      <w:r>
        <w:t xml:space="preserve"> model to implement extensions for the Migrant Intake Inquiry with respect to:</w:t>
      </w:r>
    </w:p>
    <w:p w14:paraId="56FEAE51" w14:textId="77777777" w:rsidR="00360B6B" w:rsidRDefault="00360B6B" w:rsidP="00360B6B">
      <w:pPr>
        <w:pStyle w:val="ListBullet"/>
      </w:pPr>
      <w:r>
        <w:t>the modelling of migrant labour force characteristics</w:t>
      </w:r>
    </w:p>
    <w:p w14:paraId="0372391D" w14:textId="77777777" w:rsidR="00360B6B" w:rsidRDefault="00360B6B" w:rsidP="00360B6B">
      <w:pPr>
        <w:pStyle w:val="ListBullet"/>
      </w:pPr>
      <w:r>
        <w:t>the modelling of the implications of demographic change on health, aged care and education.</w:t>
      </w:r>
    </w:p>
    <w:p w14:paraId="5005BF49" w14:textId="77777777" w:rsidR="00360B6B" w:rsidRDefault="00360B6B" w:rsidP="00360B6B">
      <w:pPr>
        <w:pStyle w:val="Heading3"/>
      </w:pPr>
      <w:r>
        <w:t>Extension for the modelling of migrant labour force characteristics</w:t>
      </w:r>
    </w:p>
    <w:p w14:paraId="078844BD" w14:textId="77777777" w:rsidR="00360B6B" w:rsidRPr="009A7435" w:rsidRDefault="00360B6B" w:rsidP="00360B6B">
      <w:pPr>
        <w:pStyle w:val="BodyText"/>
      </w:pPr>
      <w:r>
        <w:t xml:space="preserve">The changes in the number of NOM (equations </w:t>
      </w:r>
      <w:proofErr w:type="spellStart"/>
      <w:r>
        <w:t>E_om1</w:t>
      </w:r>
      <w:proofErr w:type="spellEnd"/>
      <w:r>
        <w:t xml:space="preserve"> in box </w:t>
      </w:r>
      <w:proofErr w:type="spellStart"/>
      <w:r>
        <w:t>B1</w:t>
      </w:r>
      <w:proofErr w:type="spellEnd"/>
      <w:r>
        <w:t>) is updated</w:t>
      </w:r>
      <w:r w:rsidRPr="00162900">
        <w:t xml:space="preserve"> </w:t>
      </w:r>
      <w:r>
        <w:t>by the projected national level of NOM (</w:t>
      </w:r>
      <w:proofErr w:type="spellStart"/>
      <w:r>
        <w:t>projectnom</w:t>
      </w:r>
      <w:proofErr w:type="spellEnd"/>
      <w:r>
        <w:t>) weighted by the share of NOM in each age, gender and state cohort (</w:t>
      </w:r>
      <w:proofErr w:type="spellStart"/>
      <w:r>
        <w:t>OMSHARE</w:t>
      </w:r>
      <w:proofErr w:type="spellEnd"/>
      <w:r>
        <w:t xml:space="preserve"> (</w:t>
      </w:r>
      <w:proofErr w:type="spellStart"/>
      <w:r>
        <w:t>x,g,q</w:t>
      </w:r>
      <w:proofErr w:type="spellEnd"/>
      <w:r>
        <w:t>)). The projected national level of NOM (</w:t>
      </w:r>
      <w:proofErr w:type="spellStart"/>
      <w:r>
        <w:t>projectnom</w:t>
      </w:r>
      <w:proofErr w:type="spellEnd"/>
      <w:r>
        <w:t>) is designated as a share of the population (</w:t>
      </w:r>
      <w:proofErr w:type="spellStart"/>
      <w:r w:rsidRPr="00560417">
        <w:t>C_NOM2POP</w:t>
      </w:r>
      <w:proofErr w:type="spellEnd"/>
      <w:r>
        <w:t xml:space="preserve">). In scenario 2, this proportion is assumed to be 0.6 per cent. </w:t>
      </w:r>
    </w:p>
    <w:p w14:paraId="11C1CBBF" w14:textId="54DB182D"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171BBDAA" w14:textId="77777777" w:rsidTr="0052424C">
        <w:tc>
          <w:tcPr>
            <w:tcW w:w="8771" w:type="dxa"/>
            <w:tcBorders>
              <w:top w:val="single" w:sz="6" w:space="0" w:color="78A22F"/>
              <w:left w:val="nil"/>
              <w:bottom w:val="nil"/>
              <w:right w:val="nil"/>
            </w:tcBorders>
            <w:shd w:val="clear" w:color="auto" w:fill="F2F2F2"/>
          </w:tcPr>
          <w:p w14:paraId="52B223FF" w14:textId="77777777" w:rsidR="00360B6B" w:rsidRDefault="00360B6B" w:rsidP="0052424C">
            <w:pPr>
              <w:pStyle w:val="BoxTitle"/>
            </w:pPr>
            <w:r>
              <w:rPr>
                <w:b w:val="0"/>
              </w:rPr>
              <w:t xml:space="preserve">Box </w:t>
            </w:r>
            <w:proofErr w:type="spellStart"/>
            <w:r>
              <w:rPr>
                <w:b w:val="0"/>
              </w:rPr>
              <w:t>B1</w:t>
            </w:r>
            <w:proofErr w:type="spellEnd"/>
            <w:r>
              <w:tab/>
              <w:t>Coding details for the modelling of impact of NOM (scenario 2)</w:t>
            </w:r>
          </w:p>
        </w:tc>
      </w:tr>
      <w:tr w:rsidR="00360B6B" w14:paraId="6F10666B" w14:textId="77777777" w:rsidTr="0052424C">
        <w:trPr>
          <w:cantSplit/>
        </w:trPr>
        <w:tc>
          <w:tcPr>
            <w:tcW w:w="8771" w:type="dxa"/>
            <w:tcBorders>
              <w:top w:val="nil"/>
              <w:left w:val="nil"/>
              <w:bottom w:val="nil"/>
              <w:right w:val="nil"/>
            </w:tcBorders>
            <w:shd w:val="clear" w:color="auto" w:fill="F2F2F2"/>
          </w:tcPr>
          <w:p w14:paraId="1E47D5F0" w14:textId="77777777" w:rsidR="00360B6B" w:rsidRPr="008329A5" w:rsidRDefault="00360B6B" w:rsidP="0052424C">
            <w:pPr>
              <w:pStyle w:val="Box"/>
              <w:jc w:val="left"/>
              <w:rPr>
                <w:rFonts w:cs="Arial"/>
                <w:color w:val="000000"/>
              </w:rPr>
            </w:pPr>
            <w:r w:rsidRPr="008329A5">
              <w:rPr>
                <w:rFonts w:cs="Arial"/>
                <w:i/>
                <w:iCs/>
                <w:color w:val="0000F0"/>
              </w:rPr>
              <w:t>! Link changes in net overseas migration to population in projection period !</w:t>
            </w:r>
            <w:r w:rsidRPr="008329A5">
              <w:rPr>
                <w:rFonts w:cs="Arial"/>
                <w:color w:val="000000"/>
              </w:rPr>
              <w:br/>
            </w:r>
            <w:r w:rsidRPr="008329A5">
              <w:rPr>
                <w:rFonts w:cs="Arial"/>
                <w:b/>
                <w:bCs/>
                <w:color w:val="000000"/>
              </w:rPr>
              <w:t>Equation</w:t>
            </w:r>
            <w:r w:rsidRPr="008329A5">
              <w:rPr>
                <w:rFonts w:cs="Arial"/>
                <w:color w:val="000000"/>
              </w:rPr>
              <w:t xml:space="preserve"> </w:t>
            </w:r>
            <w:proofErr w:type="spellStart"/>
            <w:r w:rsidRPr="008329A5">
              <w:rPr>
                <w:rFonts w:cs="Arial"/>
                <w:color w:val="008000"/>
              </w:rPr>
              <w:t>E_projectnom</w:t>
            </w:r>
            <w:proofErr w:type="spellEnd"/>
            <w:r w:rsidRPr="008329A5">
              <w:rPr>
                <w:rFonts w:cs="Arial"/>
                <w:color w:val="000000"/>
              </w:rPr>
              <w:br/>
            </w:r>
            <w:r w:rsidRPr="008329A5">
              <w:rPr>
                <w:rFonts w:cs="Arial"/>
                <w:i/>
                <w:iCs/>
                <w:color w:val="000000"/>
              </w:rPr>
              <w:t># Projection of net overseas migration on an age at migration basis (000) #</w:t>
            </w:r>
            <w:r w:rsidRPr="008329A5">
              <w:rPr>
                <w:rFonts w:cs="Arial"/>
                <w:color w:val="000000"/>
              </w:rPr>
              <w:br/>
            </w:r>
            <w:proofErr w:type="spellStart"/>
            <w:r w:rsidRPr="008329A5">
              <w:rPr>
                <w:rFonts w:cs="Arial"/>
                <w:color w:val="008000"/>
              </w:rPr>
              <w:t>projectnom</w:t>
            </w:r>
            <w:proofErr w:type="spellEnd"/>
            <w:r w:rsidRPr="008329A5">
              <w:rPr>
                <w:rFonts w:cs="Arial"/>
                <w:color w:val="000000"/>
              </w:rPr>
              <w:t xml:space="preserve"> = </w:t>
            </w:r>
            <w:r w:rsidRPr="008329A5">
              <w:rPr>
                <w:rFonts w:cs="Arial"/>
                <w:b/>
                <w:bCs/>
                <w:color w:val="000000"/>
              </w:rPr>
              <w:t>[</w:t>
            </w:r>
            <w:proofErr w:type="spellStart"/>
            <w:r w:rsidRPr="008329A5">
              <w:rPr>
                <w:rFonts w:cs="Arial"/>
                <w:color w:val="008000"/>
              </w:rPr>
              <w:t>C_NOM2POP@1</w:t>
            </w:r>
            <w:proofErr w:type="spellEnd"/>
            <w:r w:rsidRPr="008329A5">
              <w:rPr>
                <w:rFonts w:cs="Arial"/>
                <w:color w:val="000000"/>
              </w:rPr>
              <w:t>/100</w:t>
            </w:r>
            <w:r w:rsidRPr="008329A5">
              <w:rPr>
                <w:rFonts w:cs="Arial"/>
                <w:b/>
                <w:bCs/>
                <w:color w:val="000000"/>
              </w:rPr>
              <w:t>]</w:t>
            </w:r>
            <w:r w:rsidRPr="008329A5">
              <w:rPr>
                <w:rFonts w:cs="Arial"/>
                <w:color w:val="000000"/>
              </w:rPr>
              <w:t>*</w:t>
            </w:r>
            <w:proofErr w:type="spellStart"/>
            <w:r w:rsidRPr="008329A5">
              <w:rPr>
                <w:rFonts w:cs="Arial"/>
                <w:color w:val="008000"/>
              </w:rPr>
              <w:t>C_NATPOP@1</w:t>
            </w:r>
            <w:proofErr w:type="spellEnd"/>
            <w:r w:rsidRPr="008329A5">
              <w:rPr>
                <w:rFonts w:cs="Arial"/>
                <w:color w:val="000000"/>
              </w:rPr>
              <w:t>*</w:t>
            </w:r>
            <w:proofErr w:type="spellStart"/>
            <w:r w:rsidRPr="008329A5">
              <w:rPr>
                <w:rFonts w:cs="Arial"/>
                <w:b/>
                <w:bCs/>
                <w:color w:val="FF0000"/>
              </w:rPr>
              <w:t>d_unity</w:t>
            </w:r>
            <w:proofErr w:type="spellEnd"/>
            <w:r w:rsidRPr="008329A5">
              <w:rPr>
                <w:rFonts w:cs="Arial"/>
                <w:color w:val="000000"/>
              </w:rPr>
              <w:t xml:space="preserve"> + </w:t>
            </w:r>
            <w:proofErr w:type="spellStart"/>
            <w:r w:rsidRPr="008329A5">
              <w:rPr>
                <w:rFonts w:cs="Arial"/>
                <w:i/>
                <w:iCs/>
                <w:color w:val="FF0000"/>
              </w:rPr>
              <w:t>f_natnom</w:t>
            </w:r>
            <w:proofErr w:type="spellEnd"/>
            <w:r w:rsidRPr="008329A5">
              <w:rPr>
                <w:rFonts w:cs="Arial"/>
                <w:color w:val="000000"/>
              </w:rPr>
              <w:t>;</w:t>
            </w:r>
          </w:p>
          <w:p w14:paraId="44E70DFC" w14:textId="77777777" w:rsidR="00360B6B" w:rsidRPr="006F4196" w:rsidRDefault="00360B6B" w:rsidP="0052424C">
            <w:pPr>
              <w:pStyle w:val="Box"/>
              <w:rPr>
                <w:color w:val="000000"/>
                <w:sz w:val="24"/>
              </w:rPr>
            </w:pPr>
            <w:r w:rsidRPr="008329A5">
              <w:rPr>
                <w:rFonts w:cs="Arial"/>
                <w:i/>
                <w:iCs/>
                <w:color w:val="0000F0"/>
              </w:rPr>
              <w:t>! Allocate projected NOM using actual migration shares !</w:t>
            </w:r>
            <w:r w:rsidRPr="008329A5">
              <w:rPr>
                <w:rFonts w:cs="Arial"/>
                <w:color w:val="000000"/>
              </w:rPr>
              <w:br/>
            </w:r>
            <w:r w:rsidRPr="008329A5">
              <w:rPr>
                <w:rFonts w:cs="Arial"/>
                <w:b/>
                <w:bCs/>
                <w:color w:val="000000"/>
              </w:rPr>
              <w:t>Equation</w:t>
            </w:r>
            <w:r w:rsidRPr="008329A5">
              <w:rPr>
                <w:rFonts w:cs="Arial"/>
                <w:color w:val="000000"/>
              </w:rPr>
              <w:t xml:space="preserve"> </w:t>
            </w:r>
            <w:proofErr w:type="spellStart"/>
            <w:r w:rsidRPr="008329A5">
              <w:rPr>
                <w:rFonts w:cs="Arial"/>
                <w:color w:val="008000"/>
              </w:rPr>
              <w:t>E_om1</w:t>
            </w:r>
            <w:proofErr w:type="spellEnd"/>
            <w:r w:rsidRPr="008329A5">
              <w:rPr>
                <w:rFonts w:cs="Arial"/>
                <w:color w:val="000000"/>
              </w:rPr>
              <w:t xml:space="preserve"> </w:t>
            </w:r>
            <w:r w:rsidRPr="008329A5">
              <w:rPr>
                <w:rFonts w:cs="Arial"/>
                <w:i/>
                <w:iCs/>
                <w:color w:val="000000"/>
              </w:rPr>
              <w:t># Net overseas migration on an age at migration basis (000) #</w:t>
            </w:r>
            <w:r w:rsidRPr="008329A5">
              <w:rPr>
                <w:rFonts w:cs="Arial"/>
                <w:color w:val="000000"/>
              </w:rPr>
              <w:br/>
              <w:t>(</w:t>
            </w:r>
            <w:proofErr w:type="spellStart"/>
            <w:r w:rsidRPr="008329A5">
              <w:rPr>
                <w:rFonts w:cs="Arial"/>
                <w:b/>
                <w:bCs/>
                <w:color w:val="000000"/>
              </w:rPr>
              <w:t>all</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AGE</w:t>
            </w:r>
            <w:proofErr w:type="spellEnd"/>
            <w:r w:rsidRPr="008329A5">
              <w:rPr>
                <w:rFonts w:cs="Arial"/>
                <w:color w:val="000000"/>
              </w:rPr>
              <w:t>)(</w:t>
            </w:r>
            <w:proofErr w:type="spellStart"/>
            <w:r w:rsidRPr="008329A5">
              <w:rPr>
                <w:rFonts w:cs="Arial"/>
                <w:b/>
                <w:bCs/>
                <w:color w:val="000000"/>
              </w:rPr>
              <w:t>all</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w:t>
            </w:r>
            <w:proofErr w:type="spellStart"/>
            <w:r w:rsidRPr="008329A5">
              <w:rPr>
                <w:rFonts w:cs="Arial"/>
                <w:b/>
                <w:bCs/>
                <w:color w:val="000000"/>
              </w:rPr>
              <w:t>all</w:t>
            </w:r>
            <w:r w:rsidRPr="008329A5">
              <w:rPr>
                <w:rFonts w:cs="Arial"/>
                <w:color w:val="000000"/>
              </w:rPr>
              <w:t>,</w:t>
            </w:r>
            <w:r w:rsidRPr="008329A5">
              <w:rPr>
                <w:rFonts w:cs="Arial"/>
                <w:color w:val="008000"/>
              </w:rPr>
              <w:t>q</w:t>
            </w:r>
            <w:r w:rsidRPr="008329A5">
              <w:rPr>
                <w:rFonts w:cs="Arial"/>
                <w:color w:val="000000"/>
              </w:rPr>
              <w:t>,</w:t>
            </w:r>
            <w:r w:rsidRPr="008329A5">
              <w:rPr>
                <w:rFonts w:cs="Arial"/>
                <w:color w:val="008000"/>
              </w:rPr>
              <w:t>REGDST</w:t>
            </w:r>
            <w:proofErr w:type="spellEnd"/>
            <w:r w:rsidRPr="008329A5">
              <w:rPr>
                <w:rFonts w:cs="Arial"/>
                <w:color w:val="000000"/>
              </w:rPr>
              <w:t>)</w:t>
            </w:r>
            <w:r w:rsidRPr="008329A5">
              <w:rPr>
                <w:rFonts w:cs="Arial"/>
                <w:color w:val="000000"/>
              </w:rPr>
              <w:br/>
            </w:r>
            <w:r w:rsidRPr="008329A5">
              <w:rPr>
                <w:rFonts w:cs="Arial"/>
                <w:color w:val="008000"/>
              </w:rPr>
              <w:t>om</w:t>
            </w:r>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 = (1-</w:t>
            </w:r>
            <w:r w:rsidRPr="008329A5">
              <w:rPr>
                <w:rFonts w:cs="Arial"/>
                <w:color w:val="008000"/>
              </w:rPr>
              <w:t>PROJECTION</w:t>
            </w:r>
            <w:r w:rsidRPr="008329A5">
              <w:rPr>
                <w:rFonts w:cs="Arial"/>
                <w:color w:val="000000"/>
              </w:rPr>
              <w:t>)*</w:t>
            </w:r>
            <w:proofErr w:type="spellStart"/>
            <w:r w:rsidRPr="008329A5">
              <w:rPr>
                <w:rFonts w:cs="Arial"/>
                <w:color w:val="008000"/>
              </w:rPr>
              <w:t>actualnom</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 +</w:t>
            </w:r>
            <w:r w:rsidRPr="008329A5">
              <w:rPr>
                <w:rFonts w:cs="Arial"/>
                <w:color w:val="000000"/>
              </w:rPr>
              <w:br/>
              <w:t xml:space="preserve">        </w:t>
            </w:r>
            <w:r w:rsidRPr="008329A5">
              <w:rPr>
                <w:rFonts w:cs="Arial"/>
                <w:color w:val="008000"/>
              </w:rPr>
              <w:t>PROJECTION</w:t>
            </w:r>
            <w:r w:rsidRPr="008329A5">
              <w:rPr>
                <w:rFonts w:cs="Arial"/>
                <w:color w:val="000000"/>
              </w:rPr>
              <w:t>*</w:t>
            </w:r>
            <w:proofErr w:type="spellStart"/>
            <w:r w:rsidRPr="008329A5">
              <w:rPr>
                <w:rFonts w:cs="Arial"/>
                <w:color w:val="008000"/>
              </w:rPr>
              <w:t>OMSHARE</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proofErr w:type="spellStart"/>
            <w:r w:rsidRPr="008329A5">
              <w:rPr>
                <w:rFonts w:cs="Arial"/>
                <w:color w:val="008000"/>
              </w:rPr>
              <w:t>projectnom</w:t>
            </w:r>
            <w:proofErr w:type="spellEnd"/>
            <w:r w:rsidRPr="008329A5">
              <w:rPr>
                <w:rFonts w:cs="Arial"/>
                <w:color w:val="000000"/>
              </w:rPr>
              <w:t xml:space="preserve"> + </w:t>
            </w:r>
            <w:proofErr w:type="spellStart"/>
            <w:r w:rsidRPr="008329A5">
              <w:rPr>
                <w:rFonts w:cs="Arial"/>
                <w:i/>
                <w:iCs/>
                <w:color w:val="FF0000"/>
              </w:rPr>
              <w:t>f_om1</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p>
        </w:tc>
      </w:tr>
      <w:tr w:rsidR="00360B6B" w14:paraId="2B28FC35" w14:textId="77777777" w:rsidTr="0052424C">
        <w:trPr>
          <w:cantSplit/>
        </w:trPr>
        <w:tc>
          <w:tcPr>
            <w:tcW w:w="8771" w:type="dxa"/>
            <w:tcBorders>
              <w:top w:val="nil"/>
              <w:left w:val="nil"/>
              <w:bottom w:val="nil"/>
              <w:right w:val="nil"/>
            </w:tcBorders>
            <w:shd w:val="clear" w:color="auto" w:fill="F2F2F2"/>
          </w:tcPr>
          <w:p w14:paraId="633609F6" w14:textId="77777777" w:rsidR="00360B6B" w:rsidRDefault="00360B6B" w:rsidP="0052424C">
            <w:pPr>
              <w:pStyle w:val="BoxSource"/>
            </w:pPr>
            <w:r>
              <w:rPr>
                <w:i/>
              </w:rPr>
              <w:t>Source</w:t>
            </w:r>
            <w:r w:rsidRPr="00167F06">
              <w:t xml:space="preserve">: </w:t>
            </w:r>
            <w:r>
              <w:t>Productivity Commission preliminary modelling.</w:t>
            </w:r>
          </w:p>
        </w:tc>
      </w:tr>
      <w:tr w:rsidR="00360B6B" w14:paraId="2FC0B37D" w14:textId="77777777" w:rsidTr="0052424C">
        <w:trPr>
          <w:cantSplit/>
        </w:trPr>
        <w:tc>
          <w:tcPr>
            <w:tcW w:w="8771" w:type="dxa"/>
            <w:tcBorders>
              <w:top w:val="nil"/>
              <w:left w:val="nil"/>
              <w:bottom w:val="single" w:sz="6" w:space="0" w:color="78A22F"/>
              <w:right w:val="nil"/>
            </w:tcBorders>
            <w:shd w:val="clear" w:color="auto" w:fill="F2F2F2"/>
          </w:tcPr>
          <w:p w14:paraId="5E604EED" w14:textId="77777777" w:rsidR="00360B6B" w:rsidRDefault="00360B6B" w:rsidP="0052424C">
            <w:pPr>
              <w:pStyle w:val="Box"/>
              <w:spacing w:before="0" w:line="120" w:lineRule="exact"/>
            </w:pPr>
          </w:p>
        </w:tc>
      </w:tr>
      <w:tr w:rsidR="00360B6B" w:rsidRPr="000863A5" w14:paraId="736388F7" w14:textId="77777777" w:rsidTr="0052424C">
        <w:tc>
          <w:tcPr>
            <w:tcW w:w="8771" w:type="dxa"/>
            <w:tcBorders>
              <w:top w:val="single" w:sz="6" w:space="0" w:color="78A22F"/>
              <w:left w:val="nil"/>
              <w:bottom w:val="nil"/>
              <w:right w:val="nil"/>
            </w:tcBorders>
          </w:tcPr>
          <w:p w14:paraId="0EB290A3" w14:textId="743B4CD0" w:rsidR="00360B6B" w:rsidRPr="00626D32" w:rsidRDefault="00360B6B" w:rsidP="0052424C">
            <w:pPr>
              <w:pStyle w:val="BoxSpaceBelow"/>
            </w:pPr>
          </w:p>
        </w:tc>
      </w:tr>
    </w:tbl>
    <w:p w14:paraId="4C8A5E12" w14:textId="77777777" w:rsidR="00360B6B" w:rsidRDefault="00360B6B" w:rsidP="00360B6B">
      <w:pPr>
        <w:pStyle w:val="BodyText"/>
      </w:pPr>
      <w:r>
        <w:t>Changes in the state labour force supply that accounts for the occupation characteristics of NOM (</w:t>
      </w:r>
      <w:proofErr w:type="spellStart"/>
      <w:r>
        <w:t>E_d_lab_rd_n</w:t>
      </w:r>
      <w:proofErr w:type="spellEnd"/>
      <w:r>
        <w:t>) is updated by the changes in the persons of NOM (</w:t>
      </w:r>
      <w:proofErr w:type="spellStart"/>
      <w:r>
        <w:t>d_pop_nom</w:t>
      </w:r>
      <w:proofErr w:type="spellEnd"/>
      <w:r>
        <w:t>(</w:t>
      </w:r>
      <w:proofErr w:type="spellStart"/>
      <w:r>
        <w:t>y,g,q</w:t>
      </w:r>
      <w:proofErr w:type="spellEnd"/>
      <w:r>
        <w:t>), their participation rates (</w:t>
      </w:r>
      <w:proofErr w:type="spellStart"/>
      <w:r>
        <w:t>prate_nom</w:t>
      </w:r>
      <w:proofErr w:type="spellEnd"/>
      <w:r>
        <w:t>) and occupational share (</w:t>
      </w:r>
      <w:proofErr w:type="spellStart"/>
      <w:r>
        <w:t>d_occshr_n</w:t>
      </w:r>
      <w:proofErr w:type="spellEnd"/>
      <w:r>
        <w:t>(</w:t>
      </w:r>
      <w:proofErr w:type="spellStart"/>
      <w:r>
        <w:t>q,o</w:t>
      </w:r>
      <w:proofErr w:type="spellEnd"/>
      <w:r>
        <w:t xml:space="preserve">)) in each state. These three components in change form are presented in box </w:t>
      </w:r>
      <w:proofErr w:type="spellStart"/>
      <w:r>
        <w:t>B2</w:t>
      </w:r>
      <w:proofErr w:type="spellEnd"/>
      <w:r>
        <w:t>.</w:t>
      </w:r>
    </w:p>
    <w:p w14:paraId="7347B96B" w14:textId="77777777" w:rsidR="00360B6B" w:rsidRDefault="00360B6B" w:rsidP="00360B6B">
      <w:r>
        <w:br w:type="page"/>
      </w:r>
    </w:p>
    <w:p w14:paraId="21A138C1" w14:textId="21FEB8EE"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61E7F28E" w14:textId="77777777" w:rsidTr="0052424C">
        <w:tc>
          <w:tcPr>
            <w:tcW w:w="8771" w:type="dxa"/>
            <w:tcBorders>
              <w:top w:val="single" w:sz="6" w:space="0" w:color="78A22F"/>
              <w:left w:val="nil"/>
              <w:bottom w:val="nil"/>
              <w:right w:val="nil"/>
            </w:tcBorders>
            <w:shd w:val="clear" w:color="auto" w:fill="F2F2F2"/>
          </w:tcPr>
          <w:p w14:paraId="410B19C2" w14:textId="77777777" w:rsidR="00360B6B" w:rsidRPr="006F4196" w:rsidRDefault="00360B6B" w:rsidP="0052424C">
            <w:pPr>
              <w:pStyle w:val="BoxTitle"/>
              <w:rPr>
                <w:sz w:val="22"/>
              </w:rPr>
            </w:pPr>
            <w:r w:rsidRPr="006F4196">
              <w:rPr>
                <w:b w:val="0"/>
                <w:sz w:val="22"/>
              </w:rPr>
              <w:t xml:space="preserve">Box </w:t>
            </w:r>
            <w:proofErr w:type="spellStart"/>
            <w:r>
              <w:rPr>
                <w:b w:val="0"/>
                <w:sz w:val="22"/>
              </w:rPr>
              <w:t>B2</w:t>
            </w:r>
            <w:proofErr w:type="spellEnd"/>
            <w:r w:rsidRPr="006F4196">
              <w:rPr>
                <w:sz w:val="22"/>
              </w:rPr>
              <w:tab/>
              <w:t xml:space="preserve">Coding details for the modelling of NOM </w:t>
            </w:r>
            <w:r>
              <w:rPr>
                <w:sz w:val="22"/>
              </w:rPr>
              <w:t>labour force</w:t>
            </w:r>
            <w:r w:rsidRPr="006F4196">
              <w:rPr>
                <w:sz w:val="22"/>
              </w:rPr>
              <w:t xml:space="preserve"> </w:t>
            </w:r>
            <w:r>
              <w:rPr>
                <w:sz w:val="22"/>
              </w:rPr>
              <w:t xml:space="preserve">occupation </w:t>
            </w:r>
            <w:r w:rsidRPr="006F4196">
              <w:rPr>
                <w:sz w:val="22"/>
              </w:rPr>
              <w:t>characteristics (</w:t>
            </w:r>
            <w:r>
              <w:rPr>
                <w:sz w:val="22"/>
              </w:rPr>
              <w:t>s</w:t>
            </w:r>
            <w:r w:rsidRPr="006F4196">
              <w:rPr>
                <w:sz w:val="22"/>
              </w:rPr>
              <w:t>cenario 3)</w:t>
            </w:r>
          </w:p>
        </w:tc>
      </w:tr>
      <w:tr w:rsidR="00360B6B" w14:paraId="3235E603" w14:textId="77777777" w:rsidTr="0052424C">
        <w:trPr>
          <w:cantSplit/>
        </w:trPr>
        <w:tc>
          <w:tcPr>
            <w:tcW w:w="8771" w:type="dxa"/>
            <w:tcBorders>
              <w:top w:val="nil"/>
              <w:left w:val="nil"/>
              <w:bottom w:val="nil"/>
              <w:right w:val="nil"/>
            </w:tcBorders>
            <w:shd w:val="clear" w:color="auto" w:fill="F2F2F2"/>
          </w:tcPr>
          <w:p w14:paraId="1A510B94" w14:textId="77777777" w:rsidR="00360B6B" w:rsidRPr="006F4196" w:rsidRDefault="00360B6B" w:rsidP="0052424C">
            <w:pPr>
              <w:pStyle w:val="Box"/>
              <w:jc w:val="left"/>
              <w:rPr>
                <w:sz w:val="22"/>
              </w:rPr>
            </w:pPr>
            <w:r w:rsidRPr="008329A5">
              <w:rPr>
                <w:rFonts w:cs="Arial"/>
                <w:b/>
                <w:bCs/>
                <w:color w:val="000000"/>
              </w:rPr>
              <w:t>Equation</w:t>
            </w:r>
            <w:r w:rsidRPr="008329A5">
              <w:rPr>
                <w:rFonts w:cs="Arial"/>
                <w:color w:val="000000"/>
              </w:rPr>
              <w:t xml:space="preserve"> </w:t>
            </w:r>
            <w:proofErr w:type="spellStart"/>
            <w:r w:rsidRPr="008329A5">
              <w:rPr>
                <w:rFonts w:cs="Arial"/>
                <w:color w:val="008000"/>
              </w:rPr>
              <w:t>E_d_lab_rd_n</w:t>
            </w:r>
            <w:proofErr w:type="spellEnd"/>
            <w:r w:rsidRPr="008329A5">
              <w:rPr>
                <w:rFonts w:cs="Arial"/>
                <w:color w:val="000000"/>
              </w:rPr>
              <w:br/>
            </w:r>
            <w:r w:rsidRPr="008329A5">
              <w:rPr>
                <w:rFonts w:cs="Arial"/>
                <w:i/>
                <w:iCs/>
                <w:color w:val="000000"/>
              </w:rPr>
              <w:t># Change in state labour supply - NOM (persons) #</w:t>
            </w:r>
            <w:r w:rsidRPr="008329A5">
              <w:rPr>
                <w:rFonts w:cs="Arial"/>
                <w:color w:val="000000"/>
              </w:rPr>
              <w:br/>
              <w:t>(</w:t>
            </w:r>
            <w:proofErr w:type="spellStart"/>
            <w:r w:rsidRPr="008329A5">
              <w:rPr>
                <w:rFonts w:cs="Arial"/>
                <w:b/>
                <w:bCs/>
                <w:color w:val="000000"/>
              </w:rPr>
              <w:t>all</w:t>
            </w:r>
            <w:r w:rsidRPr="008329A5">
              <w:rPr>
                <w:rFonts w:cs="Arial"/>
                <w:color w:val="000000"/>
              </w:rPr>
              <w:t>,</w:t>
            </w:r>
            <w:r w:rsidRPr="008329A5">
              <w:rPr>
                <w:rFonts w:cs="Arial"/>
                <w:color w:val="008000"/>
              </w:rPr>
              <w:t>q</w:t>
            </w:r>
            <w:r w:rsidRPr="008329A5">
              <w:rPr>
                <w:rFonts w:cs="Arial"/>
                <w:color w:val="000000"/>
              </w:rPr>
              <w:t>,</w:t>
            </w:r>
            <w:r w:rsidRPr="008329A5">
              <w:rPr>
                <w:rFonts w:cs="Arial"/>
                <w:color w:val="008000"/>
              </w:rPr>
              <w:t>REGDST</w:t>
            </w:r>
            <w:proofErr w:type="spellEnd"/>
            <w:r w:rsidRPr="008329A5">
              <w:rPr>
                <w:rFonts w:cs="Arial"/>
                <w:color w:val="000000"/>
              </w:rPr>
              <w:t>)(</w:t>
            </w:r>
            <w:proofErr w:type="spellStart"/>
            <w:r w:rsidRPr="008329A5">
              <w:rPr>
                <w:rFonts w:cs="Arial"/>
                <w:b/>
                <w:bCs/>
                <w:color w:val="000000"/>
              </w:rPr>
              <w:t>all</w:t>
            </w:r>
            <w:r w:rsidRPr="008329A5">
              <w:rPr>
                <w:rFonts w:cs="Arial"/>
                <w:color w:val="000000"/>
              </w:rPr>
              <w:t>,</w:t>
            </w:r>
            <w:r w:rsidRPr="008329A5">
              <w:rPr>
                <w:rFonts w:cs="Arial"/>
                <w:color w:val="008000"/>
              </w:rPr>
              <w:t>o</w:t>
            </w:r>
            <w:r w:rsidRPr="008329A5">
              <w:rPr>
                <w:rFonts w:cs="Arial"/>
                <w:color w:val="000000"/>
              </w:rPr>
              <w:t>,</w:t>
            </w:r>
            <w:r w:rsidRPr="008329A5">
              <w:rPr>
                <w:rFonts w:cs="Arial"/>
                <w:color w:val="008000"/>
              </w:rPr>
              <w:t>OCC</w:t>
            </w:r>
            <w:proofErr w:type="spellEnd"/>
            <w:r w:rsidRPr="008329A5">
              <w:rPr>
                <w:rFonts w:cs="Arial"/>
                <w:color w:val="000000"/>
              </w:rPr>
              <w:t>)</w:t>
            </w:r>
            <w:r w:rsidRPr="008329A5">
              <w:rPr>
                <w:rFonts w:cs="Arial"/>
                <w:color w:val="000000"/>
              </w:rPr>
              <w:br/>
            </w:r>
            <w:proofErr w:type="spellStart"/>
            <w:r w:rsidRPr="008329A5">
              <w:rPr>
                <w:rFonts w:cs="Arial"/>
                <w:color w:val="008000"/>
              </w:rPr>
              <w:t>d_lab_rd_n</w:t>
            </w:r>
            <w:proofErr w:type="spellEnd"/>
            <w:r w:rsidRPr="008329A5">
              <w:rPr>
                <w:rFonts w:cs="Arial"/>
                <w:color w:val="000000"/>
              </w:rPr>
              <w:t>(</w:t>
            </w:r>
            <w:proofErr w:type="spellStart"/>
            <w:r w:rsidRPr="008329A5">
              <w:rPr>
                <w:rFonts w:cs="Arial"/>
                <w:color w:val="008000"/>
              </w:rPr>
              <w:t>q</w:t>
            </w:r>
            <w:r w:rsidRPr="008329A5">
              <w:rPr>
                <w:rFonts w:cs="Arial"/>
                <w:color w:val="000000"/>
              </w:rPr>
              <w:t>,</w:t>
            </w:r>
            <w:r w:rsidRPr="008329A5">
              <w:rPr>
                <w:rFonts w:cs="Arial"/>
                <w:color w:val="008000"/>
              </w:rPr>
              <w:t>o</w:t>
            </w:r>
            <w:proofErr w:type="spellEnd"/>
            <w:r w:rsidRPr="008329A5">
              <w:rPr>
                <w:rFonts w:cs="Arial"/>
                <w:color w:val="000000"/>
              </w:rPr>
              <w:t>) =</w:t>
            </w:r>
            <w:r w:rsidRPr="008329A5">
              <w:rPr>
                <w:rFonts w:cs="Arial"/>
                <w:color w:val="000000"/>
              </w:rPr>
              <w:br/>
            </w:r>
            <w:r w:rsidRPr="008329A5">
              <w:rPr>
                <w:rFonts w:cs="Arial"/>
                <w:b/>
                <w:bCs/>
                <w:color w:val="000000"/>
              </w:rPr>
              <w:t>sum{</w:t>
            </w:r>
            <w:proofErr w:type="spellStart"/>
            <w:r w:rsidRPr="008329A5">
              <w:rPr>
                <w:rFonts w:cs="Arial"/>
                <w:color w:val="008000"/>
              </w:rPr>
              <w:t>y</w:t>
            </w:r>
            <w:r w:rsidRPr="008329A5">
              <w:rPr>
                <w:rFonts w:cs="Arial"/>
                <w:color w:val="000000"/>
              </w:rPr>
              <w:t>,</w:t>
            </w:r>
            <w:r w:rsidRPr="008329A5">
              <w:rPr>
                <w:rFonts w:cs="Arial"/>
                <w:color w:val="008000"/>
              </w:rPr>
              <w:t>WORKINGAGE</w:t>
            </w:r>
            <w:proofErr w:type="spellEnd"/>
            <w:r w:rsidRPr="008329A5">
              <w:rPr>
                <w:rFonts w:cs="Arial"/>
                <w:color w:val="000000"/>
              </w:rPr>
              <w:t xml:space="preserve">, </w:t>
            </w:r>
            <w:r w:rsidRPr="008329A5">
              <w:rPr>
                <w:rFonts w:cs="Arial"/>
                <w:b/>
                <w:bCs/>
                <w:color w:val="000000"/>
              </w:rPr>
              <w:t>sum{</w:t>
            </w:r>
            <w:proofErr w:type="spellStart"/>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w:t>
            </w:r>
            <w:r w:rsidRPr="008329A5">
              <w:rPr>
                <w:rFonts w:cs="Arial"/>
                <w:color w:val="000000"/>
              </w:rPr>
              <w:br/>
              <w:t xml:space="preserve">    </w:t>
            </w:r>
            <w:r w:rsidRPr="008329A5">
              <w:rPr>
                <w:rFonts w:cs="Arial"/>
                <w:b/>
                <w:bCs/>
                <w:color w:val="000000"/>
              </w:rPr>
              <w:t>[</w:t>
            </w:r>
            <w:proofErr w:type="spellStart"/>
            <w:r w:rsidRPr="008329A5">
              <w:rPr>
                <w:rFonts w:cs="Arial"/>
                <w:color w:val="008000"/>
              </w:rPr>
              <w:t>OCCSHR_NOM</w:t>
            </w:r>
            <w:proofErr w:type="spellEnd"/>
            <w:r w:rsidRPr="008329A5">
              <w:rPr>
                <w:rFonts w:cs="Arial"/>
                <w:color w:val="000000"/>
              </w:rPr>
              <w:t>(</w:t>
            </w:r>
            <w:proofErr w:type="spellStart"/>
            <w:r w:rsidRPr="008329A5">
              <w:rPr>
                <w:rFonts w:cs="Arial"/>
                <w:color w:val="008000"/>
              </w:rPr>
              <w:t>q</w:t>
            </w:r>
            <w:r w:rsidRPr="008329A5">
              <w:rPr>
                <w:rFonts w:cs="Arial"/>
                <w:color w:val="000000"/>
              </w:rPr>
              <w:t>,</w:t>
            </w:r>
            <w:r w:rsidRPr="008329A5">
              <w:rPr>
                <w:rFonts w:cs="Arial"/>
                <w:color w:val="008000"/>
              </w:rPr>
              <w:t>o</w:t>
            </w:r>
            <w:proofErr w:type="spellEnd"/>
            <w:r w:rsidRPr="008329A5">
              <w:rPr>
                <w:rFonts w:cs="Arial"/>
                <w:color w:val="000000"/>
              </w:rPr>
              <w:t>)/100</w:t>
            </w:r>
            <w:r w:rsidRPr="008329A5">
              <w:rPr>
                <w:rFonts w:cs="Arial"/>
                <w:b/>
                <w:bCs/>
                <w:color w:val="000000"/>
              </w:rPr>
              <w:t>]</w:t>
            </w:r>
            <w:r w:rsidRPr="008329A5">
              <w:rPr>
                <w:rFonts w:cs="Arial"/>
                <w:color w:val="000000"/>
              </w:rPr>
              <w:t>*</w:t>
            </w:r>
            <w:r w:rsidRPr="008329A5">
              <w:rPr>
                <w:rFonts w:cs="Arial"/>
                <w:b/>
                <w:bCs/>
                <w:color w:val="000000"/>
              </w:rPr>
              <w:t>[</w:t>
            </w:r>
            <w:proofErr w:type="spellStart"/>
            <w:r w:rsidRPr="008329A5">
              <w:rPr>
                <w:rFonts w:cs="Arial"/>
                <w:color w:val="008000"/>
              </w:rPr>
              <w:t>PR_NOM</w:t>
            </w:r>
            <w:proofErr w:type="spellEnd"/>
            <w:r w:rsidRPr="008329A5">
              <w:rPr>
                <w:rFonts w:cs="Arial"/>
                <w:color w:val="000000"/>
              </w:rPr>
              <w:t>(</w:t>
            </w:r>
            <w:proofErr w:type="spellStart"/>
            <w:r w:rsidRPr="008329A5">
              <w:rPr>
                <w:rFonts w:cs="Arial"/>
                <w:color w:val="008000"/>
              </w:rPr>
              <w:t>y</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)/100</w:t>
            </w:r>
            <w:r w:rsidRPr="008329A5">
              <w:rPr>
                <w:rFonts w:cs="Arial"/>
                <w:b/>
                <w:bCs/>
                <w:color w:val="000000"/>
              </w:rPr>
              <w:t>]</w:t>
            </w:r>
            <w:r w:rsidRPr="008329A5">
              <w:rPr>
                <w:rFonts w:cs="Arial"/>
                <w:color w:val="000000"/>
              </w:rPr>
              <w:t>*</w:t>
            </w:r>
            <w:proofErr w:type="spellStart"/>
            <w:r w:rsidRPr="008329A5">
              <w:rPr>
                <w:rFonts w:cs="Arial"/>
                <w:color w:val="008000"/>
              </w:rPr>
              <w:t>d_pop_nom</w:t>
            </w:r>
            <w:proofErr w:type="spellEnd"/>
            <w:r w:rsidRPr="008329A5">
              <w:rPr>
                <w:rFonts w:cs="Arial"/>
                <w:color w:val="000000"/>
              </w:rPr>
              <w:t>(</w:t>
            </w:r>
            <w:proofErr w:type="spellStart"/>
            <w:r w:rsidRPr="008329A5">
              <w:rPr>
                <w:rFonts w:cs="Arial"/>
                <w:color w:val="008000"/>
              </w:rPr>
              <w:t>y</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 +</w:t>
            </w:r>
            <w:r w:rsidRPr="008329A5">
              <w:rPr>
                <w:rFonts w:cs="Arial"/>
                <w:color w:val="000000"/>
              </w:rPr>
              <w:br/>
            </w:r>
            <w:r w:rsidRPr="008329A5">
              <w:rPr>
                <w:rFonts w:cs="Arial"/>
                <w:b/>
                <w:bCs/>
                <w:color w:val="000000"/>
              </w:rPr>
              <w:t>[</w:t>
            </w:r>
            <w:r w:rsidRPr="008329A5">
              <w:rPr>
                <w:rFonts w:cs="Arial"/>
                <w:color w:val="008000"/>
              </w:rPr>
              <w:t>OCCSHR_NOM</w:t>
            </w:r>
            <w:r w:rsidRPr="008329A5">
              <w:rPr>
                <w:rFonts w:cs="Arial"/>
                <w:color w:val="000000"/>
              </w:rPr>
              <w:t>(</w:t>
            </w:r>
            <w:r w:rsidRPr="008329A5">
              <w:rPr>
                <w:rFonts w:cs="Arial"/>
                <w:color w:val="008000"/>
              </w:rPr>
              <w:t>q</w:t>
            </w:r>
            <w:r w:rsidRPr="008329A5">
              <w:rPr>
                <w:rFonts w:cs="Arial"/>
                <w:color w:val="000000"/>
              </w:rPr>
              <w:t>,</w:t>
            </w:r>
            <w:r w:rsidRPr="008329A5">
              <w:rPr>
                <w:rFonts w:cs="Arial"/>
                <w:color w:val="008000"/>
              </w:rPr>
              <w:t>o</w:t>
            </w:r>
            <w:r w:rsidRPr="008329A5">
              <w:rPr>
                <w:rFonts w:cs="Arial"/>
                <w:color w:val="000000"/>
              </w:rPr>
              <w:t>)/100</w:t>
            </w:r>
            <w:r w:rsidRPr="008329A5">
              <w:rPr>
                <w:rFonts w:cs="Arial"/>
                <w:b/>
                <w:bCs/>
                <w:color w:val="000000"/>
              </w:rPr>
              <w:t>]</w:t>
            </w:r>
            <w:r w:rsidRPr="008329A5">
              <w:rPr>
                <w:rFonts w:cs="Arial"/>
                <w:color w:val="000000"/>
              </w:rPr>
              <w:t>*</w:t>
            </w:r>
            <w:r w:rsidRPr="008329A5">
              <w:rPr>
                <w:rFonts w:cs="Arial"/>
                <w:b/>
                <w:bCs/>
                <w:color w:val="000000"/>
              </w:rPr>
              <w:t>[</w:t>
            </w:r>
            <w:r w:rsidRPr="008329A5">
              <w:rPr>
                <w:rFonts w:cs="Arial"/>
                <w:color w:val="008000"/>
              </w:rPr>
              <w:t>PR_NOM</w:t>
            </w:r>
            <w:r w:rsidRPr="008329A5">
              <w:rPr>
                <w:rFonts w:cs="Arial"/>
                <w:color w:val="000000"/>
              </w:rPr>
              <w:t>(</w:t>
            </w:r>
            <w:r w:rsidRPr="008329A5">
              <w:rPr>
                <w:rFonts w:cs="Arial"/>
                <w:color w:val="008000"/>
              </w:rPr>
              <w:t>y</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r w:rsidRPr="008329A5">
              <w:rPr>
                <w:rFonts w:cs="Arial"/>
                <w:color w:val="000000"/>
              </w:rPr>
              <w:t>)/100</w:t>
            </w:r>
            <w:r w:rsidRPr="008329A5">
              <w:rPr>
                <w:rFonts w:cs="Arial"/>
                <w:b/>
                <w:bCs/>
                <w:color w:val="000000"/>
              </w:rPr>
              <w:t>]</w:t>
            </w:r>
            <w:r w:rsidRPr="008329A5">
              <w:rPr>
                <w:rFonts w:cs="Arial"/>
                <w:color w:val="000000"/>
              </w:rPr>
              <w:t>*</w:t>
            </w:r>
            <w:r w:rsidRPr="008329A5">
              <w:rPr>
                <w:rFonts w:cs="Arial"/>
                <w:b/>
                <w:bCs/>
                <w:color w:val="000000"/>
              </w:rPr>
              <w:t>[</w:t>
            </w:r>
            <w:r w:rsidRPr="008329A5">
              <w:rPr>
                <w:rFonts w:cs="Arial"/>
                <w:color w:val="008000"/>
              </w:rPr>
              <w:t>COHORT@1_NOM</w:t>
            </w:r>
            <w:r w:rsidRPr="008329A5">
              <w:rPr>
                <w:rFonts w:cs="Arial"/>
                <w:color w:val="000000"/>
              </w:rPr>
              <w:t>(</w:t>
            </w:r>
            <w:r w:rsidRPr="008329A5">
              <w:rPr>
                <w:rFonts w:cs="Arial"/>
                <w:color w:val="008000"/>
              </w:rPr>
              <w:t>y</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r w:rsidRPr="008329A5">
              <w:rPr>
                <w:rFonts w:cs="Arial"/>
                <w:color w:val="000000"/>
              </w:rPr>
              <w:t>)/100</w:t>
            </w:r>
            <w:r w:rsidRPr="008329A5">
              <w:rPr>
                <w:rFonts w:cs="Arial"/>
                <w:b/>
                <w:bCs/>
                <w:color w:val="000000"/>
              </w:rPr>
              <w:t>]</w:t>
            </w:r>
            <w:r w:rsidRPr="008329A5">
              <w:rPr>
                <w:rFonts w:cs="Arial"/>
                <w:color w:val="000000"/>
              </w:rPr>
              <w:t>*</w:t>
            </w:r>
            <w:r w:rsidRPr="008329A5">
              <w:rPr>
                <w:rFonts w:cs="Arial"/>
                <w:color w:val="008000"/>
              </w:rPr>
              <w:t>prate_nom</w:t>
            </w:r>
            <w:r w:rsidRPr="008329A5">
              <w:rPr>
                <w:rFonts w:cs="Arial"/>
                <w:color w:val="000000"/>
              </w:rPr>
              <w:t>(</w:t>
            </w:r>
            <w:r w:rsidRPr="008329A5">
              <w:rPr>
                <w:rFonts w:cs="Arial"/>
                <w:color w:val="008000"/>
              </w:rPr>
              <w:t>y</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r w:rsidRPr="008329A5">
              <w:rPr>
                <w:rFonts w:cs="Arial"/>
                <w:color w:val="000000"/>
              </w:rPr>
              <w:t>) +</w:t>
            </w:r>
            <w:r w:rsidRPr="008329A5">
              <w:rPr>
                <w:rFonts w:cs="Arial"/>
                <w:color w:val="000000"/>
              </w:rPr>
              <w:br/>
              <w:t xml:space="preserve">    </w:t>
            </w:r>
            <w:r w:rsidRPr="008329A5">
              <w:rPr>
                <w:rFonts w:cs="Arial"/>
                <w:b/>
                <w:bCs/>
                <w:color w:val="000000"/>
              </w:rPr>
              <w:t>[</w:t>
            </w:r>
            <w:proofErr w:type="spellStart"/>
            <w:r w:rsidRPr="008329A5">
              <w:rPr>
                <w:rFonts w:cs="Arial"/>
                <w:color w:val="008000"/>
              </w:rPr>
              <w:t>PR_NOM</w:t>
            </w:r>
            <w:proofErr w:type="spellEnd"/>
            <w:r w:rsidRPr="008329A5">
              <w:rPr>
                <w:rFonts w:cs="Arial"/>
                <w:color w:val="000000"/>
              </w:rPr>
              <w:t>(</w:t>
            </w:r>
            <w:proofErr w:type="spellStart"/>
            <w:r w:rsidRPr="008329A5">
              <w:rPr>
                <w:rFonts w:cs="Arial"/>
                <w:color w:val="008000"/>
              </w:rPr>
              <w:t>y</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)/100</w:t>
            </w:r>
            <w:r w:rsidRPr="008329A5">
              <w:rPr>
                <w:rFonts w:cs="Arial"/>
                <w:b/>
                <w:bCs/>
                <w:color w:val="000000"/>
              </w:rPr>
              <w:t>]</w:t>
            </w:r>
            <w:r w:rsidRPr="008329A5">
              <w:rPr>
                <w:rFonts w:cs="Arial"/>
                <w:color w:val="000000"/>
              </w:rPr>
              <w:t>*</w:t>
            </w:r>
            <w:proofErr w:type="spellStart"/>
            <w:r w:rsidRPr="008329A5">
              <w:rPr>
                <w:rFonts w:cs="Arial"/>
                <w:color w:val="008000"/>
              </w:rPr>
              <w:t>COHORT@1_NOM</w:t>
            </w:r>
            <w:proofErr w:type="spellEnd"/>
            <w:r w:rsidRPr="008329A5">
              <w:rPr>
                <w:rFonts w:cs="Arial"/>
                <w:color w:val="000000"/>
              </w:rPr>
              <w:t>(</w:t>
            </w:r>
            <w:proofErr w:type="spellStart"/>
            <w:r w:rsidRPr="008329A5">
              <w:rPr>
                <w:rFonts w:cs="Arial"/>
                <w:color w:val="008000"/>
              </w:rPr>
              <w:t>y</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proofErr w:type="spellStart"/>
            <w:r w:rsidRPr="008329A5">
              <w:rPr>
                <w:rFonts w:cs="Arial"/>
                <w:i/>
                <w:iCs/>
                <w:color w:val="FF0000"/>
              </w:rPr>
              <w:t>d_occshr_n</w:t>
            </w:r>
            <w:proofErr w:type="spellEnd"/>
            <w:r w:rsidRPr="008329A5">
              <w:rPr>
                <w:rFonts w:cs="Arial"/>
                <w:color w:val="000000"/>
              </w:rPr>
              <w:t>(</w:t>
            </w:r>
            <w:proofErr w:type="spellStart"/>
            <w:r w:rsidRPr="008329A5">
              <w:rPr>
                <w:rFonts w:cs="Arial"/>
                <w:color w:val="008000"/>
              </w:rPr>
              <w:t>q</w:t>
            </w:r>
            <w:r w:rsidRPr="008329A5">
              <w:rPr>
                <w:rFonts w:cs="Arial"/>
                <w:color w:val="000000"/>
              </w:rPr>
              <w:t>,</w:t>
            </w:r>
            <w:r w:rsidRPr="008329A5">
              <w:rPr>
                <w:rFonts w:cs="Arial"/>
                <w:color w:val="008000"/>
              </w:rPr>
              <w:t>o</w:t>
            </w:r>
            <w:proofErr w:type="spellEnd"/>
            <w:r w:rsidRPr="008329A5">
              <w:rPr>
                <w:rFonts w:cs="Arial"/>
                <w:color w:val="000000"/>
              </w:rPr>
              <w:t>)</w:t>
            </w:r>
            <w:r w:rsidRPr="008329A5">
              <w:rPr>
                <w:rFonts w:cs="Arial"/>
                <w:b/>
                <w:bCs/>
                <w:color w:val="000000"/>
              </w:rPr>
              <w:t>}}</w:t>
            </w:r>
            <w:r w:rsidRPr="008329A5">
              <w:rPr>
                <w:rFonts w:cs="Arial"/>
                <w:color w:val="000000"/>
              </w:rPr>
              <w:t>;</w:t>
            </w:r>
          </w:p>
        </w:tc>
      </w:tr>
      <w:tr w:rsidR="00360B6B" w14:paraId="381F3D23" w14:textId="77777777" w:rsidTr="0052424C">
        <w:trPr>
          <w:cantSplit/>
        </w:trPr>
        <w:tc>
          <w:tcPr>
            <w:tcW w:w="8771" w:type="dxa"/>
            <w:tcBorders>
              <w:top w:val="nil"/>
              <w:left w:val="nil"/>
              <w:bottom w:val="nil"/>
              <w:right w:val="nil"/>
            </w:tcBorders>
            <w:shd w:val="clear" w:color="auto" w:fill="F2F2F2"/>
          </w:tcPr>
          <w:p w14:paraId="58C5D23C" w14:textId="77777777" w:rsidR="00360B6B" w:rsidRDefault="00360B6B" w:rsidP="0052424C">
            <w:pPr>
              <w:pStyle w:val="BoxSource"/>
            </w:pPr>
            <w:r>
              <w:rPr>
                <w:i/>
              </w:rPr>
              <w:t>Source</w:t>
            </w:r>
            <w:r w:rsidRPr="00167F06">
              <w:t xml:space="preserve">: </w:t>
            </w:r>
            <w:r>
              <w:t>Productivity Commission preliminary modelling</w:t>
            </w:r>
          </w:p>
        </w:tc>
      </w:tr>
      <w:tr w:rsidR="00360B6B" w14:paraId="40AA1ABA" w14:textId="77777777" w:rsidTr="0052424C">
        <w:trPr>
          <w:cantSplit/>
        </w:trPr>
        <w:tc>
          <w:tcPr>
            <w:tcW w:w="8771" w:type="dxa"/>
            <w:tcBorders>
              <w:top w:val="nil"/>
              <w:left w:val="nil"/>
              <w:bottom w:val="single" w:sz="6" w:space="0" w:color="78A22F"/>
              <w:right w:val="nil"/>
            </w:tcBorders>
            <w:shd w:val="clear" w:color="auto" w:fill="F2F2F2"/>
          </w:tcPr>
          <w:p w14:paraId="21792C6D" w14:textId="77777777" w:rsidR="00360B6B" w:rsidRDefault="00360B6B" w:rsidP="0052424C">
            <w:pPr>
              <w:pStyle w:val="Box"/>
              <w:spacing w:before="0" w:line="120" w:lineRule="exact"/>
            </w:pPr>
          </w:p>
        </w:tc>
      </w:tr>
      <w:tr w:rsidR="00360B6B" w:rsidRPr="000863A5" w14:paraId="46BC1A32" w14:textId="77777777" w:rsidTr="0052424C">
        <w:tc>
          <w:tcPr>
            <w:tcW w:w="8771" w:type="dxa"/>
            <w:tcBorders>
              <w:top w:val="single" w:sz="6" w:space="0" w:color="78A22F"/>
              <w:left w:val="nil"/>
              <w:bottom w:val="nil"/>
              <w:right w:val="nil"/>
            </w:tcBorders>
          </w:tcPr>
          <w:p w14:paraId="58D03633" w14:textId="4409558E" w:rsidR="00360B6B" w:rsidRPr="00626D32" w:rsidRDefault="00360B6B" w:rsidP="0052424C">
            <w:pPr>
              <w:pStyle w:val="BoxSpaceBelow"/>
            </w:pPr>
          </w:p>
        </w:tc>
      </w:tr>
    </w:tbl>
    <w:p w14:paraId="3945B792" w14:textId="77777777" w:rsidR="00360B6B" w:rsidRDefault="00360B6B" w:rsidP="00360B6B">
      <w:pPr>
        <w:pStyle w:val="Heading3"/>
      </w:pPr>
      <w:r>
        <w:t>Extension for the modelling of the implications of demographic change on health and education</w:t>
      </w:r>
    </w:p>
    <w:p w14:paraId="42A039D9" w14:textId="77777777" w:rsidR="00360B6B" w:rsidRDefault="00360B6B" w:rsidP="00360B6B">
      <w:pPr>
        <w:pStyle w:val="BodyText"/>
      </w:pPr>
      <w:r>
        <w:t xml:space="preserve">The preliminary modelling of state and territory governments and the Australian Government final consumption expenditure in the </w:t>
      </w:r>
      <w:proofErr w:type="spellStart"/>
      <w:r>
        <w:t>VUMR</w:t>
      </w:r>
      <w:proofErr w:type="spellEnd"/>
      <w:r>
        <w:t>-MI model has been extended to include:</w:t>
      </w:r>
    </w:p>
    <w:p w14:paraId="17D8238F" w14:textId="77777777" w:rsidR="00360B6B" w:rsidRDefault="00360B6B" w:rsidP="00360B6B">
      <w:pPr>
        <w:pStyle w:val="ListBullet"/>
      </w:pPr>
      <w:r>
        <w:t>linking of government expenditure to demographic change over the entire population age structure</w:t>
      </w:r>
    </w:p>
    <w:p w14:paraId="59D8E3BD" w14:textId="77777777" w:rsidR="00360B6B" w:rsidRPr="00AE04AD" w:rsidRDefault="00360B6B" w:rsidP="00360B6B">
      <w:pPr>
        <w:pStyle w:val="ListBullet"/>
      </w:pPr>
      <w:r>
        <w:t xml:space="preserve">the two </w:t>
      </w:r>
      <w:proofErr w:type="spellStart"/>
      <w:r>
        <w:t>VUMR</w:t>
      </w:r>
      <w:proofErr w:type="spellEnd"/>
      <w:r>
        <w:t xml:space="preserve"> education commodities </w:t>
      </w:r>
      <w:r w:rsidRPr="00AE04AD">
        <w:sym w:font="Symbol" w:char="F0BE"/>
      </w:r>
      <w:r w:rsidRPr="00AE04AD">
        <w:t xml:space="preserve"> school and non-school education</w:t>
      </w:r>
      <w:r>
        <w:t xml:space="preserve"> </w:t>
      </w:r>
      <w:r w:rsidRPr="00AE04AD">
        <w:sym w:font="Symbol" w:char="F0BE"/>
      </w:r>
      <w:r w:rsidRPr="00AE04AD">
        <w:t xml:space="preserve"> </w:t>
      </w:r>
      <w:r>
        <w:t xml:space="preserve"> are added into the set of commodities for which government expenditure is linked to demographic change</w:t>
      </w:r>
    </w:p>
    <w:p w14:paraId="70A5ABBD" w14:textId="77777777" w:rsidR="00360B6B" w:rsidRDefault="00360B6B" w:rsidP="00360B6B">
      <w:pPr>
        <w:pStyle w:val="ListBullet"/>
      </w:pPr>
      <w:r>
        <w:t>per capita government expenditure by age and gender for health and education services are drawn from the Commission’s research report on the implications of an ageing population (PC 2013).</w:t>
      </w:r>
    </w:p>
    <w:p w14:paraId="1EBA68F3" w14:textId="77777777" w:rsidR="00360B6B" w:rsidRDefault="00360B6B" w:rsidP="00360B6B">
      <w:pPr>
        <w:pStyle w:val="BodyText"/>
      </w:pPr>
      <w:r>
        <w:t xml:space="preserve">The standard treatment of aged care services has been maintained in </w:t>
      </w:r>
      <w:proofErr w:type="spellStart"/>
      <w:r>
        <w:t>VUMR</w:t>
      </w:r>
      <w:proofErr w:type="spellEnd"/>
      <w:r>
        <w:noBreakHyphen/>
        <w:t>MI, that is, real government final consumption expenditure on aged care services changes in with national aggregate real household final consumption spending and the proportion of the population aged 65 and over.</w:t>
      </w:r>
    </w:p>
    <w:p w14:paraId="7058EC58" w14:textId="77777777" w:rsidR="00360B6B" w:rsidRPr="00AF597D" w:rsidRDefault="00360B6B" w:rsidP="00360B6B">
      <w:pPr>
        <w:pStyle w:val="BodyText"/>
      </w:pPr>
      <w:r>
        <w:t xml:space="preserve">To apply this extension, equations </w:t>
      </w:r>
      <w:proofErr w:type="spellStart"/>
      <w:r>
        <w:rPr>
          <w:i/>
        </w:rPr>
        <w:t>E_x5aB3</w:t>
      </w:r>
      <w:proofErr w:type="spellEnd"/>
      <w:r>
        <w:rPr>
          <w:i/>
        </w:rPr>
        <w:t xml:space="preserve"> and </w:t>
      </w:r>
      <w:proofErr w:type="spellStart"/>
      <w:r>
        <w:rPr>
          <w:i/>
        </w:rPr>
        <w:t>E_x6aB3</w:t>
      </w:r>
      <w:proofErr w:type="spellEnd"/>
      <w:r>
        <w:rPr>
          <w:i/>
        </w:rPr>
        <w:t xml:space="preserve"> </w:t>
      </w:r>
      <w:r>
        <w:t xml:space="preserve">have been implemented in the </w:t>
      </w:r>
      <w:proofErr w:type="spellStart"/>
      <w:r>
        <w:t>VUMR</w:t>
      </w:r>
      <w:proofErr w:type="spellEnd"/>
      <w:r>
        <w:noBreakHyphen/>
        <w:t>MI model. These equations link state and territory governments and the Australian Government’s final consumption expenditure to demographic changes to the age structure of the population, health and education government spending per person and changes in national aggregate real household final consumption spending per capita (box </w:t>
      </w:r>
      <w:proofErr w:type="spellStart"/>
      <w:r>
        <w:t>B3</w:t>
      </w:r>
      <w:proofErr w:type="spellEnd"/>
      <w:r>
        <w:t>).</w:t>
      </w:r>
    </w:p>
    <w:p w14:paraId="1E6FE368" w14:textId="35241349" w:rsidR="00360B6B" w:rsidRDefault="00360B6B" w:rsidP="00360B6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60B6B" w14:paraId="07B71238" w14:textId="77777777" w:rsidTr="0052424C">
        <w:tc>
          <w:tcPr>
            <w:tcW w:w="8771" w:type="dxa"/>
            <w:tcBorders>
              <w:top w:val="single" w:sz="6" w:space="0" w:color="78A22F"/>
              <w:left w:val="nil"/>
              <w:bottom w:val="nil"/>
              <w:right w:val="nil"/>
            </w:tcBorders>
            <w:shd w:val="clear" w:color="auto" w:fill="F2F2F2"/>
          </w:tcPr>
          <w:p w14:paraId="4573D4CA" w14:textId="77777777" w:rsidR="00360B6B" w:rsidRDefault="00360B6B" w:rsidP="0052424C">
            <w:pPr>
              <w:pStyle w:val="BoxTitle"/>
            </w:pPr>
            <w:r>
              <w:rPr>
                <w:b w:val="0"/>
              </w:rPr>
              <w:t xml:space="preserve">Box </w:t>
            </w:r>
            <w:proofErr w:type="spellStart"/>
            <w:r>
              <w:rPr>
                <w:b w:val="0"/>
              </w:rPr>
              <w:t>B3</w:t>
            </w:r>
            <w:proofErr w:type="spellEnd"/>
            <w:r>
              <w:tab/>
              <w:t>Coding details for the modelling of the implications of demographic change on health and education</w:t>
            </w:r>
          </w:p>
        </w:tc>
      </w:tr>
      <w:tr w:rsidR="00360B6B" w14:paraId="17050679" w14:textId="77777777" w:rsidTr="0052424C">
        <w:trPr>
          <w:cantSplit/>
        </w:trPr>
        <w:tc>
          <w:tcPr>
            <w:tcW w:w="8771" w:type="dxa"/>
            <w:tcBorders>
              <w:top w:val="nil"/>
              <w:left w:val="nil"/>
              <w:bottom w:val="nil"/>
              <w:right w:val="nil"/>
            </w:tcBorders>
            <w:shd w:val="clear" w:color="auto" w:fill="F2F2F2"/>
          </w:tcPr>
          <w:p w14:paraId="35B76473" w14:textId="77777777" w:rsidR="00360B6B" w:rsidRPr="008329A5" w:rsidRDefault="00360B6B" w:rsidP="0052424C">
            <w:pPr>
              <w:pStyle w:val="Box"/>
              <w:jc w:val="left"/>
              <w:rPr>
                <w:rFonts w:cs="Arial"/>
                <w:color w:val="000000"/>
              </w:rPr>
            </w:pPr>
            <w:proofErr w:type="spellStart"/>
            <w:r w:rsidRPr="008329A5">
              <w:rPr>
                <w:rFonts w:cs="Arial"/>
                <w:b/>
                <w:bCs/>
                <w:color w:val="000000"/>
              </w:rPr>
              <w:t>Equation</w:t>
            </w:r>
            <w:r w:rsidRPr="008329A5">
              <w:rPr>
                <w:rFonts w:cs="Arial"/>
                <w:color w:val="008000"/>
              </w:rPr>
              <w:t>E_x5aB3</w:t>
            </w:r>
            <w:proofErr w:type="spellEnd"/>
            <w:r w:rsidRPr="008329A5">
              <w:rPr>
                <w:rFonts w:cs="Arial"/>
                <w:color w:val="000000"/>
              </w:rPr>
              <w:br/>
            </w:r>
            <w:r w:rsidRPr="008329A5">
              <w:rPr>
                <w:rFonts w:cs="Arial"/>
                <w:i/>
                <w:iCs/>
                <w:color w:val="000000"/>
              </w:rPr>
              <w:t># Real state government consumption of commodities associated with ageing #</w:t>
            </w:r>
            <w:r w:rsidRPr="008329A5">
              <w:rPr>
                <w:rFonts w:cs="Arial"/>
                <w:color w:val="000000"/>
              </w:rPr>
              <w:br/>
              <w:t>(</w:t>
            </w:r>
            <w:proofErr w:type="spellStart"/>
            <w:r w:rsidRPr="008329A5">
              <w:rPr>
                <w:rFonts w:cs="Arial"/>
                <w:b/>
                <w:bCs/>
                <w:color w:val="000000"/>
              </w:rPr>
              <w:t>all</w:t>
            </w:r>
            <w:r w:rsidRPr="008329A5">
              <w:rPr>
                <w:rFonts w:cs="Arial"/>
                <w:color w:val="000000"/>
              </w:rPr>
              <w:t>,</w:t>
            </w:r>
            <w:r w:rsidRPr="008329A5">
              <w:rPr>
                <w:rFonts w:cs="Arial"/>
                <w:color w:val="008000"/>
              </w:rPr>
              <w:t>c</w:t>
            </w:r>
            <w:r w:rsidRPr="008329A5">
              <w:rPr>
                <w:rFonts w:cs="Arial"/>
                <w:color w:val="000000"/>
              </w:rPr>
              <w:t>,</w:t>
            </w:r>
            <w:r w:rsidRPr="008329A5">
              <w:rPr>
                <w:rFonts w:cs="Arial"/>
                <w:color w:val="008000"/>
              </w:rPr>
              <w:t>AGECOM</w:t>
            </w:r>
            <w:proofErr w:type="spellEnd"/>
            <w:r w:rsidRPr="008329A5">
              <w:rPr>
                <w:rFonts w:cs="Arial"/>
                <w:color w:val="000000"/>
              </w:rPr>
              <w:t>)(</w:t>
            </w:r>
            <w:proofErr w:type="spellStart"/>
            <w:r w:rsidRPr="008329A5">
              <w:rPr>
                <w:rFonts w:cs="Arial"/>
                <w:b/>
                <w:bCs/>
                <w:color w:val="000000"/>
              </w:rPr>
              <w:t>all</w:t>
            </w:r>
            <w:r w:rsidRPr="008329A5">
              <w:rPr>
                <w:rFonts w:cs="Arial"/>
                <w:color w:val="000000"/>
              </w:rPr>
              <w:t>,</w:t>
            </w:r>
            <w:r w:rsidRPr="008329A5">
              <w:rPr>
                <w:rFonts w:cs="Arial"/>
                <w:color w:val="008000"/>
              </w:rPr>
              <w:t>s</w:t>
            </w:r>
            <w:r w:rsidRPr="008329A5">
              <w:rPr>
                <w:rFonts w:cs="Arial"/>
                <w:color w:val="000000"/>
              </w:rPr>
              <w:t>,</w:t>
            </w:r>
            <w:r w:rsidRPr="008329A5">
              <w:rPr>
                <w:rFonts w:cs="Arial"/>
                <w:color w:val="008000"/>
              </w:rPr>
              <w:t>ALLSRC</w:t>
            </w:r>
            <w:proofErr w:type="spellEnd"/>
            <w:r w:rsidRPr="008329A5">
              <w:rPr>
                <w:rFonts w:cs="Arial"/>
                <w:color w:val="000000"/>
              </w:rPr>
              <w:t>)(</w:t>
            </w:r>
            <w:proofErr w:type="spellStart"/>
            <w:r w:rsidRPr="008329A5">
              <w:rPr>
                <w:rFonts w:cs="Arial"/>
                <w:b/>
                <w:bCs/>
                <w:color w:val="000000"/>
              </w:rPr>
              <w:t>all</w:t>
            </w:r>
            <w:r w:rsidRPr="008329A5">
              <w:rPr>
                <w:rFonts w:cs="Arial"/>
                <w:color w:val="000000"/>
              </w:rPr>
              <w:t>,</w:t>
            </w:r>
            <w:r w:rsidRPr="008329A5">
              <w:rPr>
                <w:rFonts w:cs="Arial"/>
                <w:color w:val="008000"/>
              </w:rPr>
              <w:t>q</w:t>
            </w:r>
            <w:r w:rsidRPr="008329A5">
              <w:rPr>
                <w:rFonts w:cs="Arial"/>
                <w:color w:val="000000"/>
              </w:rPr>
              <w:t>,</w:t>
            </w:r>
            <w:r w:rsidRPr="008329A5">
              <w:rPr>
                <w:rFonts w:cs="Arial"/>
                <w:color w:val="008000"/>
              </w:rPr>
              <w:t>REGDST</w:t>
            </w:r>
            <w:proofErr w:type="spellEnd"/>
            <w:r w:rsidRPr="008329A5">
              <w:rPr>
                <w:rFonts w:cs="Arial"/>
                <w:color w:val="000000"/>
              </w:rPr>
              <w:t>)</w:t>
            </w:r>
            <w:r w:rsidRPr="008329A5">
              <w:rPr>
                <w:rFonts w:cs="Arial"/>
                <w:color w:val="000000"/>
              </w:rPr>
              <w:br/>
            </w:r>
            <w:proofErr w:type="spellStart"/>
            <w:r w:rsidRPr="008329A5">
              <w:rPr>
                <w:rFonts w:cs="Arial"/>
                <w:color w:val="008000"/>
              </w:rPr>
              <w:t>x5a</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s</w:t>
            </w:r>
            <w:r w:rsidRPr="008329A5">
              <w:rPr>
                <w:rFonts w:cs="Arial"/>
                <w:color w:val="000000"/>
              </w:rPr>
              <w:t>,</w:t>
            </w:r>
            <w:r w:rsidRPr="008329A5">
              <w:rPr>
                <w:rFonts w:cs="Arial"/>
                <w:color w:val="008000"/>
              </w:rPr>
              <w:t>q</w:t>
            </w:r>
            <w:proofErr w:type="spellEnd"/>
            <w:r w:rsidRPr="008329A5">
              <w:rPr>
                <w:rFonts w:cs="Arial"/>
                <w:color w:val="000000"/>
              </w:rPr>
              <w:t xml:space="preserve">)= </w:t>
            </w:r>
            <w:proofErr w:type="spellStart"/>
            <w:r w:rsidRPr="008329A5">
              <w:rPr>
                <w:rFonts w:cs="Arial"/>
                <w:color w:val="008000"/>
              </w:rPr>
              <w:t>natx3tot</w:t>
            </w:r>
            <w:proofErr w:type="spellEnd"/>
            <w:r w:rsidRPr="008329A5">
              <w:rPr>
                <w:rFonts w:cs="Arial"/>
                <w:color w:val="008000"/>
              </w:rPr>
              <w:t xml:space="preserve"> </w:t>
            </w:r>
            <w:r w:rsidRPr="008329A5">
              <w:rPr>
                <w:rFonts w:cs="Arial"/>
                <w:color w:val="000000"/>
              </w:rPr>
              <w:t xml:space="preserve">– </w:t>
            </w:r>
            <w:proofErr w:type="spellStart"/>
            <w:r w:rsidRPr="008329A5">
              <w:rPr>
                <w:rFonts w:cs="Arial"/>
                <w:color w:val="008000"/>
              </w:rPr>
              <w:t>natpop</w:t>
            </w:r>
            <w:proofErr w:type="spellEnd"/>
            <w:r w:rsidRPr="008329A5">
              <w:rPr>
                <w:rFonts w:cs="Arial"/>
                <w:color w:val="008000"/>
              </w:rPr>
              <w:t xml:space="preserve"> </w:t>
            </w:r>
            <w:r w:rsidRPr="008329A5">
              <w:rPr>
                <w:rFonts w:cs="Arial"/>
                <w:color w:val="000000"/>
              </w:rPr>
              <w:t xml:space="preserve">+ </w:t>
            </w:r>
            <w:r w:rsidRPr="008329A5">
              <w:rPr>
                <w:rFonts w:cs="Arial"/>
                <w:color w:val="000000"/>
              </w:rPr>
              <w:br/>
              <w:t xml:space="preserve">    1/</w:t>
            </w:r>
            <w:proofErr w:type="spellStart"/>
            <w:r w:rsidRPr="008329A5">
              <w:rPr>
                <w:rFonts w:cs="Arial"/>
                <w:b/>
                <w:bCs/>
                <w:color w:val="000000"/>
              </w:rPr>
              <w:t>ID01</w:t>
            </w:r>
            <w:proofErr w:type="spellEnd"/>
            <w:r w:rsidRPr="008329A5">
              <w:rPr>
                <w:rFonts w:cs="Arial"/>
                <w:b/>
                <w:bCs/>
                <w:color w:val="000000"/>
              </w:rPr>
              <w:t>[sum{</w:t>
            </w:r>
            <w:proofErr w:type="spellStart"/>
            <w:r w:rsidRPr="008329A5">
              <w:rPr>
                <w:rFonts w:cs="Arial"/>
                <w:color w:val="008000"/>
              </w:rPr>
              <w:t>x</w:t>
            </w:r>
            <w:r w:rsidRPr="008329A5">
              <w:rPr>
                <w:rFonts w:cs="Arial"/>
                <w:color w:val="000000"/>
              </w:rPr>
              <w:t>,</w:t>
            </w:r>
            <w:r w:rsidRPr="008329A5">
              <w:rPr>
                <w:rFonts w:cs="Arial"/>
                <w:color w:val="008000"/>
              </w:rPr>
              <w:t>AGE</w:t>
            </w:r>
            <w:r w:rsidRPr="008329A5">
              <w:rPr>
                <w:rFonts w:cs="Arial"/>
                <w:color w:val="000000"/>
              </w:rPr>
              <w:t>,</w:t>
            </w:r>
            <w:r w:rsidRPr="008329A5">
              <w:rPr>
                <w:rFonts w:cs="Arial"/>
                <w:b/>
                <w:bCs/>
                <w:color w:val="000000"/>
              </w:rPr>
              <w:t>sum</w:t>
            </w:r>
            <w:proofErr w:type="spellEnd"/>
            <w:r w:rsidRPr="008329A5">
              <w:rPr>
                <w:rFonts w:cs="Arial"/>
                <w:b/>
                <w:bCs/>
                <w:color w:val="000000"/>
              </w:rPr>
              <w:t>{</w:t>
            </w:r>
            <w:proofErr w:type="spellStart"/>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 xml:space="preserve">, </w:t>
            </w:r>
            <w:proofErr w:type="spellStart"/>
            <w:r w:rsidRPr="008329A5">
              <w:rPr>
                <w:rFonts w:cs="Arial"/>
                <w:color w:val="008000"/>
              </w:rPr>
              <w:t>C_X5PC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w:t>
            </w:r>
            <w:proofErr w:type="spellStart"/>
            <w:r w:rsidRPr="008329A5">
              <w:rPr>
                <w:rFonts w:cs="Arial"/>
                <w:color w:val="008000"/>
              </w:rPr>
              <w:t>COHORT@1</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r w:rsidRPr="008329A5">
              <w:rPr>
                <w:rFonts w:cs="Arial"/>
                <w:b/>
                <w:bCs/>
                <w:color w:val="000000"/>
              </w:rPr>
              <w:t>}}]</w:t>
            </w:r>
            <w:r w:rsidRPr="008329A5">
              <w:rPr>
                <w:rFonts w:cs="Arial"/>
                <w:color w:val="000000"/>
              </w:rPr>
              <w:t>*</w:t>
            </w:r>
            <w:r w:rsidRPr="008329A5">
              <w:rPr>
                <w:rFonts w:cs="Arial"/>
                <w:color w:val="000000"/>
              </w:rPr>
              <w:br/>
              <w:t xml:space="preserve">    </w:t>
            </w:r>
            <w:r w:rsidRPr="008329A5">
              <w:rPr>
                <w:rFonts w:cs="Arial"/>
                <w:b/>
                <w:bCs/>
                <w:color w:val="000000"/>
              </w:rPr>
              <w:t>sum{</w:t>
            </w:r>
            <w:proofErr w:type="spellStart"/>
            <w:r w:rsidRPr="008329A5">
              <w:rPr>
                <w:rFonts w:cs="Arial"/>
                <w:color w:val="008000"/>
              </w:rPr>
              <w:t>x</w:t>
            </w:r>
            <w:r w:rsidRPr="008329A5">
              <w:rPr>
                <w:rFonts w:cs="Arial"/>
                <w:color w:val="000000"/>
              </w:rPr>
              <w:t>,</w:t>
            </w:r>
            <w:r w:rsidRPr="008329A5">
              <w:rPr>
                <w:rFonts w:cs="Arial"/>
                <w:color w:val="008000"/>
              </w:rPr>
              <w:t>AGE</w:t>
            </w:r>
            <w:r w:rsidRPr="008329A5">
              <w:rPr>
                <w:rFonts w:cs="Arial"/>
                <w:color w:val="000000"/>
              </w:rPr>
              <w:t>,</w:t>
            </w:r>
            <w:r w:rsidRPr="008329A5">
              <w:rPr>
                <w:rFonts w:cs="Arial"/>
                <w:b/>
                <w:bCs/>
                <w:color w:val="000000"/>
              </w:rPr>
              <w:t>sum</w:t>
            </w:r>
            <w:proofErr w:type="spellEnd"/>
            <w:r w:rsidRPr="008329A5">
              <w:rPr>
                <w:rFonts w:cs="Arial"/>
                <w:b/>
                <w:bCs/>
                <w:color w:val="000000"/>
              </w:rPr>
              <w:t>{</w:t>
            </w:r>
            <w:proofErr w:type="spellStart"/>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 xml:space="preserve">, </w:t>
            </w:r>
            <w:r w:rsidRPr="008329A5">
              <w:rPr>
                <w:rFonts w:cs="Arial"/>
                <w:b/>
                <w:bCs/>
                <w:color w:val="000000"/>
              </w:rPr>
              <w:t>[</w:t>
            </w:r>
            <w:proofErr w:type="spellStart"/>
            <w:r w:rsidRPr="008329A5">
              <w:rPr>
                <w:rFonts w:cs="Arial"/>
                <w:color w:val="008000"/>
              </w:rPr>
              <w:t>C_X5PC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w:t>
            </w:r>
            <w:proofErr w:type="spellStart"/>
            <w:r w:rsidRPr="008329A5">
              <w:rPr>
                <w:rFonts w:cs="Arial"/>
                <w:color w:val="008000"/>
              </w:rPr>
              <w:t>COHORT@1</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r w:rsidRPr="008329A5">
              <w:rPr>
                <w:rFonts w:cs="Arial"/>
                <w:b/>
                <w:bCs/>
                <w:color w:val="000000"/>
              </w:rPr>
              <w:t>]</w:t>
            </w:r>
            <w:r w:rsidRPr="008329A5">
              <w:rPr>
                <w:rFonts w:cs="Arial"/>
                <w:color w:val="000000"/>
              </w:rPr>
              <w:t>*</w:t>
            </w:r>
            <w:r w:rsidRPr="008329A5">
              <w:rPr>
                <w:rFonts w:cs="Arial"/>
                <w:color w:val="000000"/>
              </w:rPr>
              <w:br/>
              <w:t xml:space="preserve">    </w:t>
            </w:r>
            <w:r w:rsidRPr="008329A5">
              <w:rPr>
                <w:rFonts w:cs="Arial"/>
                <w:b/>
                <w:bCs/>
                <w:color w:val="000000"/>
              </w:rPr>
              <w:t>[</w:t>
            </w:r>
            <w:proofErr w:type="spellStart"/>
            <w:r w:rsidRPr="008329A5">
              <w:rPr>
                <w:rFonts w:cs="Arial"/>
                <w:color w:val="008000"/>
              </w:rPr>
              <w:t>x5pc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 xml:space="preserve">) + </w:t>
            </w:r>
            <w:proofErr w:type="spellStart"/>
            <w:r w:rsidRPr="008329A5">
              <w:rPr>
                <w:rFonts w:cs="Arial"/>
                <w:color w:val="008000"/>
              </w:rPr>
              <w:t>f_x5pc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q</w:t>
            </w:r>
            <w:proofErr w:type="spellEnd"/>
            <w:r w:rsidRPr="008329A5">
              <w:rPr>
                <w:rFonts w:cs="Arial"/>
                <w:color w:val="000000"/>
              </w:rPr>
              <w:t xml:space="preserve">) + </w:t>
            </w:r>
            <w:proofErr w:type="spellStart"/>
            <w:r w:rsidRPr="008329A5">
              <w:rPr>
                <w:rFonts w:cs="Arial"/>
                <w:color w:val="008000"/>
              </w:rPr>
              <w:t>f_natx5pc</w:t>
            </w:r>
            <w:proofErr w:type="spellEnd"/>
            <w:r w:rsidRPr="008329A5">
              <w:rPr>
                <w:rFonts w:cs="Arial"/>
                <w:color w:val="000000"/>
              </w:rPr>
              <w:t>(</w:t>
            </w:r>
            <w:r w:rsidRPr="008329A5">
              <w:rPr>
                <w:rFonts w:cs="Arial"/>
                <w:color w:val="008000"/>
              </w:rPr>
              <w:t>c</w:t>
            </w:r>
            <w:r w:rsidRPr="008329A5">
              <w:rPr>
                <w:rFonts w:cs="Arial"/>
                <w:color w:val="000000"/>
              </w:rPr>
              <w:t xml:space="preserve">) + </w:t>
            </w:r>
            <w:proofErr w:type="spellStart"/>
            <w:r w:rsidRPr="008329A5">
              <w:rPr>
                <w:rFonts w:cs="Arial"/>
                <w:color w:val="008000"/>
              </w:rPr>
              <w:t>f5tot</w:t>
            </w:r>
            <w:proofErr w:type="spellEnd"/>
            <w:r w:rsidRPr="008329A5">
              <w:rPr>
                <w:rFonts w:cs="Arial"/>
                <w:color w:val="000000"/>
              </w:rPr>
              <w:t>(</w:t>
            </w:r>
            <w:r w:rsidRPr="008329A5">
              <w:rPr>
                <w:rFonts w:cs="Arial"/>
                <w:color w:val="008000"/>
              </w:rPr>
              <w:t>q</w:t>
            </w:r>
            <w:r w:rsidRPr="008329A5">
              <w:rPr>
                <w:rFonts w:cs="Arial"/>
                <w:color w:val="000000"/>
              </w:rPr>
              <w:t xml:space="preserve">) + </w:t>
            </w:r>
            <w:proofErr w:type="spellStart"/>
            <w:r w:rsidRPr="008329A5">
              <w:rPr>
                <w:rFonts w:cs="Arial"/>
                <w:color w:val="008000"/>
              </w:rPr>
              <w:t>natf5tot</w:t>
            </w:r>
            <w:proofErr w:type="spellEnd"/>
            <w:r w:rsidRPr="008329A5">
              <w:rPr>
                <w:rFonts w:cs="Arial"/>
                <w:b/>
                <w:bCs/>
                <w:color w:val="000000"/>
              </w:rPr>
              <w:t>]}}</w:t>
            </w:r>
            <w:r w:rsidRPr="008329A5">
              <w:rPr>
                <w:rFonts w:cs="Arial"/>
                <w:color w:val="000000"/>
              </w:rPr>
              <w:t xml:space="preserve"> + </w:t>
            </w:r>
            <w:r w:rsidRPr="008329A5">
              <w:rPr>
                <w:rFonts w:cs="Arial"/>
                <w:color w:val="000000"/>
              </w:rPr>
              <w:br/>
              <w:t xml:space="preserve">    100/</w:t>
            </w:r>
            <w:proofErr w:type="spellStart"/>
            <w:r w:rsidRPr="008329A5">
              <w:rPr>
                <w:rFonts w:cs="Arial"/>
                <w:b/>
                <w:bCs/>
                <w:color w:val="000000"/>
              </w:rPr>
              <w:t>ID01</w:t>
            </w:r>
            <w:proofErr w:type="spellEnd"/>
            <w:r w:rsidRPr="008329A5">
              <w:rPr>
                <w:rFonts w:cs="Arial"/>
                <w:b/>
                <w:bCs/>
                <w:color w:val="000000"/>
              </w:rPr>
              <w:t>[sum{</w:t>
            </w:r>
            <w:proofErr w:type="spellStart"/>
            <w:r w:rsidRPr="008329A5">
              <w:rPr>
                <w:rFonts w:cs="Arial"/>
                <w:color w:val="008000"/>
              </w:rPr>
              <w:t>x</w:t>
            </w:r>
            <w:r w:rsidRPr="008329A5">
              <w:rPr>
                <w:rFonts w:cs="Arial"/>
                <w:color w:val="000000"/>
              </w:rPr>
              <w:t>,</w:t>
            </w:r>
            <w:r w:rsidRPr="008329A5">
              <w:rPr>
                <w:rFonts w:cs="Arial"/>
                <w:color w:val="008000"/>
              </w:rPr>
              <w:t>AGE</w:t>
            </w:r>
            <w:r w:rsidRPr="008329A5">
              <w:rPr>
                <w:rFonts w:cs="Arial"/>
                <w:color w:val="000000"/>
              </w:rPr>
              <w:t>,</w:t>
            </w:r>
            <w:r w:rsidRPr="008329A5">
              <w:rPr>
                <w:rFonts w:cs="Arial"/>
                <w:b/>
                <w:bCs/>
                <w:color w:val="000000"/>
              </w:rPr>
              <w:t>sum</w:t>
            </w:r>
            <w:proofErr w:type="spellEnd"/>
            <w:r w:rsidRPr="008329A5">
              <w:rPr>
                <w:rFonts w:cs="Arial"/>
                <w:b/>
                <w:bCs/>
                <w:color w:val="000000"/>
              </w:rPr>
              <w:t>{</w:t>
            </w:r>
            <w:proofErr w:type="spellStart"/>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 xml:space="preserve">, </w:t>
            </w:r>
            <w:proofErr w:type="spellStart"/>
            <w:r w:rsidRPr="008329A5">
              <w:rPr>
                <w:rFonts w:cs="Arial"/>
                <w:color w:val="008000"/>
              </w:rPr>
              <w:t>C_X5PC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w:t>
            </w:r>
            <w:proofErr w:type="spellStart"/>
            <w:r w:rsidRPr="008329A5">
              <w:rPr>
                <w:rFonts w:cs="Arial"/>
                <w:color w:val="008000"/>
              </w:rPr>
              <w:t>COHORT@1</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r w:rsidRPr="008329A5">
              <w:rPr>
                <w:rFonts w:cs="Arial"/>
                <w:b/>
                <w:bCs/>
                <w:color w:val="000000"/>
              </w:rPr>
              <w:t>}}]</w:t>
            </w:r>
            <w:r w:rsidRPr="008329A5">
              <w:rPr>
                <w:rFonts w:cs="Arial"/>
                <w:color w:val="000000"/>
              </w:rPr>
              <w:t>*</w:t>
            </w:r>
            <w:r w:rsidRPr="008329A5">
              <w:rPr>
                <w:rFonts w:cs="Arial"/>
                <w:color w:val="000000"/>
              </w:rPr>
              <w:br/>
              <w:t xml:space="preserve">    </w:t>
            </w:r>
            <w:r w:rsidRPr="008329A5">
              <w:rPr>
                <w:rFonts w:cs="Arial"/>
                <w:b/>
                <w:bCs/>
                <w:color w:val="000000"/>
              </w:rPr>
              <w:t>sum{</w:t>
            </w:r>
            <w:proofErr w:type="spellStart"/>
            <w:r w:rsidRPr="008329A5">
              <w:rPr>
                <w:rFonts w:cs="Arial"/>
                <w:color w:val="008000"/>
              </w:rPr>
              <w:t>x</w:t>
            </w:r>
            <w:r w:rsidRPr="008329A5">
              <w:rPr>
                <w:rFonts w:cs="Arial"/>
                <w:color w:val="000000"/>
              </w:rPr>
              <w:t>,</w:t>
            </w:r>
            <w:r w:rsidRPr="008329A5">
              <w:rPr>
                <w:rFonts w:cs="Arial"/>
                <w:color w:val="008000"/>
              </w:rPr>
              <w:t>AGE</w:t>
            </w:r>
            <w:r w:rsidRPr="008329A5">
              <w:rPr>
                <w:rFonts w:cs="Arial"/>
                <w:color w:val="000000"/>
              </w:rPr>
              <w:t>,</w:t>
            </w:r>
            <w:r w:rsidRPr="008329A5">
              <w:rPr>
                <w:rFonts w:cs="Arial"/>
                <w:b/>
                <w:bCs/>
                <w:color w:val="000000"/>
              </w:rPr>
              <w:t>sum</w:t>
            </w:r>
            <w:proofErr w:type="spellEnd"/>
            <w:r w:rsidRPr="008329A5">
              <w:rPr>
                <w:rFonts w:cs="Arial"/>
                <w:b/>
                <w:bCs/>
                <w:color w:val="000000"/>
              </w:rPr>
              <w:t>{</w:t>
            </w:r>
            <w:proofErr w:type="spellStart"/>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 xml:space="preserve">, </w:t>
            </w:r>
            <w:r w:rsidRPr="008329A5">
              <w:rPr>
                <w:rFonts w:cs="Arial"/>
                <w:b/>
                <w:bCs/>
                <w:color w:val="000000"/>
              </w:rPr>
              <w:t>[</w:t>
            </w:r>
            <w:proofErr w:type="spellStart"/>
            <w:r w:rsidRPr="008329A5">
              <w:rPr>
                <w:rFonts w:cs="Arial"/>
                <w:color w:val="008000"/>
              </w:rPr>
              <w:t>C_X5PC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w:t>
            </w:r>
            <w:proofErr w:type="spellStart"/>
            <w:r w:rsidRPr="008329A5">
              <w:rPr>
                <w:rFonts w:cs="Arial"/>
                <w:color w:val="008000"/>
              </w:rPr>
              <w:t>popchange</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r w:rsidRPr="008329A5">
              <w:rPr>
                <w:rFonts w:cs="Arial"/>
                <w:b/>
                <w:bCs/>
                <w:color w:val="000000"/>
              </w:rPr>
              <w:t>]}}</w:t>
            </w:r>
            <w:r w:rsidRPr="008329A5">
              <w:rPr>
                <w:rFonts w:cs="Arial"/>
                <w:color w:val="000000"/>
              </w:rPr>
              <w:t xml:space="preserve"> +</w:t>
            </w:r>
            <w:r w:rsidRPr="008329A5">
              <w:rPr>
                <w:rFonts w:cs="Arial"/>
                <w:color w:val="000000"/>
              </w:rPr>
              <w:br/>
              <w:t xml:space="preserve">    </w:t>
            </w:r>
            <w:proofErr w:type="spellStart"/>
            <w:r w:rsidRPr="008329A5">
              <w:rPr>
                <w:rFonts w:cs="Arial"/>
                <w:color w:val="008000"/>
              </w:rPr>
              <w:t>f_x5a</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s</w:t>
            </w:r>
            <w:r w:rsidRPr="008329A5">
              <w:rPr>
                <w:rFonts w:cs="Arial"/>
                <w:color w:val="000000"/>
              </w:rPr>
              <w:t>,</w:t>
            </w:r>
            <w:r w:rsidRPr="008329A5">
              <w:rPr>
                <w:rFonts w:cs="Arial"/>
                <w:color w:val="008000"/>
              </w:rPr>
              <w:t>q</w:t>
            </w:r>
            <w:proofErr w:type="spellEnd"/>
            <w:r w:rsidRPr="008329A5">
              <w:rPr>
                <w:rFonts w:cs="Arial"/>
                <w:color w:val="000000"/>
              </w:rPr>
              <w:t>) ;</w:t>
            </w:r>
          </w:p>
          <w:p w14:paraId="579555AF" w14:textId="77777777" w:rsidR="00360B6B" w:rsidRDefault="00360B6B" w:rsidP="0052424C">
            <w:pPr>
              <w:pStyle w:val="Box"/>
              <w:jc w:val="left"/>
              <w:rPr>
                <w:szCs w:val="24"/>
              </w:rPr>
            </w:pPr>
            <w:r w:rsidRPr="008329A5">
              <w:rPr>
                <w:rFonts w:cs="Arial"/>
                <w:b/>
                <w:bCs/>
                <w:color w:val="000000"/>
              </w:rPr>
              <w:t>Equation</w:t>
            </w:r>
            <w:r w:rsidRPr="008329A5">
              <w:rPr>
                <w:rFonts w:cs="Arial"/>
                <w:color w:val="000000"/>
              </w:rPr>
              <w:t xml:space="preserve"> </w:t>
            </w:r>
            <w:proofErr w:type="spellStart"/>
            <w:r w:rsidRPr="008329A5">
              <w:rPr>
                <w:rFonts w:cs="Arial"/>
                <w:color w:val="008000"/>
              </w:rPr>
              <w:t>E_x6aB3</w:t>
            </w:r>
            <w:proofErr w:type="spellEnd"/>
            <w:r w:rsidRPr="008329A5">
              <w:rPr>
                <w:rFonts w:cs="Arial"/>
                <w:color w:val="000000"/>
              </w:rPr>
              <w:br/>
            </w:r>
            <w:r w:rsidRPr="008329A5">
              <w:rPr>
                <w:rFonts w:cs="Arial"/>
                <w:i/>
                <w:iCs/>
                <w:color w:val="000000"/>
              </w:rPr>
              <w:t>#  Real Federal government consumption of commodities associated with ageing#</w:t>
            </w:r>
            <w:r w:rsidRPr="008329A5">
              <w:rPr>
                <w:rFonts w:cs="Arial"/>
                <w:color w:val="000000"/>
              </w:rPr>
              <w:br/>
              <w:t>(</w:t>
            </w:r>
            <w:proofErr w:type="spellStart"/>
            <w:r w:rsidRPr="008329A5">
              <w:rPr>
                <w:rFonts w:cs="Arial"/>
                <w:b/>
                <w:bCs/>
                <w:color w:val="000000"/>
              </w:rPr>
              <w:t>all</w:t>
            </w:r>
            <w:r w:rsidRPr="008329A5">
              <w:rPr>
                <w:rFonts w:cs="Arial"/>
                <w:color w:val="000000"/>
              </w:rPr>
              <w:t>,</w:t>
            </w:r>
            <w:r w:rsidRPr="008329A5">
              <w:rPr>
                <w:rFonts w:cs="Arial"/>
                <w:color w:val="008000"/>
              </w:rPr>
              <w:t>c</w:t>
            </w:r>
            <w:r w:rsidRPr="008329A5">
              <w:rPr>
                <w:rFonts w:cs="Arial"/>
                <w:color w:val="000000"/>
              </w:rPr>
              <w:t>,</w:t>
            </w:r>
            <w:r w:rsidRPr="008329A5">
              <w:rPr>
                <w:rFonts w:cs="Arial"/>
                <w:color w:val="008000"/>
              </w:rPr>
              <w:t>AGECOM</w:t>
            </w:r>
            <w:proofErr w:type="spellEnd"/>
            <w:r w:rsidRPr="008329A5">
              <w:rPr>
                <w:rFonts w:cs="Arial"/>
                <w:color w:val="000000"/>
              </w:rPr>
              <w:t>)(</w:t>
            </w:r>
            <w:proofErr w:type="spellStart"/>
            <w:r w:rsidRPr="008329A5">
              <w:rPr>
                <w:rFonts w:cs="Arial"/>
                <w:b/>
                <w:bCs/>
                <w:color w:val="000000"/>
              </w:rPr>
              <w:t>all</w:t>
            </w:r>
            <w:r w:rsidRPr="008329A5">
              <w:rPr>
                <w:rFonts w:cs="Arial"/>
                <w:color w:val="000000"/>
              </w:rPr>
              <w:t>,</w:t>
            </w:r>
            <w:r w:rsidRPr="008329A5">
              <w:rPr>
                <w:rFonts w:cs="Arial"/>
                <w:color w:val="008000"/>
              </w:rPr>
              <w:t>s</w:t>
            </w:r>
            <w:r w:rsidRPr="008329A5">
              <w:rPr>
                <w:rFonts w:cs="Arial"/>
                <w:color w:val="000000"/>
              </w:rPr>
              <w:t>,</w:t>
            </w:r>
            <w:r w:rsidRPr="008329A5">
              <w:rPr>
                <w:rFonts w:cs="Arial"/>
                <w:color w:val="008000"/>
              </w:rPr>
              <w:t>ALLSRC</w:t>
            </w:r>
            <w:proofErr w:type="spellEnd"/>
            <w:r w:rsidRPr="008329A5">
              <w:rPr>
                <w:rFonts w:cs="Arial"/>
                <w:color w:val="000000"/>
              </w:rPr>
              <w:t>)(</w:t>
            </w:r>
            <w:proofErr w:type="spellStart"/>
            <w:r w:rsidRPr="008329A5">
              <w:rPr>
                <w:rFonts w:cs="Arial"/>
                <w:b/>
                <w:bCs/>
                <w:color w:val="000000"/>
              </w:rPr>
              <w:t>all</w:t>
            </w:r>
            <w:r w:rsidRPr="008329A5">
              <w:rPr>
                <w:rFonts w:cs="Arial"/>
                <w:color w:val="000000"/>
              </w:rPr>
              <w:t>,</w:t>
            </w:r>
            <w:r w:rsidRPr="008329A5">
              <w:rPr>
                <w:rFonts w:cs="Arial"/>
                <w:color w:val="008000"/>
              </w:rPr>
              <w:t>q</w:t>
            </w:r>
            <w:r w:rsidRPr="008329A5">
              <w:rPr>
                <w:rFonts w:cs="Arial"/>
                <w:color w:val="000000"/>
              </w:rPr>
              <w:t>,</w:t>
            </w:r>
            <w:r w:rsidRPr="008329A5">
              <w:rPr>
                <w:rFonts w:cs="Arial"/>
                <w:color w:val="008000"/>
              </w:rPr>
              <w:t>REGDST</w:t>
            </w:r>
            <w:proofErr w:type="spellEnd"/>
            <w:r w:rsidRPr="008329A5">
              <w:rPr>
                <w:rFonts w:cs="Arial"/>
                <w:color w:val="000000"/>
              </w:rPr>
              <w:t>)</w:t>
            </w:r>
            <w:r w:rsidRPr="008329A5">
              <w:rPr>
                <w:rFonts w:cs="Arial"/>
                <w:color w:val="000000"/>
              </w:rPr>
              <w:br/>
            </w:r>
            <w:proofErr w:type="spellStart"/>
            <w:r w:rsidRPr="008329A5">
              <w:rPr>
                <w:rFonts w:cs="Arial"/>
                <w:color w:val="008000"/>
              </w:rPr>
              <w:t>x6a</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s</w:t>
            </w:r>
            <w:r w:rsidRPr="008329A5">
              <w:rPr>
                <w:rFonts w:cs="Arial"/>
                <w:color w:val="000000"/>
              </w:rPr>
              <w:t>,</w:t>
            </w:r>
            <w:r w:rsidRPr="008329A5">
              <w:rPr>
                <w:rFonts w:cs="Arial"/>
                <w:color w:val="008000"/>
              </w:rPr>
              <w:t>q</w:t>
            </w:r>
            <w:proofErr w:type="spellEnd"/>
            <w:r w:rsidRPr="008329A5">
              <w:rPr>
                <w:rFonts w:cs="Arial"/>
                <w:color w:val="000000"/>
              </w:rPr>
              <w:t xml:space="preserve">) = </w:t>
            </w:r>
            <w:proofErr w:type="spellStart"/>
            <w:r w:rsidRPr="008329A5">
              <w:rPr>
                <w:rFonts w:cs="Arial"/>
                <w:color w:val="008000"/>
              </w:rPr>
              <w:t>natx3tot</w:t>
            </w:r>
            <w:proofErr w:type="spellEnd"/>
            <w:r w:rsidRPr="008329A5">
              <w:rPr>
                <w:rFonts w:cs="Arial"/>
                <w:color w:val="000000"/>
              </w:rPr>
              <w:t xml:space="preserve"> - </w:t>
            </w:r>
            <w:proofErr w:type="spellStart"/>
            <w:r w:rsidRPr="008329A5">
              <w:rPr>
                <w:rFonts w:cs="Arial"/>
                <w:color w:val="008000"/>
              </w:rPr>
              <w:t>natpop</w:t>
            </w:r>
            <w:proofErr w:type="spellEnd"/>
            <w:r w:rsidRPr="008329A5">
              <w:rPr>
                <w:rFonts w:cs="Arial"/>
                <w:color w:val="000000"/>
              </w:rPr>
              <w:t xml:space="preserve"> +</w:t>
            </w:r>
            <w:r w:rsidRPr="008329A5">
              <w:rPr>
                <w:rFonts w:cs="Arial"/>
                <w:color w:val="000000"/>
              </w:rPr>
              <w:br/>
              <w:t xml:space="preserve">    1/</w:t>
            </w:r>
            <w:proofErr w:type="spellStart"/>
            <w:r w:rsidRPr="008329A5">
              <w:rPr>
                <w:rFonts w:cs="Arial"/>
                <w:b/>
                <w:bCs/>
                <w:color w:val="000000"/>
              </w:rPr>
              <w:t>ID01</w:t>
            </w:r>
            <w:proofErr w:type="spellEnd"/>
            <w:r w:rsidRPr="008329A5">
              <w:rPr>
                <w:rFonts w:cs="Arial"/>
                <w:b/>
                <w:bCs/>
                <w:color w:val="000000"/>
              </w:rPr>
              <w:t>[sum{</w:t>
            </w:r>
            <w:proofErr w:type="spellStart"/>
            <w:r w:rsidRPr="008329A5">
              <w:rPr>
                <w:rFonts w:cs="Arial"/>
                <w:color w:val="008000"/>
              </w:rPr>
              <w:t>x</w:t>
            </w:r>
            <w:r w:rsidRPr="008329A5">
              <w:rPr>
                <w:rFonts w:cs="Arial"/>
                <w:color w:val="000000"/>
              </w:rPr>
              <w:t>,</w:t>
            </w:r>
            <w:r w:rsidRPr="008329A5">
              <w:rPr>
                <w:rFonts w:cs="Arial"/>
                <w:color w:val="008000"/>
              </w:rPr>
              <w:t>AGE</w:t>
            </w:r>
            <w:r w:rsidRPr="008329A5">
              <w:rPr>
                <w:rFonts w:cs="Arial"/>
                <w:color w:val="000000"/>
              </w:rPr>
              <w:t>,</w:t>
            </w:r>
            <w:r w:rsidRPr="008329A5">
              <w:rPr>
                <w:rFonts w:cs="Arial"/>
                <w:b/>
                <w:bCs/>
                <w:color w:val="000000"/>
              </w:rPr>
              <w:t>sum</w:t>
            </w:r>
            <w:proofErr w:type="spellEnd"/>
            <w:r w:rsidRPr="008329A5">
              <w:rPr>
                <w:rFonts w:cs="Arial"/>
                <w:b/>
                <w:bCs/>
                <w:color w:val="000000"/>
              </w:rPr>
              <w:t>{</w:t>
            </w:r>
            <w:proofErr w:type="spellStart"/>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 xml:space="preserve">, </w:t>
            </w:r>
            <w:proofErr w:type="spellStart"/>
            <w:r w:rsidRPr="008329A5">
              <w:rPr>
                <w:rFonts w:cs="Arial"/>
                <w:color w:val="008000"/>
              </w:rPr>
              <w:t>C_X6PC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w:t>
            </w:r>
            <w:proofErr w:type="spellStart"/>
            <w:r w:rsidRPr="008329A5">
              <w:rPr>
                <w:rFonts w:cs="Arial"/>
                <w:color w:val="008000"/>
              </w:rPr>
              <w:t>COHORT@1</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r w:rsidRPr="008329A5">
              <w:rPr>
                <w:rFonts w:cs="Arial"/>
                <w:b/>
                <w:bCs/>
                <w:color w:val="000000"/>
              </w:rPr>
              <w:t>}}]</w:t>
            </w:r>
            <w:r w:rsidRPr="008329A5">
              <w:rPr>
                <w:rFonts w:cs="Arial"/>
                <w:color w:val="000000"/>
              </w:rPr>
              <w:t>*</w:t>
            </w:r>
            <w:r w:rsidRPr="008329A5">
              <w:rPr>
                <w:rFonts w:cs="Arial"/>
                <w:color w:val="000000"/>
              </w:rPr>
              <w:br/>
              <w:t xml:space="preserve">    </w:t>
            </w:r>
            <w:r w:rsidRPr="008329A5">
              <w:rPr>
                <w:rFonts w:cs="Arial"/>
                <w:b/>
                <w:bCs/>
                <w:color w:val="000000"/>
              </w:rPr>
              <w:t>sum{</w:t>
            </w:r>
            <w:proofErr w:type="spellStart"/>
            <w:r w:rsidRPr="008329A5">
              <w:rPr>
                <w:rFonts w:cs="Arial"/>
                <w:color w:val="008000"/>
              </w:rPr>
              <w:t>x</w:t>
            </w:r>
            <w:r w:rsidRPr="008329A5">
              <w:rPr>
                <w:rFonts w:cs="Arial"/>
                <w:color w:val="000000"/>
              </w:rPr>
              <w:t>,</w:t>
            </w:r>
            <w:r w:rsidRPr="008329A5">
              <w:rPr>
                <w:rFonts w:cs="Arial"/>
                <w:color w:val="008000"/>
              </w:rPr>
              <w:t>AGE</w:t>
            </w:r>
            <w:r w:rsidRPr="008329A5">
              <w:rPr>
                <w:rFonts w:cs="Arial"/>
                <w:color w:val="000000"/>
              </w:rPr>
              <w:t>,</w:t>
            </w:r>
            <w:r w:rsidRPr="008329A5">
              <w:rPr>
                <w:rFonts w:cs="Arial"/>
                <w:b/>
                <w:bCs/>
                <w:color w:val="000000"/>
              </w:rPr>
              <w:t>sum</w:t>
            </w:r>
            <w:proofErr w:type="spellEnd"/>
            <w:r w:rsidRPr="008329A5">
              <w:rPr>
                <w:rFonts w:cs="Arial"/>
                <w:b/>
                <w:bCs/>
                <w:color w:val="000000"/>
              </w:rPr>
              <w:t>{</w:t>
            </w:r>
            <w:proofErr w:type="spellStart"/>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 xml:space="preserve">, </w:t>
            </w:r>
            <w:r w:rsidRPr="008329A5">
              <w:rPr>
                <w:rFonts w:cs="Arial"/>
                <w:b/>
                <w:bCs/>
                <w:color w:val="000000"/>
              </w:rPr>
              <w:t>[</w:t>
            </w:r>
            <w:proofErr w:type="spellStart"/>
            <w:r w:rsidRPr="008329A5">
              <w:rPr>
                <w:rFonts w:cs="Arial"/>
                <w:color w:val="008000"/>
              </w:rPr>
              <w:t>C_X6PC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w:t>
            </w:r>
            <w:proofErr w:type="spellStart"/>
            <w:r w:rsidRPr="008329A5">
              <w:rPr>
                <w:rFonts w:cs="Arial"/>
                <w:color w:val="008000"/>
              </w:rPr>
              <w:t>COHORT@1</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r w:rsidRPr="008329A5">
              <w:rPr>
                <w:rFonts w:cs="Arial"/>
                <w:b/>
                <w:bCs/>
                <w:color w:val="000000"/>
              </w:rPr>
              <w:t>]</w:t>
            </w:r>
            <w:r w:rsidRPr="008329A5">
              <w:rPr>
                <w:rFonts w:cs="Arial"/>
                <w:color w:val="000000"/>
              </w:rPr>
              <w:t>*</w:t>
            </w:r>
            <w:r w:rsidRPr="008329A5">
              <w:rPr>
                <w:rFonts w:cs="Arial"/>
                <w:color w:val="000000"/>
              </w:rPr>
              <w:br/>
              <w:t xml:space="preserve">    </w:t>
            </w:r>
            <w:r w:rsidRPr="008329A5">
              <w:rPr>
                <w:rFonts w:cs="Arial"/>
                <w:b/>
                <w:bCs/>
                <w:color w:val="000000"/>
              </w:rPr>
              <w:t>[</w:t>
            </w:r>
            <w:proofErr w:type="spellStart"/>
            <w:r w:rsidRPr="008329A5">
              <w:rPr>
                <w:rFonts w:cs="Arial"/>
                <w:color w:val="008000"/>
              </w:rPr>
              <w:t>x6pc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 xml:space="preserve">) + </w:t>
            </w:r>
            <w:proofErr w:type="spellStart"/>
            <w:r w:rsidRPr="008329A5">
              <w:rPr>
                <w:rFonts w:cs="Arial"/>
                <w:color w:val="008000"/>
              </w:rPr>
              <w:t>f_x6pc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q</w:t>
            </w:r>
            <w:proofErr w:type="spellEnd"/>
            <w:r w:rsidRPr="008329A5">
              <w:rPr>
                <w:rFonts w:cs="Arial"/>
                <w:color w:val="000000"/>
              </w:rPr>
              <w:t xml:space="preserve">) + </w:t>
            </w:r>
            <w:proofErr w:type="spellStart"/>
            <w:r w:rsidRPr="008329A5">
              <w:rPr>
                <w:rFonts w:cs="Arial"/>
                <w:color w:val="008000"/>
              </w:rPr>
              <w:t>f_natx6pc</w:t>
            </w:r>
            <w:proofErr w:type="spellEnd"/>
            <w:r w:rsidRPr="008329A5">
              <w:rPr>
                <w:rFonts w:cs="Arial"/>
                <w:color w:val="000000"/>
              </w:rPr>
              <w:t>(</w:t>
            </w:r>
            <w:r w:rsidRPr="008329A5">
              <w:rPr>
                <w:rFonts w:cs="Arial"/>
                <w:color w:val="008000"/>
              </w:rPr>
              <w:t>c</w:t>
            </w:r>
            <w:r w:rsidRPr="008329A5">
              <w:rPr>
                <w:rFonts w:cs="Arial"/>
                <w:color w:val="000000"/>
              </w:rPr>
              <w:t xml:space="preserve">) + </w:t>
            </w:r>
            <w:proofErr w:type="spellStart"/>
            <w:r w:rsidRPr="008329A5">
              <w:rPr>
                <w:rFonts w:cs="Arial"/>
                <w:color w:val="008000"/>
              </w:rPr>
              <w:t>f6tot</w:t>
            </w:r>
            <w:proofErr w:type="spellEnd"/>
            <w:r w:rsidRPr="008329A5">
              <w:rPr>
                <w:rFonts w:cs="Arial"/>
                <w:color w:val="000000"/>
              </w:rPr>
              <w:t>(</w:t>
            </w:r>
            <w:r w:rsidRPr="008329A5">
              <w:rPr>
                <w:rFonts w:cs="Arial"/>
                <w:color w:val="008000"/>
              </w:rPr>
              <w:t>q</w:t>
            </w:r>
            <w:r w:rsidRPr="008329A5">
              <w:rPr>
                <w:rFonts w:cs="Arial"/>
                <w:color w:val="000000"/>
              </w:rPr>
              <w:t xml:space="preserve">) + </w:t>
            </w:r>
            <w:proofErr w:type="spellStart"/>
            <w:r w:rsidRPr="008329A5">
              <w:rPr>
                <w:rFonts w:cs="Arial"/>
                <w:color w:val="008000"/>
              </w:rPr>
              <w:t>natf6tot</w:t>
            </w:r>
            <w:proofErr w:type="spellEnd"/>
            <w:r w:rsidRPr="008329A5">
              <w:rPr>
                <w:rFonts w:cs="Arial"/>
                <w:b/>
                <w:bCs/>
                <w:color w:val="000000"/>
              </w:rPr>
              <w:t>]}}</w:t>
            </w:r>
            <w:r w:rsidRPr="008329A5">
              <w:rPr>
                <w:rFonts w:cs="Arial"/>
                <w:color w:val="000000"/>
              </w:rPr>
              <w:t xml:space="preserve"> +</w:t>
            </w:r>
            <w:r w:rsidRPr="008329A5">
              <w:rPr>
                <w:rFonts w:cs="Arial"/>
                <w:color w:val="000000"/>
              </w:rPr>
              <w:br/>
              <w:t xml:space="preserve">    100/</w:t>
            </w:r>
            <w:proofErr w:type="spellStart"/>
            <w:r w:rsidRPr="008329A5">
              <w:rPr>
                <w:rFonts w:cs="Arial"/>
                <w:b/>
                <w:bCs/>
                <w:color w:val="000000"/>
              </w:rPr>
              <w:t>ID01</w:t>
            </w:r>
            <w:proofErr w:type="spellEnd"/>
            <w:r w:rsidRPr="008329A5">
              <w:rPr>
                <w:rFonts w:cs="Arial"/>
                <w:b/>
                <w:bCs/>
                <w:color w:val="000000"/>
              </w:rPr>
              <w:t>[sum{</w:t>
            </w:r>
            <w:proofErr w:type="spellStart"/>
            <w:r w:rsidRPr="008329A5">
              <w:rPr>
                <w:rFonts w:cs="Arial"/>
                <w:color w:val="008000"/>
              </w:rPr>
              <w:t>x</w:t>
            </w:r>
            <w:r w:rsidRPr="008329A5">
              <w:rPr>
                <w:rFonts w:cs="Arial"/>
                <w:color w:val="000000"/>
              </w:rPr>
              <w:t>,</w:t>
            </w:r>
            <w:r w:rsidRPr="008329A5">
              <w:rPr>
                <w:rFonts w:cs="Arial"/>
                <w:color w:val="008000"/>
              </w:rPr>
              <w:t>AGE</w:t>
            </w:r>
            <w:r w:rsidRPr="008329A5">
              <w:rPr>
                <w:rFonts w:cs="Arial"/>
                <w:color w:val="000000"/>
              </w:rPr>
              <w:t>,</w:t>
            </w:r>
            <w:r w:rsidRPr="008329A5">
              <w:rPr>
                <w:rFonts w:cs="Arial"/>
                <w:b/>
                <w:bCs/>
                <w:color w:val="000000"/>
              </w:rPr>
              <w:t>sum</w:t>
            </w:r>
            <w:proofErr w:type="spellEnd"/>
            <w:r w:rsidRPr="008329A5">
              <w:rPr>
                <w:rFonts w:cs="Arial"/>
                <w:b/>
                <w:bCs/>
                <w:color w:val="000000"/>
              </w:rPr>
              <w:t>{</w:t>
            </w:r>
            <w:proofErr w:type="spellStart"/>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 xml:space="preserve">, </w:t>
            </w:r>
            <w:proofErr w:type="spellStart"/>
            <w:r w:rsidRPr="008329A5">
              <w:rPr>
                <w:rFonts w:cs="Arial"/>
                <w:color w:val="008000"/>
              </w:rPr>
              <w:t>C_X6PC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w:t>
            </w:r>
            <w:proofErr w:type="spellStart"/>
            <w:r w:rsidRPr="008329A5">
              <w:rPr>
                <w:rFonts w:cs="Arial"/>
                <w:color w:val="008000"/>
              </w:rPr>
              <w:t>COHORT@1</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r w:rsidRPr="008329A5">
              <w:rPr>
                <w:rFonts w:cs="Arial"/>
                <w:b/>
                <w:bCs/>
                <w:color w:val="000000"/>
              </w:rPr>
              <w:t>}}]</w:t>
            </w:r>
            <w:r w:rsidRPr="008329A5">
              <w:rPr>
                <w:rFonts w:cs="Arial"/>
                <w:color w:val="000000"/>
              </w:rPr>
              <w:t>*</w:t>
            </w:r>
            <w:r w:rsidRPr="008329A5">
              <w:rPr>
                <w:rFonts w:cs="Arial"/>
                <w:color w:val="000000"/>
              </w:rPr>
              <w:br/>
              <w:t xml:space="preserve">    </w:t>
            </w:r>
            <w:r w:rsidRPr="008329A5">
              <w:rPr>
                <w:rFonts w:cs="Arial"/>
                <w:b/>
                <w:bCs/>
                <w:color w:val="000000"/>
              </w:rPr>
              <w:t>sum{</w:t>
            </w:r>
            <w:proofErr w:type="spellStart"/>
            <w:r w:rsidRPr="008329A5">
              <w:rPr>
                <w:rFonts w:cs="Arial"/>
                <w:color w:val="008000"/>
              </w:rPr>
              <w:t>x</w:t>
            </w:r>
            <w:r w:rsidRPr="008329A5">
              <w:rPr>
                <w:rFonts w:cs="Arial"/>
                <w:color w:val="000000"/>
              </w:rPr>
              <w:t>,</w:t>
            </w:r>
            <w:r w:rsidRPr="008329A5">
              <w:rPr>
                <w:rFonts w:cs="Arial"/>
                <w:color w:val="008000"/>
              </w:rPr>
              <w:t>AGE</w:t>
            </w:r>
            <w:r w:rsidRPr="008329A5">
              <w:rPr>
                <w:rFonts w:cs="Arial"/>
                <w:color w:val="000000"/>
              </w:rPr>
              <w:t>,</w:t>
            </w:r>
            <w:r w:rsidRPr="008329A5">
              <w:rPr>
                <w:rFonts w:cs="Arial"/>
                <w:b/>
                <w:bCs/>
                <w:color w:val="000000"/>
              </w:rPr>
              <w:t>sum</w:t>
            </w:r>
            <w:proofErr w:type="spellEnd"/>
            <w:r w:rsidRPr="008329A5">
              <w:rPr>
                <w:rFonts w:cs="Arial"/>
                <w:b/>
                <w:bCs/>
                <w:color w:val="000000"/>
              </w:rPr>
              <w:t>{</w:t>
            </w:r>
            <w:proofErr w:type="spellStart"/>
            <w:r w:rsidRPr="008329A5">
              <w:rPr>
                <w:rFonts w:cs="Arial"/>
                <w:color w:val="008000"/>
              </w:rPr>
              <w:t>g</w:t>
            </w:r>
            <w:r w:rsidRPr="008329A5">
              <w:rPr>
                <w:rFonts w:cs="Arial"/>
                <w:color w:val="000000"/>
              </w:rPr>
              <w:t>,</w:t>
            </w:r>
            <w:r w:rsidRPr="008329A5">
              <w:rPr>
                <w:rFonts w:cs="Arial"/>
                <w:color w:val="008000"/>
              </w:rPr>
              <w:t>GENDER</w:t>
            </w:r>
            <w:proofErr w:type="spellEnd"/>
            <w:r w:rsidRPr="008329A5">
              <w:rPr>
                <w:rFonts w:cs="Arial"/>
                <w:color w:val="000000"/>
              </w:rPr>
              <w:t xml:space="preserve">, </w:t>
            </w:r>
            <w:r w:rsidRPr="008329A5">
              <w:rPr>
                <w:rFonts w:cs="Arial"/>
                <w:b/>
                <w:bCs/>
                <w:color w:val="000000"/>
              </w:rPr>
              <w:t>[</w:t>
            </w:r>
            <w:proofErr w:type="spellStart"/>
            <w:r w:rsidRPr="008329A5">
              <w:rPr>
                <w:rFonts w:cs="Arial"/>
                <w:color w:val="008000"/>
              </w:rPr>
              <w:t>C_X6PC</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x</w:t>
            </w:r>
            <w:r w:rsidRPr="008329A5">
              <w:rPr>
                <w:rFonts w:cs="Arial"/>
                <w:color w:val="000000"/>
              </w:rPr>
              <w:t>,</w:t>
            </w:r>
            <w:r w:rsidRPr="008329A5">
              <w:rPr>
                <w:rFonts w:cs="Arial"/>
                <w:color w:val="008000"/>
              </w:rPr>
              <w:t>g</w:t>
            </w:r>
            <w:proofErr w:type="spellEnd"/>
            <w:r w:rsidRPr="008329A5">
              <w:rPr>
                <w:rFonts w:cs="Arial"/>
                <w:color w:val="000000"/>
              </w:rPr>
              <w:t>)*</w:t>
            </w:r>
            <w:proofErr w:type="spellStart"/>
            <w:r w:rsidRPr="008329A5">
              <w:rPr>
                <w:rFonts w:cs="Arial"/>
                <w:color w:val="008000"/>
              </w:rPr>
              <w:t>popchange</w:t>
            </w:r>
            <w:proofErr w:type="spellEnd"/>
            <w:r w:rsidRPr="008329A5">
              <w:rPr>
                <w:rFonts w:cs="Arial"/>
                <w:color w:val="000000"/>
              </w:rPr>
              <w:t>(</w:t>
            </w:r>
            <w:proofErr w:type="spellStart"/>
            <w:r w:rsidRPr="008329A5">
              <w:rPr>
                <w:rFonts w:cs="Arial"/>
                <w:color w:val="008000"/>
              </w:rPr>
              <w:t>x</w:t>
            </w:r>
            <w:r w:rsidRPr="008329A5">
              <w:rPr>
                <w:rFonts w:cs="Arial"/>
                <w:color w:val="000000"/>
              </w:rPr>
              <w:t>,</w:t>
            </w:r>
            <w:r w:rsidRPr="008329A5">
              <w:rPr>
                <w:rFonts w:cs="Arial"/>
                <w:color w:val="008000"/>
              </w:rPr>
              <w:t>g</w:t>
            </w:r>
            <w:r w:rsidRPr="008329A5">
              <w:rPr>
                <w:rFonts w:cs="Arial"/>
                <w:color w:val="000000"/>
              </w:rPr>
              <w:t>,</w:t>
            </w:r>
            <w:r w:rsidRPr="008329A5">
              <w:rPr>
                <w:rFonts w:cs="Arial"/>
                <w:color w:val="008000"/>
              </w:rPr>
              <w:t>q</w:t>
            </w:r>
            <w:proofErr w:type="spellEnd"/>
            <w:r w:rsidRPr="008329A5">
              <w:rPr>
                <w:rFonts w:cs="Arial"/>
                <w:color w:val="000000"/>
              </w:rPr>
              <w:t>)</w:t>
            </w:r>
            <w:r w:rsidRPr="008329A5">
              <w:rPr>
                <w:rFonts w:cs="Arial"/>
                <w:b/>
                <w:bCs/>
                <w:color w:val="000000"/>
              </w:rPr>
              <w:t>]}}</w:t>
            </w:r>
            <w:r w:rsidRPr="008329A5">
              <w:rPr>
                <w:rFonts w:cs="Arial"/>
                <w:color w:val="000000"/>
              </w:rPr>
              <w:t xml:space="preserve"> +</w:t>
            </w:r>
            <w:r w:rsidRPr="008329A5">
              <w:rPr>
                <w:rFonts w:cs="Arial"/>
                <w:color w:val="000000"/>
              </w:rPr>
              <w:br/>
              <w:t xml:space="preserve">    </w:t>
            </w:r>
            <w:proofErr w:type="spellStart"/>
            <w:r w:rsidRPr="008329A5">
              <w:rPr>
                <w:rFonts w:cs="Arial"/>
                <w:color w:val="008000"/>
              </w:rPr>
              <w:t>f_x6a</w:t>
            </w:r>
            <w:proofErr w:type="spellEnd"/>
            <w:r w:rsidRPr="008329A5">
              <w:rPr>
                <w:rFonts w:cs="Arial"/>
                <w:color w:val="000000"/>
              </w:rPr>
              <w:t>(</w:t>
            </w:r>
            <w:proofErr w:type="spellStart"/>
            <w:r w:rsidRPr="008329A5">
              <w:rPr>
                <w:rFonts w:cs="Arial"/>
                <w:color w:val="008000"/>
              </w:rPr>
              <w:t>c</w:t>
            </w:r>
            <w:r w:rsidRPr="008329A5">
              <w:rPr>
                <w:rFonts w:cs="Arial"/>
                <w:color w:val="000000"/>
              </w:rPr>
              <w:t>,</w:t>
            </w:r>
            <w:r w:rsidRPr="008329A5">
              <w:rPr>
                <w:rFonts w:cs="Arial"/>
                <w:color w:val="008000"/>
              </w:rPr>
              <w:t>s</w:t>
            </w:r>
            <w:r w:rsidRPr="008329A5">
              <w:rPr>
                <w:rFonts w:cs="Arial"/>
                <w:color w:val="000000"/>
              </w:rPr>
              <w:t>,</w:t>
            </w:r>
            <w:r w:rsidRPr="008329A5">
              <w:rPr>
                <w:rFonts w:cs="Arial"/>
                <w:color w:val="008000"/>
              </w:rPr>
              <w:t>q</w:t>
            </w:r>
            <w:proofErr w:type="spellEnd"/>
            <w:r w:rsidRPr="008329A5">
              <w:rPr>
                <w:rFonts w:cs="Arial"/>
                <w:color w:val="000000"/>
              </w:rPr>
              <w:t>);</w:t>
            </w:r>
          </w:p>
        </w:tc>
      </w:tr>
      <w:tr w:rsidR="00360B6B" w14:paraId="4E8A65C0" w14:textId="77777777" w:rsidTr="0052424C">
        <w:trPr>
          <w:cantSplit/>
        </w:trPr>
        <w:tc>
          <w:tcPr>
            <w:tcW w:w="8771" w:type="dxa"/>
            <w:tcBorders>
              <w:top w:val="nil"/>
              <w:left w:val="nil"/>
              <w:bottom w:val="nil"/>
              <w:right w:val="nil"/>
            </w:tcBorders>
            <w:shd w:val="clear" w:color="auto" w:fill="F2F2F2"/>
          </w:tcPr>
          <w:p w14:paraId="36D61903" w14:textId="77777777" w:rsidR="00360B6B" w:rsidRDefault="00360B6B" w:rsidP="0052424C">
            <w:pPr>
              <w:pStyle w:val="BoxSource"/>
            </w:pPr>
            <w:r>
              <w:rPr>
                <w:i/>
              </w:rPr>
              <w:t>Source</w:t>
            </w:r>
            <w:r w:rsidRPr="00167F06">
              <w:t xml:space="preserve">: </w:t>
            </w:r>
            <w:r>
              <w:t>Productivity Commission preliminary modelling.</w:t>
            </w:r>
          </w:p>
        </w:tc>
      </w:tr>
      <w:tr w:rsidR="00360B6B" w14:paraId="59613F2A" w14:textId="77777777" w:rsidTr="0052424C">
        <w:trPr>
          <w:cantSplit/>
        </w:trPr>
        <w:tc>
          <w:tcPr>
            <w:tcW w:w="8771" w:type="dxa"/>
            <w:tcBorders>
              <w:top w:val="nil"/>
              <w:left w:val="nil"/>
              <w:bottom w:val="single" w:sz="6" w:space="0" w:color="78A22F"/>
              <w:right w:val="nil"/>
            </w:tcBorders>
            <w:shd w:val="clear" w:color="auto" w:fill="F2F2F2"/>
          </w:tcPr>
          <w:p w14:paraId="2E6E528A" w14:textId="77777777" w:rsidR="00360B6B" w:rsidRDefault="00360B6B" w:rsidP="0052424C">
            <w:pPr>
              <w:pStyle w:val="Box"/>
              <w:spacing w:before="0" w:line="120" w:lineRule="exact"/>
            </w:pPr>
          </w:p>
        </w:tc>
      </w:tr>
      <w:tr w:rsidR="00360B6B" w:rsidRPr="000863A5" w14:paraId="437FEBD2" w14:textId="77777777" w:rsidTr="0052424C">
        <w:tc>
          <w:tcPr>
            <w:tcW w:w="8771" w:type="dxa"/>
            <w:tcBorders>
              <w:top w:val="single" w:sz="6" w:space="0" w:color="78A22F"/>
              <w:left w:val="nil"/>
              <w:bottom w:val="nil"/>
              <w:right w:val="nil"/>
            </w:tcBorders>
          </w:tcPr>
          <w:p w14:paraId="02C10F98" w14:textId="4404A42C" w:rsidR="00360B6B" w:rsidRPr="00626D32" w:rsidRDefault="00360B6B" w:rsidP="0052424C">
            <w:pPr>
              <w:pStyle w:val="BoxSpaceBelow"/>
            </w:pPr>
          </w:p>
        </w:tc>
      </w:tr>
    </w:tbl>
    <w:p w14:paraId="54B0575E" w14:textId="77777777" w:rsidR="00360B6B" w:rsidRDefault="00360B6B" w:rsidP="00360B6B">
      <w:pPr>
        <w:pStyle w:val="BodyText"/>
        <w:rPr>
          <w:rFonts w:ascii="Arial" w:hAnsi="Arial"/>
          <w:sz w:val="26"/>
        </w:rPr>
      </w:pPr>
      <w:r>
        <w:br w:type="page"/>
      </w:r>
    </w:p>
    <w:p w14:paraId="0C14934F" w14:textId="7B0FDD63" w:rsidR="00360B6B" w:rsidRPr="00BB273C" w:rsidRDefault="00360B6B" w:rsidP="008329A5">
      <w:pPr>
        <w:pStyle w:val="Heading2"/>
      </w:pPr>
      <w:r w:rsidRPr="00BB273C">
        <w:lastRenderedPageBreak/>
        <w:t>Reference</w:t>
      </w:r>
      <w:r>
        <w:t>s</w:t>
      </w:r>
    </w:p>
    <w:p w14:paraId="0C63EF3B" w14:textId="77777777" w:rsidR="00360B6B" w:rsidRDefault="00360B6B" w:rsidP="00360B6B">
      <w:pPr>
        <w:pStyle w:val="BodyText"/>
      </w:pPr>
      <w:r>
        <w:t xml:space="preserve">ABS (Australian Bureau of Statistics) 2013 </w:t>
      </w:r>
      <w:r w:rsidRPr="0037676B">
        <w:rPr>
          <w:i/>
        </w:rPr>
        <w:t>Australian and new Zealand Standard Classification of Occupations, 2013</w:t>
      </w:r>
      <w:r>
        <w:t>, cat. no. 1220.0, Version 1.2, June 2013.</w:t>
      </w:r>
    </w:p>
    <w:p w14:paraId="70DD6061" w14:textId="77777777" w:rsidR="00360B6B" w:rsidRDefault="00360B6B" w:rsidP="00360B6B">
      <w:pPr>
        <w:pStyle w:val="BodyText"/>
      </w:pPr>
      <w:r>
        <w:t>—— </w:t>
      </w:r>
      <w:proofErr w:type="spellStart"/>
      <w:r>
        <w:t>2014a</w:t>
      </w:r>
      <w:proofErr w:type="spellEnd"/>
      <w:r>
        <w:t xml:space="preserve"> </w:t>
      </w:r>
      <w:r w:rsidRPr="00364CE1">
        <w:rPr>
          <w:i/>
        </w:rPr>
        <w:t>Australian Hi</w:t>
      </w:r>
      <w:r>
        <w:rPr>
          <w:i/>
        </w:rPr>
        <w:t>storical Population Statistics</w:t>
      </w:r>
      <w:r>
        <w:t>, c</w:t>
      </w:r>
      <w:r w:rsidRPr="007D2264">
        <w:t>at. no. 3105.0.65.001</w:t>
      </w:r>
      <w:r>
        <w:t>.</w:t>
      </w:r>
    </w:p>
    <w:p w14:paraId="77C7610C" w14:textId="77777777" w:rsidR="00360B6B" w:rsidRPr="00BB273C" w:rsidRDefault="00360B6B" w:rsidP="00360B6B">
      <w:pPr>
        <w:pStyle w:val="BodyText"/>
      </w:pPr>
      <w:r>
        <w:t>—— </w:t>
      </w:r>
      <w:proofErr w:type="spellStart"/>
      <w:r>
        <w:t>2014b</w:t>
      </w:r>
      <w:proofErr w:type="spellEnd"/>
      <w:r w:rsidRPr="007D2264">
        <w:t xml:space="preserve"> </w:t>
      </w:r>
      <w:r w:rsidRPr="00364CE1">
        <w:rPr>
          <w:i/>
        </w:rPr>
        <w:t>Australian Demogr</w:t>
      </w:r>
      <w:r>
        <w:rPr>
          <w:i/>
        </w:rPr>
        <w:t xml:space="preserve">aphic Statistics, </w:t>
      </w:r>
      <w:r w:rsidRPr="00F174F0">
        <w:t>September</w:t>
      </w:r>
      <w:r>
        <w:t>, c</w:t>
      </w:r>
      <w:r w:rsidRPr="003553A7">
        <w:t>at</w:t>
      </w:r>
      <w:r w:rsidRPr="007D2264">
        <w:t>. no.</w:t>
      </w:r>
      <w:r>
        <w:t xml:space="preserve"> 3101.0.</w:t>
      </w:r>
    </w:p>
    <w:p w14:paraId="36E2F448" w14:textId="77777777" w:rsidR="00360B6B" w:rsidRDefault="00360B6B" w:rsidP="00360B6B">
      <w:pPr>
        <w:pStyle w:val="BodyText"/>
      </w:pPr>
      <w:proofErr w:type="spellStart"/>
      <w:r>
        <w:t>CoPS</w:t>
      </w:r>
      <w:proofErr w:type="spellEnd"/>
      <w:r>
        <w:t xml:space="preserve"> (Centre of Policy Studies) 2014 </w:t>
      </w:r>
      <w:r w:rsidRPr="004D7509">
        <w:rPr>
          <w:i/>
        </w:rPr>
        <w:t>A Dynamic Multi-Regional Applied General Equilibrium Model of the Australian Economy</w:t>
      </w:r>
      <w:r>
        <w:t>.</w:t>
      </w:r>
    </w:p>
    <w:p w14:paraId="3BC24FCA" w14:textId="77777777" w:rsidR="00360B6B" w:rsidRDefault="00360B6B" w:rsidP="00360B6B">
      <w:pPr>
        <w:pStyle w:val="BodyText"/>
      </w:pPr>
      <w:proofErr w:type="spellStart"/>
      <w:r>
        <w:rPr>
          <w:i/>
        </w:rPr>
        <w:t>CoPS</w:t>
      </w:r>
      <w:proofErr w:type="spellEnd"/>
      <w:r>
        <w:rPr>
          <w:i/>
        </w:rPr>
        <w:t xml:space="preserve"> (</w:t>
      </w:r>
      <w:r w:rsidRPr="00235B9E">
        <w:t>Centre of Policy Studies</w:t>
      </w:r>
      <w:r>
        <w:t>)</w:t>
      </w:r>
      <w:r w:rsidRPr="00235B9E">
        <w:rPr>
          <w:i/>
        </w:rPr>
        <w:t xml:space="preserve"> </w:t>
      </w:r>
      <w:r>
        <w:rPr>
          <w:i/>
        </w:rPr>
        <w:t>2015</w:t>
      </w:r>
      <w:r w:rsidRPr="00235B9E">
        <w:rPr>
          <w:i/>
        </w:rPr>
        <w:t xml:space="preserve"> </w:t>
      </w:r>
      <w:r>
        <w:rPr>
          <w:i/>
        </w:rPr>
        <w:t>‘</w:t>
      </w:r>
      <w:r w:rsidRPr="0037676B">
        <w:rPr>
          <w:i/>
        </w:rPr>
        <w:t>Construction of the 2009-10 Database for the Victoria University Multi-Regional Model</w:t>
      </w:r>
      <w:r w:rsidRPr="0037676B">
        <w:t>’</w:t>
      </w:r>
      <w:r w:rsidRPr="00235B9E">
        <w:rPr>
          <w:i/>
        </w:rPr>
        <w:t xml:space="preserve">, </w:t>
      </w:r>
      <w:r w:rsidRPr="00235B9E">
        <w:t xml:space="preserve">database prepared by Glyn </w:t>
      </w:r>
      <w:proofErr w:type="spellStart"/>
      <w:r w:rsidRPr="00235B9E">
        <w:t>Wittwer</w:t>
      </w:r>
      <w:proofErr w:type="spellEnd"/>
      <w:r w:rsidRPr="00235B9E">
        <w:t xml:space="preserve">, Philip Adams, Janine Dixon and </w:t>
      </w:r>
      <w:proofErr w:type="spellStart"/>
      <w:r w:rsidRPr="00235B9E">
        <w:t>Nhi</w:t>
      </w:r>
      <w:proofErr w:type="spellEnd"/>
      <w:r w:rsidRPr="00235B9E">
        <w:t xml:space="preserve"> Tran, Centre of Policy Studies, Victoria University, with contributions from staff at the Productivity Commission, 27 August 2015 (Version 1.0).</w:t>
      </w:r>
    </w:p>
    <w:p w14:paraId="287BC5DC" w14:textId="77777777" w:rsidR="00360B6B" w:rsidRDefault="00360B6B" w:rsidP="00360B6B">
      <w:pPr>
        <w:pStyle w:val="BodyText"/>
      </w:pPr>
      <w:proofErr w:type="spellStart"/>
      <w:r>
        <w:t>DIBP</w:t>
      </w:r>
      <w:proofErr w:type="spellEnd"/>
      <w:r>
        <w:t xml:space="preserve"> (</w:t>
      </w:r>
      <w:r w:rsidRPr="00283762">
        <w:t>Department of Immigrati</w:t>
      </w:r>
      <w:r>
        <w:t xml:space="preserve">on and Border Protection) 2014 </w:t>
      </w:r>
      <w:r w:rsidRPr="00F174F0">
        <w:rPr>
          <w:i/>
        </w:rPr>
        <w:t>Australia’s Migration Trends 2013</w:t>
      </w:r>
      <w:r>
        <w:rPr>
          <w:i/>
        </w:rPr>
        <w:t>,</w:t>
      </w:r>
      <w:r w:rsidRPr="00283762">
        <w:t xml:space="preserve"> </w:t>
      </w:r>
      <w:r>
        <w:t>Canberra</w:t>
      </w:r>
    </w:p>
    <w:p w14:paraId="2F625BB8" w14:textId="77777777" w:rsidR="00360B6B" w:rsidRDefault="00360B6B" w:rsidP="00360B6B">
      <w:pPr>
        <w:pStyle w:val="BodyText"/>
      </w:pPr>
      <w:r>
        <w:t xml:space="preserve">PC (Productivity Commission) 2006, </w:t>
      </w:r>
      <w:r w:rsidRPr="004D7509">
        <w:rPr>
          <w:i/>
        </w:rPr>
        <w:t>Economic Impacts of Migration and Population Growth</w:t>
      </w:r>
      <w:r>
        <w:t>, Final Report, April.</w:t>
      </w:r>
    </w:p>
    <w:p w14:paraId="6B6570AA" w14:textId="77777777" w:rsidR="00360B6B" w:rsidRDefault="00360B6B" w:rsidP="00360B6B">
      <w:pPr>
        <w:pStyle w:val="BodyText"/>
      </w:pPr>
      <w:r>
        <w:t xml:space="preserve">—— 2012, </w:t>
      </w:r>
      <w:r w:rsidRPr="00CC0EAB">
        <w:rPr>
          <w:i/>
        </w:rPr>
        <w:t>Impacts of COAG Reforms: Business Regulation and VET</w:t>
      </w:r>
      <w:r>
        <w:t>, Research Report.</w:t>
      </w:r>
    </w:p>
    <w:p w14:paraId="2DA02D42" w14:textId="77777777" w:rsidR="00360B6B" w:rsidRPr="00CC0EAB" w:rsidRDefault="00360B6B" w:rsidP="00360B6B">
      <w:pPr>
        <w:pStyle w:val="BodyText"/>
      </w:pPr>
      <w:r>
        <w:t xml:space="preserve">—— 2013, </w:t>
      </w:r>
      <w:r>
        <w:rPr>
          <w:i/>
        </w:rPr>
        <w:t>An Ageing Australia: Preparing for the Future</w:t>
      </w:r>
      <w:r>
        <w:t>, Commission Research Paper, Canberra.</w:t>
      </w:r>
    </w:p>
    <w:p w14:paraId="74F50E6C" w14:textId="77777777" w:rsidR="00360B6B" w:rsidRDefault="00360B6B" w:rsidP="00360B6B">
      <w:pPr>
        <w:pStyle w:val="BodyText"/>
      </w:pPr>
      <w:r>
        <w:t xml:space="preserve">—— 2014, </w:t>
      </w:r>
      <w:r w:rsidRPr="00CC0EAB">
        <w:rPr>
          <w:i/>
        </w:rPr>
        <w:t>Economywide Modelling of Automotive Industry Change, Supplement to Australia’s Automotive Manufacturing Industry</w:t>
      </w:r>
      <w:r w:rsidRPr="00BB273C">
        <w:t>, Canberra, April.</w:t>
      </w:r>
    </w:p>
    <w:sectPr w:rsidR="00360B6B" w:rsidSect="0052424C">
      <w:headerReference w:type="even" r:id="rId53"/>
      <w:headerReference w:type="default" r:id="rId54"/>
      <w:footerReference w:type="even" r:id="rId55"/>
      <w:footerReference w:type="default" r:id="rId56"/>
      <w:headerReference w:type="first" r:id="rId57"/>
      <w:footerReference w:type="first" r:id="rId58"/>
      <w:pgSz w:w="11907" w:h="16840" w:code="9"/>
      <w:pgMar w:top="1985" w:right="1304" w:bottom="1247" w:left="1814" w:header="1701" w:footer="397" w:gutter="0"/>
      <w:pgNumType w:start="1" w:chapStyle="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AADD2" w14:textId="77777777" w:rsidR="00FC3E29" w:rsidRDefault="00FC3E29">
      <w:r>
        <w:separator/>
      </w:r>
    </w:p>
    <w:p w14:paraId="47BB2356" w14:textId="77777777" w:rsidR="00FC3E29" w:rsidRDefault="00FC3E29"/>
    <w:p w14:paraId="7147701B" w14:textId="77777777" w:rsidR="00FC3E29" w:rsidRDefault="00FC3E29"/>
  </w:endnote>
  <w:endnote w:type="continuationSeparator" w:id="0">
    <w:p w14:paraId="37B9463C" w14:textId="77777777" w:rsidR="00FC3E29" w:rsidRDefault="00FC3E29">
      <w:r>
        <w:continuationSeparator/>
      </w:r>
    </w:p>
    <w:p w14:paraId="59C82D22" w14:textId="77777777" w:rsidR="00FC3E29" w:rsidRDefault="00FC3E29"/>
    <w:p w14:paraId="6F785A2C" w14:textId="77777777" w:rsidR="00FC3E29" w:rsidRDefault="00FC3E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19F21" w14:textId="77777777" w:rsidR="00FC3E29" w:rsidRDefault="00FC3E29" w:rsidP="0052424C">
    <w:pPr>
      <w:pStyle w:val="FooterEnd"/>
    </w:pPr>
  </w:p>
  <w:p w14:paraId="3A62676A" w14:textId="77777777" w:rsidR="00FC3E29" w:rsidRDefault="00FC3E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E2948" w14:textId="77777777" w:rsidR="009B1EF9" w:rsidRDefault="009B1E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C3E29" w14:paraId="5FBED05F" w14:textId="77777777" w:rsidTr="0052424C">
      <w:trPr>
        <w:trHeight w:hRule="exact" w:val="567"/>
      </w:trPr>
      <w:tc>
        <w:tcPr>
          <w:tcW w:w="510" w:type="dxa"/>
        </w:tcPr>
        <w:p w14:paraId="1027A2D7" w14:textId="77777777" w:rsidR="00FC3E29" w:rsidRDefault="00FC3E29">
          <w:pPr>
            <w:pStyle w:val="Footer"/>
            <w:ind w:right="360" w:firstLine="360"/>
          </w:pPr>
        </w:p>
      </w:tc>
      <w:tc>
        <w:tcPr>
          <w:tcW w:w="7767" w:type="dxa"/>
        </w:tcPr>
        <w:p w14:paraId="5B9EDB29" w14:textId="77777777" w:rsidR="00FC3E29" w:rsidRPr="00BA5B14" w:rsidRDefault="00FC3E29" w:rsidP="0052424C">
          <w:pPr>
            <w:pStyle w:val="Footer"/>
            <w:jc w:val="right"/>
            <w:rPr>
              <w:rFonts w:cs="Arial"/>
            </w:rPr>
          </w:pPr>
          <w:r w:rsidRPr="00BA5B14">
            <w:rPr>
              <w:rFonts w:cs="Arial"/>
            </w:rPr>
            <w:fldChar w:fldCharType="begin"/>
          </w:r>
          <w:r w:rsidRPr="00BA5B14">
            <w:rPr>
              <w:rFonts w:cs="Arial"/>
            </w:rPr>
            <w:instrText xml:space="preserve"> TITLE  \* MERGEFORMAT </w:instrText>
          </w:r>
          <w:r w:rsidRPr="00BA5B14">
            <w:rPr>
              <w:rFonts w:cs="Arial"/>
            </w:rPr>
            <w:fldChar w:fldCharType="separate"/>
          </w:r>
          <w:r w:rsidR="008846C7">
            <w:rPr>
              <w:rFonts w:cs="Arial"/>
            </w:rPr>
            <w:t xml:space="preserve">The </w:t>
          </w:r>
          <w:proofErr w:type="spellStart"/>
          <w:r w:rsidR="008846C7">
            <w:rPr>
              <w:rFonts w:cs="Arial"/>
            </w:rPr>
            <w:t>Economywide</w:t>
          </w:r>
          <w:proofErr w:type="spellEnd"/>
          <w:r w:rsidR="008846C7">
            <w:rPr>
              <w:rFonts w:cs="Arial"/>
            </w:rPr>
            <w:t xml:space="preserve"> Impacts</w:t>
          </w:r>
          <w:r w:rsidRPr="00BA5B14">
            <w:rPr>
              <w:rFonts w:cs="Arial"/>
            </w:rPr>
            <w:fldChar w:fldCharType="end"/>
          </w:r>
        </w:p>
      </w:tc>
      <w:tc>
        <w:tcPr>
          <w:tcW w:w="510" w:type="dxa"/>
        </w:tcPr>
        <w:p w14:paraId="784A918D" w14:textId="77777777" w:rsidR="00FC3E29" w:rsidRPr="00A24443" w:rsidRDefault="00FC3E2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w:t>
          </w:r>
          <w:r w:rsidRPr="00A24443">
            <w:rPr>
              <w:rStyle w:val="PageNumber"/>
              <w:caps w:val="0"/>
            </w:rPr>
            <w:fldChar w:fldCharType="end"/>
          </w:r>
        </w:p>
      </w:tc>
    </w:tr>
  </w:tbl>
  <w:p w14:paraId="364CB9FC" w14:textId="77777777" w:rsidR="00FC3E29" w:rsidRDefault="00FC3E29">
    <w:pPr>
      <w:pStyle w:val="FooterEnd"/>
    </w:pPr>
  </w:p>
  <w:p w14:paraId="3887BA7C" w14:textId="77777777" w:rsidR="00FC3E29" w:rsidRDefault="00FC3E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C3E29" w14:paraId="04582C2E" w14:textId="77777777" w:rsidTr="0052424C">
      <w:trPr>
        <w:trHeight w:hRule="exact" w:val="567"/>
      </w:trPr>
      <w:tc>
        <w:tcPr>
          <w:tcW w:w="510" w:type="dxa"/>
        </w:tcPr>
        <w:p w14:paraId="3A0C6686" w14:textId="77777777" w:rsidR="00FC3E29" w:rsidRPr="00A24443" w:rsidRDefault="00FC3E29" w:rsidP="0052424C">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B1EF9">
            <w:rPr>
              <w:rStyle w:val="PageNumber"/>
              <w:caps w:val="0"/>
              <w:noProof/>
            </w:rPr>
            <w:t>2</w:t>
          </w:r>
          <w:r w:rsidRPr="00A24443">
            <w:rPr>
              <w:rStyle w:val="PageNumber"/>
              <w:caps w:val="0"/>
            </w:rPr>
            <w:fldChar w:fldCharType="end"/>
          </w:r>
        </w:p>
      </w:tc>
      <w:tc>
        <w:tcPr>
          <w:tcW w:w="7767" w:type="dxa"/>
        </w:tcPr>
        <w:p w14:paraId="08C600B8" w14:textId="2A1E96C8" w:rsidR="00FC3E29" w:rsidRPr="0013739A" w:rsidRDefault="00FC3E29" w:rsidP="006E565F">
          <w:pPr>
            <w:pStyle w:val="Footer"/>
            <w:rPr>
              <w:rFonts w:cs="Arial"/>
            </w:rPr>
          </w:pPr>
          <w:r>
            <w:rPr>
              <w:rFonts w:cs="Arial"/>
            </w:rPr>
            <w:t>MIGRANT INTAKE INTO AUSTRALIA</w:t>
          </w:r>
          <w:r w:rsidR="007D6D2C">
            <w:rPr>
              <w:rFonts w:cs="Arial"/>
            </w:rPr>
            <w:t xml:space="preserve"> </w:t>
          </w:r>
          <w:r w:rsidR="006E565F">
            <w:rPr>
              <w:rFonts w:cs="Arial"/>
            </w:rPr>
            <w:t xml:space="preserve">— </w:t>
          </w:r>
          <w:r w:rsidR="007D6D2C">
            <w:rPr>
              <w:rFonts w:cs="Arial"/>
            </w:rPr>
            <w:t>technical</w:t>
          </w:r>
          <w:r w:rsidR="006E565F">
            <w:rPr>
              <w:rFonts w:cs="Arial"/>
            </w:rPr>
            <w:t xml:space="preserve"> </w:t>
          </w:r>
          <w:r w:rsidR="007D6D2C">
            <w:rPr>
              <w:rFonts w:cs="Arial"/>
            </w:rPr>
            <w:t>supplement A</w:t>
          </w:r>
        </w:p>
      </w:tc>
      <w:tc>
        <w:tcPr>
          <w:tcW w:w="510" w:type="dxa"/>
        </w:tcPr>
        <w:p w14:paraId="2F1644BF" w14:textId="77777777" w:rsidR="00FC3E29" w:rsidRDefault="00FC3E29" w:rsidP="0052424C">
          <w:pPr>
            <w:pStyle w:val="Footer"/>
          </w:pPr>
        </w:p>
      </w:tc>
    </w:tr>
  </w:tbl>
  <w:p w14:paraId="45A39D8D" w14:textId="77777777" w:rsidR="00FC3E29" w:rsidRDefault="00FC3E29" w:rsidP="0052424C">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C3E29" w14:paraId="392E10BF" w14:textId="77777777" w:rsidTr="0052424C">
      <w:trPr>
        <w:trHeight w:hRule="exact" w:val="567"/>
      </w:trPr>
      <w:tc>
        <w:tcPr>
          <w:tcW w:w="510" w:type="dxa"/>
        </w:tcPr>
        <w:p w14:paraId="1FDD0AE6" w14:textId="77777777" w:rsidR="00FC3E29" w:rsidRDefault="00FC3E29">
          <w:pPr>
            <w:pStyle w:val="Footer"/>
            <w:ind w:right="360" w:firstLine="360"/>
          </w:pPr>
        </w:p>
      </w:tc>
      <w:tc>
        <w:tcPr>
          <w:tcW w:w="7767" w:type="dxa"/>
        </w:tcPr>
        <w:p w14:paraId="7DF7C9E1" w14:textId="77777777" w:rsidR="00FC3E29" w:rsidRPr="00BA5B14" w:rsidRDefault="00FC3E29" w:rsidP="0052424C">
          <w:pPr>
            <w:pStyle w:val="Footer"/>
            <w:jc w:val="right"/>
            <w:rPr>
              <w:rFonts w:cs="Arial"/>
            </w:rPr>
          </w:pPr>
          <w:r w:rsidRPr="00BA5B14">
            <w:rPr>
              <w:rFonts w:cs="Arial"/>
            </w:rPr>
            <w:fldChar w:fldCharType="begin"/>
          </w:r>
          <w:r w:rsidRPr="00BA5B14">
            <w:rPr>
              <w:rFonts w:cs="Arial"/>
            </w:rPr>
            <w:instrText xml:space="preserve"> TITLE  \* MERGEFORMAT </w:instrText>
          </w:r>
          <w:r w:rsidRPr="00BA5B14">
            <w:rPr>
              <w:rFonts w:cs="Arial"/>
            </w:rPr>
            <w:fldChar w:fldCharType="separate"/>
          </w:r>
          <w:r w:rsidR="008846C7">
            <w:rPr>
              <w:rFonts w:cs="Arial"/>
            </w:rPr>
            <w:t xml:space="preserve">The </w:t>
          </w:r>
          <w:proofErr w:type="spellStart"/>
          <w:r w:rsidR="008846C7">
            <w:rPr>
              <w:rFonts w:cs="Arial"/>
            </w:rPr>
            <w:t>Economywide</w:t>
          </w:r>
          <w:proofErr w:type="spellEnd"/>
          <w:r w:rsidR="008846C7">
            <w:rPr>
              <w:rFonts w:cs="Arial"/>
            </w:rPr>
            <w:t xml:space="preserve"> Impacts</w:t>
          </w:r>
          <w:r w:rsidRPr="00BA5B14">
            <w:rPr>
              <w:rFonts w:cs="Arial"/>
            </w:rPr>
            <w:fldChar w:fldCharType="end"/>
          </w:r>
          <w:bookmarkStart w:id="7" w:name="DraftReportOdd"/>
          <w:bookmarkEnd w:id="7"/>
        </w:p>
      </w:tc>
      <w:tc>
        <w:tcPr>
          <w:tcW w:w="510" w:type="dxa"/>
        </w:tcPr>
        <w:p w14:paraId="2608C303" w14:textId="77777777" w:rsidR="00FC3E29" w:rsidRPr="00A24443" w:rsidRDefault="00FC3E2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B1EF9">
            <w:rPr>
              <w:rStyle w:val="PageNumber"/>
              <w:caps w:val="0"/>
              <w:noProof/>
            </w:rPr>
            <w:t>1</w:t>
          </w:r>
          <w:r w:rsidRPr="00A24443">
            <w:rPr>
              <w:rStyle w:val="PageNumber"/>
              <w:caps w:val="0"/>
            </w:rPr>
            <w:fldChar w:fldCharType="end"/>
          </w:r>
        </w:p>
      </w:tc>
    </w:tr>
  </w:tbl>
  <w:p w14:paraId="3745543E" w14:textId="77777777" w:rsidR="00FC3E29" w:rsidRDefault="00FC3E29">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7185E" w14:textId="77777777" w:rsidR="00FC3E29" w:rsidRDefault="00FC3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38F56" w14:textId="77777777" w:rsidR="00FC3E29" w:rsidRDefault="00FC3E29">
      <w:r>
        <w:separator/>
      </w:r>
    </w:p>
  </w:footnote>
  <w:footnote w:type="continuationSeparator" w:id="0">
    <w:p w14:paraId="16070A48" w14:textId="77777777" w:rsidR="00FC3E29" w:rsidRDefault="00FC3E29">
      <w:r>
        <w:continuationSeparator/>
      </w:r>
    </w:p>
    <w:p w14:paraId="27222122" w14:textId="77777777" w:rsidR="00FC3E29" w:rsidRDefault="00FC3E29"/>
    <w:p w14:paraId="635DD8EF" w14:textId="77777777" w:rsidR="00FC3E29" w:rsidRDefault="00FC3E29"/>
  </w:footnote>
  <w:footnote w:id="1">
    <w:p w14:paraId="4884B123" w14:textId="77777777" w:rsidR="00FC3E29" w:rsidRPr="00A31681" w:rsidRDefault="00FC3E29" w:rsidP="00360B6B">
      <w:pPr>
        <w:pStyle w:val="FootnoteText"/>
      </w:pPr>
      <w:r>
        <w:rPr>
          <w:rStyle w:val="FootnoteReference"/>
        </w:rPr>
        <w:footnoteRef/>
      </w:r>
      <w:r>
        <w:tab/>
        <w:t>Final consumption expenditure of general government includes the n</w:t>
      </w:r>
      <w:r w:rsidRPr="008E1F48">
        <w:t xml:space="preserve">et expenditure on goods and services by public authorities </w:t>
      </w:r>
      <w:r>
        <w:t>(</w:t>
      </w:r>
      <w:r w:rsidRPr="008E1F48">
        <w:t>other than those classified as public corporations</w:t>
      </w:r>
      <w:r>
        <w:t>)</w:t>
      </w:r>
      <w:r w:rsidRPr="008E1F48">
        <w:t xml:space="preserve">, </w:t>
      </w:r>
      <w:r>
        <w:t xml:space="preserve">but excludes expenditure </w:t>
      </w:r>
      <w:r w:rsidRPr="008E1F48">
        <w:t>which result</w:t>
      </w:r>
      <w:r>
        <w:t>s</w:t>
      </w:r>
      <w:r w:rsidRPr="008E1F48">
        <w:t xml:space="preserve"> in the creation of fixed assets or inventories or in the acquisition of land and existing buildings or second-hand assets. It comprises expenditure on compensation of employees (other than those charged to capital works, etc.), goods and services (other than fixed assets and inventories) and consumption of fixed capital. Expenditure on repair and maintenance of roads is included</w:t>
      </w:r>
      <w:r>
        <w:t xml:space="preserve"> (ABS, </w:t>
      </w:r>
      <w:r w:rsidRPr="008E1F48">
        <w:rPr>
          <w:i/>
        </w:rPr>
        <w:t>Australian System of national Accounts, Concepts, Sources and Methods 2014</w:t>
      </w:r>
      <w:r>
        <w:t>, Cat. No. 5216.0, Glossary.)</w:t>
      </w:r>
    </w:p>
  </w:footnote>
  <w:footnote w:id="2">
    <w:p w14:paraId="258C6D6C" w14:textId="77777777" w:rsidR="00FC3E29" w:rsidRDefault="00FC3E29" w:rsidP="00360B6B">
      <w:pPr>
        <w:pStyle w:val="FootnoteText"/>
      </w:pPr>
      <w:r>
        <w:rPr>
          <w:rStyle w:val="FootnoteReference"/>
        </w:rPr>
        <w:footnoteRef/>
      </w:r>
      <w:r>
        <w:t xml:space="preserve"> </w:t>
      </w:r>
      <w:r>
        <w:tab/>
        <w:t xml:space="preserve">The </w:t>
      </w:r>
      <w:proofErr w:type="spellStart"/>
      <w:r>
        <w:t>VUMR</w:t>
      </w:r>
      <w:proofErr w:type="spellEnd"/>
      <w:r>
        <w:t xml:space="preserve"> parameter </w:t>
      </w:r>
      <w:proofErr w:type="spellStart"/>
      <w:r>
        <w:t>SIGMA1FAC</w:t>
      </w:r>
      <w:proofErr w:type="spellEnd"/>
      <w:r>
        <w:t xml:space="preserve"> for all industries and regions.</w:t>
      </w:r>
    </w:p>
  </w:footnote>
  <w:footnote w:id="3">
    <w:p w14:paraId="174E9CAE" w14:textId="77777777" w:rsidR="00FC3E29" w:rsidRDefault="00FC3E29" w:rsidP="00360B6B">
      <w:pPr>
        <w:pStyle w:val="FootnoteText"/>
      </w:pPr>
      <w:r>
        <w:rPr>
          <w:rStyle w:val="FootnoteReference"/>
        </w:rPr>
        <w:footnoteRef/>
      </w:r>
      <w:r>
        <w:t xml:space="preserve"> </w:t>
      </w:r>
      <w:r>
        <w:tab/>
        <w:t xml:space="preserve">The </w:t>
      </w:r>
      <w:proofErr w:type="spellStart"/>
      <w:r>
        <w:t>VUMR</w:t>
      </w:r>
      <w:proofErr w:type="spellEnd"/>
      <w:r>
        <w:t xml:space="preserve"> parameter </w:t>
      </w:r>
      <w:proofErr w:type="spellStart"/>
      <w:r>
        <w:t>SIGMA1LAB</w:t>
      </w:r>
      <w:proofErr w:type="spellEnd"/>
      <w:r>
        <w:t xml:space="preserve"> for all industries and regions.</w:t>
      </w:r>
    </w:p>
  </w:footnote>
  <w:footnote w:id="4">
    <w:p w14:paraId="3DDD8DE3" w14:textId="77777777" w:rsidR="00FC3E29" w:rsidRDefault="00FC3E29" w:rsidP="00360B6B">
      <w:pPr>
        <w:pStyle w:val="FootnoteText"/>
      </w:pPr>
      <w:r>
        <w:rPr>
          <w:rStyle w:val="FootnoteReference"/>
        </w:rPr>
        <w:footnoteRef/>
      </w:r>
      <w:r>
        <w:t xml:space="preserve"> </w:t>
      </w:r>
      <w:r>
        <w:tab/>
        <w:t xml:space="preserve">The </w:t>
      </w:r>
      <w:proofErr w:type="spellStart"/>
      <w:r>
        <w:t>VUMR</w:t>
      </w:r>
      <w:proofErr w:type="spellEnd"/>
      <w:r>
        <w:t xml:space="preserve"> parameter </w:t>
      </w:r>
      <w:proofErr w:type="spellStart"/>
      <w:r>
        <w:t>SIGMALABO</w:t>
      </w:r>
      <w:proofErr w:type="spellEnd"/>
      <w:r>
        <w:t>.</w:t>
      </w:r>
    </w:p>
  </w:footnote>
  <w:footnote w:id="5">
    <w:p w14:paraId="77990CA9" w14:textId="77777777" w:rsidR="00FC3E29" w:rsidRDefault="00FC3E29" w:rsidP="00360B6B">
      <w:pPr>
        <w:pStyle w:val="FootnoteText"/>
      </w:pPr>
      <w:r>
        <w:rPr>
          <w:rStyle w:val="FootnoteReference"/>
        </w:rPr>
        <w:footnoteRef/>
      </w:r>
      <w:r>
        <w:tab/>
        <w:t>NOM as a share of population (per cent)</w:t>
      </w:r>
      <w:r w:rsidRPr="00597C29">
        <w:t xml:space="preserve"> </w:t>
      </w:r>
      <w:r>
        <w:t xml:space="preserve">is represented by the model variable </w:t>
      </w:r>
      <w:proofErr w:type="spellStart"/>
      <w:r>
        <w:t>C_NOM2POP</w:t>
      </w:r>
      <w:proofErr w:type="spellEnd"/>
      <w:r>
        <w:t>. This variable took the value of 0.8 in 2013</w:t>
      </w:r>
      <w:r>
        <w:noBreakHyphen/>
        <w:t>14 based on actual migrant flows and a projected value of 0.6 from the years 2024-25 to 2059</w:t>
      </w:r>
      <w:r>
        <w:noBreakHyphen/>
        <w:t>60. The share is assumed to transition in equal steps from 2013</w:t>
      </w:r>
      <w:r>
        <w:noBreakHyphen/>
        <w:t>14 to 2024</w:t>
      </w:r>
      <w:r>
        <w:noBreakHyphen/>
        <w:t xml:space="preserve">25. </w:t>
      </w:r>
    </w:p>
  </w:footnote>
  <w:footnote w:id="6">
    <w:p w14:paraId="4587AF5F" w14:textId="77777777" w:rsidR="00FC3E29" w:rsidRDefault="00FC3E29" w:rsidP="00360B6B">
      <w:pPr>
        <w:pStyle w:val="FootnoteText"/>
      </w:pPr>
      <w:r>
        <w:rPr>
          <w:rStyle w:val="FootnoteReference"/>
        </w:rPr>
        <w:footnoteRef/>
      </w:r>
      <w:r>
        <w:tab/>
        <w:t>Details are provided in Chapter 5 of the Draft Report.</w:t>
      </w:r>
    </w:p>
  </w:footnote>
  <w:footnote w:id="7">
    <w:p w14:paraId="4BDA3044" w14:textId="77777777" w:rsidR="008846C7" w:rsidRDefault="008846C7" w:rsidP="008846C7">
      <w:pPr>
        <w:pStyle w:val="FootnoteText"/>
      </w:pPr>
      <w:r>
        <w:rPr>
          <w:rStyle w:val="FootnoteReference"/>
        </w:rPr>
        <w:footnoteRef/>
      </w:r>
      <w:r>
        <w:tab/>
        <w:t xml:space="preserve">As noted, the </w:t>
      </w:r>
      <w:proofErr w:type="spellStart"/>
      <w:r>
        <w:t>VUMR</w:t>
      </w:r>
      <w:proofErr w:type="spellEnd"/>
      <w:r>
        <w:t xml:space="preserve"> adopts an adaptive expectations approach to the modelling of investment behaviour. Under this approach, there is some stickiness in investors reactions and new investment tends to lag the increase in labour and new demands.  </w:t>
      </w:r>
    </w:p>
  </w:footnote>
  <w:footnote w:id="8">
    <w:p w14:paraId="4F552355" w14:textId="77777777" w:rsidR="00FC3E29" w:rsidRDefault="00FC3E29" w:rsidP="00360B6B">
      <w:pPr>
        <w:pStyle w:val="FootnoteText"/>
      </w:pPr>
      <w:r>
        <w:rPr>
          <w:rStyle w:val="FootnoteReference"/>
        </w:rPr>
        <w:footnoteRef/>
      </w:r>
      <w:r>
        <w:tab/>
        <w:t>The Commission’s general equilibrium modelling provides an illustrative projection of potential wage differences compared to the</w:t>
      </w:r>
      <w:r w:rsidRPr="005107E2">
        <w:t xml:space="preserve"> hypothetical </w:t>
      </w:r>
      <w:r>
        <w:t xml:space="preserve">counterfactual of </w:t>
      </w:r>
      <w:r w:rsidRPr="005107E2">
        <w:t>no-migration</w:t>
      </w:r>
      <w:r>
        <w:t xml:space="preserve"> over the next 45 years. The general equilibrium analysis differs from the econometric results presented in technical supplement C. Controlling for the influence of experience and education on labour market outcomes, the econometric analysis looks at the relationship between immigration and labour market outcomes between 2001 and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C27CD" w14:textId="3B4E756E" w:rsidR="009B1EF9" w:rsidRDefault="009B1EF9">
    <w:pPr>
      <w:pStyle w:val="Header"/>
    </w:pPr>
    <w:r>
      <w:rPr>
        <w:color w:val="FF0000"/>
        <w:sz w:val="14"/>
        <w:szCs w:val="14"/>
      </w:rPr>
      <w:t>draft report</w:t>
    </w:r>
    <w:r>
      <w:rPr>
        <w:color w:val="FF0000"/>
        <w:sz w:val="14"/>
        <w:szCs w:val="14"/>
      </w:rPr>
      <w:t xml:space="preserve"> Supplement</w:t>
    </w:r>
    <w:r>
      <w:rPr>
        <w:color w:val="FF0000"/>
        <w:sz w:val="14"/>
        <w:szCs w:val="14"/>
      </w:rPr>
      <w:t>: For final outcomes of this project refer to the inquiry report</w:t>
    </w:r>
    <w:r>
      <w:rPr>
        <w:color w:val="FF0000"/>
        <w:sz w:val="14"/>
        <w:szCs w:val="14"/>
      </w:rPr>
      <w:t xml:space="preserve"> supplement</w:t>
    </w:r>
    <w:r>
      <w:rPr>
        <w:color w:val="FF0000"/>
        <w:sz w:val="14"/>
        <w:szCs w:val="1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650E" w14:textId="77777777" w:rsidR="009B1EF9" w:rsidRDefault="009B1E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00CB5" w14:textId="77777777" w:rsidR="009B1EF9" w:rsidRDefault="009B1E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FC3E29" w14:paraId="705087E2" w14:textId="77777777">
      <w:tc>
        <w:tcPr>
          <w:tcW w:w="2155" w:type="dxa"/>
          <w:tcBorders>
            <w:top w:val="single" w:sz="24" w:space="0" w:color="auto"/>
          </w:tcBorders>
        </w:tcPr>
        <w:p w14:paraId="7BEAE07B" w14:textId="77777777" w:rsidR="00FC3E29" w:rsidRDefault="00FC3E29" w:rsidP="0052424C">
          <w:pPr>
            <w:pStyle w:val="HeaderEven"/>
          </w:pPr>
        </w:p>
      </w:tc>
      <w:tc>
        <w:tcPr>
          <w:tcW w:w="6634" w:type="dxa"/>
          <w:tcBorders>
            <w:top w:val="single" w:sz="6" w:space="0" w:color="auto"/>
          </w:tcBorders>
        </w:tcPr>
        <w:p w14:paraId="7CB2BED9" w14:textId="35276C3E" w:rsidR="00FC3E29" w:rsidRDefault="009B1EF9" w:rsidP="0052424C">
          <w:pPr>
            <w:pStyle w:val="HeaderEven"/>
          </w:pPr>
          <w:r>
            <w:rPr>
              <w:color w:val="FF0000"/>
              <w:sz w:val="14"/>
              <w:szCs w:val="14"/>
            </w:rPr>
            <w:t>draft report Supplement: For final outcomes of this project refer to the inquiry report supplement.</w:t>
          </w:r>
          <w:bookmarkStart w:id="6" w:name="_GoBack"/>
          <w:bookmarkEnd w:id="6"/>
        </w:p>
      </w:tc>
    </w:tr>
  </w:tbl>
  <w:p w14:paraId="5C79EF72" w14:textId="77777777" w:rsidR="00FC3E29" w:rsidRDefault="00FC3E29" w:rsidP="0052424C">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C3E29" w14:paraId="704B75D6" w14:textId="77777777">
      <w:tc>
        <w:tcPr>
          <w:tcW w:w="6634" w:type="dxa"/>
          <w:tcBorders>
            <w:top w:val="single" w:sz="6" w:space="0" w:color="auto"/>
          </w:tcBorders>
        </w:tcPr>
        <w:p w14:paraId="5C8E1C05" w14:textId="17307147" w:rsidR="00FC3E29" w:rsidRDefault="009B1EF9" w:rsidP="009B1EF9">
          <w:pPr>
            <w:pStyle w:val="Header"/>
          </w:pPr>
          <w:r>
            <w:rPr>
              <w:color w:val="FF0000"/>
              <w:sz w:val="14"/>
              <w:szCs w:val="14"/>
            </w:rPr>
            <w:t>draft report Supplement: For final outcomes of this project refer to the inquiry report supplement.</w:t>
          </w:r>
        </w:p>
      </w:tc>
      <w:tc>
        <w:tcPr>
          <w:tcW w:w="2155" w:type="dxa"/>
          <w:tcBorders>
            <w:top w:val="single" w:sz="24" w:space="0" w:color="auto"/>
          </w:tcBorders>
        </w:tcPr>
        <w:p w14:paraId="52D5D4A4" w14:textId="77777777" w:rsidR="00FC3E29" w:rsidRDefault="00FC3E29" w:rsidP="0052424C">
          <w:pPr>
            <w:pStyle w:val="HeaderOdd"/>
          </w:pPr>
        </w:p>
      </w:tc>
    </w:tr>
  </w:tbl>
  <w:p w14:paraId="19F47FEA" w14:textId="77777777" w:rsidR="00FC3E29" w:rsidRDefault="00FC3E29" w:rsidP="0052424C">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AB56" w14:textId="77777777" w:rsidR="00FC3E29" w:rsidRDefault="00FC3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1ED61CC0"/>
    <w:multiLevelType w:val="hybridMultilevel"/>
    <w:tmpl w:val="879609D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nsid w:val="242A1BA3"/>
    <w:multiLevelType w:val="multilevel"/>
    <w:tmpl w:val="02E41CB4"/>
    <w:lvl w:ilvl="0">
      <w:start w:val="2013"/>
      <w:numFmt w:val="decimal"/>
      <w:lvlText w:val="%1"/>
      <w:lvlJc w:val="left"/>
      <w:pPr>
        <w:ind w:left="720" w:hanging="720"/>
      </w:pPr>
      <w:rPr>
        <w:rFonts w:hint="default"/>
      </w:rPr>
    </w:lvl>
    <w:lvl w:ilvl="1">
      <w:start w:val="14"/>
      <w:numFmt w:val="decimal"/>
      <w:lvlText w:val="%1-%2"/>
      <w:lvlJc w:val="left"/>
      <w:pPr>
        <w:ind w:left="2194" w:hanging="720"/>
      </w:pPr>
      <w:rPr>
        <w:rFonts w:hint="default"/>
      </w:rPr>
    </w:lvl>
    <w:lvl w:ilvl="2">
      <w:start w:val="1"/>
      <w:numFmt w:val="decimal"/>
      <w:lvlText w:val="%1-%2.%3"/>
      <w:lvlJc w:val="left"/>
      <w:pPr>
        <w:ind w:left="3668" w:hanging="720"/>
      </w:pPr>
      <w:rPr>
        <w:rFonts w:hint="default"/>
      </w:rPr>
    </w:lvl>
    <w:lvl w:ilvl="3">
      <w:start w:val="1"/>
      <w:numFmt w:val="decimal"/>
      <w:lvlText w:val="%1-%2.%3.%4"/>
      <w:lvlJc w:val="left"/>
      <w:pPr>
        <w:ind w:left="5142" w:hanging="720"/>
      </w:pPr>
      <w:rPr>
        <w:rFonts w:hint="default"/>
      </w:rPr>
    </w:lvl>
    <w:lvl w:ilvl="4">
      <w:start w:val="1"/>
      <w:numFmt w:val="decimal"/>
      <w:lvlText w:val="%1-%2.%3.%4.%5"/>
      <w:lvlJc w:val="left"/>
      <w:pPr>
        <w:ind w:left="6616" w:hanging="720"/>
      </w:pPr>
      <w:rPr>
        <w:rFonts w:hint="default"/>
      </w:rPr>
    </w:lvl>
    <w:lvl w:ilvl="5">
      <w:start w:val="1"/>
      <w:numFmt w:val="decimal"/>
      <w:lvlText w:val="%1-%2.%3.%4.%5.%6"/>
      <w:lvlJc w:val="left"/>
      <w:pPr>
        <w:ind w:left="8450" w:hanging="1080"/>
      </w:pPr>
      <w:rPr>
        <w:rFonts w:hint="default"/>
      </w:rPr>
    </w:lvl>
    <w:lvl w:ilvl="6">
      <w:start w:val="1"/>
      <w:numFmt w:val="decimal"/>
      <w:lvlText w:val="%1-%2.%3.%4.%5.%6.%7"/>
      <w:lvlJc w:val="left"/>
      <w:pPr>
        <w:ind w:left="9924" w:hanging="1080"/>
      </w:pPr>
      <w:rPr>
        <w:rFonts w:hint="default"/>
      </w:rPr>
    </w:lvl>
    <w:lvl w:ilvl="7">
      <w:start w:val="1"/>
      <w:numFmt w:val="decimal"/>
      <w:lvlText w:val="%1-%2.%3.%4.%5.%6.%7.%8"/>
      <w:lvlJc w:val="left"/>
      <w:pPr>
        <w:ind w:left="11758" w:hanging="1440"/>
      </w:pPr>
      <w:rPr>
        <w:rFonts w:hint="default"/>
      </w:rPr>
    </w:lvl>
    <w:lvl w:ilvl="8">
      <w:start w:val="1"/>
      <w:numFmt w:val="decimal"/>
      <w:lvlText w:val="%1-%2.%3.%4.%5.%6.%7.%8.%9"/>
      <w:lvlJc w:val="left"/>
      <w:pPr>
        <w:ind w:left="13232" w:hanging="1440"/>
      </w:pPr>
      <w:rPr>
        <w:rFonts w:hint="default"/>
      </w:rPr>
    </w:lvl>
  </w:abstractNum>
  <w:abstractNum w:abstractNumId="12">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nsid w:val="3E4101D4"/>
    <w:multiLevelType w:val="multilevel"/>
    <w:tmpl w:val="9B78D832"/>
    <w:lvl w:ilvl="0">
      <w:start w:val="2013"/>
      <w:numFmt w:val="decimal"/>
      <w:lvlText w:val="%1"/>
      <w:lvlJc w:val="left"/>
      <w:pPr>
        <w:ind w:left="804" w:hanging="804"/>
      </w:pPr>
      <w:rPr>
        <w:rFonts w:hint="default"/>
      </w:rPr>
    </w:lvl>
    <w:lvl w:ilvl="1">
      <w:start w:val="14"/>
      <w:numFmt w:val="decimal"/>
      <w:lvlText w:val="%1-%2"/>
      <w:lvlJc w:val="left"/>
      <w:pPr>
        <w:ind w:left="804" w:hanging="804"/>
      </w:pPr>
      <w:rPr>
        <w:rFonts w:hint="default"/>
      </w:rPr>
    </w:lvl>
    <w:lvl w:ilvl="2">
      <w:start w:val="1"/>
      <w:numFmt w:val="decimal"/>
      <w:lvlText w:val="%1-%2.%3"/>
      <w:lvlJc w:val="left"/>
      <w:pPr>
        <w:ind w:left="804" w:hanging="804"/>
      </w:pPr>
      <w:rPr>
        <w:rFonts w:hint="default"/>
      </w:rPr>
    </w:lvl>
    <w:lvl w:ilvl="3">
      <w:start w:val="1"/>
      <w:numFmt w:val="decimal"/>
      <w:lvlText w:val="%1-%2.%3.%4"/>
      <w:lvlJc w:val="left"/>
      <w:pPr>
        <w:ind w:left="804" w:hanging="80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3AA1825"/>
    <w:multiLevelType w:val="hybridMultilevel"/>
    <w:tmpl w:val="4996565C"/>
    <w:lvl w:ilvl="0" w:tplc="62AE1936">
      <w:start w:val="1"/>
      <w:numFmt w:val="lowerLetter"/>
      <w:lvlText w:val="%1."/>
      <w:lvlJc w:val="left"/>
      <w:pPr>
        <w:ind w:left="720" w:hanging="360"/>
      </w:pPr>
      <w:rPr>
        <w:rFonts w:ascii="Arial" w:hAnsi="Arial" w:cs="Arial"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6416F39"/>
    <w:multiLevelType w:val="hybridMultilevel"/>
    <w:tmpl w:val="1DD83B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729284B"/>
    <w:multiLevelType w:val="hybridMultilevel"/>
    <w:tmpl w:val="8042D466"/>
    <w:lvl w:ilvl="0" w:tplc="08DC5CFC">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F194A61"/>
    <w:multiLevelType w:val="hybridMultilevel"/>
    <w:tmpl w:val="E54EA34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1">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2">
    <w:nsid w:val="54B56802"/>
    <w:multiLevelType w:val="hybridMultilevel"/>
    <w:tmpl w:val="41607DC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4">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nsid w:val="5F0D3839"/>
    <w:multiLevelType w:val="hybridMultilevel"/>
    <w:tmpl w:val="02B42612"/>
    <w:lvl w:ilvl="0" w:tplc="72826A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DF7B0B"/>
    <w:multiLevelType w:val="hybridMultilevel"/>
    <w:tmpl w:val="581C98B2"/>
    <w:lvl w:ilvl="0" w:tplc="C4F4508A">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8">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9">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31">
    <w:nsid w:val="7D5F66F8"/>
    <w:multiLevelType w:val="hybridMultilevel"/>
    <w:tmpl w:val="11A2E350"/>
    <w:lvl w:ilvl="0" w:tplc="0C2EBBE0">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4"/>
  </w:num>
  <w:num w:numId="3">
    <w:abstractNumId w:val="29"/>
  </w:num>
  <w:num w:numId="4">
    <w:abstractNumId w:val="20"/>
  </w:num>
  <w:num w:numId="5">
    <w:abstractNumId w:val="3"/>
  </w:num>
  <w:num w:numId="6">
    <w:abstractNumId w:val="28"/>
  </w:num>
  <w:num w:numId="7">
    <w:abstractNumId w:val="23"/>
  </w:num>
  <w:num w:numId="8">
    <w:abstractNumId w:val="30"/>
  </w:num>
  <w:num w:numId="9">
    <w:abstractNumId w:val="10"/>
  </w:num>
  <w:num w:numId="10">
    <w:abstractNumId w:val="7"/>
  </w:num>
  <w:num w:numId="11">
    <w:abstractNumId w:val="21"/>
  </w:num>
  <w:num w:numId="12">
    <w:abstractNumId w:val="6"/>
  </w:num>
  <w:num w:numId="13">
    <w:abstractNumId w:val="5"/>
  </w:num>
  <w:num w:numId="14">
    <w:abstractNumId w:val="24"/>
  </w:num>
  <w:num w:numId="15">
    <w:abstractNumId w:val="12"/>
  </w:num>
  <w:num w:numId="16">
    <w:abstractNumId w:val="18"/>
  </w:num>
  <w:num w:numId="17">
    <w:abstractNumId w:val="2"/>
  </w:num>
  <w:num w:numId="18">
    <w:abstractNumId w:val="26"/>
  </w:num>
  <w:num w:numId="19">
    <w:abstractNumId w:val="8"/>
  </w:num>
  <w:num w:numId="20">
    <w:abstractNumId w:val="9"/>
  </w:num>
  <w:num w:numId="21">
    <w:abstractNumId w:val="22"/>
  </w:num>
  <w:num w:numId="22">
    <w:abstractNumId w:val="15"/>
  </w:num>
  <w:num w:numId="23">
    <w:abstractNumId w:val="11"/>
  </w:num>
  <w:num w:numId="24">
    <w:abstractNumId w:val="19"/>
  </w:num>
  <w:num w:numId="25">
    <w:abstractNumId w:val="31"/>
  </w:num>
  <w:num w:numId="26">
    <w:abstractNumId w:val="27"/>
  </w:num>
  <w:num w:numId="27">
    <w:abstractNumId w:val="16"/>
  </w:num>
  <w:num w:numId="28">
    <w:abstractNumId w:val="14"/>
  </w:num>
  <w:num w:numId="29">
    <w:abstractNumId w:val="17"/>
  </w:num>
  <w:num w:numId="30">
    <w:abstractNumId w:val="25"/>
  </w:num>
  <w:num w:numId="31">
    <w:abstractNumId w:val="0"/>
  </w:num>
  <w:num w:numId="32">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proofState w:spelling="clean"/>
  <w:attachedTemplate r:id="rId1"/>
  <w:linkStyle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xNumber" w:val="A"/>
    <w:docVar w:name="ShortChapterTitle" w:val="The Economywide Impacts "/>
    <w:docVar w:name="ShortReportTitle" w:val="MIGRANT INTAKE INTO AUSTRALIA"/>
  </w:docVars>
  <w:rsids>
    <w:rsidRoot w:val="00360B6B"/>
    <w:rsid w:val="00017AFC"/>
    <w:rsid w:val="00025878"/>
    <w:rsid w:val="00026B38"/>
    <w:rsid w:val="000502D3"/>
    <w:rsid w:val="00052CB2"/>
    <w:rsid w:val="000623BF"/>
    <w:rsid w:val="000779EB"/>
    <w:rsid w:val="00095EEA"/>
    <w:rsid w:val="00097C15"/>
    <w:rsid w:val="000A0A0E"/>
    <w:rsid w:val="000A5E12"/>
    <w:rsid w:val="000B416E"/>
    <w:rsid w:val="000F185F"/>
    <w:rsid w:val="000F2F5F"/>
    <w:rsid w:val="000F382A"/>
    <w:rsid w:val="00106041"/>
    <w:rsid w:val="0010611E"/>
    <w:rsid w:val="00122FE9"/>
    <w:rsid w:val="00131572"/>
    <w:rsid w:val="00131D4F"/>
    <w:rsid w:val="0013399B"/>
    <w:rsid w:val="00180515"/>
    <w:rsid w:val="00181F4B"/>
    <w:rsid w:val="00190919"/>
    <w:rsid w:val="00196FB3"/>
    <w:rsid w:val="001A03AF"/>
    <w:rsid w:val="001A5071"/>
    <w:rsid w:val="001B4E73"/>
    <w:rsid w:val="001B7F1E"/>
    <w:rsid w:val="001D4B1F"/>
    <w:rsid w:val="001D6629"/>
    <w:rsid w:val="001E3390"/>
    <w:rsid w:val="001F2270"/>
    <w:rsid w:val="00203B40"/>
    <w:rsid w:val="00205A82"/>
    <w:rsid w:val="00211BEE"/>
    <w:rsid w:val="002143F0"/>
    <w:rsid w:val="002179C6"/>
    <w:rsid w:val="00243B1E"/>
    <w:rsid w:val="00261607"/>
    <w:rsid w:val="00263DD1"/>
    <w:rsid w:val="00264D3B"/>
    <w:rsid w:val="00265685"/>
    <w:rsid w:val="00271B0C"/>
    <w:rsid w:val="00281D5F"/>
    <w:rsid w:val="002923AD"/>
    <w:rsid w:val="00296592"/>
    <w:rsid w:val="002A0A4B"/>
    <w:rsid w:val="002A499E"/>
    <w:rsid w:val="002B636E"/>
    <w:rsid w:val="002B64D6"/>
    <w:rsid w:val="002C12F5"/>
    <w:rsid w:val="002D6FCE"/>
    <w:rsid w:val="00340511"/>
    <w:rsid w:val="00360B6B"/>
    <w:rsid w:val="0038647D"/>
    <w:rsid w:val="00393A49"/>
    <w:rsid w:val="003B0A94"/>
    <w:rsid w:val="003B41E0"/>
    <w:rsid w:val="003C3D73"/>
    <w:rsid w:val="003D3B8C"/>
    <w:rsid w:val="003D624D"/>
    <w:rsid w:val="003E7802"/>
    <w:rsid w:val="004148F5"/>
    <w:rsid w:val="0042007A"/>
    <w:rsid w:val="00433C81"/>
    <w:rsid w:val="00446D6B"/>
    <w:rsid w:val="00457B3F"/>
    <w:rsid w:val="00463022"/>
    <w:rsid w:val="00481CF0"/>
    <w:rsid w:val="00483F24"/>
    <w:rsid w:val="004A3250"/>
    <w:rsid w:val="004B492A"/>
    <w:rsid w:val="004C0B0C"/>
    <w:rsid w:val="004D3F58"/>
    <w:rsid w:val="004E52E2"/>
    <w:rsid w:val="004E6BB4"/>
    <w:rsid w:val="004E7D3C"/>
    <w:rsid w:val="0051504A"/>
    <w:rsid w:val="00515918"/>
    <w:rsid w:val="00515D43"/>
    <w:rsid w:val="0052424C"/>
    <w:rsid w:val="0052544D"/>
    <w:rsid w:val="00526B19"/>
    <w:rsid w:val="00551FB8"/>
    <w:rsid w:val="005537F6"/>
    <w:rsid w:val="00560F43"/>
    <w:rsid w:val="005654D0"/>
    <w:rsid w:val="00585B3F"/>
    <w:rsid w:val="00593ED7"/>
    <w:rsid w:val="005B17AB"/>
    <w:rsid w:val="005C68FE"/>
    <w:rsid w:val="005F1F75"/>
    <w:rsid w:val="005F7D30"/>
    <w:rsid w:val="00602523"/>
    <w:rsid w:val="006040CB"/>
    <w:rsid w:val="00604351"/>
    <w:rsid w:val="00607D8A"/>
    <w:rsid w:val="00613D26"/>
    <w:rsid w:val="0061590F"/>
    <w:rsid w:val="00631C4F"/>
    <w:rsid w:val="00636497"/>
    <w:rsid w:val="00641AE2"/>
    <w:rsid w:val="0064456A"/>
    <w:rsid w:val="00650DDA"/>
    <w:rsid w:val="0065126A"/>
    <w:rsid w:val="00653FA6"/>
    <w:rsid w:val="0067557D"/>
    <w:rsid w:val="006802D4"/>
    <w:rsid w:val="00683849"/>
    <w:rsid w:val="00691AB5"/>
    <w:rsid w:val="006E1E6B"/>
    <w:rsid w:val="006E565F"/>
    <w:rsid w:val="006F0EAC"/>
    <w:rsid w:val="006F6A85"/>
    <w:rsid w:val="0070328D"/>
    <w:rsid w:val="00731F96"/>
    <w:rsid w:val="00734127"/>
    <w:rsid w:val="00735FEA"/>
    <w:rsid w:val="00743460"/>
    <w:rsid w:val="00743A27"/>
    <w:rsid w:val="007448F7"/>
    <w:rsid w:val="00753DC6"/>
    <w:rsid w:val="0075578C"/>
    <w:rsid w:val="00766DFB"/>
    <w:rsid w:val="007734B5"/>
    <w:rsid w:val="007809B8"/>
    <w:rsid w:val="007813A6"/>
    <w:rsid w:val="00797E0A"/>
    <w:rsid w:val="007D6D2C"/>
    <w:rsid w:val="00805FD7"/>
    <w:rsid w:val="00806E54"/>
    <w:rsid w:val="008206EE"/>
    <w:rsid w:val="008214B1"/>
    <w:rsid w:val="008273A9"/>
    <w:rsid w:val="008329A5"/>
    <w:rsid w:val="00836ED7"/>
    <w:rsid w:val="0084355E"/>
    <w:rsid w:val="008453AC"/>
    <w:rsid w:val="00860D09"/>
    <w:rsid w:val="00862044"/>
    <w:rsid w:val="00880BF7"/>
    <w:rsid w:val="008846C7"/>
    <w:rsid w:val="0089269F"/>
    <w:rsid w:val="008A2133"/>
    <w:rsid w:val="008A3857"/>
    <w:rsid w:val="008B2205"/>
    <w:rsid w:val="008C08EF"/>
    <w:rsid w:val="008C305F"/>
    <w:rsid w:val="008C3AD2"/>
    <w:rsid w:val="008C7C3D"/>
    <w:rsid w:val="008D6F66"/>
    <w:rsid w:val="008E1BEA"/>
    <w:rsid w:val="008E242D"/>
    <w:rsid w:val="008E43D2"/>
    <w:rsid w:val="008E5248"/>
    <w:rsid w:val="008F04C9"/>
    <w:rsid w:val="008F7C50"/>
    <w:rsid w:val="008F7DB7"/>
    <w:rsid w:val="009064D3"/>
    <w:rsid w:val="00915300"/>
    <w:rsid w:val="00933B0C"/>
    <w:rsid w:val="00935676"/>
    <w:rsid w:val="0098401D"/>
    <w:rsid w:val="009A789F"/>
    <w:rsid w:val="009B12EF"/>
    <w:rsid w:val="009B1EF9"/>
    <w:rsid w:val="009B48F7"/>
    <w:rsid w:val="009B6185"/>
    <w:rsid w:val="009C6C6D"/>
    <w:rsid w:val="009E1E78"/>
    <w:rsid w:val="00A1597D"/>
    <w:rsid w:val="00A46989"/>
    <w:rsid w:val="00A469AA"/>
    <w:rsid w:val="00A71CE9"/>
    <w:rsid w:val="00A72A19"/>
    <w:rsid w:val="00A75A30"/>
    <w:rsid w:val="00A93C82"/>
    <w:rsid w:val="00AB2A48"/>
    <w:rsid w:val="00AC3236"/>
    <w:rsid w:val="00AD4874"/>
    <w:rsid w:val="00AE1F8A"/>
    <w:rsid w:val="00B036B2"/>
    <w:rsid w:val="00B04D19"/>
    <w:rsid w:val="00B1497E"/>
    <w:rsid w:val="00B153C3"/>
    <w:rsid w:val="00B22087"/>
    <w:rsid w:val="00B722F2"/>
    <w:rsid w:val="00B80355"/>
    <w:rsid w:val="00B90958"/>
    <w:rsid w:val="00B95339"/>
    <w:rsid w:val="00BA0B81"/>
    <w:rsid w:val="00BB334E"/>
    <w:rsid w:val="00BB5DCF"/>
    <w:rsid w:val="00BC2476"/>
    <w:rsid w:val="00BF59EA"/>
    <w:rsid w:val="00BF79CD"/>
    <w:rsid w:val="00C058AB"/>
    <w:rsid w:val="00C0721B"/>
    <w:rsid w:val="00C34C8C"/>
    <w:rsid w:val="00C50792"/>
    <w:rsid w:val="00C51371"/>
    <w:rsid w:val="00C55A45"/>
    <w:rsid w:val="00C904D9"/>
    <w:rsid w:val="00C94C06"/>
    <w:rsid w:val="00CA48BF"/>
    <w:rsid w:val="00CB3ACC"/>
    <w:rsid w:val="00CB4745"/>
    <w:rsid w:val="00CD2163"/>
    <w:rsid w:val="00CD4FE7"/>
    <w:rsid w:val="00CD5E6B"/>
    <w:rsid w:val="00CE4FBC"/>
    <w:rsid w:val="00CE5D96"/>
    <w:rsid w:val="00CE7344"/>
    <w:rsid w:val="00CF26EE"/>
    <w:rsid w:val="00D150F4"/>
    <w:rsid w:val="00D310F0"/>
    <w:rsid w:val="00D37AC2"/>
    <w:rsid w:val="00D500A9"/>
    <w:rsid w:val="00D61180"/>
    <w:rsid w:val="00D64121"/>
    <w:rsid w:val="00D67119"/>
    <w:rsid w:val="00D720A8"/>
    <w:rsid w:val="00D732FE"/>
    <w:rsid w:val="00D74E25"/>
    <w:rsid w:val="00D772E9"/>
    <w:rsid w:val="00D82E10"/>
    <w:rsid w:val="00D969AE"/>
    <w:rsid w:val="00D971D1"/>
    <w:rsid w:val="00DA31AB"/>
    <w:rsid w:val="00DA3281"/>
    <w:rsid w:val="00DA6D3E"/>
    <w:rsid w:val="00DC02E8"/>
    <w:rsid w:val="00DC75C7"/>
    <w:rsid w:val="00DC78D3"/>
    <w:rsid w:val="00DD1077"/>
    <w:rsid w:val="00DF00FE"/>
    <w:rsid w:val="00DF4592"/>
    <w:rsid w:val="00E13D5F"/>
    <w:rsid w:val="00E15FDC"/>
    <w:rsid w:val="00E2651B"/>
    <w:rsid w:val="00E30DDB"/>
    <w:rsid w:val="00E6632E"/>
    <w:rsid w:val="00E90CF2"/>
    <w:rsid w:val="00EC38C1"/>
    <w:rsid w:val="00EC628B"/>
    <w:rsid w:val="00ED0F61"/>
    <w:rsid w:val="00EE3F6D"/>
    <w:rsid w:val="00EE73E1"/>
    <w:rsid w:val="00F12107"/>
    <w:rsid w:val="00F13165"/>
    <w:rsid w:val="00F4234E"/>
    <w:rsid w:val="00F61429"/>
    <w:rsid w:val="00F7477E"/>
    <w:rsid w:val="00F76A05"/>
    <w:rsid w:val="00F85393"/>
    <w:rsid w:val="00FA4A24"/>
    <w:rsid w:val="00FB41B6"/>
    <w:rsid w:val="00FC3E29"/>
    <w:rsid w:val="00FC41B4"/>
    <w:rsid w:val="00FC5A6B"/>
    <w:rsid w:val="00FD4728"/>
    <w:rsid w:val="00FD741A"/>
    <w:rsid w:val="00FF6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74DA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uiPriority="10" w:qFormat="1"/>
    <w:lsdException w:name="Default Paragraph Font" w:uiPriority="1"/>
    <w:lsdException w:name="Body Text"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971D1"/>
    <w:rPr>
      <w:sz w:val="24"/>
      <w:szCs w:val="24"/>
    </w:rPr>
  </w:style>
  <w:style w:type="paragraph" w:styleId="Heading1">
    <w:name w:val="heading 1"/>
    <w:basedOn w:val="BodyText"/>
    <w:next w:val="BodyText"/>
    <w:link w:val="Heading1Char"/>
    <w:rsid w:val="00D971D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D971D1"/>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D971D1"/>
    <w:pPr>
      <w:spacing w:before="560" w:line="320" w:lineRule="exact"/>
      <w:ind w:left="0" w:firstLine="0"/>
      <w:outlineLvl w:val="2"/>
    </w:pPr>
    <w:rPr>
      <w:sz w:val="26"/>
    </w:rPr>
  </w:style>
  <w:style w:type="paragraph" w:styleId="Heading4">
    <w:name w:val="heading 4"/>
    <w:basedOn w:val="Heading3"/>
    <w:next w:val="BodyText"/>
    <w:qFormat/>
    <w:rsid w:val="00D971D1"/>
    <w:pPr>
      <w:spacing w:before="480"/>
      <w:outlineLvl w:val="3"/>
    </w:pPr>
    <w:rPr>
      <w:b w:val="0"/>
      <w:sz w:val="24"/>
    </w:rPr>
  </w:style>
  <w:style w:type="paragraph" w:styleId="Heading5">
    <w:name w:val="heading 5"/>
    <w:basedOn w:val="Heading4"/>
    <w:next w:val="BodyText"/>
    <w:link w:val="Heading5Char"/>
    <w:qFormat/>
    <w:rsid w:val="00D971D1"/>
    <w:pPr>
      <w:outlineLvl w:val="4"/>
    </w:pPr>
    <w:rPr>
      <w:i/>
      <w:sz w:val="22"/>
    </w:rPr>
  </w:style>
  <w:style w:type="paragraph" w:styleId="Heading6">
    <w:name w:val="heading 6"/>
    <w:basedOn w:val="BodyText"/>
    <w:next w:val="BodyText"/>
    <w:semiHidden/>
    <w:rsid w:val="00D971D1"/>
    <w:pPr>
      <w:spacing w:after="60"/>
      <w:jc w:val="left"/>
      <w:outlineLvl w:val="5"/>
    </w:pPr>
    <w:rPr>
      <w:i/>
      <w:sz w:val="22"/>
    </w:rPr>
  </w:style>
  <w:style w:type="paragraph" w:styleId="Heading7">
    <w:name w:val="heading 7"/>
    <w:basedOn w:val="BodyText"/>
    <w:next w:val="BodyText"/>
    <w:semiHidden/>
    <w:rsid w:val="00D971D1"/>
    <w:pPr>
      <w:spacing w:after="60" w:line="240" w:lineRule="auto"/>
      <w:jc w:val="left"/>
      <w:outlineLvl w:val="6"/>
    </w:pPr>
    <w:rPr>
      <w:rFonts w:ascii="Arial" w:hAnsi="Arial"/>
      <w:sz w:val="20"/>
    </w:rPr>
  </w:style>
  <w:style w:type="paragraph" w:styleId="Heading8">
    <w:name w:val="heading 8"/>
    <w:basedOn w:val="BodyText"/>
    <w:next w:val="BodyText"/>
    <w:semiHidden/>
    <w:rsid w:val="00D971D1"/>
    <w:pPr>
      <w:spacing w:after="60" w:line="240" w:lineRule="auto"/>
      <w:jc w:val="left"/>
      <w:outlineLvl w:val="7"/>
    </w:pPr>
    <w:rPr>
      <w:rFonts w:ascii="Arial" w:hAnsi="Arial"/>
      <w:i/>
      <w:sz w:val="20"/>
    </w:rPr>
  </w:style>
  <w:style w:type="paragraph" w:styleId="Heading9">
    <w:name w:val="heading 9"/>
    <w:basedOn w:val="BodyText"/>
    <w:next w:val="BodyText"/>
    <w:semiHidden/>
    <w:rsid w:val="00D971D1"/>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
    <w:link w:val="BodyTextChar"/>
    <w:qFormat/>
    <w:rsid w:val="00D971D1"/>
    <w:pPr>
      <w:spacing w:before="240" w:line="300" w:lineRule="atLeast"/>
      <w:jc w:val="both"/>
    </w:pPr>
    <w:rPr>
      <w:sz w:val="24"/>
    </w:rPr>
  </w:style>
  <w:style w:type="paragraph" w:customStyle="1" w:styleId="Abbreviation">
    <w:name w:val="Abbreviation"/>
    <w:basedOn w:val="BodyText"/>
    <w:rsid w:val="00D971D1"/>
    <w:pPr>
      <w:spacing w:before="120"/>
      <w:ind w:left="2381" w:hanging="2381"/>
      <w:jc w:val="left"/>
    </w:pPr>
  </w:style>
  <w:style w:type="paragraph" w:customStyle="1" w:styleId="Box">
    <w:name w:val="Box"/>
    <w:basedOn w:val="BodyText"/>
    <w:qFormat/>
    <w:rsid w:val="00D971D1"/>
    <w:pPr>
      <w:keepNext/>
      <w:spacing w:before="120" w:line="260" w:lineRule="atLeast"/>
    </w:pPr>
    <w:rPr>
      <w:rFonts w:ascii="Arial" w:hAnsi="Arial"/>
      <w:sz w:val="20"/>
    </w:rPr>
  </w:style>
  <w:style w:type="paragraph" w:customStyle="1" w:styleId="Note">
    <w:name w:val="Note"/>
    <w:basedOn w:val="BodyText"/>
    <w:next w:val="BodyText"/>
    <w:link w:val="NoteChar"/>
    <w:rsid w:val="00D971D1"/>
    <w:pPr>
      <w:keepLines/>
      <w:spacing w:before="80" w:line="220" w:lineRule="exact"/>
    </w:pPr>
    <w:rPr>
      <w:rFonts w:ascii="Arial" w:hAnsi="Arial"/>
      <w:sz w:val="18"/>
    </w:rPr>
  </w:style>
  <w:style w:type="paragraph" w:customStyle="1" w:styleId="Source">
    <w:name w:val="Source"/>
    <w:basedOn w:val="Normal"/>
    <w:next w:val="BodyText"/>
    <w:link w:val="SourceChar"/>
    <w:rsid w:val="00D971D1"/>
    <w:pPr>
      <w:keepLines/>
      <w:spacing w:before="80" w:line="220" w:lineRule="exact"/>
      <w:jc w:val="both"/>
    </w:pPr>
    <w:rPr>
      <w:rFonts w:ascii="Arial" w:hAnsi="Arial"/>
      <w:sz w:val="18"/>
      <w:szCs w:val="20"/>
    </w:rPr>
  </w:style>
  <w:style w:type="paragraph" w:customStyle="1" w:styleId="BoxSource">
    <w:name w:val="Box Source"/>
    <w:basedOn w:val="Source"/>
    <w:next w:val="BodyText"/>
    <w:rsid w:val="00D971D1"/>
    <w:pPr>
      <w:spacing w:before="120"/>
    </w:pPr>
  </w:style>
  <w:style w:type="paragraph" w:customStyle="1" w:styleId="BoxContinued">
    <w:name w:val="Box Continued"/>
    <w:basedOn w:val="BodyText"/>
    <w:next w:val="BodyText"/>
    <w:rsid w:val="00D971D1"/>
    <w:pPr>
      <w:spacing w:before="180" w:line="220" w:lineRule="exact"/>
      <w:jc w:val="right"/>
    </w:pPr>
    <w:rPr>
      <w:rFonts w:ascii="Arial" w:hAnsi="Arial"/>
      <w:sz w:val="18"/>
    </w:rPr>
  </w:style>
  <w:style w:type="paragraph" w:customStyle="1" w:styleId="BoxHeading1">
    <w:name w:val="Box Heading 1"/>
    <w:basedOn w:val="BodyText"/>
    <w:next w:val="Box"/>
    <w:rsid w:val="00D971D1"/>
    <w:pPr>
      <w:keepNext/>
      <w:spacing w:before="200" w:line="280" w:lineRule="atLeast"/>
    </w:pPr>
    <w:rPr>
      <w:rFonts w:ascii="Arial" w:hAnsi="Arial"/>
      <w:b/>
      <w:sz w:val="22"/>
    </w:rPr>
  </w:style>
  <w:style w:type="paragraph" w:customStyle="1" w:styleId="BoxHeading2">
    <w:name w:val="Box Heading 2"/>
    <w:basedOn w:val="BoxHeading1"/>
    <w:next w:val="Normal"/>
    <w:rsid w:val="00D971D1"/>
    <w:rPr>
      <w:b w:val="0"/>
      <w:i/>
    </w:rPr>
  </w:style>
  <w:style w:type="paragraph" w:customStyle="1" w:styleId="BoxListBullet">
    <w:name w:val="Box List Bullet"/>
    <w:basedOn w:val="BodyText"/>
    <w:rsid w:val="00D971D1"/>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D971D1"/>
    <w:pPr>
      <w:numPr>
        <w:numId w:val="2"/>
      </w:numPr>
      <w:ind w:left="568" w:hanging="284"/>
    </w:pPr>
  </w:style>
  <w:style w:type="paragraph" w:customStyle="1" w:styleId="BoxListNumber">
    <w:name w:val="Box List Number"/>
    <w:basedOn w:val="BodyText"/>
    <w:rsid w:val="00D971D1"/>
    <w:pPr>
      <w:keepNext/>
      <w:numPr>
        <w:numId w:val="13"/>
      </w:numPr>
      <w:spacing w:before="100" w:line="260" w:lineRule="atLeast"/>
    </w:pPr>
    <w:rPr>
      <w:rFonts w:ascii="Arial" w:hAnsi="Arial"/>
      <w:sz w:val="20"/>
    </w:rPr>
  </w:style>
  <w:style w:type="paragraph" w:customStyle="1" w:styleId="BoxListNumber2">
    <w:name w:val="Box List Number 2"/>
    <w:basedOn w:val="BoxListNumber"/>
    <w:rsid w:val="00D971D1"/>
    <w:pPr>
      <w:numPr>
        <w:ilvl w:val="1"/>
      </w:numPr>
      <w:ind w:left="681" w:hanging="397"/>
    </w:pPr>
  </w:style>
  <w:style w:type="paragraph" w:customStyle="1" w:styleId="BoxQuote">
    <w:name w:val="Box Quote"/>
    <w:basedOn w:val="BodyText"/>
    <w:next w:val="Box"/>
    <w:qFormat/>
    <w:rsid w:val="00D971D1"/>
    <w:pPr>
      <w:keepNext/>
      <w:spacing w:before="60" w:line="240" w:lineRule="exact"/>
      <w:ind w:left="284"/>
    </w:pPr>
    <w:rPr>
      <w:rFonts w:ascii="Arial" w:hAnsi="Arial"/>
      <w:sz w:val="18"/>
    </w:rPr>
  </w:style>
  <w:style w:type="paragraph" w:customStyle="1" w:styleId="BoxSpace">
    <w:name w:val="Box Space"/>
    <w:basedOn w:val="Normal"/>
    <w:pPr>
      <w:keepNext/>
      <w:spacing w:before="360" w:line="80" w:lineRule="exact"/>
    </w:pPr>
  </w:style>
  <w:style w:type="paragraph" w:styleId="Caption">
    <w:name w:val="caption"/>
    <w:basedOn w:val="Normal"/>
    <w:next w:val="BodyText"/>
    <w:rsid w:val="00D971D1"/>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D971D1"/>
    <w:pPr>
      <w:spacing w:before="120" w:after="0"/>
    </w:pPr>
  </w:style>
  <w:style w:type="paragraph" w:customStyle="1" w:styleId="BoxSubtitle">
    <w:name w:val="Box Subtitle"/>
    <w:basedOn w:val="BoxTitle"/>
    <w:next w:val="Normal"/>
    <w:rsid w:val="00D971D1"/>
    <w:pPr>
      <w:spacing w:after="80" w:line="200" w:lineRule="exact"/>
      <w:ind w:firstLine="0"/>
    </w:pPr>
    <w:rPr>
      <w:b w:val="0"/>
      <w:sz w:val="20"/>
    </w:rPr>
  </w:style>
  <w:style w:type="paragraph" w:customStyle="1" w:styleId="Chapter">
    <w:name w:val="Chapter"/>
    <w:basedOn w:val="Heading1"/>
    <w:next w:val="BodyText"/>
    <w:semiHidden/>
    <w:rsid w:val="00D971D1"/>
    <w:pPr>
      <w:ind w:left="0" w:firstLine="0"/>
      <w:outlineLvl w:val="9"/>
    </w:pPr>
  </w:style>
  <w:style w:type="paragraph" w:customStyle="1" w:styleId="ChapterSummary">
    <w:name w:val="Chapter Summary"/>
    <w:basedOn w:val="BodyText"/>
    <w:rsid w:val="00D971D1"/>
    <w:pPr>
      <w:spacing w:line="280" w:lineRule="atLeast"/>
      <w:ind w:left="907"/>
    </w:pPr>
    <w:rPr>
      <w:rFonts w:ascii="Arial" w:hAnsi="Arial"/>
      <w:b/>
      <w:sz w:val="20"/>
    </w:rPr>
  </w:style>
  <w:style w:type="character" w:styleId="CommentReference">
    <w:name w:val="annotation reference"/>
    <w:basedOn w:val="DefaultParagraphFont"/>
    <w:semiHidden/>
    <w:rsid w:val="00D971D1"/>
    <w:rPr>
      <w:b/>
      <w:vanish/>
      <w:color w:val="FF00FF"/>
      <w:sz w:val="20"/>
    </w:rPr>
  </w:style>
  <w:style w:type="paragraph" w:styleId="CommentText">
    <w:name w:val="annotation text"/>
    <w:basedOn w:val="Normal"/>
    <w:link w:val="CommentTextChar1"/>
    <w:semiHidden/>
    <w:rsid w:val="00D971D1"/>
    <w:pPr>
      <w:spacing w:before="120" w:line="240" w:lineRule="atLeast"/>
      <w:ind w:left="567" w:hanging="567"/>
    </w:pPr>
    <w:rPr>
      <w:sz w:val="20"/>
    </w:rPr>
  </w:style>
  <w:style w:type="paragraph" w:customStyle="1" w:styleId="Continued">
    <w:name w:val="Continued"/>
    <w:basedOn w:val="BoxContinued"/>
    <w:next w:val="BodyText"/>
    <w:rsid w:val="00D971D1"/>
  </w:style>
  <w:style w:type="paragraph" w:customStyle="1" w:styleId="DocInfo">
    <w:name w:val="Doc Info"/>
    <w:basedOn w:val="Normal"/>
    <w:next w:val="Normal"/>
    <w:semiHidden/>
    <w:pPr>
      <w:jc w:val="center"/>
    </w:pPr>
    <w:rPr>
      <w:rFonts w:ascii="Arial" w:hAnsi="Arial"/>
      <w:sz w:val="14"/>
    </w:rPr>
  </w:style>
  <w:style w:type="paragraph" w:styleId="Footer">
    <w:name w:val="footer"/>
    <w:basedOn w:val="BodyText"/>
    <w:link w:val="FooterChar"/>
    <w:rsid w:val="00D971D1"/>
    <w:pPr>
      <w:spacing w:before="80" w:line="200" w:lineRule="exact"/>
      <w:ind w:right="6"/>
      <w:jc w:val="left"/>
    </w:pPr>
    <w:rPr>
      <w:rFonts w:ascii="Arial" w:hAnsi="Arial"/>
      <w:caps/>
      <w:spacing w:val="-4"/>
      <w:sz w:val="16"/>
    </w:rPr>
  </w:style>
  <w:style w:type="character" w:customStyle="1" w:styleId="DocumentInfo">
    <w:name w:val="Document Info"/>
    <w:basedOn w:val="DefaultParagraphFont"/>
    <w:semiHidden/>
    <w:rsid w:val="00D971D1"/>
    <w:rPr>
      <w:rFonts w:ascii="Arial" w:hAnsi="Arial"/>
      <w:sz w:val="14"/>
    </w:rPr>
  </w:style>
  <w:style w:type="character" w:customStyle="1" w:styleId="DraftingNote">
    <w:name w:val="Drafting Note"/>
    <w:basedOn w:val="DefaultParagraphFont"/>
    <w:rsid w:val="00D971D1"/>
    <w:rPr>
      <w:b/>
      <w:color w:val="FF0000"/>
      <w:sz w:val="24"/>
      <w:u w:val="dotted"/>
    </w:rPr>
  </w:style>
  <w:style w:type="paragraph" w:customStyle="1" w:styleId="Figure">
    <w:name w:val="Figure"/>
    <w:basedOn w:val="BodyText"/>
    <w:rsid w:val="00D971D1"/>
    <w:pPr>
      <w:keepNext/>
      <w:spacing w:before="120" w:after="120" w:line="240" w:lineRule="atLeast"/>
      <w:jc w:val="center"/>
    </w:pPr>
  </w:style>
  <w:style w:type="paragraph" w:customStyle="1" w:styleId="FigureTitle">
    <w:name w:val="Figure Title"/>
    <w:basedOn w:val="Caption"/>
    <w:next w:val="Subtitle"/>
    <w:rsid w:val="00D971D1"/>
    <w:pPr>
      <w:spacing w:before="120"/>
    </w:pPr>
  </w:style>
  <w:style w:type="paragraph" w:styleId="Subtitle">
    <w:name w:val="Subtitle"/>
    <w:basedOn w:val="Caption"/>
    <w:link w:val="SubtitleChar"/>
    <w:qFormat/>
    <w:rsid w:val="00D971D1"/>
    <w:pPr>
      <w:spacing w:before="0" w:line="200" w:lineRule="exact"/>
      <w:ind w:firstLine="0"/>
    </w:pPr>
    <w:rPr>
      <w:b w:val="0"/>
      <w:sz w:val="20"/>
    </w:rPr>
  </w:style>
  <w:style w:type="paragraph" w:customStyle="1" w:styleId="Finding">
    <w:name w:val="Finding"/>
    <w:basedOn w:val="BodyText"/>
    <w:rsid w:val="00D971D1"/>
    <w:pPr>
      <w:keepLines/>
      <w:spacing w:before="120" w:line="280" w:lineRule="atLeast"/>
    </w:pPr>
    <w:rPr>
      <w:rFonts w:ascii="Arial" w:hAnsi="Arial"/>
      <w:sz w:val="22"/>
    </w:rPr>
  </w:style>
  <w:style w:type="paragraph" w:customStyle="1" w:styleId="FindingBullet">
    <w:name w:val="Finding Bullet"/>
    <w:basedOn w:val="Finding"/>
    <w:rsid w:val="00D971D1"/>
    <w:pPr>
      <w:numPr>
        <w:numId w:val="3"/>
      </w:numPr>
      <w:spacing w:before="80"/>
    </w:pPr>
  </w:style>
  <w:style w:type="paragraph" w:customStyle="1" w:styleId="FindingNoTitle">
    <w:name w:val="Finding NoTitle"/>
    <w:basedOn w:val="Finding"/>
    <w:rsid w:val="00D971D1"/>
    <w:pPr>
      <w:spacing w:before="240"/>
    </w:pPr>
  </w:style>
  <w:style w:type="paragraph" w:customStyle="1" w:styleId="RecTitle">
    <w:name w:val="Rec Title"/>
    <w:basedOn w:val="BodyText"/>
    <w:next w:val="Rec"/>
    <w:qFormat/>
    <w:rsid w:val="00D971D1"/>
    <w:pPr>
      <w:keepNext/>
      <w:keepLines/>
      <w:spacing w:line="280" w:lineRule="atLeast"/>
    </w:pPr>
    <w:rPr>
      <w:rFonts w:ascii="Arial" w:hAnsi="Arial"/>
      <w:caps/>
      <w:sz w:val="18"/>
    </w:rPr>
  </w:style>
  <w:style w:type="paragraph" w:customStyle="1" w:styleId="FindingTitle">
    <w:name w:val="Finding Title"/>
    <w:basedOn w:val="RecTitle"/>
    <w:next w:val="Finding"/>
    <w:rsid w:val="00D971D1"/>
  </w:style>
  <w:style w:type="paragraph" w:customStyle="1" w:styleId="FooterEnd">
    <w:name w:val="Footer End"/>
    <w:basedOn w:val="Footer"/>
    <w:rsid w:val="00D971D1"/>
    <w:pPr>
      <w:spacing w:before="0" w:line="20" w:lineRule="exact"/>
    </w:pPr>
  </w:style>
  <w:style w:type="character" w:styleId="FootnoteReference">
    <w:name w:val="footnote reference"/>
    <w:basedOn w:val="DefaultParagraphFont"/>
    <w:semiHidden/>
    <w:rsid w:val="00D971D1"/>
    <w:rPr>
      <w:rFonts w:ascii="Times New Roman" w:hAnsi="Times New Roman"/>
      <w:position w:val="6"/>
      <w:sz w:val="20"/>
      <w:vertAlign w:val="baseline"/>
    </w:rPr>
  </w:style>
  <w:style w:type="paragraph" w:styleId="FootnoteText">
    <w:name w:val="footnote text"/>
    <w:basedOn w:val="BodyText"/>
    <w:link w:val="FootnoteTextChar"/>
    <w:rsid w:val="00D971D1"/>
    <w:pPr>
      <w:tabs>
        <w:tab w:val="left" w:pos="284"/>
      </w:tabs>
      <w:spacing w:before="80" w:line="240" w:lineRule="exact"/>
      <w:ind w:left="284" w:hanging="284"/>
    </w:pPr>
    <w:rPr>
      <w:sz w:val="20"/>
    </w:rPr>
  </w:style>
  <w:style w:type="paragraph" w:customStyle="1" w:styleId="Heading2NotTOC">
    <w:name w:val="Heading 2 Not TOC"/>
    <w:basedOn w:val="Heading2"/>
    <w:next w:val="BodyText"/>
    <w:rsid w:val="000B416E"/>
  </w:style>
  <w:style w:type="paragraph" w:customStyle="1" w:styleId="HeaderEnd">
    <w:name w:val="Header End"/>
    <w:basedOn w:val="Header"/>
    <w:autoRedefine/>
    <w:rsid w:val="00D971D1"/>
    <w:pPr>
      <w:spacing w:line="20" w:lineRule="exact"/>
    </w:pPr>
    <w:rPr>
      <w:sz w:val="16"/>
    </w:rPr>
  </w:style>
  <w:style w:type="paragraph" w:customStyle="1" w:styleId="HeaderEven">
    <w:name w:val="Header Even"/>
    <w:basedOn w:val="Header"/>
    <w:rsid w:val="00D971D1"/>
  </w:style>
  <w:style w:type="paragraph" w:customStyle="1" w:styleId="HeaderOdd">
    <w:name w:val="Header Odd"/>
    <w:basedOn w:val="Header"/>
    <w:rsid w:val="00D971D1"/>
  </w:style>
  <w:style w:type="paragraph" w:customStyle="1" w:styleId="InformationRequest">
    <w:name w:val="Information Request"/>
    <w:basedOn w:val="Finding"/>
    <w:next w:val="BodyText"/>
    <w:rsid w:val="00D971D1"/>
    <w:rPr>
      <w:i/>
    </w:rPr>
  </w:style>
  <w:style w:type="paragraph" w:styleId="ListBullet">
    <w:name w:val="List Bullet"/>
    <w:basedOn w:val="BodyText"/>
    <w:rsid w:val="00D971D1"/>
    <w:pPr>
      <w:numPr>
        <w:numId w:val="4"/>
      </w:numPr>
      <w:spacing w:before="120"/>
    </w:pPr>
  </w:style>
  <w:style w:type="paragraph" w:styleId="ListBullet2">
    <w:name w:val="List Bullet 2"/>
    <w:basedOn w:val="BodyText"/>
    <w:rsid w:val="00D971D1"/>
    <w:pPr>
      <w:numPr>
        <w:numId w:val="5"/>
      </w:numPr>
      <w:spacing w:before="120"/>
    </w:pPr>
  </w:style>
  <w:style w:type="paragraph" w:styleId="ListBullet3">
    <w:name w:val="List Bullet 3"/>
    <w:basedOn w:val="BodyText"/>
    <w:rsid w:val="00D971D1"/>
    <w:pPr>
      <w:numPr>
        <w:numId w:val="6"/>
      </w:numPr>
      <w:spacing w:before="120"/>
      <w:ind w:left="1020" w:hanging="340"/>
    </w:pPr>
  </w:style>
  <w:style w:type="paragraph" w:styleId="ListNumber">
    <w:name w:val="List Number"/>
    <w:basedOn w:val="BodyText"/>
    <w:rsid w:val="00D971D1"/>
    <w:pPr>
      <w:numPr>
        <w:numId w:val="12"/>
      </w:numPr>
      <w:spacing w:before="120"/>
    </w:pPr>
  </w:style>
  <w:style w:type="paragraph" w:styleId="ListNumber2">
    <w:name w:val="List Number 2"/>
    <w:basedOn w:val="ListNumber"/>
    <w:rsid w:val="00D971D1"/>
    <w:pPr>
      <w:numPr>
        <w:ilvl w:val="1"/>
      </w:numPr>
    </w:pPr>
  </w:style>
  <w:style w:type="paragraph" w:styleId="ListNumber3">
    <w:name w:val="List Number 3"/>
    <w:basedOn w:val="ListNumber2"/>
    <w:rsid w:val="00D971D1"/>
    <w:pPr>
      <w:numPr>
        <w:ilvl w:val="2"/>
      </w:numPr>
    </w:pPr>
  </w:style>
  <w:style w:type="character" w:customStyle="1" w:styleId="NoteLabel">
    <w:name w:val="Note Label"/>
    <w:basedOn w:val="DefaultParagraphFont"/>
    <w:rsid w:val="00D971D1"/>
    <w:rPr>
      <w:rFonts w:ascii="Arial" w:hAnsi="Arial"/>
      <w:b/>
      <w:position w:val="6"/>
      <w:sz w:val="18"/>
    </w:rPr>
  </w:style>
  <w:style w:type="character" w:styleId="PageNumber">
    <w:name w:val="page number"/>
    <w:basedOn w:val="DefaultParagraphFont"/>
    <w:rsid w:val="00D971D1"/>
    <w:rPr>
      <w:rFonts w:ascii="Arial" w:hAnsi="Arial"/>
      <w:b/>
      <w:sz w:val="16"/>
    </w:rPr>
  </w:style>
  <w:style w:type="paragraph" w:customStyle="1" w:styleId="PartDivider">
    <w:name w:val="Part Divider"/>
    <w:basedOn w:val="BodyText"/>
    <w:next w:val="BodyText"/>
    <w:rsid w:val="00D971D1"/>
    <w:pPr>
      <w:spacing w:before="0" w:line="40" w:lineRule="exact"/>
      <w:jc w:val="right"/>
    </w:pPr>
    <w:rPr>
      <w:smallCaps/>
      <w:sz w:val="16"/>
    </w:rPr>
  </w:style>
  <w:style w:type="paragraph" w:customStyle="1" w:styleId="PartNumber">
    <w:name w:val="Part Number"/>
    <w:basedOn w:val="BodyText"/>
    <w:next w:val="BodyText"/>
    <w:rsid w:val="00D971D1"/>
    <w:pPr>
      <w:spacing w:before="4000" w:line="320" w:lineRule="exact"/>
      <w:ind w:left="6634"/>
      <w:jc w:val="right"/>
    </w:pPr>
    <w:rPr>
      <w:smallCaps/>
      <w:spacing w:val="60"/>
      <w:sz w:val="32"/>
    </w:rPr>
  </w:style>
  <w:style w:type="paragraph" w:customStyle="1" w:styleId="PartTitle">
    <w:name w:val="Part Title"/>
    <w:basedOn w:val="BodyText"/>
    <w:rsid w:val="00D971D1"/>
    <w:pPr>
      <w:spacing w:before="160" w:after="1360" w:line="520" w:lineRule="exact"/>
      <w:ind w:right="2381"/>
      <w:jc w:val="right"/>
    </w:pPr>
    <w:rPr>
      <w:smallCaps/>
      <w:sz w:val="52"/>
    </w:rPr>
  </w:style>
  <w:style w:type="paragraph" w:styleId="Quote">
    <w:name w:val="Quote"/>
    <w:basedOn w:val="BodyText"/>
    <w:next w:val="BodyText"/>
    <w:link w:val="QuoteChar"/>
    <w:qFormat/>
    <w:rsid w:val="00D971D1"/>
    <w:pPr>
      <w:spacing w:before="120" w:line="280" w:lineRule="exact"/>
      <w:ind w:left="340"/>
    </w:pPr>
    <w:rPr>
      <w:sz w:val="22"/>
    </w:rPr>
  </w:style>
  <w:style w:type="paragraph" w:customStyle="1" w:styleId="Rec">
    <w:name w:val="Rec"/>
    <w:basedOn w:val="BodyText"/>
    <w:qFormat/>
    <w:rsid w:val="00D971D1"/>
    <w:pPr>
      <w:keepLines/>
      <w:spacing w:before="120" w:line="280" w:lineRule="atLeast"/>
    </w:pPr>
    <w:rPr>
      <w:rFonts w:ascii="Arial" w:hAnsi="Arial"/>
      <w:sz w:val="22"/>
    </w:rPr>
  </w:style>
  <w:style w:type="paragraph" w:customStyle="1" w:styleId="RecBullet">
    <w:name w:val="Rec Bullet"/>
    <w:basedOn w:val="Rec"/>
    <w:rsid w:val="00D971D1"/>
    <w:pPr>
      <w:numPr>
        <w:numId w:val="8"/>
      </w:numPr>
      <w:spacing w:before="80"/>
    </w:pPr>
  </w:style>
  <w:style w:type="paragraph" w:customStyle="1" w:styleId="RecB">
    <w:name w:val="RecB"/>
    <w:basedOn w:val="Normal"/>
    <w:rsid w:val="00D971D1"/>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D971D1"/>
    <w:pPr>
      <w:numPr>
        <w:numId w:val="9"/>
      </w:numPr>
      <w:spacing w:before="80"/>
    </w:pPr>
  </w:style>
  <w:style w:type="paragraph" w:customStyle="1" w:styleId="RecBNoTitle">
    <w:name w:val="RecB NoTitle"/>
    <w:basedOn w:val="RecB"/>
    <w:rsid w:val="00D971D1"/>
    <w:pPr>
      <w:spacing w:before="240"/>
    </w:pPr>
  </w:style>
  <w:style w:type="paragraph" w:customStyle="1" w:styleId="Reference">
    <w:name w:val="Reference"/>
    <w:basedOn w:val="BodyText"/>
    <w:rsid w:val="00D971D1"/>
    <w:pPr>
      <w:spacing w:before="120"/>
      <w:ind w:left="340" w:hanging="340"/>
    </w:pPr>
  </w:style>
  <w:style w:type="paragraph" w:customStyle="1" w:styleId="SequenceInfo">
    <w:name w:val="Sequence Info"/>
    <w:basedOn w:val="BodyText"/>
    <w:rsid w:val="00D971D1"/>
    <w:rPr>
      <w:vanish/>
      <w:sz w:val="16"/>
    </w:rPr>
  </w:style>
  <w:style w:type="paragraph" w:customStyle="1" w:styleId="SideNote">
    <w:name w:val="Side Note"/>
    <w:basedOn w:val="BodyText"/>
    <w:next w:val="BodyText"/>
    <w:rsid w:val="00D971D1"/>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D971D1"/>
    <w:pPr>
      <w:framePr w:wrap="around"/>
      <w:numPr>
        <w:numId w:val="10"/>
      </w:numPr>
      <w:tabs>
        <w:tab w:val="left" w:pos="227"/>
      </w:tabs>
    </w:pPr>
  </w:style>
  <w:style w:type="paragraph" w:customStyle="1" w:styleId="SideNoteGraphic">
    <w:name w:val="Side Note Graphic"/>
    <w:basedOn w:val="SideNote"/>
    <w:next w:val="BodyText"/>
    <w:rsid w:val="00D971D1"/>
    <w:pPr>
      <w:framePr w:wrap="around"/>
    </w:pPr>
  </w:style>
  <w:style w:type="paragraph" w:customStyle="1" w:styleId="TableBodyText">
    <w:name w:val="Table Body Text"/>
    <w:basedOn w:val="BodyText"/>
    <w:rsid w:val="00D971D1"/>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D971D1"/>
    <w:pPr>
      <w:numPr>
        <w:numId w:val="11"/>
      </w:numPr>
      <w:jc w:val="left"/>
    </w:pPr>
  </w:style>
  <w:style w:type="paragraph" w:customStyle="1" w:styleId="TableColumnHeading">
    <w:name w:val="Table Column Heading"/>
    <w:basedOn w:val="TableBodyText"/>
    <w:rsid w:val="00D971D1"/>
    <w:pPr>
      <w:spacing w:before="80" w:after="80"/>
    </w:pPr>
    <w:rPr>
      <w:i/>
    </w:rPr>
  </w:style>
  <w:style w:type="paragraph" w:styleId="TOC2">
    <w:name w:val="toc 2"/>
    <w:basedOn w:val="TOC1"/>
    <w:rsid w:val="00D971D1"/>
    <w:pPr>
      <w:ind w:left="1134" w:hanging="624"/>
    </w:pPr>
    <w:rPr>
      <w:b w:val="0"/>
    </w:rPr>
  </w:style>
  <w:style w:type="paragraph" w:styleId="TOC3">
    <w:name w:val="toc 3"/>
    <w:basedOn w:val="TOC2"/>
    <w:rsid w:val="00D971D1"/>
    <w:pPr>
      <w:spacing w:before="60"/>
      <w:ind w:left="1190" w:hanging="680"/>
    </w:pPr>
  </w:style>
  <w:style w:type="paragraph" w:styleId="TableofFigures">
    <w:name w:val="table of figures"/>
    <w:basedOn w:val="TOC3"/>
    <w:next w:val="BodyText"/>
    <w:rsid w:val="00D971D1"/>
    <w:pPr>
      <w:ind w:left="737" w:hanging="737"/>
    </w:pPr>
  </w:style>
  <w:style w:type="paragraph" w:customStyle="1" w:styleId="TableTitle">
    <w:name w:val="Table Title"/>
    <w:basedOn w:val="Caption"/>
    <w:next w:val="Subtitle"/>
    <w:qFormat/>
    <w:rsid w:val="00D971D1"/>
    <w:pPr>
      <w:spacing w:before="120"/>
    </w:pPr>
  </w:style>
  <w:style w:type="paragraph" w:customStyle="1" w:styleId="TableUnitsRow">
    <w:name w:val="Table Units Row"/>
    <w:basedOn w:val="TableBodyText"/>
    <w:rsid w:val="00D971D1"/>
    <w:pPr>
      <w:spacing w:before="40"/>
    </w:pPr>
  </w:style>
  <w:style w:type="paragraph" w:styleId="TOC1">
    <w:name w:val="toc 1"/>
    <w:basedOn w:val="Normal"/>
    <w:next w:val="TOC2"/>
    <w:link w:val="TOC1Char"/>
    <w:rsid w:val="00D971D1"/>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D971D1"/>
    <w:pPr>
      <w:ind w:left="1191" w:firstLine="0"/>
    </w:pPr>
  </w:style>
  <w:style w:type="paragraph" w:styleId="Header">
    <w:name w:val="header"/>
    <w:basedOn w:val="BodyText"/>
    <w:rsid w:val="00D971D1"/>
    <w:pPr>
      <w:tabs>
        <w:tab w:val="center" w:pos="4394"/>
        <w:tab w:val="right" w:pos="8789"/>
      </w:tabs>
      <w:spacing w:before="0" w:line="240" w:lineRule="atLeast"/>
      <w:jc w:val="left"/>
    </w:pPr>
    <w:rPr>
      <w:rFonts w:ascii="Arial" w:hAnsi="Arial"/>
      <w:caps/>
    </w:rPr>
  </w:style>
  <w:style w:type="paragraph" w:customStyle="1" w:styleId="QuoteBullet">
    <w:name w:val="Quote Bullet"/>
    <w:basedOn w:val="Quote"/>
    <w:rsid w:val="00D971D1"/>
    <w:pPr>
      <w:numPr>
        <w:numId w:val="7"/>
      </w:numPr>
    </w:pPr>
  </w:style>
  <w:style w:type="paragraph" w:styleId="BalloonText">
    <w:name w:val="Balloon Text"/>
    <w:basedOn w:val="Normal"/>
    <w:link w:val="BalloonTextChar"/>
    <w:rsid w:val="00D971D1"/>
    <w:rPr>
      <w:rFonts w:ascii="Tahoma" w:hAnsi="Tahoma" w:cs="Tahoma"/>
      <w:sz w:val="16"/>
      <w:szCs w:val="16"/>
    </w:rPr>
  </w:style>
  <w:style w:type="character" w:customStyle="1" w:styleId="BodyTextChar">
    <w:name w:val="Body Text Char"/>
    <w:aliases w:val="Body Text1 Char,new legislation style Char,new legislation style1 Char,new legislation style Ch Char"/>
    <w:basedOn w:val="DefaultParagraphFont"/>
    <w:link w:val="BodyText"/>
    <w:locked/>
    <w:rsid w:val="00D971D1"/>
    <w:rPr>
      <w:sz w:val="24"/>
    </w:rPr>
  </w:style>
  <w:style w:type="paragraph" w:customStyle="1" w:styleId="Heading1NotTOC">
    <w:name w:val="Heading 1 Not TOC"/>
    <w:basedOn w:val="Heading1"/>
    <w:next w:val="BodyText"/>
    <w:rsid w:val="00F7477E"/>
    <w:rPr>
      <w:szCs w:val="26"/>
    </w:rPr>
  </w:style>
  <w:style w:type="paragraph" w:customStyle="1" w:styleId="PCAddress">
    <w:name w:val="PC Address"/>
    <w:basedOn w:val="Normal"/>
    <w:rsid w:val="008B2205"/>
    <w:pPr>
      <w:tabs>
        <w:tab w:val="left" w:pos="866"/>
      </w:tabs>
      <w:spacing w:after="60"/>
    </w:pPr>
    <w:rPr>
      <w:sz w:val="16"/>
    </w:rPr>
  </w:style>
  <w:style w:type="paragraph" w:styleId="Salutation">
    <w:name w:val="Salutation"/>
    <w:basedOn w:val="Normal"/>
    <w:next w:val="Normal"/>
    <w:link w:val="SalutationChar"/>
    <w:autoRedefine/>
    <w:rsid w:val="003B41E0"/>
    <w:rPr>
      <w:noProof/>
    </w:rPr>
  </w:style>
  <w:style w:type="character" w:customStyle="1" w:styleId="SalutationChar">
    <w:name w:val="Salutation Char"/>
    <w:basedOn w:val="DefaultParagraphFont"/>
    <w:link w:val="Salutation"/>
    <w:rsid w:val="003B41E0"/>
    <w:rPr>
      <w:noProof/>
      <w:sz w:val="24"/>
    </w:rPr>
  </w:style>
  <w:style w:type="paragraph" w:customStyle="1" w:styleId="Signoff">
    <w:name w:val="Signoff"/>
    <w:basedOn w:val="Normal"/>
    <w:autoRedefine/>
    <w:rsid w:val="003B41E0"/>
    <w:pPr>
      <w:spacing w:before="480" w:after="1000"/>
    </w:pPr>
  </w:style>
  <w:style w:type="paragraph" w:customStyle="1" w:styleId="LetterDate">
    <w:name w:val="Letter Date"/>
    <w:basedOn w:val="BodyText"/>
    <w:rsid w:val="003B41E0"/>
    <w:pPr>
      <w:spacing w:before="0" w:after="240" w:line="240" w:lineRule="auto"/>
      <w:ind w:left="-108"/>
      <w:jc w:val="left"/>
    </w:pPr>
  </w:style>
  <w:style w:type="paragraph" w:customStyle="1" w:styleId="LetterAddress">
    <w:name w:val="Letter Address"/>
    <w:basedOn w:val="BodyText"/>
    <w:rsid w:val="003B41E0"/>
    <w:pPr>
      <w:spacing w:before="0" w:line="240" w:lineRule="auto"/>
      <w:jc w:val="left"/>
    </w:pPr>
  </w:style>
  <w:style w:type="paragraph" w:customStyle="1" w:styleId="PCBoxHeading">
    <w:name w:val="PC Box Heading"/>
    <w:basedOn w:val="BodyText"/>
    <w:link w:val="PCBoxHeadingChar"/>
    <w:qFormat/>
    <w:rsid w:val="008A3857"/>
    <w:pPr>
      <w:pBdr>
        <w:top w:val="single" w:sz="4" w:space="5" w:color="auto"/>
        <w:left w:val="single" w:sz="4" w:space="8" w:color="auto"/>
        <w:bottom w:val="single" w:sz="4" w:space="14" w:color="auto"/>
        <w:right w:val="single" w:sz="4" w:space="8" w:color="auto"/>
      </w:pBdr>
      <w:spacing w:before="480" w:line="240" w:lineRule="auto"/>
      <w:ind w:left="284" w:right="284"/>
    </w:pPr>
    <w:rPr>
      <w:rFonts w:ascii="Arial" w:hAnsi="Arial"/>
      <w:b/>
      <w:i/>
      <w:szCs w:val="24"/>
    </w:rPr>
  </w:style>
  <w:style w:type="paragraph" w:customStyle="1" w:styleId="PCBoxtext">
    <w:name w:val="PC Box text"/>
    <w:basedOn w:val="BodyText"/>
    <w:link w:val="PCBoxtextChar"/>
    <w:rsid w:val="00F4234E"/>
    <w:pPr>
      <w:pBdr>
        <w:top w:val="single" w:sz="4" w:space="5" w:color="auto"/>
        <w:left w:val="single" w:sz="4" w:space="8" w:color="auto"/>
        <w:bottom w:val="single" w:sz="4" w:space="14" w:color="auto"/>
        <w:right w:val="single" w:sz="4" w:space="8" w:color="auto"/>
      </w:pBdr>
      <w:spacing w:before="160" w:line="240" w:lineRule="auto"/>
      <w:ind w:left="284" w:right="284"/>
    </w:pPr>
    <w:rPr>
      <w:szCs w:val="24"/>
    </w:rPr>
  </w:style>
  <w:style w:type="character" w:customStyle="1" w:styleId="PCBoxHeadingChar">
    <w:name w:val="PC Box Heading Char"/>
    <w:basedOn w:val="BodyTextChar"/>
    <w:link w:val="PCBoxHeading"/>
    <w:rsid w:val="008A3857"/>
    <w:rPr>
      <w:rFonts w:ascii="Arial" w:hAnsi="Arial"/>
      <w:b/>
      <w:i/>
      <w:sz w:val="24"/>
      <w:szCs w:val="24"/>
    </w:rPr>
  </w:style>
  <w:style w:type="character" w:customStyle="1" w:styleId="PCBoxtextChar">
    <w:name w:val="PC Box text Char"/>
    <w:basedOn w:val="BodyTextChar"/>
    <w:link w:val="PCBoxtext"/>
    <w:rsid w:val="00F4234E"/>
    <w:rPr>
      <w:sz w:val="24"/>
      <w:szCs w:val="24"/>
      <w:lang w:eastAsia="en-US"/>
    </w:rPr>
  </w:style>
  <w:style w:type="character" w:styleId="Hyperlink">
    <w:name w:val="Hyperlink"/>
    <w:basedOn w:val="DefaultParagraphFont"/>
    <w:unhideWhenUsed/>
    <w:rsid w:val="00CD5E6B"/>
    <w:rPr>
      <w:rFonts w:ascii="Times New Roman" w:hAnsi="Times New Roman" w:cs="Times New Roman" w:hint="default"/>
      <w:color w:val="000000"/>
      <w:u w:val="single"/>
    </w:rPr>
  </w:style>
  <w:style w:type="paragraph" w:customStyle="1" w:styleId="Copyrightheading">
    <w:name w:val="Copyright heading"/>
    <w:basedOn w:val="TOC1"/>
    <w:link w:val="CopyrightheadingChar"/>
    <w:qFormat/>
    <w:rsid w:val="00122FE9"/>
    <w:pPr>
      <w:spacing w:line="300" w:lineRule="exact"/>
    </w:pPr>
    <w:rPr>
      <w:sz w:val="22"/>
    </w:rPr>
  </w:style>
  <w:style w:type="character" w:customStyle="1" w:styleId="TOC1Char">
    <w:name w:val="TOC 1 Char"/>
    <w:basedOn w:val="DefaultParagraphFont"/>
    <w:link w:val="TOC1"/>
    <w:rsid w:val="00D971D1"/>
    <w:rPr>
      <w:rFonts w:ascii="Arial" w:hAnsi="Arial"/>
      <w:b/>
      <w:sz w:val="26"/>
      <w:szCs w:val="26"/>
      <w:lang w:eastAsia="en-US"/>
    </w:rPr>
  </w:style>
  <w:style w:type="character" w:customStyle="1" w:styleId="CopyrightheadingChar">
    <w:name w:val="Copyright heading Char"/>
    <w:basedOn w:val="TOC1Char"/>
    <w:link w:val="Copyrightheading"/>
    <w:rsid w:val="00122FE9"/>
    <w:rPr>
      <w:rFonts w:ascii="Arial" w:hAnsi="Arial"/>
      <w:b/>
      <w:sz w:val="22"/>
      <w:szCs w:val="26"/>
      <w:lang w:eastAsia="en-US"/>
    </w:rPr>
  </w:style>
  <w:style w:type="paragraph" w:customStyle="1" w:styleId="Copyrightsubtitle">
    <w:name w:val="Copyright subtitle"/>
    <w:basedOn w:val="BodyText"/>
    <w:rsid w:val="008E242D"/>
    <w:rPr>
      <w:rFonts w:ascii="Arial" w:hAnsi="Arial"/>
      <w:b/>
      <w:sz w:val="22"/>
      <w:szCs w:val="25"/>
    </w:rPr>
  </w:style>
  <w:style w:type="paragraph" w:customStyle="1" w:styleId="BoxSpaceAbove">
    <w:name w:val="Box Space Above"/>
    <w:basedOn w:val="BodyText"/>
    <w:rsid w:val="00D971D1"/>
    <w:pPr>
      <w:keepNext/>
      <w:spacing w:before="360" w:line="80" w:lineRule="exact"/>
      <w:jc w:val="left"/>
    </w:pPr>
  </w:style>
  <w:style w:type="paragraph" w:customStyle="1" w:styleId="BoxSpaceBelow">
    <w:name w:val="Box Space Below"/>
    <w:basedOn w:val="Box"/>
    <w:rsid w:val="00D971D1"/>
    <w:pPr>
      <w:keepNext w:val="0"/>
      <w:spacing w:before="60" w:after="60" w:line="80" w:lineRule="exact"/>
    </w:pPr>
    <w:rPr>
      <w:sz w:val="14"/>
    </w:rPr>
  </w:style>
  <w:style w:type="paragraph" w:customStyle="1" w:styleId="Space">
    <w:name w:val="Space"/>
    <w:basedOn w:val="Normal"/>
    <w:rsid w:val="00D971D1"/>
    <w:pPr>
      <w:keepNext/>
      <w:spacing w:line="120" w:lineRule="exact"/>
      <w:jc w:val="both"/>
    </w:pPr>
    <w:rPr>
      <w:rFonts w:ascii="Arial" w:hAnsi="Arial"/>
      <w:sz w:val="20"/>
      <w:szCs w:val="20"/>
    </w:rPr>
  </w:style>
  <w:style w:type="paragraph" w:customStyle="1" w:styleId="InformationRequestTitle">
    <w:name w:val="Information Request Title"/>
    <w:basedOn w:val="FindingTitle"/>
    <w:next w:val="InformationRequest"/>
    <w:rsid w:val="00D971D1"/>
    <w:rPr>
      <w:i/>
    </w:rPr>
  </w:style>
  <w:style w:type="paragraph" w:customStyle="1" w:styleId="BoxListBullet3">
    <w:name w:val="Box List Bullet 3"/>
    <w:basedOn w:val="ListBullet3"/>
    <w:rsid w:val="00D971D1"/>
    <w:pPr>
      <w:numPr>
        <w:numId w:val="14"/>
      </w:numPr>
      <w:tabs>
        <w:tab w:val="left" w:pos="907"/>
      </w:tabs>
      <w:spacing w:before="60" w:line="260" w:lineRule="atLeast"/>
      <w:ind w:left="907" w:hanging="340"/>
    </w:pPr>
    <w:rPr>
      <w:rFonts w:ascii="Arial" w:hAnsi="Arial"/>
      <w:sz w:val="20"/>
    </w:rPr>
  </w:style>
  <w:style w:type="paragraph" w:customStyle="1" w:styleId="BoxQuoteBullet">
    <w:name w:val="Box Quote Bullet"/>
    <w:basedOn w:val="BoxQuote"/>
    <w:next w:val="Box"/>
    <w:rsid w:val="00D971D1"/>
    <w:pPr>
      <w:numPr>
        <w:numId w:val="15"/>
      </w:numPr>
      <w:ind w:left="568" w:hanging="284"/>
    </w:pPr>
  </w:style>
  <w:style w:type="paragraph" w:customStyle="1" w:styleId="Figurespace">
    <w:name w:val="Figure space"/>
    <w:basedOn w:val="Box"/>
    <w:rsid w:val="00D971D1"/>
    <w:pPr>
      <w:spacing w:before="0" w:line="120" w:lineRule="exact"/>
    </w:pPr>
  </w:style>
  <w:style w:type="paragraph" w:customStyle="1" w:styleId="Heading1nochapterno">
    <w:name w:val="Heading 1 (no chapter no.)"/>
    <w:basedOn w:val="Heading1"/>
    <w:rsid w:val="00D971D1"/>
    <w:pPr>
      <w:spacing w:before="0"/>
      <w:ind w:left="0" w:firstLine="0"/>
    </w:pPr>
  </w:style>
  <w:style w:type="paragraph" w:customStyle="1" w:styleId="Heading2nosectionno">
    <w:name w:val="Heading 2 (no section no.)"/>
    <w:basedOn w:val="Heading2"/>
    <w:rsid w:val="00D971D1"/>
    <w:pPr>
      <w:ind w:left="0" w:firstLine="0"/>
    </w:pPr>
  </w:style>
  <w:style w:type="paragraph" w:customStyle="1" w:styleId="InformationRequestBullet">
    <w:name w:val="Information Request Bullet"/>
    <w:basedOn w:val="ListBullet"/>
    <w:next w:val="BodyText"/>
    <w:rsid w:val="00D971D1"/>
    <w:pPr>
      <w:numPr>
        <w:numId w:val="16"/>
      </w:numPr>
      <w:spacing w:before="80" w:line="280" w:lineRule="atLeast"/>
      <w:ind w:left="357" w:hanging="357"/>
    </w:pPr>
    <w:rPr>
      <w:rFonts w:ascii="Arial" w:hAnsi="Arial"/>
      <w:i/>
      <w:sz w:val="22"/>
    </w:rPr>
  </w:style>
  <w:style w:type="paragraph" w:customStyle="1" w:styleId="KeyPointsListBullet">
    <w:name w:val="Key Points List Bullet"/>
    <w:basedOn w:val="Normal"/>
    <w:qFormat/>
    <w:rsid w:val="00D971D1"/>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D971D1"/>
    <w:pPr>
      <w:numPr>
        <w:numId w:val="19"/>
      </w:numPr>
      <w:ind w:left="568" w:hanging="284"/>
    </w:pPr>
  </w:style>
  <w:style w:type="character" w:customStyle="1" w:styleId="QuoteChar">
    <w:name w:val="Quote Char"/>
    <w:basedOn w:val="DefaultParagraphFont"/>
    <w:link w:val="Quote"/>
    <w:rsid w:val="0010611E"/>
    <w:rPr>
      <w:sz w:val="22"/>
    </w:rPr>
  </w:style>
  <w:style w:type="character" w:customStyle="1" w:styleId="SubtitleChar">
    <w:name w:val="Subtitle Char"/>
    <w:basedOn w:val="DefaultParagraphFont"/>
    <w:link w:val="Subtitle"/>
    <w:rsid w:val="00D971D1"/>
    <w:rPr>
      <w:rFonts w:ascii="Arial" w:hAnsi="Arial"/>
      <w:szCs w:val="24"/>
    </w:rPr>
  </w:style>
  <w:style w:type="character" w:customStyle="1" w:styleId="FooterChar">
    <w:name w:val="Footer Char"/>
    <w:basedOn w:val="BodyTextChar"/>
    <w:link w:val="Footer"/>
    <w:rsid w:val="00D971D1"/>
    <w:rPr>
      <w:rFonts w:ascii="Arial" w:hAnsi="Arial"/>
      <w:caps/>
      <w:spacing w:val="-4"/>
      <w:sz w:val="16"/>
    </w:rPr>
  </w:style>
  <w:style w:type="paragraph" w:customStyle="1" w:styleId="Copyrightbodytext">
    <w:name w:val="Copyright bodytext"/>
    <w:basedOn w:val="BodyText"/>
    <w:link w:val="CopyrightbodytextChar"/>
    <w:qFormat/>
    <w:rsid w:val="002A499E"/>
    <w:pPr>
      <w:spacing w:before="60"/>
    </w:pPr>
    <w:rPr>
      <w:sz w:val="20"/>
    </w:rPr>
  </w:style>
  <w:style w:type="character" w:customStyle="1" w:styleId="CopyrightbodytextChar">
    <w:name w:val="Copyright bodytext Char"/>
    <w:basedOn w:val="BodyTextChar"/>
    <w:link w:val="Copyrightbodytext"/>
    <w:rsid w:val="002A499E"/>
    <w:rPr>
      <w:sz w:val="24"/>
    </w:rPr>
  </w:style>
  <w:style w:type="table" w:customStyle="1" w:styleId="Style1">
    <w:name w:val="Style1"/>
    <w:basedOn w:val="TableNormal"/>
    <w:uiPriority w:val="99"/>
    <w:rsid w:val="00653FA6"/>
    <w:tblPr>
      <w:tblInd w:w="0" w:type="dxa"/>
      <w:tblCellMar>
        <w:top w:w="0" w:type="dxa"/>
        <w:left w:w="108" w:type="dxa"/>
        <w:bottom w:w="0" w:type="dxa"/>
        <w:right w:w="108" w:type="dxa"/>
      </w:tblCellMar>
    </w:tblPr>
  </w:style>
  <w:style w:type="character" w:styleId="FollowedHyperlink">
    <w:name w:val="FollowedHyperlink"/>
    <w:basedOn w:val="DefaultParagraphFont"/>
    <w:rsid w:val="00BA0B81"/>
    <w:rPr>
      <w:color w:val="387DD2" w:themeColor="followedHyperlink"/>
      <w:u w:val="single"/>
    </w:rPr>
  </w:style>
  <w:style w:type="paragraph" w:customStyle="1" w:styleId="ISSN">
    <w:name w:val="ISSN"/>
    <w:basedOn w:val="BodyText"/>
    <w:qFormat/>
    <w:rsid w:val="00BA0B81"/>
    <w:pPr>
      <w:tabs>
        <w:tab w:val="left" w:pos="851"/>
      </w:tabs>
      <w:spacing w:before="120" w:after="120"/>
      <w:jc w:val="left"/>
    </w:pPr>
    <w:rPr>
      <w:b/>
      <w:sz w:val="20"/>
    </w:rPr>
  </w:style>
  <w:style w:type="character" w:customStyle="1" w:styleId="apple-converted-space">
    <w:name w:val="apple-converted-space"/>
    <w:basedOn w:val="DefaultParagraphFont"/>
    <w:rsid w:val="00203B40"/>
  </w:style>
  <w:style w:type="paragraph" w:customStyle="1" w:styleId="FooterDraftReport">
    <w:name w:val="FooterDraftReport"/>
    <w:basedOn w:val="Footer"/>
    <w:link w:val="FooterDraftReportChar"/>
    <w:rsid w:val="00D971D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D971D1"/>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D97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60B6B"/>
    <w:rPr>
      <w:sz w:val="52"/>
    </w:rPr>
  </w:style>
  <w:style w:type="character" w:customStyle="1" w:styleId="Heading3Char">
    <w:name w:val="Heading 3 Char"/>
    <w:basedOn w:val="DefaultParagraphFont"/>
    <w:link w:val="Heading3"/>
    <w:rsid w:val="00360B6B"/>
    <w:rPr>
      <w:rFonts w:ascii="Arial" w:hAnsi="Arial"/>
      <w:b/>
      <w:sz w:val="26"/>
    </w:rPr>
  </w:style>
  <w:style w:type="paragraph" w:customStyle="1" w:styleId="Jurisdictioncommentsbodytext">
    <w:name w:val="Jurisdiction comments body text"/>
    <w:rsid w:val="00D971D1"/>
    <w:pPr>
      <w:spacing w:after="140"/>
      <w:jc w:val="both"/>
    </w:pPr>
    <w:rPr>
      <w:rFonts w:ascii="Arial" w:hAnsi="Arial"/>
      <w:sz w:val="24"/>
      <w:lang w:eastAsia="en-US"/>
    </w:rPr>
  </w:style>
  <w:style w:type="paragraph" w:customStyle="1" w:styleId="Jurisdictioncommentsheading">
    <w:name w:val="Jurisdiction comments heading"/>
    <w:rsid w:val="00D971D1"/>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D971D1"/>
    <w:pPr>
      <w:numPr>
        <w:numId w:val="17"/>
      </w:numPr>
      <w:spacing w:after="140"/>
      <w:jc w:val="both"/>
    </w:pPr>
    <w:rPr>
      <w:rFonts w:ascii="Arial" w:hAnsi="Arial"/>
      <w:sz w:val="24"/>
      <w:lang w:eastAsia="en-US"/>
    </w:rPr>
  </w:style>
  <w:style w:type="paragraph" w:customStyle="1" w:styleId="RecBBullet2">
    <w:name w:val="RecB Bullet 2"/>
    <w:basedOn w:val="ListBullet2"/>
    <w:semiHidden/>
    <w:rsid w:val="00D971D1"/>
    <w:pPr>
      <w:pBdr>
        <w:left w:val="single" w:sz="24" w:space="29" w:color="C0C0C0"/>
      </w:pBdr>
    </w:pPr>
    <w:rPr>
      <w:b/>
      <w:i/>
    </w:rPr>
  </w:style>
  <w:style w:type="character" w:customStyle="1" w:styleId="BalloonTextChar">
    <w:name w:val="Balloon Text Char"/>
    <w:basedOn w:val="DefaultParagraphFont"/>
    <w:link w:val="BalloonText"/>
    <w:rsid w:val="00D971D1"/>
    <w:rPr>
      <w:rFonts w:ascii="Tahoma" w:hAnsi="Tahoma" w:cs="Tahoma"/>
      <w:sz w:val="16"/>
      <w:szCs w:val="16"/>
    </w:rPr>
  </w:style>
  <w:style w:type="character" w:styleId="Emphasis">
    <w:name w:val="Emphasis"/>
    <w:basedOn w:val="DefaultParagraphFont"/>
    <w:rsid w:val="00D971D1"/>
    <w:rPr>
      <w:i/>
      <w:iCs/>
    </w:rPr>
  </w:style>
  <w:style w:type="character" w:customStyle="1" w:styleId="Heading5Char">
    <w:name w:val="Heading 5 Char"/>
    <w:basedOn w:val="DefaultParagraphFont"/>
    <w:link w:val="Heading5"/>
    <w:rsid w:val="00D971D1"/>
    <w:rPr>
      <w:rFonts w:ascii="Arial" w:hAnsi="Arial"/>
      <w:i/>
      <w:sz w:val="22"/>
    </w:rPr>
  </w:style>
  <w:style w:type="character" w:customStyle="1" w:styleId="CommentTextChar">
    <w:name w:val="Comment Text Char"/>
    <w:basedOn w:val="DefaultParagraphFont"/>
    <w:semiHidden/>
    <w:rsid w:val="00360B6B"/>
    <w:rPr>
      <w:szCs w:val="24"/>
    </w:rPr>
  </w:style>
  <w:style w:type="character" w:customStyle="1" w:styleId="FootnoteTextChar">
    <w:name w:val="Footnote Text Char"/>
    <w:basedOn w:val="DefaultParagraphFont"/>
    <w:link w:val="FootnoteText"/>
    <w:rsid w:val="00360B6B"/>
  </w:style>
  <w:style w:type="paragraph" w:styleId="CommentSubject">
    <w:name w:val="annotation subject"/>
    <w:basedOn w:val="CommentText"/>
    <w:next w:val="CommentText"/>
    <w:link w:val="CommentSubjectChar"/>
    <w:unhideWhenUsed/>
    <w:rsid w:val="00360B6B"/>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360B6B"/>
    <w:rPr>
      <w:szCs w:val="24"/>
    </w:rPr>
  </w:style>
  <w:style w:type="character" w:customStyle="1" w:styleId="CommentSubjectChar">
    <w:name w:val="Comment Subject Char"/>
    <w:basedOn w:val="CommentTextChar1"/>
    <w:link w:val="CommentSubject"/>
    <w:rsid w:val="00360B6B"/>
    <w:rPr>
      <w:b/>
      <w:bCs/>
      <w:szCs w:val="24"/>
    </w:rPr>
  </w:style>
  <w:style w:type="paragraph" w:styleId="Title">
    <w:name w:val="Title"/>
    <w:basedOn w:val="Normal"/>
    <w:next w:val="Normal"/>
    <w:link w:val="TitleChar"/>
    <w:uiPriority w:val="10"/>
    <w:qFormat/>
    <w:rsid w:val="00360B6B"/>
    <w:pPr>
      <w:pBdr>
        <w:bottom w:val="single" w:sz="8" w:space="4" w:color="78A22F" w:themeColor="accent1"/>
      </w:pBdr>
      <w:spacing w:after="300"/>
      <w:contextualSpacing/>
    </w:pPr>
    <w:rPr>
      <w:rFonts w:asciiTheme="majorHAnsi" w:eastAsiaTheme="majorEastAsia" w:hAnsiTheme="majorHAnsi" w:cstheme="majorBidi"/>
      <w:color w:val="000000" w:themeColor="text2" w:themeShade="BF"/>
      <w:spacing w:val="5"/>
      <w:kern w:val="28"/>
      <w:sz w:val="52"/>
      <w:szCs w:val="52"/>
      <w:lang w:val="en-US" w:eastAsia="en-US" w:bidi="en-US"/>
    </w:rPr>
  </w:style>
  <w:style w:type="character" w:customStyle="1" w:styleId="TitleChar">
    <w:name w:val="Title Char"/>
    <w:basedOn w:val="DefaultParagraphFont"/>
    <w:link w:val="Title"/>
    <w:uiPriority w:val="10"/>
    <w:rsid w:val="00360B6B"/>
    <w:rPr>
      <w:rFonts w:asciiTheme="majorHAnsi" w:eastAsiaTheme="majorEastAsia" w:hAnsiTheme="majorHAnsi" w:cstheme="majorBidi"/>
      <w:color w:val="000000" w:themeColor="text2" w:themeShade="BF"/>
      <w:spacing w:val="5"/>
      <w:kern w:val="28"/>
      <w:sz w:val="52"/>
      <w:szCs w:val="52"/>
      <w:lang w:val="en-US" w:eastAsia="en-US" w:bidi="en-US"/>
    </w:rPr>
  </w:style>
  <w:style w:type="paragraph" w:styleId="Revision">
    <w:name w:val="Revision"/>
    <w:hidden/>
    <w:uiPriority w:val="99"/>
    <w:semiHidden/>
    <w:rsid w:val="00360B6B"/>
    <w:rPr>
      <w:sz w:val="24"/>
      <w:szCs w:val="24"/>
    </w:rPr>
  </w:style>
  <w:style w:type="character" w:customStyle="1" w:styleId="SourceChar">
    <w:name w:val="Source Char"/>
    <w:basedOn w:val="DefaultParagraphFont"/>
    <w:link w:val="Source"/>
    <w:rsid w:val="00360B6B"/>
    <w:rPr>
      <w:rFonts w:ascii="Arial" w:hAnsi="Arial"/>
      <w:sz w:val="18"/>
    </w:rPr>
  </w:style>
  <w:style w:type="character" w:customStyle="1" w:styleId="NoteChar">
    <w:name w:val="Note Char"/>
    <w:basedOn w:val="DefaultParagraphFont"/>
    <w:link w:val="Note"/>
    <w:rsid w:val="00360B6B"/>
    <w:rPr>
      <w:rFonts w:ascii="Arial" w:hAnsi="Arial"/>
      <w:sz w:val="18"/>
    </w:rPr>
  </w:style>
  <w:style w:type="paragraph" w:customStyle="1" w:styleId="Gempack">
    <w:name w:val="Gempack"/>
    <w:basedOn w:val="BodyText"/>
    <w:rsid w:val="00360B6B"/>
    <w:pPr>
      <w:keepLines/>
      <w:tabs>
        <w:tab w:val="right" w:pos="8280"/>
      </w:tabs>
      <w:spacing w:line="320" w:lineRule="atLeast"/>
      <w:jc w:val="left"/>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uiPriority="10" w:qFormat="1"/>
    <w:lsdException w:name="Default Paragraph Font" w:uiPriority="1"/>
    <w:lsdException w:name="Body Text"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971D1"/>
    <w:rPr>
      <w:sz w:val="24"/>
      <w:szCs w:val="24"/>
    </w:rPr>
  </w:style>
  <w:style w:type="paragraph" w:styleId="Heading1">
    <w:name w:val="heading 1"/>
    <w:basedOn w:val="BodyText"/>
    <w:next w:val="BodyText"/>
    <w:link w:val="Heading1Char"/>
    <w:rsid w:val="00D971D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D971D1"/>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D971D1"/>
    <w:pPr>
      <w:spacing w:before="560" w:line="320" w:lineRule="exact"/>
      <w:ind w:left="0" w:firstLine="0"/>
      <w:outlineLvl w:val="2"/>
    </w:pPr>
    <w:rPr>
      <w:sz w:val="26"/>
    </w:rPr>
  </w:style>
  <w:style w:type="paragraph" w:styleId="Heading4">
    <w:name w:val="heading 4"/>
    <w:basedOn w:val="Heading3"/>
    <w:next w:val="BodyText"/>
    <w:qFormat/>
    <w:rsid w:val="00D971D1"/>
    <w:pPr>
      <w:spacing w:before="480"/>
      <w:outlineLvl w:val="3"/>
    </w:pPr>
    <w:rPr>
      <w:b w:val="0"/>
      <w:sz w:val="24"/>
    </w:rPr>
  </w:style>
  <w:style w:type="paragraph" w:styleId="Heading5">
    <w:name w:val="heading 5"/>
    <w:basedOn w:val="Heading4"/>
    <w:next w:val="BodyText"/>
    <w:link w:val="Heading5Char"/>
    <w:qFormat/>
    <w:rsid w:val="00D971D1"/>
    <w:pPr>
      <w:outlineLvl w:val="4"/>
    </w:pPr>
    <w:rPr>
      <w:i/>
      <w:sz w:val="22"/>
    </w:rPr>
  </w:style>
  <w:style w:type="paragraph" w:styleId="Heading6">
    <w:name w:val="heading 6"/>
    <w:basedOn w:val="BodyText"/>
    <w:next w:val="BodyText"/>
    <w:semiHidden/>
    <w:rsid w:val="00D971D1"/>
    <w:pPr>
      <w:spacing w:after="60"/>
      <w:jc w:val="left"/>
      <w:outlineLvl w:val="5"/>
    </w:pPr>
    <w:rPr>
      <w:i/>
      <w:sz w:val="22"/>
    </w:rPr>
  </w:style>
  <w:style w:type="paragraph" w:styleId="Heading7">
    <w:name w:val="heading 7"/>
    <w:basedOn w:val="BodyText"/>
    <w:next w:val="BodyText"/>
    <w:semiHidden/>
    <w:rsid w:val="00D971D1"/>
    <w:pPr>
      <w:spacing w:after="60" w:line="240" w:lineRule="auto"/>
      <w:jc w:val="left"/>
      <w:outlineLvl w:val="6"/>
    </w:pPr>
    <w:rPr>
      <w:rFonts w:ascii="Arial" w:hAnsi="Arial"/>
      <w:sz w:val="20"/>
    </w:rPr>
  </w:style>
  <w:style w:type="paragraph" w:styleId="Heading8">
    <w:name w:val="heading 8"/>
    <w:basedOn w:val="BodyText"/>
    <w:next w:val="BodyText"/>
    <w:semiHidden/>
    <w:rsid w:val="00D971D1"/>
    <w:pPr>
      <w:spacing w:after="60" w:line="240" w:lineRule="auto"/>
      <w:jc w:val="left"/>
      <w:outlineLvl w:val="7"/>
    </w:pPr>
    <w:rPr>
      <w:rFonts w:ascii="Arial" w:hAnsi="Arial"/>
      <w:i/>
      <w:sz w:val="20"/>
    </w:rPr>
  </w:style>
  <w:style w:type="paragraph" w:styleId="Heading9">
    <w:name w:val="heading 9"/>
    <w:basedOn w:val="BodyText"/>
    <w:next w:val="BodyText"/>
    <w:semiHidden/>
    <w:rsid w:val="00D971D1"/>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
    <w:link w:val="BodyTextChar"/>
    <w:qFormat/>
    <w:rsid w:val="00D971D1"/>
    <w:pPr>
      <w:spacing w:before="240" w:line="300" w:lineRule="atLeast"/>
      <w:jc w:val="both"/>
    </w:pPr>
    <w:rPr>
      <w:sz w:val="24"/>
    </w:rPr>
  </w:style>
  <w:style w:type="paragraph" w:customStyle="1" w:styleId="Abbreviation">
    <w:name w:val="Abbreviation"/>
    <w:basedOn w:val="BodyText"/>
    <w:rsid w:val="00D971D1"/>
    <w:pPr>
      <w:spacing w:before="120"/>
      <w:ind w:left="2381" w:hanging="2381"/>
      <w:jc w:val="left"/>
    </w:pPr>
  </w:style>
  <w:style w:type="paragraph" w:customStyle="1" w:styleId="Box">
    <w:name w:val="Box"/>
    <w:basedOn w:val="BodyText"/>
    <w:qFormat/>
    <w:rsid w:val="00D971D1"/>
    <w:pPr>
      <w:keepNext/>
      <w:spacing w:before="120" w:line="260" w:lineRule="atLeast"/>
    </w:pPr>
    <w:rPr>
      <w:rFonts w:ascii="Arial" w:hAnsi="Arial"/>
      <w:sz w:val="20"/>
    </w:rPr>
  </w:style>
  <w:style w:type="paragraph" w:customStyle="1" w:styleId="Note">
    <w:name w:val="Note"/>
    <w:basedOn w:val="BodyText"/>
    <w:next w:val="BodyText"/>
    <w:link w:val="NoteChar"/>
    <w:rsid w:val="00D971D1"/>
    <w:pPr>
      <w:keepLines/>
      <w:spacing w:before="80" w:line="220" w:lineRule="exact"/>
    </w:pPr>
    <w:rPr>
      <w:rFonts w:ascii="Arial" w:hAnsi="Arial"/>
      <w:sz w:val="18"/>
    </w:rPr>
  </w:style>
  <w:style w:type="paragraph" w:customStyle="1" w:styleId="Source">
    <w:name w:val="Source"/>
    <w:basedOn w:val="Normal"/>
    <w:next w:val="BodyText"/>
    <w:link w:val="SourceChar"/>
    <w:rsid w:val="00D971D1"/>
    <w:pPr>
      <w:keepLines/>
      <w:spacing w:before="80" w:line="220" w:lineRule="exact"/>
      <w:jc w:val="both"/>
    </w:pPr>
    <w:rPr>
      <w:rFonts w:ascii="Arial" w:hAnsi="Arial"/>
      <w:sz w:val="18"/>
      <w:szCs w:val="20"/>
    </w:rPr>
  </w:style>
  <w:style w:type="paragraph" w:customStyle="1" w:styleId="BoxSource">
    <w:name w:val="Box Source"/>
    <w:basedOn w:val="Source"/>
    <w:next w:val="BodyText"/>
    <w:rsid w:val="00D971D1"/>
    <w:pPr>
      <w:spacing w:before="120"/>
    </w:pPr>
  </w:style>
  <w:style w:type="paragraph" w:customStyle="1" w:styleId="BoxContinued">
    <w:name w:val="Box Continued"/>
    <w:basedOn w:val="BodyText"/>
    <w:next w:val="BodyText"/>
    <w:rsid w:val="00D971D1"/>
    <w:pPr>
      <w:spacing w:before="180" w:line="220" w:lineRule="exact"/>
      <w:jc w:val="right"/>
    </w:pPr>
    <w:rPr>
      <w:rFonts w:ascii="Arial" w:hAnsi="Arial"/>
      <w:sz w:val="18"/>
    </w:rPr>
  </w:style>
  <w:style w:type="paragraph" w:customStyle="1" w:styleId="BoxHeading1">
    <w:name w:val="Box Heading 1"/>
    <w:basedOn w:val="BodyText"/>
    <w:next w:val="Box"/>
    <w:rsid w:val="00D971D1"/>
    <w:pPr>
      <w:keepNext/>
      <w:spacing w:before="200" w:line="280" w:lineRule="atLeast"/>
    </w:pPr>
    <w:rPr>
      <w:rFonts w:ascii="Arial" w:hAnsi="Arial"/>
      <w:b/>
      <w:sz w:val="22"/>
    </w:rPr>
  </w:style>
  <w:style w:type="paragraph" w:customStyle="1" w:styleId="BoxHeading2">
    <w:name w:val="Box Heading 2"/>
    <w:basedOn w:val="BoxHeading1"/>
    <w:next w:val="Normal"/>
    <w:rsid w:val="00D971D1"/>
    <w:rPr>
      <w:b w:val="0"/>
      <w:i/>
    </w:rPr>
  </w:style>
  <w:style w:type="paragraph" w:customStyle="1" w:styleId="BoxListBullet">
    <w:name w:val="Box List Bullet"/>
    <w:basedOn w:val="BodyText"/>
    <w:rsid w:val="00D971D1"/>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D971D1"/>
    <w:pPr>
      <w:numPr>
        <w:numId w:val="2"/>
      </w:numPr>
      <w:ind w:left="568" w:hanging="284"/>
    </w:pPr>
  </w:style>
  <w:style w:type="paragraph" w:customStyle="1" w:styleId="BoxListNumber">
    <w:name w:val="Box List Number"/>
    <w:basedOn w:val="BodyText"/>
    <w:rsid w:val="00D971D1"/>
    <w:pPr>
      <w:keepNext/>
      <w:numPr>
        <w:numId w:val="13"/>
      </w:numPr>
      <w:spacing w:before="100" w:line="260" w:lineRule="atLeast"/>
    </w:pPr>
    <w:rPr>
      <w:rFonts w:ascii="Arial" w:hAnsi="Arial"/>
      <w:sz w:val="20"/>
    </w:rPr>
  </w:style>
  <w:style w:type="paragraph" w:customStyle="1" w:styleId="BoxListNumber2">
    <w:name w:val="Box List Number 2"/>
    <w:basedOn w:val="BoxListNumber"/>
    <w:rsid w:val="00D971D1"/>
    <w:pPr>
      <w:numPr>
        <w:ilvl w:val="1"/>
      </w:numPr>
      <w:ind w:left="681" w:hanging="397"/>
    </w:pPr>
  </w:style>
  <w:style w:type="paragraph" w:customStyle="1" w:styleId="BoxQuote">
    <w:name w:val="Box Quote"/>
    <w:basedOn w:val="BodyText"/>
    <w:next w:val="Box"/>
    <w:qFormat/>
    <w:rsid w:val="00D971D1"/>
    <w:pPr>
      <w:keepNext/>
      <w:spacing w:before="60" w:line="240" w:lineRule="exact"/>
      <w:ind w:left="284"/>
    </w:pPr>
    <w:rPr>
      <w:rFonts w:ascii="Arial" w:hAnsi="Arial"/>
      <w:sz w:val="18"/>
    </w:rPr>
  </w:style>
  <w:style w:type="paragraph" w:customStyle="1" w:styleId="BoxSpace">
    <w:name w:val="Box Space"/>
    <w:basedOn w:val="Normal"/>
    <w:pPr>
      <w:keepNext/>
      <w:spacing w:before="360" w:line="80" w:lineRule="exact"/>
    </w:pPr>
  </w:style>
  <w:style w:type="paragraph" w:styleId="Caption">
    <w:name w:val="caption"/>
    <w:basedOn w:val="Normal"/>
    <w:next w:val="BodyText"/>
    <w:rsid w:val="00D971D1"/>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D971D1"/>
    <w:pPr>
      <w:spacing w:before="120" w:after="0"/>
    </w:pPr>
  </w:style>
  <w:style w:type="paragraph" w:customStyle="1" w:styleId="BoxSubtitle">
    <w:name w:val="Box Subtitle"/>
    <w:basedOn w:val="BoxTitle"/>
    <w:next w:val="Normal"/>
    <w:rsid w:val="00D971D1"/>
    <w:pPr>
      <w:spacing w:after="80" w:line="200" w:lineRule="exact"/>
      <w:ind w:firstLine="0"/>
    </w:pPr>
    <w:rPr>
      <w:b w:val="0"/>
      <w:sz w:val="20"/>
    </w:rPr>
  </w:style>
  <w:style w:type="paragraph" w:customStyle="1" w:styleId="Chapter">
    <w:name w:val="Chapter"/>
    <w:basedOn w:val="Heading1"/>
    <w:next w:val="BodyText"/>
    <w:semiHidden/>
    <w:rsid w:val="00D971D1"/>
    <w:pPr>
      <w:ind w:left="0" w:firstLine="0"/>
      <w:outlineLvl w:val="9"/>
    </w:pPr>
  </w:style>
  <w:style w:type="paragraph" w:customStyle="1" w:styleId="ChapterSummary">
    <w:name w:val="Chapter Summary"/>
    <w:basedOn w:val="BodyText"/>
    <w:rsid w:val="00D971D1"/>
    <w:pPr>
      <w:spacing w:line="280" w:lineRule="atLeast"/>
      <w:ind w:left="907"/>
    </w:pPr>
    <w:rPr>
      <w:rFonts w:ascii="Arial" w:hAnsi="Arial"/>
      <w:b/>
      <w:sz w:val="20"/>
    </w:rPr>
  </w:style>
  <w:style w:type="character" w:styleId="CommentReference">
    <w:name w:val="annotation reference"/>
    <w:basedOn w:val="DefaultParagraphFont"/>
    <w:semiHidden/>
    <w:rsid w:val="00D971D1"/>
    <w:rPr>
      <w:b/>
      <w:vanish/>
      <w:color w:val="FF00FF"/>
      <w:sz w:val="20"/>
    </w:rPr>
  </w:style>
  <w:style w:type="paragraph" w:styleId="CommentText">
    <w:name w:val="annotation text"/>
    <w:basedOn w:val="Normal"/>
    <w:link w:val="CommentTextChar1"/>
    <w:semiHidden/>
    <w:rsid w:val="00D971D1"/>
    <w:pPr>
      <w:spacing w:before="120" w:line="240" w:lineRule="atLeast"/>
      <w:ind w:left="567" w:hanging="567"/>
    </w:pPr>
    <w:rPr>
      <w:sz w:val="20"/>
    </w:rPr>
  </w:style>
  <w:style w:type="paragraph" w:customStyle="1" w:styleId="Continued">
    <w:name w:val="Continued"/>
    <w:basedOn w:val="BoxContinued"/>
    <w:next w:val="BodyText"/>
    <w:rsid w:val="00D971D1"/>
  </w:style>
  <w:style w:type="paragraph" w:customStyle="1" w:styleId="DocInfo">
    <w:name w:val="Doc Info"/>
    <w:basedOn w:val="Normal"/>
    <w:next w:val="Normal"/>
    <w:semiHidden/>
    <w:pPr>
      <w:jc w:val="center"/>
    </w:pPr>
    <w:rPr>
      <w:rFonts w:ascii="Arial" w:hAnsi="Arial"/>
      <w:sz w:val="14"/>
    </w:rPr>
  </w:style>
  <w:style w:type="paragraph" w:styleId="Footer">
    <w:name w:val="footer"/>
    <w:basedOn w:val="BodyText"/>
    <w:link w:val="FooterChar"/>
    <w:rsid w:val="00D971D1"/>
    <w:pPr>
      <w:spacing w:before="80" w:line="200" w:lineRule="exact"/>
      <w:ind w:right="6"/>
      <w:jc w:val="left"/>
    </w:pPr>
    <w:rPr>
      <w:rFonts w:ascii="Arial" w:hAnsi="Arial"/>
      <w:caps/>
      <w:spacing w:val="-4"/>
      <w:sz w:val="16"/>
    </w:rPr>
  </w:style>
  <w:style w:type="character" w:customStyle="1" w:styleId="DocumentInfo">
    <w:name w:val="Document Info"/>
    <w:basedOn w:val="DefaultParagraphFont"/>
    <w:semiHidden/>
    <w:rsid w:val="00D971D1"/>
    <w:rPr>
      <w:rFonts w:ascii="Arial" w:hAnsi="Arial"/>
      <w:sz w:val="14"/>
    </w:rPr>
  </w:style>
  <w:style w:type="character" w:customStyle="1" w:styleId="DraftingNote">
    <w:name w:val="Drafting Note"/>
    <w:basedOn w:val="DefaultParagraphFont"/>
    <w:rsid w:val="00D971D1"/>
    <w:rPr>
      <w:b/>
      <w:color w:val="FF0000"/>
      <w:sz w:val="24"/>
      <w:u w:val="dotted"/>
    </w:rPr>
  </w:style>
  <w:style w:type="paragraph" w:customStyle="1" w:styleId="Figure">
    <w:name w:val="Figure"/>
    <w:basedOn w:val="BodyText"/>
    <w:rsid w:val="00D971D1"/>
    <w:pPr>
      <w:keepNext/>
      <w:spacing w:before="120" w:after="120" w:line="240" w:lineRule="atLeast"/>
      <w:jc w:val="center"/>
    </w:pPr>
  </w:style>
  <w:style w:type="paragraph" w:customStyle="1" w:styleId="FigureTitle">
    <w:name w:val="Figure Title"/>
    <w:basedOn w:val="Caption"/>
    <w:next w:val="Subtitle"/>
    <w:rsid w:val="00D971D1"/>
    <w:pPr>
      <w:spacing w:before="120"/>
    </w:pPr>
  </w:style>
  <w:style w:type="paragraph" w:styleId="Subtitle">
    <w:name w:val="Subtitle"/>
    <w:basedOn w:val="Caption"/>
    <w:link w:val="SubtitleChar"/>
    <w:qFormat/>
    <w:rsid w:val="00D971D1"/>
    <w:pPr>
      <w:spacing w:before="0" w:line="200" w:lineRule="exact"/>
      <w:ind w:firstLine="0"/>
    </w:pPr>
    <w:rPr>
      <w:b w:val="0"/>
      <w:sz w:val="20"/>
    </w:rPr>
  </w:style>
  <w:style w:type="paragraph" w:customStyle="1" w:styleId="Finding">
    <w:name w:val="Finding"/>
    <w:basedOn w:val="BodyText"/>
    <w:rsid w:val="00D971D1"/>
    <w:pPr>
      <w:keepLines/>
      <w:spacing w:before="120" w:line="280" w:lineRule="atLeast"/>
    </w:pPr>
    <w:rPr>
      <w:rFonts w:ascii="Arial" w:hAnsi="Arial"/>
      <w:sz w:val="22"/>
    </w:rPr>
  </w:style>
  <w:style w:type="paragraph" w:customStyle="1" w:styleId="FindingBullet">
    <w:name w:val="Finding Bullet"/>
    <w:basedOn w:val="Finding"/>
    <w:rsid w:val="00D971D1"/>
    <w:pPr>
      <w:numPr>
        <w:numId w:val="3"/>
      </w:numPr>
      <w:spacing w:before="80"/>
    </w:pPr>
  </w:style>
  <w:style w:type="paragraph" w:customStyle="1" w:styleId="FindingNoTitle">
    <w:name w:val="Finding NoTitle"/>
    <w:basedOn w:val="Finding"/>
    <w:rsid w:val="00D971D1"/>
    <w:pPr>
      <w:spacing w:before="240"/>
    </w:pPr>
  </w:style>
  <w:style w:type="paragraph" w:customStyle="1" w:styleId="RecTitle">
    <w:name w:val="Rec Title"/>
    <w:basedOn w:val="BodyText"/>
    <w:next w:val="Rec"/>
    <w:qFormat/>
    <w:rsid w:val="00D971D1"/>
    <w:pPr>
      <w:keepNext/>
      <w:keepLines/>
      <w:spacing w:line="280" w:lineRule="atLeast"/>
    </w:pPr>
    <w:rPr>
      <w:rFonts w:ascii="Arial" w:hAnsi="Arial"/>
      <w:caps/>
      <w:sz w:val="18"/>
    </w:rPr>
  </w:style>
  <w:style w:type="paragraph" w:customStyle="1" w:styleId="FindingTitle">
    <w:name w:val="Finding Title"/>
    <w:basedOn w:val="RecTitle"/>
    <w:next w:val="Finding"/>
    <w:rsid w:val="00D971D1"/>
  </w:style>
  <w:style w:type="paragraph" w:customStyle="1" w:styleId="FooterEnd">
    <w:name w:val="Footer End"/>
    <w:basedOn w:val="Footer"/>
    <w:rsid w:val="00D971D1"/>
    <w:pPr>
      <w:spacing w:before="0" w:line="20" w:lineRule="exact"/>
    </w:pPr>
  </w:style>
  <w:style w:type="character" w:styleId="FootnoteReference">
    <w:name w:val="footnote reference"/>
    <w:basedOn w:val="DefaultParagraphFont"/>
    <w:semiHidden/>
    <w:rsid w:val="00D971D1"/>
    <w:rPr>
      <w:rFonts w:ascii="Times New Roman" w:hAnsi="Times New Roman"/>
      <w:position w:val="6"/>
      <w:sz w:val="20"/>
      <w:vertAlign w:val="baseline"/>
    </w:rPr>
  </w:style>
  <w:style w:type="paragraph" w:styleId="FootnoteText">
    <w:name w:val="footnote text"/>
    <w:basedOn w:val="BodyText"/>
    <w:link w:val="FootnoteTextChar"/>
    <w:rsid w:val="00D971D1"/>
    <w:pPr>
      <w:tabs>
        <w:tab w:val="left" w:pos="284"/>
      </w:tabs>
      <w:spacing w:before="80" w:line="240" w:lineRule="exact"/>
      <w:ind w:left="284" w:hanging="284"/>
    </w:pPr>
    <w:rPr>
      <w:sz w:val="20"/>
    </w:rPr>
  </w:style>
  <w:style w:type="paragraph" w:customStyle="1" w:styleId="Heading2NotTOC">
    <w:name w:val="Heading 2 Not TOC"/>
    <w:basedOn w:val="Heading2"/>
    <w:next w:val="BodyText"/>
    <w:rsid w:val="000B416E"/>
  </w:style>
  <w:style w:type="paragraph" w:customStyle="1" w:styleId="HeaderEnd">
    <w:name w:val="Header End"/>
    <w:basedOn w:val="Header"/>
    <w:autoRedefine/>
    <w:rsid w:val="00D971D1"/>
    <w:pPr>
      <w:spacing w:line="20" w:lineRule="exact"/>
    </w:pPr>
    <w:rPr>
      <w:sz w:val="16"/>
    </w:rPr>
  </w:style>
  <w:style w:type="paragraph" w:customStyle="1" w:styleId="HeaderEven">
    <w:name w:val="Header Even"/>
    <w:basedOn w:val="Header"/>
    <w:rsid w:val="00D971D1"/>
  </w:style>
  <w:style w:type="paragraph" w:customStyle="1" w:styleId="HeaderOdd">
    <w:name w:val="Header Odd"/>
    <w:basedOn w:val="Header"/>
    <w:rsid w:val="00D971D1"/>
  </w:style>
  <w:style w:type="paragraph" w:customStyle="1" w:styleId="InformationRequest">
    <w:name w:val="Information Request"/>
    <w:basedOn w:val="Finding"/>
    <w:next w:val="BodyText"/>
    <w:rsid w:val="00D971D1"/>
    <w:rPr>
      <w:i/>
    </w:rPr>
  </w:style>
  <w:style w:type="paragraph" w:styleId="ListBullet">
    <w:name w:val="List Bullet"/>
    <w:basedOn w:val="BodyText"/>
    <w:rsid w:val="00D971D1"/>
    <w:pPr>
      <w:numPr>
        <w:numId w:val="4"/>
      </w:numPr>
      <w:spacing w:before="120"/>
    </w:pPr>
  </w:style>
  <w:style w:type="paragraph" w:styleId="ListBullet2">
    <w:name w:val="List Bullet 2"/>
    <w:basedOn w:val="BodyText"/>
    <w:rsid w:val="00D971D1"/>
    <w:pPr>
      <w:numPr>
        <w:numId w:val="5"/>
      </w:numPr>
      <w:spacing w:before="120"/>
    </w:pPr>
  </w:style>
  <w:style w:type="paragraph" w:styleId="ListBullet3">
    <w:name w:val="List Bullet 3"/>
    <w:basedOn w:val="BodyText"/>
    <w:rsid w:val="00D971D1"/>
    <w:pPr>
      <w:numPr>
        <w:numId w:val="6"/>
      </w:numPr>
      <w:spacing w:before="120"/>
      <w:ind w:left="1020" w:hanging="340"/>
    </w:pPr>
  </w:style>
  <w:style w:type="paragraph" w:styleId="ListNumber">
    <w:name w:val="List Number"/>
    <w:basedOn w:val="BodyText"/>
    <w:rsid w:val="00D971D1"/>
    <w:pPr>
      <w:numPr>
        <w:numId w:val="12"/>
      </w:numPr>
      <w:spacing w:before="120"/>
    </w:pPr>
  </w:style>
  <w:style w:type="paragraph" w:styleId="ListNumber2">
    <w:name w:val="List Number 2"/>
    <w:basedOn w:val="ListNumber"/>
    <w:rsid w:val="00D971D1"/>
    <w:pPr>
      <w:numPr>
        <w:ilvl w:val="1"/>
      </w:numPr>
    </w:pPr>
  </w:style>
  <w:style w:type="paragraph" w:styleId="ListNumber3">
    <w:name w:val="List Number 3"/>
    <w:basedOn w:val="ListNumber2"/>
    <w:rsid w:val="00D971D1"/>
    <w:pPr>
      <w:numPr>
        <w:ilvl w:val="2"/>
      </w:numPr>
    </w:pPr>
  </w:style>
  <w:style w:type="character" w:customStyle="1" w:styleId="NoteLabel">
    <w:name w:val="Note Label"/>
    <w:basedOn w:val="DefaultParagraphFont"/>
    <w:rsid w:val="00D971D1"/>
    <w:rPr>
      <w:rFonts w:ascii="Arial" w:hAnsi="Arial"/>
      <w:b/>
      <w:position w:val="6"/>
      <w:sz w:val="18"/>
    </w:rPr>
  </w:style>
  <w:style w:type="character" w:styleId="PageNumber">
    <w:name w:val="page number"/>
    <w:basedOn w:val="DefaultParagraphFont"/>
    <w:rsid w:val="00D971D1"/>
    <w:rPr>
      <w:rFonts w:ascii="Arial" w:hAnsi="Arial"/>
      <w:b/>
      <w:sz w:val="16"/>
    </w:rPr>
  </w:style>
  <w:style w:type="paragraph" w:customStyle="1" w:styleId="PartDivider">
    <w:name w:val="Part Divider"/>
    <w:basedOn w:val="BodyText"/>
    <w:next w:val="BodyText"/>
    <w:rsid w:val="00D971D1"/>
    <w:pPr>
      <w:spacing w:before="0" w:line="40" w:lineRule="exact"/>
      <w:jc w:val="right"/>
    </w:pPr>
    <w:rPr>
      <w:smallCaps/>
      <w:sz w:val="16"/>
    </w:rPr>
  </w:style>
  <w:style w:type="paragraph" w:customStyle="1" w:styleId="PartNumber">
    <w:name w:val="Part Number"/>
    <w:basedOn w:val="BodyText"/>
    <w:next w:val="BodyText"/>
    <w:rsid w:val="00D971D1"/>
    <w:pPr>
      <w:spacing w:before="4000" w:line="320" w:lineRule="exact"/>
      <w:ind w:left="6634"/>
      <w:jc w:val="right"/>
    </w:pPr>
    <w:rPr>
      <w:smallCaps/>
      <w:spacing w:val="60"/>
      <w:sz w:val="32"/>
    </w:rPr>
  </w:style>
  <w:style w:type="paragraph" w:customStyle="1" w:styleId="PartTitle">
    <w:name w:val="Part Title"/>
    <w:basedOn w:val="BodyText"/>
    <w:rsid w:val="00D971D1"/>
    <w:pPr>
      <w:spacing w:before="160" w:after="1360" w:line="520" w:lineRule="exact"/>
      <w:ind w:right="2381"/>
      <w:jc w:val="right"/>
    </w:pPr>
    <w:rPr>
      <w:smallCaps/>
      <w:sz w:val="52"/>
    </w:rPr>
  </w:style>
  <w:style w:type="paragraph" w:styleId="Quote">
    <w:name w:val="Quote"/>
    <w:basedOn w:val="BodyText"/>
    <w:next w:val="BodyText"/>
    <w:link w:val="QuoteChar"/>
    <w:qFormat/>
    <w:rsid w:val="00D971D1"/>
    <w:pPr>
      <w:spacing w:before="120" w:line="280" w:lineRule="exact"/>
      <w:ind w:left="340"/>
    </w:pPr>
    <w:rPr>
      <w:sz w:val="22"/>
    </w:rPr>
  </w:style>
  <w:style w:type="paragraph" w:customStyle="1" w:styleId="Rec">
    <w:name w:val="Rec"/>
    <w:basedOn w:val="BodyText"/>
    <w:qFormat/>
    <w:rsid w:val="00D971D1"/>
    <w:pPr>
      <w:keepLines/>
      <w:spacing w:before="120" w:line="280" w:lineRule="atLeast"/>
    </w:pPr>
    <w:rPr>
      <w:rFonts w:ascii="Arial" w:hAnsi="Arial"/>
      <w:sz w:val="22"/>
    </w:rPr>
  </w:style>
  <w:style w:type="paragraph" w:customStyle="1" w:styleId="RecBullet">
    <w:name w:val="Rec Bullet"/>
    <w:basedOn w:val="Rec"/>
    <w:rsid w:val="00D971D1"/>
    <w:pPr>
      <w:numPr>
        <w:numId w:val="8"/>
      </w:numPr>
      <w:spacing w:before="80"/>
    </w:pPr>
  </w:style>
  <w:style w:type="paragraph" w:customStyle="1" w:styleId="RecB">
    <w:name w:val="RecB"/>
    <w:basedOn w:val="Normal"/>
    <w:rsid w:val="00D971D1"/>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D971D1"/>
    <w:pPr>
      <w:numPr>
        <w:numId w:val="9"/>
      </w:numPr>
      <w:spacing w:before="80"/>
    </w:pPr>
  </w:style>
  <w:style w:type="paragraph" w:customStyle="1" w:styleId="RecBNoTitle">
    <w:name w:val="RecB NoTitle"/>
    <w:basedOn w:val="RecB"/>
    <w:rsid w:val="00D971D1"/>
    <w:pPr>
      <w:spacing w:before="240"/>
    </w:pPr>
  </w:style>
  <w:style w:type="paragraph" w:customStyle="1" w:styleId="Reference">
    <w:name w:val="Reference"/>
    <w:basedOn w:val="BodyText"/>
    <w:rsid w:val="00D971D1"/>
    <w:pPr>
      <w:spacing w:before="120"/>
      <w:ind w:left="340" w:hanging="340"/>
    </w:pPr>
  </w:style>
  <w:style w:type="paragraph" w:customStyle="1" w:styleId="SequenceInfo">
    <w:name w:val="Sequence Info"/>
    <w:basedOn w:val="BodyText"/>
    <w:rsid w:val="00D971D1"/>
    <w:rPr>
      <w:vanish/>
      <w:sz w:val="16"/>
    </w:rPr>
  </w:style>
  <w:style w:type="paragraph" w:customStyle="1" w:styleId="SideNote">
    <w:name w:val="Side Note"/>
    <w:basedOn w:val="BodyText"/>
    <w:next w:val="BodyText"/>
    <w:rsid w:val="00D971D1"/>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D971D1"/>
    <w:pPr>
      <w:framePr w:wrap="around"/>
      <w:numPr>
        <w:numId w:val="10"/>
      </w:numPr>
      <w:tabs>
        <w:tab w:val="left" w:pos="227"/>
      </w:tabs>
    </w:pPr>
  </w:style>
  <w:style w:type="paragraph" w:customStyle="1" w:styleId="SideNoteGraphic">
    <w:name w:val="Side Note Graphic"/>
    <w:basedOn w:val="SideNote"/>
    <w:next w:val="BodyText"/>
    <w:rsid w:val="00D971D1"/>
    <w:pPr>
      <w:framePr w:wrap="around"/>
    </w:pPr>
  </w:style>
  <w:style w:type="paragraph" w:customStyle="1" w:styleId="TableBodyText">
    <w:name w:val="Table Body Text"/>
    <w:basedOn w:val="BodyText"/>
    <w:rsid w:val="00D971D1"/>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D971D1"/>
    <w:pPr>
      <w:numPr>
        <w:numId w:val="11"/>
      </w:numPr>
      <w:jc w:val="left"/>
    </w:pPr>
  </w:style>
  <w:style w:type="paragraph" w:customStyle="1" w:styleId="TableColumnHeading">
    <w:name w:val="Table Column Heading"/>
    <w:basedOn w:val="TableBodyText"/>
    <w:rsid w:val="00D971D1"/>
    <w:pPr>
      <w:spacing w:before="80" w:after="80"/>
    </w:pPr>
    <w:rPr>
      <w:i/>
    </w:rPr>
  </w:style>
  <w:style w:type="paragraph" w:styleId="TOC2">
    <w:name w:val="toc 2"/>
    <w:basedOn w:val="TOC1"/>
    <w:rsid w:val="00D971D1"/>
    <w:pPr>
      <w:ind w:left="1134" w:hanging="624"/>
    </w:pPr>
    <w:rPr>
      <w:b w:val="0"/>
    </w:rPr>
  </w:style>
  <w:style w:type="paragraph" w:styleId="TOC3">
    <w:name w:val="toc 3"/>
    <w:basedOn w:val="TOC2"/>
    <w:rsid w:val="00D971D1"/>
    <w:pPr>
      <w:spacing w:before="60"/>
      <w:ind w:left="1190" w:hanging="680"/>
    </w:pPr>
  </w:style>
  <w:style w:type="paragraph" w:styleId="TableofFigures">
    <w:name w:val="table of figures"/>
    <w:basedOn w:val="TOC3"/>
    <w:next w:val="BodyText"/>
    <w:rsid w:val="00D971D1"/>
    <w:pPr>
      <w:ind w:left="737" w:hanging="737"/>
    </w:pPr>
  </w:style>
  <w:style w:type="paragraph" w:customStyle="1" w:styleId="TableTitle">
    <w:name w:val="Table Title"/>
    <w:basedOn w:val="Caption"/>
    <w:next w:val="Subtitle"/>
    <w:qFormat/>
    <w:rsid w:val="00D971D1"/>
    <w:pPr>
      <w:spacing w:before="120"/>
    </w:pPr>
  </w:style>
  <w:style w:type="paragraph" w:customStyle="1" w:styleId="TableUnitsRow">
    <w:name w:val="Table Units Row"/>
    <w:basedOn w:val="TableBodyText"/>
    <w:rsid w:val="00D971D1"/>
    <w:pPr>
      <w:spacing w:before="40"/>
    </w:pPr>
  </w:style>
  <w:style w:type="paragraph" w:styleId="TOC1">
    <w:name w:val="toc 1"/>
    <w:basedOn w:val="Normal"/>
    <w:next w:val="TOC2"/>
    <w:link w:val="TOC1Char"/>
    <w:rsid w:val="00D971D1"/>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D971D1"/>
    <w:pPr>
      <w:ind w:left="1191" w:firstLine="0"/>
    </w:pPr>
  </w:style>
  <w:style w:type="paragraph" w:styleId="Header">
    <w:name w:val="header"/>
    <w:basedOn w:val="BodyText"/>
    <w:rsid w:val="00D971D1"/>
    <w:pPr>
      <w:tabs>
        <w:tab w:val="center" w:pos="4394"/>
        <w:tab w:val="right" w:pos="8789"/>
      </w:tabs>
      <w:spacing w:before="0" w:line="240" w:lineRule="atLeast"/>
      <w:jc w:val="left"/>
    </w:pPr>
    <w:rPr>
      <w:rFonts w:ascii="Arial" w:hAnsi="Arial"/>
      <w:caps/>
    </w:rPr>
  </w:style>
  <w:style w:type="paragraph" w:customStyle="1" w:styleId="QuoteBullet">
    <w:name w:val="Quote Bullet"/>
    <w:basedOn w:val="Quote"/>
    <w:rsid w:val="00D971D1"/>
    <w:pPr>
      <w:numPr>
        <w:numId w:val="7"/>
      </w:numPr>
    </w:pPr>
  </w:style>
  <w:style w:type="paragraph" w:styleId="BalloonText">
    <w:name w:val="Balloon Text"/>
    <w:basedOn w:val="Normal"/>
    <w:link w:val="BalloonTextChar"/>
    <w:rsid w:val="00D971D1"/>
    <w:rPr>
      <w:rFonts w:ascii="Tahoma" w:hAnsi="Tahoma" w:cs="Tahoma"/>
      <w:sz w:val="16"/>
      <w:szCs w:val="16"/>
    </w:rPr>
  </w:style>
  <w:style w:type="character" w:customStyle="1" w:styleId="BodyTextChar">
    <w:name w:val="Body Text Char"/>
    <w:aliases w:val="Body Text1 Char,new legislation style Char,new legislation style1 Char,new legislation style Ch Char"/>
    <w:basedOn w:val="DefaultParagraphFont"/>
    <w:link w:val="BodyText"/>
    <w:locked/>
    <w:rsid w:val="00D971D1"/>
    <w:rPr>
      <w:sz w:val="24"/>
    </w:rPr>
  </w:style>
  <w:style w:type="paragraph" w:customStyle="1" w:styleId="Heading1NotTOC">
    <w:name w:val="Heading 1 Not TOC"/>
    <w:basedOn w:val="Heading1"/>
    <w:next w:val="BodyText"/>
    <w:rsid w:val="00F7477E"/>
    <w:rPr>
      <w:szCs w:val="26"/>
    </w:rPr>
  </w:style>
  <w:style w:type="paragraph" w:customStyle="1" w:styleId="PCAddress">
    <w:name w:val="PC Address"/>
    <w:basedOn w:val="Normal"/>
    <w:rsid w:val="008B2205"/>
    <w:pPr>
      <w:tabs>
        <w:tab w:val="left" w:pos="866"/>
      </w:tabs>
      <w:spacing w:after="60"/>
    </w:pPr>
    <w:rPr>
      <w:sz w:val="16"/>
    </w:rPr>
  </w:style>
  <w:style w:type="paragraph" w:styleId="Salutation">
    <w:name w:val="Salutation"/>
    <w:basedOn w:val="Normal"/>
    <w:next w:val="Normal"/>
    <w:link w:val="SalutationChar"/>
    <w:autoRedefine/>
    <w:rsid w:val="003B41E0"/>
    <w:rPr>
      <w:noProof/>
    </w:rPr>
  </w:style>
  <w:style w:type="character" w:customStyle="1" w:styleId="SalutationChar">
    <w:name w:val="Salutation Char"/>
    <w:basedOn w:val="DefaultParagraphFont"/>
    <w:link w:val="Salutation"/>
    <w:rsid w:val="003B41E0"/>
    <w:rPr>
      <w:noProof/>
      <w:sz w:val="24"/>
    </w:rPr>
  </w:style>
  <w:style w:type="paragraph" w:customStyle="1" w:styleId="Signoff">
    <w:name w:val="Signoff"/>
    <w:basedOn w:val="Normal"/>
    <w:autoRedefine/>
    <w:rsid w:val="003B41E0"/>
    <w:pPr>
      <w:spacing w:before="480" w:after="1000"/>
    </w:pPr>
  </w:style>
  <w:style w:type="paragraph" w:customStyle="1" w:styleId="LetterDate">
    <w:name w:val="Letter Date"/>
    <w:basedOn w:val="BodyText"/>
    <w:rsid w:val="003B41E0"/>
    <w:pPr>
      <w:spacing w:before="0" w:after="240" w:line="240" w:lineRule="auto"/>
      <w:ind w:left="-108"/>
      <w:jc w:val="left"/>
    </w:pPr>
  </w:style>
  <w:style w:type="paragraph" w:customStyle="1" w:styleId="LetterAddress">
    <w:name w:val="Letter Address"/>
    <w:basedOn w:val="BodyText"/>
    <w:rsid w:val="003B41E0"/>
    <w:pPr>
      <w:spacing w:before="0" w:line="240" w:lineRule="auto"/>
      <w:jc w:val="left"/>
    </w:pPr>
  </w:style>
  <w:style w:type="paragraph" w:customStyle="1" w:styleId="PCBoxHeading">
    <w:name w:val="PC Box Heading"/>
    <w:basedOn w:val="BodyText"/>
    <w:link w:val="PCBoxHeadingChar"/>
    <w:qFormat/>
    <w:rsid w:val="008A3857"/>
    <w:pPr>
      <w:pBdr>
        <w:top w:val="single" w:sz="4" w:space="5" w:color="auto"/>
        <w:left w:val="single" w:sz="4" w:space="8" w:color="auto"/>
        <w:bottom w:val="single" w:sz="4" w:space="14" w:color="auto"/>
        <w:right w:val="single" w:sz="4" w:space="8" w:color="auto"/>
      </w:pBdr>
      <w:spacing w:before="480" w:line="240" w:lineRule="auto"/>
      <w:ind w:left="284" w:right="284"/>
    </w:pPr>
    <w:rPr>
      <w:rFonts w:ascii="Arial" w:hAnsi="Arial"/>
      <w:b/>
      <w:i/>
      <w:szCs w:val="24"/>
    </w:rPr>
  </w:style>
  <w:style w:type="paragraph" w:customStyle="1" w:styleId="PCBoxtext">
    <w:name w:val="PC Box text"/>
    <w:basedOn w:val="BodyText"/>
    <w:link w:val="PCBoxtextChar"/>
    <w:rsid w:val="00F4234E"/>
    <w:pPr>
      <w:pBdr>
        <w:top w:val="single" w:sz="4" w:space="5" w:color="auto"/>
        <w:left w:val="single" w:sz="4" w:space="8" w:color="auto"/>
        <w:bottom w:val="single" w:sz="4" w:space="14" w:color="auto"/>
        <w:right w:val="single" w:sz="4" w:space="8" w:color="auto"/>
      </w:pBdr>
      <w:spacing w:before="160" w:line="240" w:lineRule="auto"/>
      <w:ind w:left="284" w:right="284"/>
    </w:pPr>
    <w:rPr>
      <w:szCs w:val="24"/>
    </w:rPr>
  </w:style>
  <w:style w:type="character" w:customStyle="1" w:styleId="PCBoxHeadingChar">
    <w:name w:val="PC Box Heading Char"/>
    <w:basedOn w:val="BodyTextChar"/>
    <w:link w:val="PCBoxHeading"/>
    <w:rsid w:val="008A3857"/>
    <w:rPr>
      <w:rFonts w:ascii="Arial" w:hAnsi="Arial"/>
      <w:b/>
      <w:i/>
      <w:sz w:val="24"/>
      <w:szCs w:val="24"/>
    </w:rPr>
  </w:style>
  <w:style w:type="character" w:customStyle="1" w:styleId="PCBoxtextChar">
    <w:name w:val="PC Box text Char"/>
    <w:basedOn w:val="BodyTextChar"/>
    <w:link w:val="PCBoxtext"/>
    <w:rsid w:val="00F4234E"/>
    <w:rPr>
      <w:sz w:val="24"/>
      <w:szCs w:val="24"/>
      <w:lang w:eastAsia="en-US"/>
    </w:rPr>
  </w:style>
  <w:style w:type="character" w:styleId="Hyperlink">
    <w:name w:val="Hyperlink"/>
    <w:basedOn w:val="DefaultParagraphFont"/>
    <w:unhideWhenUsed/>
    <w:rsid w:val="00CD5E6B"/>
    <w:rPr>
      <w:rFonts w:ascii="Times New Roman" w:hAnsi="Times New Roman" w:cs="Times New Roman" w:hint="default"/>
      <w:color w:val="000000"/>
      <w:u w:val="single"/>
    </w:rPr>
  </w:style>
  <w:style w:type="paragraph" w:customStyle="1" w:styleId="Copyrightheading">
    <w:name w:val="Copyright heading"/>
    <w:basedOn w:val="TOC1"/>
    <w:link w:val="CopyrightheadingChar"/>
    <w:qFormat/>
    <w:rsid w:val="00122FE9"/>
    <w:pPr>
      <w:spacing w:line="300" w:lineRule="exact"/>
    </w:pPr>
    <w:rPr>
      <w:sz w:val="22"/>
    </w:rPr>
  </w:style>
  <w:style w:type="character" w:customStyle="1" w:styleId="TOC1Char">
    <w:name w:val="TOC 1 Char"/>
    <w:basedOn w:val="DefaultParagraphFont"/>
    <w:link w:val="TOC1"/>
    <w:rsid w:val="00D971D1"/>
    <w:rPr>
      <w:rFonts w:ascii="Arial" w:hAnsi="Arial"/>
      <w:b/>
      <w:sz w:val="26"/>
      <w:szCs w:val="26"/>
      <w:lang w:eastAsia="en-US"/>
    </w:rPr>
  </w:style>
  <w:style w:type="character" w:customStyle="1" w:styleId="CopyrightheadingChar">
    <w:name w:val="Copyright heading Char"/>
    <w:basedOn w:val="TOC1Char"/>
    <w:link w:val="Copyrightheading"/>
    <w:rsid w:val="00122FE9"/>
    <w:rPr>
      <w:rFonts w:ascii="Arial" w:hAnsi="Arial"/>
      <w:b/>
      <w:sz w:val="22"/>
      <w:szCs w:val="26"/>
      <w:lang w:eastAsia="en-US"/>
    </w:rPr>
  </w:style>
  <w:style w:type="paragraph" w:customStyle="1" w:styleId="Copyrightsubtitle">
    <w:name w:val="Copyright subtitle"/>
    <w:basedOn w:val="BodyText"/>
    <w:rsid w:val="008E242D"/>
    <w:rPr>
      <w:rFonts w:ascii="Arial" w:hAnsi="Arial"/>
      <w:b/>
      <w:sz w:val="22"/>
      <w:szCs w:val="25"/>
    </w:rPr>
  </w:style>
  <w:style w:type="paragraph" w:customStyle="1" w:styleId="BoxSpaceAbove">
    <w:name w:val="Box Space Above"/>
    <w:basedOn w:val="BodyText"/>
    <w:rsid w:val="00D971D1"/>
    <w:pPr>
      <w:keepNext/>
      <w:spacing w:before="360" w:line="80" w:lineRule="exact"/>
      <w:jc w:val="left"/>
    </w:pPr>
  </w:style>
  <w:style w:type="paragraph" w:customStyle="1" w:styleId="BoxSpaceBelow">
    <w:name w:val="Box Space Below"/>
    <w:basedOn w:val="Box"/>
    <w:rsid w:val="00D971D1"/>
    <w:pPr>
      <w:keepNext w:val="0"/>
      <w:spacing w:before="60" w:after="60" w:line="80" w:lineRule="exact"/>
    </w:pPr>
    <w:rPr>
      <w:sz w:val="14"/>
    </w:rPr>
  </w:style>
  <w:style w:type="paragraph" w:customStyle="1" w:styleId="Space">
    <w:name w:val="Space"/>
    <w:basedOn w:val="Normal"/>
    <w:rsid w:val="00D971D1"/>
    <w:pPr>
      <w:keepNext/>
      <w:spacing w:line="120" w:lineRule="exact"/>
      <w:jc w:val="both"/>
    </w:pPr>
    <w:rPr>
      <w:rFonts w:ascii="Arial" w:hAnsi="Arial"/>
      <w:sz w:val="20"/>
      <w:szCs w:val="20"/>
    </w:rPr>
  </w:style>
  <w:style w:type="paragraph" w:customStyle="1" w:styleId="InformationRequestTitle">
    <w:name w:val="Information Request Title"/>
    <w:basedOn w:val="FindingTitle"/>
    <w:next w:val="InformationRequest"/>
    <w:rsid w:val="00D971D1"/>
    <w:rPr>
      <w:i/>
    </w:rPr>
  </w:style>
  <w:style w:type="paragraph" w:customStyle="1" w:styleId="BoxListBullet3">
    <w:name w:val="Box List Bullet 3"/>
    <w:basedOn w:val="ListBullet3"/>
    <w:rsid w:val="00D971D1"/>
    <w:pPr>
      <w:numPr>
        <w:numId w:val="14"/>
      </w:numPr>
      <w:tabs>
        <w:tab w:val="left" w:pos="907"/>
      </w:tabs>
      <w:spacing w:before="60" w:line="260" w:lineRule="atLeast"/>
      <w:ind w:left="907" w:hanging="340"/>
    </w:pPr>
    <w:rPr>
      <w:rFonts w:ascii="Arial" w:hAnsi="Arial"/>
      <w:sz w:val="20"/>
    </w:rPr>
  </w:style>
  <w:style w:type="paragraph" w:customStyle="1" w:styleId="BoxQuoteBullet">
    <w:name w:val="Box Quote Bullet"/>
    <w:basedOn w:val="BoxQuote"/>
    <w:next w:val="Box"/>
    <w:rsid w:val="00D971D1"/>
    <w:pPr>
      <w:numPr>
        <w:numId w:val="15"/>
      </w:numPr>
      <w:ind w:left="568" w:hanging="284"/>
    </w:pPr>
  </w:style>
  <w:style w:type="paragraph" w:customStyle="1" w:styleId="Figurespace">
    <w:name w:val="Figure space"/>
    <w:basedOn w:val="Box"/>
    <w:rsid w:val="00D971D1"/>
    <w:pPr>
      <w:spacing w:before="0" w:line="120" w:lineRule="exact"/>
    </w:pPr>
  </w:style>
  <w:style w:type="paragraph" w:customStyle="1" w:styleId="Heading1nochapterno">
    <w:name w:val="Heading 1 (no chapter no.)"/>
    <w:basedOn w:val="Heading1"/>
    <w:rsid w:val="00D971D1"/>
    <w:pPr>
      <w:spacing w:before="0"/>
      <w:ind w:left="0" w:firstLine="0"/>
    </w:pPr>
  </w:style>
  <w:style w:type="paragraph" w:customStyle="1" w:styleId="Heading2nosectionno">
    <w:name w:val="Heading 2 (no section no.)"/>
    <w:basedOn w:val="Heading2"/>
    <w:rsid w:val="00D971D1"/>
    <w:pPr>
      <w:ind w:left="0" w:firstLine="0"/>
    </w:pPr>
  </w:style>
  <w:style w:type="paragraph" w:customStyle="1" w:styleId="InformationRequestBullet">
    <w:name w:val="Information Request Bullet"/>
    <w:basedOn w:val="ListBullet"/>
    <w:next w:val="BodyText"/>
    <w:rsid w:val="00D971D1"/>
    <w:pPr>
      <w:numPr>
        <w:numId w:val="16"/>
      </w:numPr>
      <w:spacing w:before="80" w:line="280" w:lineRule="atLeast"/>
      <w:ind w:left="357" w:hanging="357"/>
    </w:pPr>
    <w:rPr>
      <w:rFonts w:ascii="Arial" w:hAnsi="Arial"/>
      <w:i/>
      <w:sz w:val="22"/>
    </w:rPr>
  </w:style>
  <w:style w:type="paragraph" w:customStyle="1" w:styleId="KeyPointsListBullet">
    <w:name w:val="Key Points List Bullet"/>
    <w:basedOn w:val="Normal"/>
    <w:qFormat/>
    <w:rsid w:val="00D971D1"/>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D971D1"/>
    <w:pPr>
      <w:numPr>
        <w:numId w:val="19"/>
      </w:numPr>
      <w:ind w:left="568" w:hanging="284"/>
    </w:pPr>
  </w:style>
  <w:style w:type="character" w:customStyle="1" w:styleId="QuoteChar">
    <w:name w:val="Quote Char"/>
    <w:basedOn w:val="DefaultParagraphFont"/>
    <w:link w:val="Quote"/>
    <w:rsid w:val="0010611E"/>
    <w:rPr>
      <w:sz w:val="22"/>
    </w:rPr>
  </w:style>
  <w:style w:type="character" w:customStyle="1" w:styleId="SubtitleChar">
    <w:name w:val="Subtitle Char"/>
    <w:basedOn w:val="DefaultParagraphFont"/>
    <w:link w:val="Subtitle"/>
    <w:rsid w:val="00D971D1"/>
    <w:rPr>
      <w:rFonts w:ascii="Arial" w:hAnsi="Arial"/>
      <w:szCs w:val="24"/>
    </w:rPr>
  </w:style>
  <w:style w:type="character" w:customStyle="1" w:styleId="FooterChar">
    <w:name w:val="Footer Char"/>
    <w:basedOn w:val="BodyTextChar"/>
    <w:link w:val="Footer"/>
    <w:rsid w:val="00D971D1"/>
    <w:rPr>
      <w:rFonts w:ascii="Arial" w:hAnsi="Arial"/>
      <w:caps/>
      <w:spacing w:val="-4"/>
      <w:sz w:val="16"/>
    </w:rPr>
  </w:style>
  <w:style w:type="paragraph" w:customStyle="1" w:styleId="Copyrightbodytext">
    <w:name w:val="Copyright bodytext"/>
    <w:basedOn w:val="BodyText"/>
    <w:link w:val="CopyrightbodytextChar"/>
    <w:qFormat/>
    <w:rsid w:val="002A499E"/>
    <w:pPr>
      <w:spacing w:before="60"/>
    </w:pPr>
    <w:rPr>
      <w:sz w:val="20"/>
    </w:rPr>
  </w:style>
  <w:style w:type="character" w:customStyle="1" w:styleId="CopyrightbodytextChar">
    <w:name w:val="Copyright bodytext Char"/>
    <w:basedOn w:val="BodyTextChar"/>
    <w:link w:val="Copyrightbodytext"/>
    <w:rsid w:val="002A499E"/>
    <w:rPr>
      <w:sz w:val="24"/>
    </w:rPr>
  </w:style>
  <w:style w:type="table" w:customStyle="1" w:styleId="Style1">
    <w:name w:val="Style1"/>
    <w:basedOn w:val="TableNormal"/>
    <w:uiPriority w:val="99"/>
    <w:rsid w:val="00653FA6"/>
    <w:tblPr>
      <w:tblInd w:w="0" w:type="dxa"/>
      <w:tblCellMar>
        <w:top w:w="0" w:type="dxa"/>
        <w:left w:w="108" w:type="dxa"/>
        <w:bottom w:w="0" w:type="dxa"/>
        <w:right w:w="108" w:type="dxa"/>
      </w:tblCellMar>
    </w:tblPr>
  </w:style>
  <w:style w:type="character" w:styleId="FollowedHyperlink">
    <w:name w:val="FollowedHyperlink"/>
    <w:basedOn w:val="DefaultParagraphFont"/>
    <w:rsid w:val="00BA0B81"/>
    <w:rPr>
      <w:color w:val="387DD2" w:themeColor="followedHyperlink"/>
      <w:u w:val="single"/>
    </w:rPr>
  </w:style>
  <w:style w:type="paragraph" w:customStyle="1" w:styleId="ISSN">
    <w:name w:val="ISSN"/>
    <w:basedOn w:val="BodyText"/>
    <w:qFormat/>
    <w:rsid w:val="00BA0B81"/>
    <w:pPr>
      <w:tabs>
        <w:tab w:val="left" w:pos="851"/>
      </w:tabs>
      <w:spacing w:before="120" w:after="120"/>
      <w:jc w:val="left"/>
    </w:pPr>
    <w:rPr>
      <w:b/>
      <w:sz w:val="20"/>
    </w:rPr>
  </w:style>
  <w:style w:type="character" w:customStyle="1" w:styleId="apple-converted-space">
    <w:name w:val="apple-converted-space"/>
    <w:basedOn w:val="DefaultParagraphFont"/>
    <w:rsid w:val="00203B40"/>
  </w:style>
  <w:style w:type="paragraph" w:customStyle="1" w:styleId="FooterDraftReport">
    <w:name w:val="FooterDraftReport"/>
    <w:basedOn w:val="Footer"/>
    <w:link w:val="FooterDraftReportChar"/>
    <w:rsid w:val="00D971D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D971D1"/>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D97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60B6B"/>
    <w:rPr>
      <w:sz w:val="52"/>
    </w:rPr>
  </w:style>
  <w:style w:type="character" w:customStyle="1" w:styleId="Heading3Char">
    <w:name w:val="Heading 3 Char"/>
    <w:basedOn w:val="DefaultParagraphFont"/>
    <w:link w:val="Heading3"/>
    <w:rsid w:val="00360B6B"/>
    <w:rPr>
      <w:rFonts w:ascii="Arial" w:hAnsi="Arial"/>
      <w:b/>
      <w:sz w:val="26"/>
    </w:rPr>
  </w:style>
  <w:style w:type="paragraph" w:customStyle="1" w:styleId="Jurisdictioncommentsbodytext">
    <w:name w:val="Jurisdiction comments body text"/>
    <w:rsid w:val="00D971D1"/>
    <w:pPr>
      <w:spacing w:after="140"/>
      <w:jc w:val="both"/>
    </w:pPr>
    <w:rPr>
      <w:rFonts w:ascii="Arial" w:hAnsi="Arial"/>
      <w:sz w:val="24"/>
      <w:lang w:eastAsia="en-US"/>
    </w:rPr>
  </w:style>
  <w:style w:type="paragraph" w:customStyle="1" w:styleId="Jurisdictioncommentsheading">
    <w:name w:val="Jurisdiction comments heading"/>
    <w:rsid w:val="00D971D1"/>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D971D1"/>
    <w:pPr>
      <w:numPr>
        <w:numId w:val="17"/>
      </w:numPr>
      <w:spacing w:after="140"/>
      <w:jc w:val="both"/>
    </w:pPr>
    <w:rPr>
      <w:rFonts w:ascii="Arial" w:hAnsi="Arial"/>
      <w:sz w:val="24"/>
      <w:lang w:eastAsia="en-US"/>
    </w:rPr>
  </w:style>
  <w:style w:type="paragraph" w:customStyle="1" w:styleId="RecBBullet2">
    <w:name w:val="RecB Bullet 2"/>
    <w:basedOn w:val="ListBullet2"/>
    <w:semiHidden/>
    <w:rsid w:val="00D971D1"/>
    <w:pPr>
      <w:pBdr>
        <w:left w:val="single" w:sz="24" w:space="29" w:color="C0C0C0"/>
      </w:pBdr>
    </w:pPr>
    <w:rPr>
      <w:b/>
      <w:i/>
    </w:rPr>
  </w:style>
  <w:style w:type="character" w:customStyle="1" w:styleId="BalloonTextChar">
    <w:name w:val="Balloon Text Char"/>
    <w:basedOn w:val="DefaultParagraphFont"/>
    <w:link w:val="BalloonText"/>
    <w:rsid w:val="00D971D1"/>
    <w:rPr>
      <w:rFonts w:ascii="Tahoma" w:hAnsi="Tahoma" w:cs="Tahoma"/>
      <w:sz w:val="16"/>
      <w:szCs w:val="16"/>
    </w:rPr>
  </w:style>
  <w:style w:type="character" w:styleId="Emphasis">
    <w:name w:val="Emphasis"/>
    <w:basedOn w:val="DefaultParagraphFont"/>
    <w:rsid w:val="00D971D1"/>
    <w:rPr>
      <w:i/>
      <w:iCs/>
    </w:rPr>
  </w:style>
  <w:style w:type="character" w:customStyle="1" w:styleId="Heading5Char">
    <w:name w:val="Heading 5 Char"/>
    <w:basedOn w:val="DefaultParagraphFont"/>
    <w:link w:val="Heading5"/>
    <w:rsid w:val="00D971D1"/>
    <w:rPr>
      <w:rFonts w:ascii="Arial" w:hAnsi="Arial"/>
      <w:i/>
      <w:sz w:val="22"/>
    </w:rPr>
  </w:style>
  <w:style w:type="character" w:customStyle="1" w:styleId="CommentTextChar">
    <w:name w:val="Comment Text Char"/>
    <w:basedOn w:val="DefaultParagraphFont"/>
    <w:semiHidden/>
    <w:rsid w:val="00360B6B"/>
    <w:rPr>
      <w:szCs w:val="24"/>
    </w:rPr>
  </w:style>
  <w:style w:type="character" w:customStyle="1" w:styleId="FootnoteTextChar">
    <w:name w:val="Footnote Text Char"/>
    <w:basedOn w:val="DefaultParagraphFont"/>
    <w:link w:val="FootnoteText"/>
    <w:rsid w:val="00360B6B"/>
  </w:style>
  <w:style w:type="paragraph" w:styleId="CommentSubject">
    <w:name w:val="annotation subject"/>
    <w:basedOn w:val="CommentText"/>
    <w:next w:val="CommentText"/>
    <w:link w:val="CommentSubjectChar"/>
    <w:unhideWhenUsed/>
    <w:rsid w:val="00360B6B"/>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360B6B"/>
    <w:rPr>
      <w:szCs w:val="24"/>
    </w:rPr>
  </w:style>
  <w:style w:type="character" w:customStyle="1" w:styleId="CommentSubjectChar">
    <w:name w:val="Comment Subject Char"/>
    <w:basedOn w:val="CommentTextChar1"/>
    <w:link w:val="CommentSubject"/>
    <w:rsid w:val="00360B6B"/>
    <w:rPr>
      <w:b/>
      <w:bCs/>
      <w:szCs w:val="24"/>
    </w:rPr>
  </w:style>
  <w:style w:type="paragraph" w:styleId="Title">
    <w:name w:val="Title"/>
    <w:basedOn w:val="Normal"/>
    <w:next w:val="Normal"/>
    <w:link w:val="TitleChar"/>
    <w:uiPriority w:val="10"/>
    <w:qFormat/>
    <w:rsid w:val="00360B6B"/>
    <w:pPr>
      <w:pBdr>
        <w:bottom w:val="single" w:sz="8" w:space="4" w:color="78A22F" w:themeColor="accent1"/>
      </w:pBdr>
      <w:spacing w:after="300"/>
      <w:contextualSpacing/>
    </w:pPr>
    <w:rPr>
      <w:rFonts w:asciiTheme="majorHAnsi" w:eastAsiaTheme="majorEastAsia" w:hAnsiTheme="majorHAnsi" w:cstheme="majorBidi"/>
      <w:color w:val="000000" w:themeColor="text2" w:themeShade="BF"/>
      <w:spacing w:val="5"/>
      <w:kern w:val="28"/>
      <w:sz w:val="52"/>
      <w:szCs w:val="52"/>
      <w:lang w:val="en-US" w:eastAsia="en-US" w:bidi="en-US"/>
    </w:rPr>
  </w:style>
  <w:style w:type="character" w:customStyle="1" w:styleId="TitleChar">
    <w:name w:val="Title Char"/>
    <w:basedOn w:val="DefaultParagraphFont"/>
    <w:link w:val="Title"/>
    <w:uiPriority w:val="10"/>
    <w:rsid w:val="00360B6B"/>
    <w:rPr>
      <w:rFonts w:asciiTheme="majorHAnsi" w:eastAsiaTheme="majorEastAsia" w:hAnsiTheme="majorHAnsi" w:cstheme="majorBidi"/>
      <w:color w:val="000000" w:themeColor="text2" w:themeShade="BF"/>
      <w:spacing w:val="5"/>
      <w:kern w:val="28"/>
      <w:sz w:val="52"/>
      <w:szCs w:val="52"/>
      <w:lang w:val="en-US" w:eastAsia="en-US" w:bidi="en-US"/>
    </w:rPr>
  </w:style>
  <w:style w:type="paragraph" w:styleId="Revision">
    <w:name w:val="Revision"/>
    <w:hidden/>
    <w:uiPriority w:val="99"/>
    <w:semiHidden/>
    <w:rsid w:val="00360B6B"/>
    <w:rPr>
      <w:sz w:val="24"/>
      <w:szCs w:val="24"/>
    </w:rPr>
  </w:style>
  <w:style w:type="character" w:customStyle="1" w:styleId="SourceChar">
    <w:name w:val="Source Char"/>
    <w:basedOn w:val="DefaultParagraphFont"/>
    <w:link w:val="Source"/>
    <w:rsid w:val="00360B6B"/>
    <w:rPr>
      <w:rFonts w:ascii="Arial" w:hAnsi="Arial"/>
      <w:sz w:val="18"/>
    </w:rPr>
  </w:style>
  <w:style w:type="character" w:customStyle="1" w:styleId="NoteChar">
    <w:name w:val="Note Char"/>
    <w:basedOn w:val="DefaultParagraphFont"/>
    <w:link w:val="Note"/>
    <w:rsid w:val="00360B6B"/>
    <w:rPr>
      <w:rFonts w:ascii="Arial" w:hAnsi="Arial"/>
      <w:sz w:val="18"/>
    </w:rPr>
  </w:style>
  <w:style w:type="paragraph" w:customStyle="1" w:styleId="Gempack">
    <w:name w:val="Gempack"/>
    <w:basedOn w:val="BodyText"/>
    <w:rsid w:val="00360B6B"/>
    <w:pPr>
      <w:keepLines/>
      <w:tabs>
        <w:tab w:val="right" w:pos="8280"/>
      </w:tabs>
      <w:spacing w:line="320" w:lineRule="atLeast"/>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8255">
      <w:bodyDiv w:val="1"/>
      <w:marLeft w:val="0"/>
      <w:marRight w:val="0"/>
      <w:marTop w:val="0"/>
      <w:marBottom w:val="0"/>
      <w:divBdr>
        <w:top w:val="none" w:sz="0" w:space="0" w:color="auto"/>
        <w:left w:val="none" w:sz="0" w:space="0" w:color="auto"/>
        <w:bottom w:val="none" w:sz="0" w:space="0" w:color="auto"/>
        <w:right w:val="none" w:sz="0" w:space="0" w:color="auto"/>
      </w:divBdr>
    </w:div>
    <w:div w:id="73951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itsanhonour.gov.au/coat-arms/index.cfm" TargetMode="External"/><Relationship Id="rId26" Type="http://schemas.openxmlformats.org/officeDocument/2006/relationships/image" Target="media/image3.png"/><Relationship Id="rId39" Type="http://schemas.openxmlformats.org/officeDocument/2006/relationships/image" Target="media/image15.emf"/><Relationship Id="rId21" Type="http://schemas.openxmlformats.org/officeDocument/2006/relationships/header" Target="header2.xml"/><Relationship Id="rId34" Type="http://schemas.openxmlformats.org/officeDocument/2006/relationships/chart" Target="charts/chart1.xml"/><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creativecommons.org/licenses/by/3.0/au" TargetMode="External"/><Relationship Id="rId25" Type="http://schemas.openxmlformats.org/officeDocument/2006/relationships/footer" Target="footer3.xml"/><Relationship Id="rId33" Type="http://schemas.openxmlformats.org/officeDocument/2006/relationships/image" Target="media/image10.emf"/><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eader" Target="header1.xml"/><Relationship Id="rId29" Type="http://schemas.openxmlformats.org/officeDocument/2006/relationships/image" Target="media/image6.emf"/><Relationship Id="rId41" Type="http://schemas.openxmlformats.org/officeDocument/2006/relationships/image" Target="media/image17.e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image" Target="media/image9.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image" Target="media/image5.emf"/><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yperlink" Target="http://www.itsanhonour.gov.au" TargetMode="Externa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chart" Target="charts/chart3.xml"/><Relationship Id="rId60"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footer" Target="footer5.xml"/><Relationship Id="rId8" Type="http://schemas.openxmlformats.org/officeDocument/2006/relationships/styles" Target="styles.xml"/><Relationship Id="rId51" Type="http://schemas.openxmlformats.org/officeDocument/2006/relationships/chart" Target="charts/chart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ro.PRODCOM\AppData\Local\Microsoft\Windows\Temporary%20Internet%20Files\Content.MSO\B66F7860.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17027417027417"/>
          <c:y val="0.10839174836601308"/>
          <c:w val="0.8188293650793651"/>
          <c:h val="0.80720261437908492"/>
        </c:manualLayout>
      </c:layout>
      <c:lineChart>
        <c:grouping val="standard"/>
        <c:varyColors val="0"/>
        <c:ser>
          <c:idx val="1"/>
          <c:order val="0"/>
          <c:tx>
            <c:strRef>
              <c:f>'Figure 8.2a'!$D$2</c:f>
              <c:strCache>
                <c:ptCount val="1"/>
                <c:pt idx="0">
                  <c:v>0.6% Population</c:v>
                </c:pt>
              </c:strCache>
            </c:strRef>
          </c:tx>
          <c:spPr>
            <a:ln w="25400">
              <a:solidFill>
                <a:srgbClr val="265A9A"/>
              </a:solidFill>
            </a:ln>
          </c:spPr>
          <c:marker>
            <c:symbol val="none"/>
          </c:marker>
          <c:cat>
            <c:numRef>
              <c:f>'Figure 8.2a'!$B$5:$B$99</c:f>
              <c:numCache>
                <c:formatCode>0</c:formatCode>
                <c:ptCount val="95"/>
                <c:pt idx="1">
                  <c:v>1921</c:v>
                </c:pt>
                <c:pt idx="2">
                  <c:v>1922</c:v>
                </c:pt>
                <c:pt idx="3">
                  <c:v>1923</c:v>
                </c:pt>
                <c:pt idx="4">
                  <c:v>1924</c:v>
                </c:pt>
                <c:pt idx="5">
                  <c:v>1925</c:v>
                </c:pt>
                <c:pt idx="6">
                  <c:v>1926</c:v>
                </c:pt>
                <c:pt idx="7">
                  <c:v>1927</c:v>
                </c:pt>
                <c:pt idx="8">
                  <c:v>1928</c:v>
                </c:pt>
                <c:pt idx="9">
                  <c:v>1929</c:v>
                </c:pt>
                <c:pt idx="10">
                  <c:v>1930</c:v>
                </c:pt>
                <c:pt idx="11">
                  <c:v>1931</c:v>
                </c:pt>
                <c:pt idx="12">
                  <c:v>1932</c:v>
                </c:pt>
                <c:pt idx="13">
                  <c:v>1933</c:v>
                </c:pt>
                <c:pt idx="14">
                  <c:v>1934</c:v>
                </c:pt>
                <c:pt idx="15">
                  <c:v>1935</c:v>
                </c:pt>
                <c:pt idx="16">
                  <c:v>1936</c:v>
                </c:pt>
                <c:pt idx="17">
                  <c:v>1937</c:v>
                </c:pt>
                <c:pt idx="18">
                  <c:v>1938</c:v>
                </c:pt>
                <c:pt idx="19">
                  <c:v>1939</c:v>
                </c:pt>
                <c:pt idx="20">
                  <c:v>1940</c:v>
                </c:pt>
                <c:pt idx="21">
                  <c:v>1941</c:v>
                </c:pt>
                <c:pt idx="22">
                  <c:v>1942</c:v>
                </c:pt>
                <c:pt idx="23">
                  <c:v>1943</c:v>
                </c:pt>
                <c:pt idx="24">
                  <c:v>1944</c:v>
                </c:pt>
                <c:pt idx="25">
                  <c:v>1945</c:v>
                </c:pt>
                <c:pt idx="26">
                  <c:v>1946</c:v>
                </c:pt>
                <c:pt idx="27">
                  <c:v>1947</c:v>
                </c:pt>
                <c:pt idx="28">
                  <c:v>1948</c:v>
                </c:pt>
                <c:pt idx="29">
                  <c:v>1949</c:v>
                </c:pt>
                <c:pt idx="30">
                  <c:v>1950</c:v>
                </c:pt>
                <c:pt idx="31">
                  <c:v>1951</c:v>
                </c:pt>
                <c:pt idx="32">
                  <c:v>1952</c:v>
                </c:pt>
                <c:pt idx="33">
                  <c:v>1953</c:v>
                </c:pt>
                <c:pt idx="34">
                  <c:v>1954</c:v>
                </c:pt>
                <c:pt idx="35">
                  <c:v>1955</c:v>
                </c:pt>
                <c:pt idx="36">
                  <c:v>1956</c:v>
                </c:pt>
                <c:pt idx="37">
                  <c:v>1957</c:v>
                </c:pt>
                <c:pt idx="38">
                  <c:v>1958</c:v>
                </c:pt>
                <c:pt idx="39">
                  <c:v>1959</c:v>
                </c:pt>
                <c:pt idx="40">
                  <c:v>1960</c:v>
                </c:pt>
                <c:pt idx="41">
                  <c:v>1961</c:v>
                </c:pt>
                <c:pt idx="42">
                  <c:v>1962</c:v>
                </c:pt>
                <c:pt idx="43">
                  <c:v>1963</c:v>
                </c:pt>
                <c:pt idx="44">
                  <c:v>1964</c:v>
                </c:pt>
                <c:pt idx="45">
                  <c:v>1965</c:v>
                </c:pt>
                <c:pt idx="46">
                  <c:v>1966</c:v>
                </c:pt>
                <c:pt idx="47">
                  <c:v>1967</c:v>
                </c:pt>
                <c:pt idx="48">
                  <c:v>1968</c:v>
                </c:pt>
                <c:pt idx="49">
                  <c:v>1969</c:v>
                </c:pt>
                <c:pt idx="50">
                  <c:v>1970</c:v>
                </c:pt>
                <c:pt idx="51">
                  <c:v>1971</c:v>
                </c:pt>
                <c:pt idx="52">
                  <c:v>1972</c:v>
                </c:pt>
                <c:pt idx="53">
                  <c:v>1973</c:v>
                </c:pt>
                <c:pt idx="54">
                  <c:v>1974</c:v>
                </c:pt>
                <c:pt idx="55">
                  <c:v>1975</c:v>
                </c:pt>
                <c:pt idx="56">
                  <c:v>1976</c:v>
                </c:pt>
                <c:pt idx="57">
                  <c:v>1977</c:v>
                </c:pt>
                <c:pt idx="58">
                  <c:v>1978</c:v>
                </c:pt>
                <c:pt idx="59">
                  <c:v>1979</c:v>
                </c:pt>
                <c:pt idx="60">
                  <c:v>1980</c:v>
                </c:pt>
                <c:pt idx="61">
                  <c:v>1981</c:v>
                </c:pt>
                <c:pt idx="62">
                  <c:v>1982</c:v>
                </c:pt>
                <c:pt idx="63">
                  <c:v>1983</c:v>
                </c:pt>
                <c:pt idx="64">
                  <c:v>1984</c:v>
                </c:pt>
                <c:pt idx="65">
                  <c:v>1985</c:v>
                </c:pt>
                <c:pt idx="66">
                  <c:v>1986</c:v>
                </c:pt>
                <c:pt idx="67">
                  <c:v>1987</c:v>
                </c:pt>
                <c:pt idx="68">
                  <c:v>1988</c:v>
                </c:pt>
                <c:pt idx="69">
                  <c:v>1989</c:v>
                </c:pt>
                <c:pt idx="70">
                  <c:v>1990</c:v>
                </c:pt>
                <c:pt idx="71">
                  <c:v>1991</c:v>
                </c:pt>
                <c:pt idx="72">
                  <c:v>1992</c:v>
                </c:pt>
                <c:pt idx="73">
                  <c:v>1993</c:v>
                </c:pt>
                <c:pt idx="74">
                  <c:v>1994</c:v>
                </c:pt>
                <c:pt idx="75">
                  <c:v>1995</c:v>
                </c:pt>
                <c:pt idx="76">
                  <c:v>1996</c:v>
                </c:pt>
                <c:pt idx="77">
                  <c:v>1997</c:v>
                </c:pt>
                <c:pt idx="78">
                  <c:v>1998</c:v>
                </c:pt>
                <c:pt idx="79">
                  <c:v>1999</c:v>
                </c:pt>
                <c:pt idx="80">
                  <c:v>2000</c:v>
                </c:pt>
                <c:pt idx="81">
                  <c:v>2001</c:v>
                </c:pt>
                <c:pt idx="82">
                  <c:v>2002</c:v>
                </c:pt>
                <c:pt idx="83">
                  <c:v>2003</c:v>
                </c:pt>
                <c:pt idx="84">
                  <c:v>2004</c:v>
                </c:pt>
                <c:pt idx="85">
                  <c:v>2005</c:v>
                </c:pt>
                <c:pt idx="86">
                  <c:v>2006</c:v>
                </c:pt>
                <c:pt idx="87">
                  <c:v>2007</c:v>
                </c:pt>
                <c:pt idx="88">
                  <c:v>2008</c:v>
                </c:pt>
                <c:pt idx="89">
                  <c:v>2009</c:v>
                </c:pt>
                <c:pt idx="90">
                  <c:v>2010</c:v>
                </c:pt>
                <c:pt idx="91">
                  <c:v>2011</c:v>
                </c:pt>
                <c:pt idx="92">
                  <c:v>2012</c:v>
                </c:pt>
                <c:pt idx="93" formatCode="General">
                  <c:v>2013</c:v>
                </c:pt>
                <c:pt idx="94" formatCode="General">
                  <c:v>2014</c:v>
                </c:pt>
              </c:numCache>
            </c:numRef>
          </c:cat>
          <c:val>
            <c:numRef>
              <c:f>'Figure 8.2a'!$D$5:$D$99</c:f>
              <c:numCache>
                <c:formatCode>#,##0</c:formatCode>
                <c:ptCount val="95"/>
                <c:pt idx="1">
                  <c:v>32730.815999999999</c:v>
                </c:pt>
                <c:pt idx="2">
                  <c:v>33419.334000000003</c:v>
                </c:pt>
                <c:pt idx="3">
                  <c:v>34160.214</c:v>
                </c:pt>
                <c:pt idx="4">
                  <c:v>34866.870000000003</c:v>
                </c:pt>
                <c:pt idx="5">
                  <c:v>35635.385999999999</c:v>
                </c:pt>
                <c:pt idx="6">
                  <c:v>36338.160000000003</c:v>
                </c:pt>
                <c:pt idx="7">
                  <c:v>37094.928</c:v>
                </c:pt>
                <c:pt idx="8">
                  <c:v>37813.26</c:v>
                </c:pt>
                <c:pt idx="9">
                  <c:v>38363.298000000003</c:v>
                </c:pt>
                <c:pt idx="10">
                  <c:v>38775.660000000003</c:v>
                </c:pt>
                <c:pt idx="11">
                  <c:v>39158.910000000003</c:v>
                </c:pt>
                <c:pt idx="12">
                  <c:v>39460.944000000003</c:v>
                </c:pt>
                <c:pt idx="13">
                  <c:v>39779.034</c:v>
                </c:pt>
                <c:pt idx="14">
                  <c:v>40064.165999999997</c:v>
                </c:pt>
                <c:pt idx="15">
                  <c:v>40357.548000000003</c:v>
                </c:pt>
                <c:pt idx="16">
                  <c:v>40670.232000000004</c:v>
                </c:pt>
                <c:pt idx="17">
                  <c:v>41013.216</c:v>
                </c:pt>
                <c:pt idx="18">
                  <c:v>41391.245999999999</c:v>
                </c:pt>
                <c:pt idx="19">
                  <c:v>41806.523999999998</c:v>
                </c:pt>
                <c:pt idx="20">
                  <c:v>42236.94</c:v>
                </c:pt>
                <c:pt idx="21">
                  <c:v>42659.387999999999</c:v>
                </c:pt>
                <c:pt idx="22">
                  <c:v>43084.415999999997</c:v>
                </c:pt>
                <c:pt idx="23">
                  <c:v>43409.423999999999</c:v>
                </c:pt>
                <c:pt idx="24">
                  <c:v>43858.266000000003</c:v>
                </c:pt>
                <c:pt idx="25">
                  <c:v>44350.152000000002</c:v>
                </c:pt>
                <c:pt idx="26">
                  <c:v>44790.942000000003</c:v>
                </c:pt>
                <c:pt idx="27">
                  <c:v>45476.148000000001</c:v>
                </c:pt>
                <c:pt idx="28">
                  <c:v>46252.565999999999</c:v>
                </c:pt>
                <c:pt idx="29">
                  <c:v>47448.396000000001</c:v>
                </c:pt>
                <c:pt idx="30">
                  <c:v>49072.175999999999</c:v>
                </c:pt>
                <c:pt idx="31">
                  <c:v>50530.65</c:v>
                </c:pt>
                <c:pt idx="32">
                  <c:v>51818.748</c:v>
                </c:pt>
                <c:pt idx="33">
                  <c:v>52892.171999999999</c:v>
                </c:pt>
                <c:pt idx="34">
                  <c:v>53919.18</c:v>
                </c:pt>
                <c:pt idx="35">
                  <c:v>55198.374000000003</c:v>
                </c:pt>
                <c:pt idx="36">
                  <c:v>56553.378000000004</c:v>
                </c:pt>
                <c:pt idx="37">
                  <c:v>57840.828000000001</c:v>
                </c:pt>
                <c:pt idx="38">
                  <c:v>59053.998</c:v>
                </c:pt>
                <c:pt idx="39">
                  <c:v>60338.874000000003</c:v>
                </c:pt>
                <c:pt idx="40">
                  <c:v>61650.12</c:v>
                </c:pt>
                <c:pt idx="41">
                  <c:v>63289.601999999999</c:v>
                </c:pt>
                <c:pt idx="42">
                  <c:v>64453.745999999999</c:v>
                </c:pt>
                <c:pt idx="43">
                  <c:v>65702.274000000005</c:v>
                </c:pt>
                <c:pt idx="44">
                  <c:v>67000.212</c:v>
                </c:pt>
                <c:pt idx="45">
                  <c:v>68325.990000000005</c:v>
                </c:pt>
                <c:pt idx="46">
                  <c:v>69596.987999999998</c:v>
                </c:pt>
                <c:pt idx="47">
                  <c:v>70794.468000000008</c:v>
                </c:pt>
                <c:pt idx="48">
                  <c:v>72051.81</c:v>
                </c:pt>
                <c:pt idx="49">
                  <c:v>73578.084000000003</c:v>
                </c:pt>
                <c:pt idx="50">
                  <c:v>75044.093999999997</c:v>
                </c:pt>
                <c:pt idx="51">
                  <c:v>78403.59</c:v>
                </c:pt>
                <c:pt idx="52">
                  <c:v>79821.983999999997</c:v>
                </c:pt>
                <c:pt idx="53">
                  <c:v>81027.228000000003</c:v>
                </c:pt>
                <c:pt idx="54">
                  <c:v>82335.426000000007</c:v>
                </c:pt>
                <c:pt idx="55">
                  <c:v>83357.97</c:v>
                </c:pt>
                <c:pt idx="56">
                  <c:v>84198.498000000007</c:v>
                </c:pt>
                <c:pt idx="57">
                  <c:v>85153.403999999995</c:v>
                </c:pt>
                <c:pt idx="58">
                  <c:v>86155.53</c:v>
                </c:pt>
                <c:pt idx="59">
                  <c:v>87094.373999999996</c:v>
                </c:pt>
                <c:pt idx="60">
                  <c:v>88172.135999999999</c:v>
                </c:pt>
                <c:pt idx="61">
                  <c:v>89539.56</c:v>
                </c:pt>
                <c:pt idx="62">
                  <c:v>91105.482000000004</c:v>
                </c:pt>
                <c:pt idx="63">
                  <c:v>92360.831999999995</c:v>
                </c:pt>
                <c:pt idx="64">
                  <c:v>93476.346000000005</c:v>
                </c:pt>
                <c:pt idx="65">
                  <c:v>94729.872000000003</c:v>
                </c:pt>
                <c:pt idx="66">
                  <c:v>96110.1</c:v>
                </c:pt>
                <c:pt idx="67">
                  <c:v>97583.244000000006</c:v>
                </c:pt>
                <c:pt idx="68">
                  <c:v>99192.983999999997</c:v>
                </c:pt>
                <c:pt idx="69">
                  <c:v>100886.496</c:v>
                </c:pt>
                <c:pt idx="70">
                  <c:v>102390.768</c:v>
                </c:pt>
                <c:pt idx="71">
                  <c:v>103704.216</c:v>
                </c:pt>
                <c:pt idx="72">
                  <c:v>104871.81</c:v>
                </c:pt>
                <c:pt idx="73">
                  <c:v>105808.848</c:v>
                </c:pt>
                <c:pt idx="74">
                  <c:v>106832.808</c:v>
                </c:pt>
                <c:pt idx="75">
                  <c:v>108029.292</c:v>
                </c:pt>
                <c:pt idx="76">
                  <c:v>109348.602</c:v>
                </c:pt>
                <c:pt idx="77">
                  <c:v>110538.22200000001</c:v>
                </c:pt>
                <c:pt idx="78">
                  <c:v>111645.504</c:v>
                </c:pt>
                <c:pt idx="79">
                  <c:v>112873.584</c:v>
                </c:pt>
                <c:pt idx="80">
                  <c:v>114172.81200000001</c:v>
                </c:pt>
                <c:pt idx="81">
                  <c:v>115648.20600000001</c:v>
                </c:pt>
                <c:pt idx="82">
                  <c:v>116971.26000000001</c:v>
                </c:pt>
                <c:pt idx="83">
                  <c:v>118324.42200000001</c:v>
                </c:pt>
                <c:pt idx="84">
                  <c:v>119596.33200000001</c:v>
                </c:pt>
                <c:pt idx="85">
                  <c:v>121061.064</c:v>
                </c:pt>
                <c:pt idx="86">
                  <c:v>122705.796</c:v>
                </c:pt>
                <c:pt idx="87">
                  <c:v>124965.732</c:v>
                </c:pt>
                <c:pt idx="88">
                  <c:v>127495.194</c:v>
                </c:pt>
                <c:pt idx="89">
                  <c:v>130149.91800000001</c:v>
                </c:pt>
                <c:pt idx="90">
                  <c:v>132190.5</c:v>
                </c:pt>
                <c:pt idx="91">
                  <c:v>134040.144</c:v>
                </c:pt>
                <c:pt idx="92">
                  <c:v>136369.524</c:v>
                </c:pt>
                <c:pt idx="93">
                  <c:v>138704.11800000002</c:v>
                </c:pt>
                <c:pt idx="94">
                  <c:v>140852.09400000001</c:v>
                </c:pt>
              </c:numCache>
            </c:numRef>
          </c:val>
          <c:smooth val="0"/>
        </c:ser>
        <c:ser>
          <c:idx val="0"/>
          <c:order val="1"/>
          <c:tx>
            <c:strRef>
              <c:f>'Figure 8.2a'!$C$2</c:f>
              <c:strCache>
                <c:ptCount val="1"/>
                <c:pt idx="0">
                  <c:v>NOM</c:v>
                </c:pt>
              </c:strCache>
            </c:strRef>
          </c:tx>
          <c:spPr>
            <a:ln w="25400">
              <a:solidFill>
                <a:srgbClr val="78A22F"/>
              </a:solidFill>
            </a:ln>
          </c:spPr>
          <c:marker>
            <c:symbol val="none"/>
          </c:marker>
          <c:cat>
            <c:numRef>
              <c:f>'Figure 8.2a'!$B$5:$B$99</c:f>
              <c:numCache>
                <c:formatCode>0</c:formatCode>
                <c:ptCount val="95"/>
                <c:pt idx="1">
                  <c:v>1921</c:v>
                </c:pt>
                <c:pt idx="2">
                  <c:v>1922</c:v>
                </c:pt>
                <c:pt idx="3">
                  <c:v>1923</c:v>
                </c:pt>
                <c:pt idx="4">
                  <c:v>1924</c:v>
                </c:pt>
                <c:pt idx="5">
                  <c:v>1925</c:v>
                </c:pt>
                <c:pt idx="6">
                  <c:v>1926</c:v>
                </c:pt>
                <c:pt idx="7">
                  <c:v>1927</c:v>
                </c:pt>
                <c:pt idx="8">
                  <c:v>1928</c:v>
                </c:pt>
                <c:pt idx="9">
                  <c:v>1929</c:v>
                </c:pt>
                <c:pt idx="10">
                  <c:v>1930</c:v>
                </c:pt>
                <c:pt idx="11">
                  <c:v>1931</c:v>
                </c:pt>
                <c:pt idx="12">
                  <c:v>1932</c:v>
                </c:pt>
                <c:pt idx="13">
                  <c:v>1933</c:v>
                </c:pt>
                <c:pt idx="14">
                  <c:v>1934</c:v>
                </c:pt>
                <c:pt idx="15">
                  <c:v>1935</c:v>
                </c:pt>
                <c:pt idx="16">
                  <c:v>1936</c:v>
                </c:pt>
                <c:pt idx="17">
                  <c:v>1937</c:v>
                </c:pt>
                <c:pt idx="18">
                  <c:v>1938</c:v>
                </c:pt>
                <c:pt idx="19">
                  <c:v>1939</c:v>
                </c:pt>
                <c:pt idx="20">
                  <c:v>1940</c:v>
                </c:pt>
                <c:pt idx="21">
                  <c:v>1941</c:v>
                </c:pt>
                <c:pt idx="22">
                  <c:v>1942</c:v>
                </c:pt>
                <c:pt idx="23">
                  <c:v>1943</c:v>
                </c:pt>
                <c:pt idx="24">
                  <c:v>1944</c:v>
                </c:pt>
                <c:pt idx="25">
                  <c:v>1945</c:v>
                </c:pt>
                <c:pt idx="26">
                  <c:v>1946</c:v>
                </c:pt>
                <c:pt idx="27">
                  <c:v>1947</c:v>
                </c:pt>
                <c:pt idx="28">
                  <c:v>1948</c:v>
                </c:pt>
                <c:pt idx="29">
                  <c:v>1949</c:v>
                </c:pt>
                <c:pt idx="30">
                  <c:v>1950</c:v>
                </c:pt>
                <c:pt idx="31">
                  <c:v>1951</c:v>
                </c:pt>
                <c:pt idx="32">
                  <c:v>1952</c:v>
                </c:pt>
                <c:pt idx="33">
                  <c:v>1953</c:v>
                </c:pt>
                <c:pt idx="34">
                  <c:v>1954</c:v>
                </c:pt>
                <c:pt idx="35">
                  <c:v>1955</c:v>
                </c:pt>
                <c:pt idx="36">
                  <c:v>1956</c:v>
                </c:pt>
                <c:pt idx="37">
                  <c:v>1957</c:v>
                </c:pt>
                <c:pt idx="38">
                  <c:v>1958</c:v>
                </c:pt>
                <c:pt idx="39">
                  <c:v>1959</c:v>
                </c:pt>
                <c:pt idx="40">
                  <c:v>1960</c:v>
                </c:pt>
                <c:pt idx="41">
                  <c:v>1961</c:v>
                </c:pt>
                <c:pt idx="42">
                  <c:v>1962</c:v>
                </c:pt>
                <c:pt idx="43">
                  <c:v>1963</c:v>
                </c:pt>
                <c:pt idx="44">
                  <c:v>1964</c:v>
                </c:pt>
                <c:pt idx="45">
                  <c:v>1965</c:v>
                </c:pt>
                <c:pt idx="46">
                  <c:v>1966</c:v>
                </c:pt>
                <c:pt idx="47">
                  <c:v>1967</c:v>
                </c:pt>
                <c:pt idx="48">
                  <c:v>1968</c:v>
                </c:pt>
                <c:pt idx="49">
                  <c:v>1969</c:v>
                </c:pt>
                <c:pt idx="50">
                  <c:v>1970</c:v>
                </c:pt>
                <c:pt idx="51">
                  <c:v>1971</c:v>
                </c:pt>
                <c:pt idx="52">
                  <c:v>1972</c:v>
                </c:pt>
                <c:pt idx="53">
                  <c:v>1973</c:v>
                </c:pt>
                <c:pt idx="54">
                  <c:v>1974</c:v>
                </c:pt>
                <c:pt idx="55">
                  <c:v>1975</c:v>
                </c:pt>
                <c:pt idx="56">
                  <c:v>1976</c:v>
                </c:pt>
                <c:pt idx="57">
                  <c:v>1977</c:v>
                </c:pt>
                <c:pt idx="58">
                  <c:v>1978</c:v>
                </c:pt>
                <c:pt idx="59">
                  <c:v>1979</c:v>
                </c:pt>
                <c:pt idx="60">
                  <c:v>1980</c:v>
                </c:pt>
                <c:pt idx="61">
                  <c:v>1981</c:v>
                </c:pt>
                <c:pt idx="62">
                  <c:v>1982</c:v>
                </c:pt>
                <c:pt idx="63">
                  <c:v>1983</c:v>
                </c:pt>
                <c:pt idx="64">
                  <c:v>1984</c:v>
                </c:pt>
                <c:pt idx="65">
                  <c:v>1985</c:v>
                </c:pt>
                <c:pt idx="66">
                  <c:v>1986</c:v>
                </c:pt>
                <c:pt idx="67">
                  <c:v>1987</c:v>
                </c:pt>
                <c:pt idx="68">
                  <c:v>1988</c:v>
                </c:pt>
                <c:pt idx="69">
                  <c:v>1989</c:v>
                </c:pt>
                <c:pt idx="70">
                  <c:v>1990</c:v>
                </c:pt>
                <c:pt idx="71">
                  <c:v>1991</c:v>
                </c:pt>
                <c:pt idx="72">
                  <c:v>1992</c:v>
                </c:pt>
                <c:pt idx="73">
                  <c:v>1993</c:v>
                </c:pt>
                <c:pt idx="74">
                  <c:v>1994</c:v>
                </c:pt>
                <c:pt idx="75">
                  <c:v>1995</c:v>
                </c:pt>
                <c:pt idx="76">
                  <c:v>1996</c:v>
                </c:pt>
                <c:pt idx="77">
                  <c:v>1997</c:v>
                </c:pt>
                <c:pt idx="78">
                  <c:v>1998</c:v>
                </c:pt>
                <c:pt idx="79">
                  <c:v>1999</c:v>
                </c:pt>
                <c:pt idx="80">
                  <c:v>2000</c:v>
                </c:pt>
                <c:pt idx="81">
                  <c:v>2001</c:v>
                </c:pt>
                <c:pt idx="82">
                  <c:v>2002</c:v>
                </c:pt>
                <c:pt idx="83">
                  <c:v>2003</c:v>
                </c:pt>
                <c:pt idx="84">
                  <c:v>2004</c:v>
                </c:pt>
                <c:pt idx="85">
                  <c:v>2005</c:v>
                </c:pt>
                <c:pt idx="86">
                  <c:v>2006</c:v>
                </c:pt>
                <c:pt idx="87">
                  <c:v>2007</c:v>
                </c:pt>
                <c:pt idx="88">
                  <c:v>2008</c:v>
                </c:pt>
                <c:pt idx="89">
                  <c:v>2009</c:v>
                </c:pt>
                <c:pt idx="90">
                  <c:v>2010</c:v>
                </c:pt>
                <c:pt idx="91">
                  <c:v>2011</c:v>
                </c:pt>
                <c:pt idx="92">
                  <c:v>2012</c:v>
                </c:pt>
                <c:pt idx="93" formatCode="General">
                  <c:v>2013</c:v>
                </c:pt>
                <c:pt idx="94" formatCode="General">
                  <c:v>2014</c:v>
                </c:pt>
              </c:numCache>
            </c:numRef>
          </c:cat>
          <c:val>
            <c:numRef>
              <c:f>'Figure 8.2a'!$C$5:$C$99</c:f>
              <c:numCache>
                <c:formatCode>#,##0</c:formatCode>
                <c:ptCount val="95"/>
                <c:pt idx="1">
                  <c:v>17525</c:v>
                </c:pt>
                <c:pt idx="2">
                  <c:v>40157</c:v>
                </c:pt>
                <c:pt idx="3">
                  <c:v>39714</c:v>
                </c:pt>
                <c:pt idx="4">
                  <c:v>46069</c:v>
                </c:pt>
                <c:pt idx="5">
                  <c:v>39762</c:v>
                </c:pt>
                <c:pt idx="6">
                  <c:v>42282</c:v>
                </c:pt>
                <c:pt idx="7">
                  <c:v>49401</c:v>
                </c:pt>
                <c:pt idx="8">
                  <c:v>28864</c:v>
                </c:pt>
                <c:pt idx="9">
                  <c:v>10087</c:v>
                </c:pt>
                <c:pt idx="10">
                  <c:v>-9833</c:v>
                </c:pt>
                <c:pt idx="11">
                  <c:v>-12117</c:v>
                </c:pt>
                <c:pt idx="12">
                  <c:v>-4608</c:v>
                </c:pt>
                <c:pt idx="13">
                  <c:v>-1364</c:v>
                </c:pt>
                <c:pt idx="14">
                  <c:v>-388</c:v>
                </c:pt>
                <c:pt idx="15">
                  <c:v>1251</c:v>
                </c:pt>
                <c:pt idx="16">
                  <c:v>1283</c:v>
                </c:pt>
                <c:pt idx="17">
                  <c:v>5075</c:v>
                </c:pt>
                <c:pt idx="18">
                  <c:v>8145</c:v>
                </c:pt>
                <c:pt idx="19">
                  <c:v>12527</c:v>
                </c:pt>
                <c:pt idx="20">
                  <c:v>10676</c:v>
                </c:pt>
                <c:pt idx="21">
                  <c:v>5136</c:v>
                </c:pt>
                <c:pt idx="22">
                  <c:v>8536</c:v>
                </c:pt>
                <c:pt idx="23">
                  <c:v>1587</c:v>
                </c:pt>
                <c:pt idx="24">
                  <c:v>-1761</c:v>
                </c:pt>
                <c:pt idx="25">
                  <c:v>-3273</c:v>
                </c:pt>
                <c:pt idx="26">
                  <c:v>-11589</c:v>
                </c:pt>
                <c:pt idx="27">
                  <c:v>12186</c:v>
                </c:pt>
                <c:pt idx="28">
                  <c:v>48468</c:v>
                </c:pt>
                <c:pt idx="29">
                  <c:v>149270</c:v>
                </c:pt>
                <c:pt idx="30">
                  <c:v>153685</c:v>
                </c:pt>
                <c:pt idx="31">
                  <c:v>110362</c:v>
                </c:pt>
                <c:pt idx="32">
                  <c:v>97454</c:v>
                </c:pt>
                <c:pt idx="33">
                  <c:v>42883</c:v>
                </c:pt>
                <c:pt idx="34">
                  <c:v>68565</c:v>
                </c:pt>
                <c:pt idx="35">
                  <c:v>95317</c:v>
                </c:pt>
                <c:pt idx="36">
                  <c:v>102105</c:v>
                </c:pt>
                <c:pt idx="37">
                  <c:v>77622</c:v>
                </c:pt>
                <c:pt idx="38">
                  <c:v>64879</c:v>
                </c:pt>
                <c:pt idx="39">
                  <c:v>83578</c:v>
                </c:pt>
                <c:pt idx="40">
                  <c:v>92776</c:v>
                </c:pt>
                <c:pt idx="41">
                  <c:v>65439</c:v>
                </c:pt>
                <c:pt idx="42">
                  <c:v>64638</c:v>
                </c:pt>
                <c:pt idx="43">
                  <c:v>76844</c:v>
                </c:pt>
                <c:pt idx="44">
                  <c:v>103999</c:v>
                </c:pt>
                <c:pt idx="45">
                  <c:v>111609</c:v>
                </c:pt>
                <c:pt idx="46">
                  <c:v>95931</c:v>
                </c:pt>
                <c:pt idx="47">
                  <c:v>96558</c:v>
                </c:pt>
                <c:pt idx="48">
                  <c:v>123452</c:v>
                </c:pt>
                <c:pt idx="49">
                  <c:v>140331</c:v>
                </c:pt>
                <c:pt idx="50">
                  <c:v>138382</c:v>
                </c:pt>
                <c:pt idx="51">
                  <c:v>103553</c:v>
                </c:pt>
                <c:pt idx="52">
                  <c:v>56320</c:v>
                </c:pt>
                <c:pt idx="53">
                  <c:v>67494</c:v>
                </c:pt>
                <c:pt idx="54">
                  <c:v>87248</c:v>
                </c:pt>
                <c:pt idx="55">
                  <c:v>13515</c:v>
                </c:pt>
                <c:pt idx="56">
                  <c:v>33997</c:v>
                </c:pt>
                <c:pt idx="57">
                  <c:v>68030</c:v>
                </c:pt>
                <c:pt idx="58">
                  <c:v>47394</c:v>
                </c:pt>
                <c:pt idx="59">
                  <c:v>68611</c:v>
                </c:pt>
                <c:pt idx="60">
                  <c:v>100940</c:v>
                </c:pt>
                <c:pt idx="61">
                  <c:v>123066</c:v>
                </c:pt>
                <c:pt idx="62">
                  <c:v>102709</c:v>
                </c:pt>
                <c:pt idx="63">
                  <c:v>54995</c:v>
                </c:pt>
                <c:pt idx="64">
                  <c:v>59823</c:v>
                </c:pt>
                <c:pt idx="65">
                  <c:v>89319</c:v>
                </c:pt>
                <c:pt idx="66">
                  <c:v>110661</c:v>
                </c:pt>
                <c:pt idx="67">
                  <c:v>136093</c:v>
                </c:pt>
                <c:pt idx="68">
                  <c:v>172794</c:v>
                </c:pt>
                <c:pt idx="69">
                  <c:v>129478</c:v>
                </c:pt>
                <c:pt idx="70">
                  <c:v>97131</c:v>
                </c:pt>
                <c:pt idx="71">
                  <c:v>81669</c:v>
                </c:pt>
                <c:pt idx="72">
                  <c:v>51358</c:v>
                </c:pt>
                <c:pt idx="73">
                  <c:v>34822</c:v>
                </c:pt>
                <c:pt idx="74">
                  <c:v>55506</c:v>
                </c:pt>
                <c:pt idx="75">
                  <c:v>106864</c:v>
                </c:pt>
                <c:pt idx="76">
                  <c:v>97444</c:v>
                </c:pt>
                <c:pt idx="77">
                  <c:v>72402</c:v>
                </c:pt>
                <c:pt idx="78">
                  <c:v>88781</c:v>
                </c:pt>
                <c:pt idx="79">
                  <c:v>104210</c:v>
                </c:pt>
                <c:pt idx="80">
                  <c:v>111441</c:v>
                </c:pt>
                <c:pt idx="81">
                  <c:v>136076</c:v>
                </c:pt>
                <c:pt idx="82">
                  <c:v>110475</c:v>
                </c:pt>
                <c:pt idx="83">
                  <c:v>110104</c:v>
                </c:pt>
                <c:pt idx="84">
                  <c:v>106425</c:v>
                </c:pt>
                <c:pt idx="85">
                  <c:v>137009</c:v>
                </c:pt>
                <c:pt idx="86">
                  <c:v>182196</c:v>
                </c:pt>
                <c:pt idx="87">
                  <c:v>244030</c:v>
                </c:pt>
                <c:pt idx="88">
                  <c:v>315687</c:v>
                </c:pt>
                <c:pt idx="89">
                  <c:v>246900</c:v>
                </c:pt>
                <c:pt idx="90">
                  <c:v>172038</c:v>
                </c:pt>
                <c:pt idx="91">
                  <c:v>205679</c:v>
                </c:pt>
                <c:pt idx="92">
                  <c:v>237436</c:v>
                </c:pt>
                <c:pt idx="93" formatCode="General">
                  <c:v>216184</c:v>
                </c:pt>
                <c:pt idx="94">
                  <c:v>184135</c:v>
                </c:pt>
              </c:numCache>
            </c:numRef>
          </c:val>
          <c:smooth val="0"/>
        </c:ser>
        <c:dLbls>
          <c:showLegendKey val="0"/>
          <c:showVal val="0"/>
          <c:showCatName val="0"/>
          <c:showSerName val="0"/>
          <c:showPercent val="0"/>
          <c:showBubbleSize val="0"/>
        </c:dLbls>
        <c:marker val="1"/>
        <c:smooth val="0"/>
        <c:axId val="199117056"/>
        <c:axId val="199131136"/>
      </c:lineChart>
      <c:catAx>
        <c:axId val="199117056"/>
        <c:scaling>
          <c:orientation val="minMax"/>
        </c:scaling>
        <c:delete val="0"/>
        <c:axPos val="b"/>
        <c:numFmt formatCode="0" sourceLinked="1"/>
        <c:majorTickMark val="none"/>
        <c:minorTickMark val="none"/>
        <c:tickLblPos val="nextTo"/>
        <c:spPr>
          <a:ln>
            <a:solidFill>
              <a:srgbClr val="BFBFBF"/>
            </a:solidFill>
          </a:ln>
        </c:spPr>
        <c:txPr>
          <a:bodyPr rot="-4200000"/>
          <a:lstStyle/>
          <a:p>
            <a:pPr>
              <a:defRPr sz="900">
                <a:latin typeface="Arial" panose="020B0604020202020204" pitchFamily="34" charset="0"/>
                <a:cs typeface="Arial" panose="020B0604020202020204" pitchFamily="34" charset="0"/>
              </a:defRPr>
            </a:pPr>
            <a:endParaRPr lang="en-US"/>
          </a:p>
        </c:txPr>
        <c:crossAx val="199131136"/>
        <c:crossesAt val="0"/>
        <c:auto val="1"/>
        <c:lblAlgn val="ctr"/>
        <c:lblOffset val="250"/>
        <c:tickLblSkip val="10"/>
        <c:tickMarkSkip val="5"/>
        <c:noMultiLvlLbl val="0"/>
      </c:catAx>
      <c:valAx>
        <c:axId val="199131136"/>
        <c:scaling>
          <c:orientation val="minMax"/>
          <c:max val="350000"/>
          <c:min val="-50000"/>
        </c:scaling>
        <c:delete val="0"/>
        <c:axPos val="l"/>
        <c:majorGridlines>
          <c:spPr>
            <a:ln>
              <a:noFill/>
            </a:ln>
          </c:spPr>
        </c:majorGridlines>
        <c:numFmt formatCode="#,##0" sourceLinked="1"/>
        <c:majorTickMark val="out"/>
        <c:minorTickMark val="none"/>
        <c:tickLblPos val="nextTo"/>
        <c:spPr>
          <a:ln>
            <a:solidFill>
              <a:srgbClr val="BFBFBF"/>
            </a:solidFill>
          </a:ln>
        </c:spPr>
        <c:txPr>
          <a:bodyPr rot="0"/>
          <a:lstStyle/>
          <a:p>
            <a:pPr>
              <a:defRPr sz="900">
                <a:latin typeface="Arial" panose="020B0604020202020204" pitchFamily="34" charset="0"/>
                <a:cs typeface="Arial" panose="020B0604020202020204" pitchFamily="34" charset="0"/>
              </a:defRPr>
            </a:pPr>
            <a:endParaRPr lang="en-US"/>
          </a:p>
        </c:txPr>
        <c:crossAx val="199117056"/>
        <c:crosses val="autoZero"/>
        <c:crossBetween val="between"/>
        <c:majorUnit val="50000"/>
        <c:minorUnit val="10000"/>
        <c:dispUnits>
          <c:builtInUnit val="thousands"/>
        </c:dispUnits>
      </c:valAx>
    </c:plotArea>
    <c:legend>
      <c:legendPos val="t"/>
      <c:layout>
        <c:manualLayout>
          <c:xMode val="edge"/>
          <c:yMode val="edge"/>
          <c:x val="0.38855268681780014"/>
          <c:y val="0.11927452443118239"/>
          <c:w val="0.43119647355163726"/>
          <c:h val="0.17706257437700929"/>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6125541125541"/>
          <c:y val="8.179710144927535E-2"/>
          <c:w val="0.77950865800865798"/>
          <c:h val="0.72704777241009122"/>
        </c:manualLayout>
      </c:layout>
      <c:barChart>
        <c:barDir val="col"/>
        <c:grouping val="clustered"/>
        <c:varyColors val="0"/>
        <c:ser>
          <c:idx val="0"/>
          <c:order val="0"/>
          <c:spPr>
            <a:solidFill>
              <a:srgbClr val="78A22F"/>
            </a:solidFill>
          </c:spPr>
          <c:invertIfNegative val="0"/>
          <c:cat>
            <c:strRef>
              <c:f>'Figure 8.10'!$A$6:$C$6</c:f>
              <c:strCache>
                <c:ptCount val="3"/>
                <c:pt idx="0">
                  <c:v>Scale and age structure effect (scenario 2)</c:v>
                </c:pt>
                <c:pt idx="1">
                  <c:v>Occupational effect 
(scenario 3)</c:v>
                </c:pt>
                <c:pt idx="2">
                  <c:v>Spillover productivity effect 
(scenario 4)</c:v>
                </c:pt>
              </c:strCache>
            </c:strRef>
          </c:cat>
          <c:val>
            <c:numRef>
              <c:f>'Figure 8.10'!$A$7:$C$7</c:f>
              <c:numCache>
                <c:formatCode>0</c:formatCode>
                <c:ptCount val="3"/>
                <c:pt idx="0">
                  <c:v>-19.937235461963986</c:v>
                </c:pt>
                <c:pt idx="1">
                  <c:v>-22.739652096565443</c:v>
                </c:pt>
                <c:pt idx="2">
                  <c:v>-19.659892160929083</c:v>
                </c:pt>
              </c:numCache>
            </c:numRef>
          </c:val>
        </c:ser>
        <c:dLbls>
          <c:showLegendKey val="0"/>
          <c:showVal val="0"/>
          <c:showCatName val="0"/>
          <c:showSerName val="0"/>
          <c:showPercent val="0"/>
          <c:showBubbleSize val="0"/>
        </c:dLbls>
        <c:gapWidth val="150"/>
        <c:axId val="201896320"/>
        <c:axId val="201897856"/>
      </c:barChart>
      <c:catAx>
        <c:axId val="201896320"/>
        <c:scaling>
          <c:orientation val="minMax"/>
        </c:scaling>
        <c:delete val="0"/>
        <c:axPos val="b"/>
        <c:numFmt formatCode="General" sourceLinked="1"/>
        <c:majorTickMark val="none"/>
        <c:minorTickMark val="none"/>
        <c:tickLblPos val="low"/>
        <c:spPr>
          <a:ln>
            <a:solidFill>
              <a:srgbClr val="BFBFBF"/>
            </a:solidFill>
          </a:ln>
        </c:spPr>
        <c:txPr>
          <a:bodyPr/>
          <a:lstStyle/>
          <a:p>
            <a:pPr>
              <a:defRPr sz="900">
                <a:latin typeface="Arial" panose="020B0604020202020204" pitchFamily="34" charset="0"/>
                <a:cs typeface="Arial" panose="020B0604020202020204" pitchFamily="34" charset="0"/>
              </a:defRPr>
            </a:pPr>
            <a:endParaRPr lang="en-US"/>
          </a:p>
        </c:txPr>
        <c:crossAx val="201897856"/>
        <c:crosses val="autoZero"/>
        <c:auto val="1"/>
        <c:lblAlgn val="ctr"/>
        <c:lblOffset val="100"/>
        <c:noMultiLvlLbl val="0"/>
      </c:catAx>
      <c:valAx>
        <c:axId val="201897856"/>
        <c:scaling>
          <c:orientation val="minMax"/>
          <c:max val="0"/>
          <c:min val="-25"/>
        </c:scaling>
        <c:delete val="0"/>
        <c:axPos val="l"/>
        <c:numFmt formatCode="0" sourceLinked="0"/>
        <c:majorTickMark val="out"/>
        <c:minorTickMark val="none"/>
        <c:tickLblPos val="nextTo"/>
        <c:spPr>
          <a:ln>
            <a:solidFill>
              <a:srgbClr val="BFBFBF"/>
            </a:solidFill>
            <a:prstDash val="solid"/>
          </a:ln>
        </c:spPr>
        <c:txPr>
          <a:bodyPr/>
          <a:lstStyle/>
          <a:p>
            <a:pPr>
              <a:defRPr sz="900">
                <a:latin typeface="Arial" panose="020B0604020202020204" pitchFamily="34" charset="0"/>
                <a:cs typeface="Arial" panose="020B0604020202020204" pitchFamily="34" charset="0"/>
              </a:defRPr>
            </a:pPr>
            <a:endParaRPr lang="en-US"/>
          </a:p>
        </c:txPr>
        <c:crossAx val="201896320"/>
        <c:crosses val="autoZero"/>
        <c:crossBetween val="between"/>
        <c:majorUnit val="5"/>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070707070707"/>
          <c:y val="7.4944695802528202E-2"/>
          <c:w val="0.82777994227994223"/>
          <c:h val="0.57717072504585798"/>
        </c:manualLayout>
      </c:layout>
      <c:barChart>
        <c:barDir val="col"/>
        <c:grouping val="clustered"/>
        <c:varyColors val="0"/>
        <c:ser>
          <c:idx val="1"/>
          <c:order val="0"/>
          <c:tx>
            <c:strRef>
              <c:f>'Figure 8.10'!$G$3</c:f>
              <c:strCache>
                <c:ptCount val="1"/>
                <c:pt idx="0">
                  <c:v>Without NOM (scenario 1)</c:v>
                </c:pt>
              </c:strCache>
            </c:strRef>
          </c:tx>
          <c:spPr>
            <a:solidFill>
              <a:srgbClr val="265A9A"/>
            </a:solidFill>
          </c:spPr>
          <c:invertIfNegative val="0"/>
          <c:cat>
            <c:strRef>
              <c:f>'Figure 8.10'!$E$7:$E$14</c:f>
              <c:strCache>
                <c:ptCount val="8"/>
                <c:pt idx="0">
                  <c:v>Managers</c:v>
                </c:pt>
                <c:pt idx="1">
                  <c:v>Professions</c:v>
                </c:pt>
                <c:pt idx="2">
                  <c:v>Technicians &amp; trades</c:v>
                </c:pt>
                <c:pt idx="3">
                  <c:v>Community &amp; pers. services</c:v>
                </c:pt>
                <c:pt idx="4">
                  <c:v>Clerical &amp; administrative</c:v>
                </c:pt>
                <c:pt idx="5">
                  <c:v>Sales</c:v>
                </c:pt>
                <c:pt idx="6">
                  <c:v>Machinery operators &amp; drivers</c:v>
                </c:pt>
                <c:pt idx="7">
                  <c:v>Labourers</c:v>
                </c:pt>
              </c:strCache>
            </c:strRef>
          </c:cat>
          <c:val>
            <c:numRef>
              <c:f>'Figure 8.10'!$G$7:$G$14</c:f>
              <c:numCache>
                <c:formatCode>0</c:formatCode>
                <c:ptCount val="8"/>
                <c:pt idx="0">
                  <c:v>185.857</c:v>
                </c:pt>
                <c:pt idx="1">
                  <c:v>485.31099999999998</c:v>
                </c:pt>
                <c:pt idx="2">
                  <c:v>163.96899999999999</c:v>
                </c:pt>
                <c:pt idx="3">
                  <c:v>494.65699999999998</c:v>
                </c:pt>
                <c:pt idx="4">
                  <c:v>282.23500000000001</c:v>
                </c:pt>
                <c:pt idx="5">
                  <c:v>116.444</c:v>
                </c:pt>
                <c:pt idx="6">
                  <c:v>83.183999999999997</c:v>
                </c:pt>
                <c:pt idx="7">
                  <c:v>215.02199999999999</c:v>
                </c:pt>
              </c:numCache>
            </c:numRef>
          </c:val>
        </c:ser>
        <c:ser>
          <c:idx val="0"/>
          <c:order val="1"/>
          <c:tx>
            <c:strRef>
              <c:f>'Figure 8.10'!$I$3</c:f>
              <c:strCache>
                <c:ptCount val="1"/>
                <c:pt idx="0">
                  <c:v>With NOM (scenario 2)</c:v>
                </c:pt>
              </c:strCache>
            </c:strRef>
          </c:tx>
          <c:spPr>
            <a:solidFill>
              <a:srgbClr val="78A22F"/>
            </a:solidFill>
          </c:spPr>
          <c:invertIfNegative val="0"/>
          <c:cat>
            <c:strRef>
              <c:f>'Figure 8.10'!$E$7:$E$14</c:f>
              <c:strCache>
                <c:ptCount val="8"/>
                <c:pt idx="0">
                  <c:v>Managers</c:v>
                </c:pt>
                <c:pt idx="1">
                  <c:v>Professions</c:v>
                </c:pt>
                <c:pt idx="2">
                  <c:v>Technicians &amp; trades</c:v>
                </c:pt>
                <c:pt idx="3">
                  <c:v>Community &amp; pers. services</c:v>
                </c:pt>
                <c:pt idx="4">
                  <c:v>Clerical &amp; administrative</c:v>
                </c:pt>
                <c:pt idx="5">
                  <c:v>Sales</c:v>
                </c:pt>
                <c:pt idx="6">
                  <c:v>Machinery operators &amp; drivers</c:v>
                </c:pt>
                <c:pt idx="7">
                  <c:v>Labourers</c:v>
                </c:pt>
              </c:strCache>
            </c:strRef>
          </c:cat>
          <c:val>
            <c:numRef>
              <c:f>'Figure 8.10'!$I$7:$I$14</c:f>
              <c:numCache>
                <c:formatCode>0</c:formatCode>
                <c:ptCount val="8"/>
                <c:pt idx="0">
                  <c:v>172.15100000000001</c:v>
                </c:pt>
                <c:pt idx="1">
                  <c:v>404.69099999999997</c:v>
                </c:pt>
                <c:pt idx="2">
                  <c:v>155.82599999999999</c:v>
                </c:pt>
                <c:pt idx="3">
                  <c:v>425.94</c:v>
                </c:pt>
                <c:pt idx="4">
                  <c:v>242.75700000000001</c:v>
                </c:pt>
                <c:pt idx="5">
                  <c:v>113.788</c:v>
                </c:pt>
                <c:pt idx="6">
                  <c:v>75.192000000000007</c:v>
                </c:pt>
                <c:pt idx="7">
                  <c:v>202.434</c:v>
                </c:pt>
              </c:numCache>
            </c:numRef>
          </c:val>
        </c:ser>
        <c:dLbls>
          <c:showLegendKey val="0"/>
          <c:showVal val="0"/>
          <c:showCatName val="0"/>
          <c:showSerName val="0"/>
          <c:showPercent val="0"/>
          <c:showBubbleSize val="0"/>
        </c:dLbls>
        <c:gapWidth val="150"/>
        <c:axId val="203131136"/>
        <c:axId val="203132928"/>
      </c:barChart>
      <c:catAx>
        <c:axId val="203131136"/>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a:latin typeface="Arial" panose="020B0604020202020204" pitchFamily="34" charset="0"/>
                <a:cs typeface="Arial" panose="020B0604020202020204" pitchFamily="34" charset="0"/>
              </a:defRPr>
            </a:pPr>
            <a:endParaRPr lang="en-US"/>
          </a:p>
        </c:txPr>
        <c:crossAx val="203132928"/>
        <c:crosses val="autoZero"/>
        <c:auto val="1"/>
        <c:lblAlgn val="ctr"/>
        <c:lblOffset val="100"/>
        <c:noMultiLvlLbl val="0"/>
      </c:catAx>
      <c:valAx>
        <c:axId val="203132928"/>
        <c:scaling>
          <c:orientation val="minMax"/>
          <c:max val="500"/>
          <c:min val="0"/>
        </c:scaling>
        <c:delete val="0"/>
        <c:axPos val="l"/>
        <c:numFmt formatCode="0" sourceLinked="0"/>
        <c:majorTickMark val="out"/>
        <c:minorTickMark val="none"/>
        <c:tickLblPos val="nextTo"/>
        <c:spPr>
          <a:ln>
            <a:solidFill>
              <a:srgbClr val="BFBFBF"/>
            </a:solidFill>
            <a:prstDash val="solid"/>
          </a:ln>
        </c:spPr>
        <c:txPr>
          <a:bodyPr/>
          <a:lstStyle/>
          <a:p>
            <a:pPr>
              <a:defRPr sz="900">
                <a:latin typeface="Arial" panose="020B0604020202020204" pitchFamily="34" charset="0"/>
                <a:cs typeface="Arial" panose="020B0604020202020204" pitchFamily="34" charset="0"/>
              </a:defRPr>
            </a:pPr>
            <a:endParaRPr lang="en-US"/>
          </a:p>
        </c:txPr>
        <c:crossAx val="203131136"/>
        <c:crosses val="autoZero"/>
        <c:crossBetween val="between"/>
        <c:majorUnit val="100"/>
      </c:valAx>
    </c:plotArea>
    <c:legend>
      <c:legendPos val="r"/>
      <c:legendEntry>
        <c:idx val="0"/>
        <c:txPr>
          <a:bodyPr/>
          <a:lstStyle/>
          <a:p>
            <a:pPr>
              <a:defRPr sz="900">
                <a:latin typeface="Arial" panose="020B0604020202020204" pitchFamily="34" charset="0"/>
                <a:cs typeface="Arial" panose="020B0604020202020204" pitchFamily="34" charset="0"/>
              </a:defRPr>
            </a:pPr>
            <a:endParaRPr lang="en-US"/>
          </a:p>
        </c:txPr>
      </c:legendEntry>
      <c:legendEntry>
        <c:idx val="1"/>
        <c:txPr>
          <a:bodyPr/>
          <a:lstStyle/>
          <a:p>
            <a:pPr>
              <a:defRPr sz="900">
                <a:latin typeface="Arial" panose="020B0604020202020204" pitchFamily="34" charset="0"/>
                <a:cs typeface="Arial" panose="020B0604020202020204" pitchFamily="34" charset="0"/>
              </a:defRPr>
            </a:pPr>
            <a:endParaRPr lang="en-US"/>
          </a:p>
        </c:txPr>
      </c:legendEntry>
      <c:layout>
        <c:manualLayout>
          <c:xMode val="edge"/>
          <c:yMode val="edge"/>
          <c:x val="0.59659523809523807"/>
          <c:y val="8.3092928665866872E-2"/>
          <c:w val="0.37133405483405485"/>
          <c:h val="0.1861696071934518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0.01291</cdr:y>
    </cdr:from>
    <cdr:to>
      <cdr:x>0.52541</cdr:x>
      <cdr:y>0.11362</cdr:y>
    </cdr:to>
    <cdr:sp macro="" textlink="">
      <cdr:nvSpPr>
        <cdr:cNvPr id="3" name="TextBox 2"/>
        <cdr:cNvSpPr txBox="1"/>
      </cdr:nvSpPr>
      <cdr:spPr>
        <a:xfrm xmlns:a="http://schemas.openxmlformats.org/drawingml/2006/main">
          <a:off x="0" y="31606"/>
          <a:ext cx="1456436" cy="246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900">
              <a:latin typeface="Arial" panose="020B0604020202020204" pitchFamily="34" charset="0"/>
              <a:cs typeface="Arial" panose="020B0604020202020204" pitchFamily="34" charset="0"/>
            </a:rPr>
            <a:t>Thousand persons</a:t>
          </a:r>
        </a:p>
      </cdr:txBody>
    </cdr:sp>
  </cdr:relSizeAnchor>
</c:userShapes>
</file>

<file path=word/drawings/drawing2.xml><?xml version="1.0" encoding="utf-8"?>
<c:userShapes xmlns:c="http://schemas.openxmlformats.org/drawingml/2006/chart">
  <cdr:relSizeAnchor xmlns:cdr="http://schemas.openxmlformats.org/drawingml/2006/chartDrawing">
    <cdr:from>
      <cdr:x>0.00189</cdr:x>
      <cdr:y>0</cdr:y>
    </cdr:from>
    <cdr:to>
      <cdr:x>0.81093</cdr:x>
      <cdr:y>0.07158</cdr:y>
    </cdr:to>
    <cdr:sp macro="" textlink="">
      <cdr:nvSpPr>
        <cdr:cNvPr id="4" name="TextBox 3"/>
        <cdr:cNvSpPr txBox="1"/>
      </cdr:nvSpPr>
      <cdr:spPr>
        <a:xfrm xmlns:a="http://schemas.openxmlformats.org/drawingml/2006/main">
          <a:off x="5239" y="0"/>
          <a:ext cx="2242661"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900">
              <a:latin typeface="Arial" panose="020B0604020202020204" pitchFamily="34" charset="0"/>
              <a:cs typeface="Arial" panose="020B0604020202020204" pitchFamily="34" charset="0"/>
            </a:rPr>
            <a:t>Percentage deviation from scenario 1</a:t>
          </a:r>
        </a:p>
      </cdr:txBody>
    </cdr:sp>
  </cdr:relSizeAnchor>
</c:userShapes>
</file>

<file path=word/drawings/drawing3.xml><?xml version="1.0" encoding="utf-8"?>
<c:userShapes xmlns:c="http://schemas.openxmlformats.org/drawingml/2006/chart">
  <cdr:relSizeAnchor xmlns:cdr="http://schemas.openxmlformats.org/drawingml/2006/chartDrawing">
    <cdr:from>
      <cdr:x>0.00189</cdr:x>
      <cdr:y>0</cdr:y>
    </cdr:from>
    <cdr:to>
      <cdr:x>0.56337</cdr:x>
      <cdr:y>0.09114</cdr:y>
    </cdr:to>
    <cdr:sp macro="" textlink="">
      <cdr:nvSpPr>
        <cdr:cNvPr id="4" name="TextBox 3"/>
        <cdr:cNvSpPr txBox="1"/>
      </cdr:nvSpPr>
      <cdr:spPr>
        <a:xfrm xmlns:a="http://schemas.openxmlformats.org/drawingml/2006/main">
          <a:off x="5239" y="0"/>
          <a:ext cx="1556423" cy="355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latin typeface="Arial" panose="020B0604020202020204" pitchFamily="34" charset="0"/>
              <a:cs typeface="Arial" panose="020B0604020202020204" pitchFamily="34" charset="0"/>
            </a:rPr>
            <a:t>Index</a:t>
          </a:r>
          <a:r>
            <a:rPr lang="en-AU" sz="900" baseline="0">
              <a:latin typeface="Arial" panose="020B0604020202020204" pitchFamily="34" charset="0"/>
              <a:cs typeface="Arial" panose="020B0604020202020204" pitchFamily="34" charset="0"/>
            </a:rPr>
            <a:t> (2013-14=100)</a:t>
          </a:r>
          <a:endParaRPr lang="en-AU" sz="9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C8C8C8"/>
      </a:lt2>
      <a:accent1>
        <a:srgbClr val="78A22F"/>
      </a:accent1>
      <a:accent2>
        <a:srgbClr val="265A9A"/>
      </a:accent2>
      <a:accent3>
        <a:srgbClr val="B2D673"/>
      </a:accent3>
      <a:accent4>
        <a:srgbClr val="000000"/>
      </a:accent4>
      <a:accent5>
        <a:srgbClr val="F2F2F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startFromScratch="false">
    <tabs>
      <tab idMso="TabHome">
        <group id="customPrelimSettings" label="Prelim Options" insertBeforeMso="GroupClipboard">
          <!--	<button id="customButtonPS" label="Prelim Settings" size="large" onAction="callStatPS" imageMso="MasterDetail"/>-->
          <button id="customButtonIL" label="Insert Links" size="large" onAction="callStatIL" imageMso="InsertLink"/>
          <button id="customButtonTOC" label="Insert TOC" size="large" onAction="callStatTOC" imageMso="TableOfContentsDialog"/>
          <button id="customButtonBNP" label="Insert Blank Next Page" showLabel="false" size="large" onAction="callStatBNP" imageMso="NextPage"/>
          <gallery idMso="CustomGallery2" label="Prelim Parts" size="large"/>
          <button id="customButtonHelp" label="Help Using Template" size="normal" onAction="callStatHelp" imageMso="Help"/>
        </group>
        <group idMso="GroupParagraph" visible="false"/>
        <group id="customGrpParagraph" label="Paragraph" insertBeforeMso="GroupStyles">
          <box id="HA1" boxStyle="horizontal">
            <buttonGroup id="HAButtonGroup1">
              <button id="customButton1" onAction="callStatBullets" imageMso="BulletsAndNumberingBulletsDialog"/>
              <button id="customButton2" onAction="callStatNumbers" imageMso="NumberingCustomize"/>
              <button id="customButton4" onAction="callStatDecreaseIndent" imageMso="IndentDecrease"/>
              <button id="customButton3" onAction="callStatIncreaseIndent" imageMso="IndentIncrease"/>
              <button idMso="SortAscendingWord" showLabel="false"/>
              <toggleButton idMso="ParagraphMarks"/>
            </buttonGroup>
          </box>
          <box id="HA2" boxStyle="horizontal">
            <buttonGroup id="HAButtonGroup2">
              <toggleButton idMso="AlignLeft"/>
              <toggleButton idMso="AlignCenter"/>
              <toggleButton idMso="AlignRight"/>
              <toggleButton idMso="AlignJustify"/>
            </buttonGroup>
            <buttonGroup id="HAButtonGroup3">
              <menu idMso="LineSpacingMenu" showLabel="false"/>
            </buttonGroup>
            <buttonGroup id="HAButtonGroup4">
              <gallery idMso="ShadingColorPicker" showLabel="false"/>
            </buttonGroup>
            <buttonGroup id="HAButtonGroup5">
              <splitButton idMso="TableBordersMenu"/>
            </buttonGroup>
          </box>
          <dialogBoxLauncher>
            <button idMso="ParagraphDialog"/>
          </dialogBoxLauncher>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Draft Report" ma:contentTypeID="0x0101005D8B35F5120D954F8F8E5325D53E4EE01300D6A59C9FC93E4E4AA284D8305C391393" ma:contentTypeVersion="7" ma:contentTypeDescription="" ma:contentTypeScope="" ma:versionID="d23d2f19da641ba1387cb60c9bdd2c16">
  <xsd:schema xmlns:xsd="http://www.w3.org/2001/XMLSchema" xmlns:xs="http://www.w3.org/2001/XMLSchema" xmlns:p="http://schemas.microsoft.com/office/2006/metadata/properties" xmlns:ns2="3f4bcce7-ac1a-4c9d-aa3e-7e77695652db" xmlns:ns3="fa518fac-296c-4bda-9fd0-5be7b29134f5" targetNamespace="http://schemas.microsoft.com/office/2006/metadata/properties" ma:root="true" ma:fieldsID="41146774b12bab746dcd4b6f16e33223" ns2:_="" ns3:_="">
    <xsd:import namespace="3f4bcce7-ac1a-4c9d-aa3e-7e77695652db"/>
    <xsd:import namespace="fa518fac-296c-4bda-9fd0-5be7b29134f5"/>
    <xsd:element name="properties">
      <xsd:complexType>
        <xsd:sequence>
          <xsd:element name="documentManagement">
            <xsd:complexType>
              <xsd:all>
                <xsd:element ref="ns2:TaxCatchAll" minOccurs="0"/>
                <xsd:element ref="ns2:TaxCatchAllLabel" minOccurs="0"/>
                <xsd:element ref="ns3:h7f5eaef2248461c91cd262ee36682e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518fac-296c-4bda-9fd0-5be7b29134f5" elementFormDefault="qualified">
    <xsd:import namespace="http://schemas.microsoft.com/office/2006/documentManagement/types"/>
    <xsd:import namespace="http://schemas.microsoft.com/office/infopath/2007/PartnerControls"/>
    <xsd:element name="h7f5eaef2248461c91cd262ee36682e3" ma:index="11" nillable="true" ma:taxonomy="true" ma:internalName="h7f5eaef2248461c91cd262ee36682e3" ma:taxonomyFieldName="Record" ma:displayName="Record" ma:default="226;#Reporting|ddb653f1-8a2b-466c-9640-19b72d588baa" ma:fieldId="{17f5eaef-2248-461c-91cd-262ee36682e3}" ma:sspId="70da5c63-8548-4ac8-9616-83b0f373280e" ma:termSetId="e99b77ca-c000-4e3f-a77f-a64077d5e2f2" ma:anchorId="609e2780-d171-4fcc-ba6e-ba515af27ffb"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7f5eaef2248461c91cd262ee36682e3 xmlns="fa518fac-296c-4bda-9fd0-5be7b29134f5">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ddb653f1-8a2b-466c-9640-19b72d588baa</TermId>
        </TermInfo>
      </Terms>
    </h7f5eaef2248461c91cd262ee36682e3>
    <TaxCatchAll xmlns="3f4bcce7-ac1a-4c9d-aa3e-7e77695652db">
      <Value>226</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0da5c63-8548-4ac8-9616-83b0f373280e" ContentTypeId="0x0101" PreviousValue="false"/>
</file>

<file path=customXml/item6.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C6CE61E-0064-4119-BDA7-E1B8858CFD55}">
  <ds:schemaRefs>
    <ds:schemaRef ds:uri="http://schemas.microsoft.com/office/2006/metadata/customXsn"/>
  </ds:schemaRefs>
</ds:datastoreItem>
</file>

<file path=customXml/itemProps2.xml><?xml version="1.0" encoding="utf-8"?>
<ds:datastoreItem xmlns:ds="http://schemas.openxmlformats.org/officeDocument/2006/customXml" ds:itemID="{0848DB16-1728-48E6-BA64-394CEAC6C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fa518fac-296c-4bda-9fd0-5be7b29134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7766DA-493C-4D64-8BE9-B7298BD7953A}">
  <ds:schemaRefs>
    <ds:schemaRef ds:uri="3f4bcce7-ac1a-4c9d-aa3e-7e77695652db"/>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fa518fac-296c-4bda-9fd0-5be7b29134f5"/>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0B5E084-AA7B-4037-80A9-D9F405CF1A2B}">
  <ds:schemaRefs>
    <ds:schemaRef ds:uri="http://schemas.microsoft.com/sharepoint/v3/contenttype/forms"/>
  </ds:schemaRefs>
</ds:datastoreItem>
</file>

<file path=customXml/itemProps5.xml><?xml version="1.0" encoding="utf-8"?>
<ds:datastoreItem xmlns:ds="http://schemas.openxmlformats.org/officeDocument/2006/customXml" ds:itemID="{B08299D8-34FF-4FA0-A397-706A8B107075}">
  <ds:schemaRefs>
    <ds:schemaRef ds:uri="Microsoft.SharePoint.Taxonomy.ContentTypeSync"/>
  </ds:schemaRefs>
</ds:datastoreItem>
</file>

<file path=customXml/itemProps6.xml><?xml version="1.0" encoding="utf-8"?>
<ds:datastoreItem xmlns:ds="http://schemas.openxmlformats.org/officeDocument/2006/customXml" ds:itemID="{233BABC4-C0D4-4024-91B6-59564B69E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B66F7860.dotm</Template>
  <TotalTime>44</TotalTime>
  <Pages>45</Pages>
  <Words>12701</Words>
  <Characters>75964</Characters>
  <Application>Microsoft Office Word</Application>
  <DocSecurity>0</DocSecurity>
  <Lines>633</Lines>
  <Paragraphs>176</Paragraphs>
  <ScaleCrop>false</ScaleCrop>
  <HeadingPairs>
    <vt:vector size="2" baseType="variant">
      <vt:variant>
        <vt:lpstr>Title</vt:lpstr>
      </vt:variant>
      <vt:variant>
        <vt:i4>1</vt:i4>
      </vt:variant>
    </vt:vector>
  </HeadingPairs>
  <TitlesOfParts>
    <vt:vector size="1" baseType="lpstr">
      <vt:lpstr>The Economywide Impacts</vt:lpstr>
    </vt:vector>
  </TitlesOfParts>
  <Manager>Productivity Commission</Manager>
  <Company>Productivity Commission</Company>
  <LinksUpToDate>false</LinksUpToDate>
  <CharactersWithSpaces>88489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Economywide Impacts</dc:title>
  <dc:subject>MIGRANT INTAKE INTO AUSTRALIA – TECHNICAL SUPPLEMENT A</dc:subject>
  <dc:creator>Productivity Commission</dc:creator>
  <dc:description>A.</dc:description>
  <cp:lastModifiedBy>Productivity Commission</cp:lastModifiedBy>
  <cp:revision>7</cp:revision>
  <cp:lastPrinted>2009-07-15T23:41:00Z</cp:lastPrinted>
  <dcterms:created xsi:type="dcterms:W3CDTF">2015-11-27T04:53:00Z</dcterms:created>
  <dcterms:modified xsi:type="dcterms:W3CDTF">2016-09-06T02:52:00Z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0x0101005D8B35F5120D954F8F8E5325D53E4EE01300D6A59C9FC93E4E4AA284D8305C391393</vt:lpwstr>
  </property>
  <property fmtid="{D5CDD505-2E9C-101B-9397-08002B2CF9AE}" pid="3" name="Record">
    <vt:lpwstr>226;#Reporting|ddb653f1-8a2b-466c-9640-19b72d588baa</vt:lpwstr>
  </property>
</Properties>
</file>