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FBEF2" w14:textId="11EE1E2F" w:rsidR="002F0B35" w:rsidRDefault="002F0B35">
      <w:pPr>
        <w:rPr>
          <w:sz w:val="52"/>
          <w:szCs w:val="20"/>
        </w:rPr>
      </w:pPr>
      <w:bookmarkStart w:id="0" w:name="_AppendixNotByChapter"/>
      <w:bookmarkStart w:id="1" w:name="ChapterTitle"/>
      <w:bookmarkEnd w:id="0"/>
      <w:r>
        <w:rPr>
          <w:noProof/>
        </w:rPr>
        <w:drawing>
          <wp:anchor distT="0" distB="0" distL="114300" distR="114300" simplePos="0" relativeHeight="251659264" behindDoc="0" locked="0" layoutInCell="1" allowOverlap="1" wp14:anchorId="7708A3DF" wp14:editId="52D31FA4">
            <wp:simplePos x="0" y="0"/>
            <wp:positionH relativeFrom="page">
              <wp:align>center</wp:align>
            </wp:positionH>
            <wp:positionV relativeFrom="page">
              <wp:align>center</wp:align>
            </wp:positionV>
            <wp:extent cx="7563600" cy="10702800"/>
            <wp:effectExtent l="0" t="0" r="0" b="3810"/>
            <wp:wrapNone/>
            <wp:docPr id="40" name="Picture 40" descr="Cover for: The economywide impacts of migration — general equilibrium modelling - Technical Supplement B - Migrant Intake into Australia, April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chnical-supplement-B.png"/>
                    <pic:cNvPicPr/>
                  </pic:nvPicPr>
                  <pic:blipFill>
                    <a:blip r:embed="rId14">
                      <a:extLst>
                        <a:ext uri="{28A0092B-C50C-407E-A947-70E740481C1C}">
                          <a14:useLocalDpi xmlns:a14="http://schemas.microsoft.com/office/drawing/2010/main" val="0"/>
                        </a:ext>
                      </a:extLst>
                    </a:blip>
                    <a:stretch>
                      <a:fillRect/>
                    </a:stretch>
                  </pic:blipFill>
                  <pic:spPr>
                    <a:xfrm>
                      <a:off x="0" y="0"/>
                      <a:ext cx="7563600" cy="1070280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128D4D91" w14:textId="77777777" w:rsidR="002F0B35" w:rsidRDefault="002F0B35" w:rsidP="002F0B35">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2016</w:t>
      </w:r>
    </w:p>
    <w:p w14:paraId="51E56CB2" w14:textId="77777777" w:rsidR="002F0B35" w:rsidRDefault="002F0B35" w:rsidP="002F0B35">
      <w:pPr>
        <w:pStyle w:val="BodyText"/>
        <w:spacing w:after="120"/>
      </w:pPr>
      <w:bookmarkStart w:id="2" w:name="ISSN"/>
      <w:bookmarkEnd w:id="2"/>
      <w:r w:rsidRPr="00862D8F">
        <w:rPr>
          <w:noProof/>
          <w:sz w:val="22"/>
          <w:szCs w:val="22"/>
        </w:rPr>
        <w:drawing>
          <wp:inline distT="0" distB="0" distL="0" distR="0" wp14:anchorId="44BE6440" wp14:editId="5718BB92">
            <wp:extent cx="843280" cy="295043"/>
            <wp:effectExtent l="0" t="0" r="0" b="0"/>
            <wp:docPr id="41" name="Picture 41"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6987CB44" w14:textId="77777777" w:rsidR="002F0B35" w:rsidRPr="008A3857" w:rsidRDefault="002F0B35" w:rsidP="002F0B35">
      <w:pPr>
        <w:pStyle w:val="Copyrightbodytext"/>
      </w:pPr>
      <w:r w:rsidRPr="008A3857">
        <w:t xml:space="preserve">Except for the Commonwealth Coat of Arms and content supplied by third parties, this copyright work is licensed under a Creative Commons Attribution 3.0 Australia licence. To view a copy of this licence, visit </w:t>
      </w:r>
      <w:hyperlink r:id="rId16" w:history="1">
        <w:hyperlink r:id="rId17"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198DF168" w14:textId="77777777" w:rsidR="002F0B35" w:rsidRPr="008A3857" w:rsidRDefault="002F0B35" w:rsidP="002F0B35">
      <w:pPr>
        <w:pStyle w:val="Copyrightsubtitle"/>
      </w:pPr>
      <w:r w:rsidRPr="008A3857">
        <w:t>Use of the Commonwealth Coat of Arms</w:t>
      </w:r>
    </w:p>
    <w:p w14:paraId="7572E65D" w14:textId="77777777" w:rsidR="002F0B35" w:rsidRPr="008A3857" w:rsidRDefault="002F0B35" w:rsidP="002F0B35">
      <w:pPr>
        <w:pStyle w:val="Copyrightbodytext"/>
      </w:pPr>
      <w:r w:rsidRPr="008A3857">
        <w:t>For terms of use of the Coat of Arms visit the ‘</w:t>
      </w:r>
      <w:hyperlink r:id="rId18" w:history="1">
        <w:r w:rsidRPr="00805FD7">
          <w:t>It’s an Honour</w:t>
        </w:r>
      </w:hyperlink>
      <w:r w:rsidRPr="008A3857">
        <w:t>’ website</w:t>
      </w:r>
      <w:r w:rsidRPr="00BA0B81">
        <w:t xml:space="preserve">: </w:t>
      </w:r>
      <w:hyperlink r:id="rId19" w:history="1">
        <w:r w:rsidRPr="00805FD7">
          <w:t>http://</w:t>
        </w:r>
        <w:proofErr w:type="spellStart"/>
        <w:r w:rsidRPr="00805FD7">
          <w:t>www.itsanhonour.gov.au</w:t>
        </w:r>
        <w:proofErr w:type="spellEnd"/>
      </w:hyperlink>
    </w:p>
    <w:p w14:paraId="53FC77D8" w14:textId="77777777" w:rsidR="002F0B35" w:rsidRPr="008A3857" w:rsidRDefault="002F0B35" w:rsidP="002F0B35">
      <w:pPr>
        <w:pStyle w:val="Copyrightsubtitle"/>
      </w:pPr>
      <w:r w:rsidRPr="008A3857">
        <w:t>Third party copyright</w:t>
      </w:r>
    </w:p>
    <w:p w14:paraId="178E6F44" w14:textId="77777777" w:rsidR="002F0B35" w:rsidRPr="008A3857" w:rsidRDefault="002F0B35" w:rsidP="002F0B35">
      <w:pPr>
        <w:pStyle w:val="Copyrightbodytext"/>
      </w:pPr>
      <w:r w:rsidRPr="008A3857">
        <w:t>Wherever a third party holds copyright in this material, the copyright remains with that party. Their permission may be required to use the material, please contact them directly.</w:t>
      </w:r>
    </w:p>
    <w:p w14:paraId="4E4F365B" w14:textId="77777777" w:rsidR="002F0B35" w:rsidRPr="008A3857" w:rsidRDefault="002F0B35" w:rsidP="002F0B35">
      <w:pPr>
        <w:pStyle w:val="Copyrightsubtitle"/>
      </w:pPr>
      <w:r w:rsidRPr="008A3857">
        <w:t xml:space="preserve">An appropriate </w:t>
      </w:r>
      <w:r>
        <w:t>reference</w:t>
      </w:r>
      <w:r w:rsidRPr="008A3857">
        <w:t xml:space="preserve"> for this publication is:</w:t>
      </w:r>
    </w:p>
    <w:p w14:paraId="4FE512CE" w14:textId="72DC8E6A" w:rsidR="002F0B35" w:rsidRPr="008A3857" w:rsidRDefault="002F0B35" w:rsidP="002F0B35">
      <w:pPr>
        <w:pStyle w:val="Copyrightbodytext"/>
      </w:pPr>
      <w:r>
        <w:t xml:space="preserve">Productivity Commission </w:t>
      </w:r>
      <w:r w:rsidRPr="003B25A2">
        <w:t>201</w:t>
      </w:r>
      <w:r>
        <w:t>6</w:t>
      </w:r>
      <w:r w:rsidRPr="003B25A2">
        <w:t>, ‘</w:t>
      </w:r>
      <w:r w:rsidRPr="002F0B35">
        <w:rPr>
          <w:i/>
        </w:rPr>
        <w:t xml:space="preserve">The </w:t>
      </w:r>
      <w:proofErr w:type="spellStart"/>
      <w:r w:rsidRPr="002F0B35">
        <w:rPr>
          <w:i/>
        </w:rPr>
        <w:t>economywide</w:t>
      </w:r>
      <w:proofErr w:type="spellEnd"/>
      <w:r w:rsidRPr="002F0B35">
        <w:rPr>
          <w:i/>
        </w:rPr>
        <w:t xml:space="preserve"> impacts of migration — general equilibrium modelling</w:t>
      </w:r>
      <w:r w:rsidRPr="003B25A2">
        <w:t xml:space="preserve">’, </w:t>
      </w:r>
      <w:r>
        <w:t>Migrant Intake</w:t>
      </w:r>
      <w:r>
        <w:t xml:space="preserve"> into Australia </w:t>
      </w:r>
      <w:r w:rsidRPr="003B25A2">
        <w:t>—Technical Supplement</w:t>
      </w:r>
      <w:r>
        <w:t xml:space="preserve"> </w:t>
      </w:r>
      <w:r>
        <w:t>B</w:t>
      </w:r>
      <w:r w:rsidRPr="003B25A2">
        <w:t>, Canberra.</w:t>
      </w:r>
    </w:p>
    <w:p w14:paraId="220F4932" w14:textId="77777777" w:rsidR="002F0B35" w:rsidRPr="008A3857" w:rsidRDefault="002F0B35" w:rsidP="002F0B35">
      <w:pPr>
        <w:pStyle w:val="Copyrightsubtitle"/>
      </w:pPr>
      <w:bookmarkStart w:id="3" w:name="JEL"/>
      <w:bookmarkEnd w:id="3"/>
      <w:r w:rsidRPr="008A3857">
        <w:t>Publications enquiries</w:t>
      </w:r>
    </w:p>
    <w:p w14:paraId="3F77CD45" w14:textId="77777777" w:rsidR="002F0B35" w:rsidRDefault="002F0B35" w:rsidP="002F0B35">
      <w:pPr>
        <w:pStyle w:val="Copyrightbodytext"/>
      </w:pPr>
      <w:r w:rsidRPr="008A3857">
        <w:t xml:space="preserve">Media and Publications, </w:t>
      </w:r>
      <w:r>
        <w:rPr>
          <w:szCs w:val="24"/>
        </w:rPr>
        <w:t>phone:</w:t>
      </w:r>
      <w:r w:rsidRPr="00BB5DCF">
        <w:rPr>
          <w:szCs w:val="24"/>
        </w:rPr>
        <w:t xml:space="preserve"> (03) 9653 2244 or email: </w:t>
      </w:r>
      <w:proofErr w:type="spellStart"/>
      <w:r w:rsidRPr="00BB5DCF">
        <w:rPr>
          <w:szCs w:val="24"/>
        </w:rPr>
        <w:t>maps@pc.gov.au</w:t>
      </w:r>
      <w:proofErr w:type="spellEnd"/>
    </w:p>
    <w:p w14:paraId="720A9C31" w14:textId="77777777" w:rsidR="002F0B35" w:rsidRDefault="002F0B35" w:rsidP="002F0B3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2F0B35" w14:paraId="37668A1D" w14:textId="77777777" w:rsidTr="00956708">
        <w:tc>
          <w:tcPr>
            <w:tcW w:w="8771" w:type="dxa"/>
            <w:tcBorders>
              <w:top w:val="single" w:sz="6" w:space="0" w:color="78A22F"/>
              <w:left w:val="nil"/>
              <w:bottom w:val="nil"/>
              <w:right w:val="nil"/>
            </w:tcBorders>
            <w:shd w:val="clear" w:color="auto" w:fill="F2F2F2" w:themeFill="background1" w:themeFillShade="F2"/>
          </w:tcPr>
          <w:p w14:paraId="1C16F29F" w14:textId="77777777" w:rsidR="002F0B35" w:rsidRPr="008A3857" w:rsidRDefault="002F0B35" w:rsidP="00956708">
            <w:pPr>
              <w:pStyle w:val="BoxTitle"/>
              <w:rPr>
                <w:sz w:val="22"/>
                <w:szCs w:val="22"/>
              </w:rPr>
            </w:pPr>
            <w:r w:rsidRPr="008A3857">
              <w:rPr>
                <w:sz w:val="22"/>
                <w:szCs w:val="22"/>
              </w:rPr>
              <w:t>The Productivity Commission</w:t>
            </w:r>
          </w:p>
        </w:tc>
      </w:tr>
      <w:tr w:rsidR="002F0B35" w14:paraId="29407AE1" w14:textId="77777777" w:rsidTr="00956708">
        <w:tc>
          <w:tcPr>
            <w:tcW w:w="8771" w:type="dxa"/>
            <w:tcBorders>
              <w:top w:val="nil"/>
              <w:left w:val="nil"/>
              <w:bottom w:val="nil"/>
              <w:right w:val="nil"/>
            </w:tcBorders>
            <w:shd w:val="clear" w:color="auto" w:fill="F2F2F2" w:themeFill="background1" w:themeFillShade="F2"/>
          </w:tcPr>
          <w:p w14:paraId="73CD57E5" w14:textId="77777777" w:rsidR="002F0B35" w:rsidRDefault="002F0B35" w:rsidP="00956708">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27B1D278" w14:textId="77777777" w:rsidR="002F0B35" w:rsidRDefault="002F0B35" w:rsidP="00956708">
            <w:pPr>
              <w:pStyle w:val="Box"/>
            </w:pPr>
            <w:r w:rsidRPr="00BB5DCF">
              <w:t>The Commission’s independence is underpinned by an Act of Parliament. Its processes and outputs are open to public scrutiny and are driven by concern for the wellbeing of the community as a whole.</w:t>
            </w:r>
          </w:p>
          <w:p w14:paraId="6BE41D2F" w14:textId="77777777" w:rsidR="002F0B35" w:rsidRDefault="002F0B35" w:rsidP="00956708">
            <w:pPr>
              <w:pStyle w:val="Box"/>
            </w:pPr>
            <w:r w:rsidRPr="00BB5DCF">
              <w:rPr>
                <w:szCs w:val="24"/>
              </w:rPr>
              <w:t>Further information on the Productivity Commission can be obtained from the Commission’s website (</w:t>
            </w:r>
            <w:proofErr w:type="spellStart"/>
            <w:r>
              <w:fldChar w:fldCharType="begin"/>
            </w:r>
            <w:r>
              <w:instrText xml:space="preserve"> HYPERLINK "http://www.pc.gov.au/" </w:instrText>
            </w:r>
            <w:r>
              <w:fldChar w:fldCharType="separate"/>
            </w:r>
            <w:r w:rsidRPr="00805FD7">
              <w:t>www.pc.gov.au</w:t>
            </w:r>
            <w:proofErr w:type="spellEnd"/>
            <w:r>
              <w:fldChar w:fldCharType="end"/>
            </w:r>
            <w:r w:rsidRPr="00BB5DCF">
              <w:rPr>
                <w:szCs w:val="24"/>
              </w:rPr>
              <w:t>)</w:t>
            </w:r>
            <w:r>
              <w:rPr>
                <w:szCs w:val="24"/>
              </w:rPr>
              <w:t>.</w:t>
            </w:r>
          </w:p>
        </w:tc>
      </w:tr>
      <w:tr w:rsidR="002F0B35" w14:paraId="63BC2AAF" w14:textId="77777777" w:rsidTr="00956708">
        <w:tc>
          <w:tcPr>
            <w:tcW w:w="8771" w:type="dxa"/>
            <w:tcBorders>
              <w:top w:val="nil"/>
              <w:left w:val="nil"/>
              <w:bottom w:val="single" w:sz="6" w:space="0" w:color="78A22F"/>
              <w:right w:val="nil"/>
            </w:tcBorders>
            <w:shd w:val="clear" w:color="auto" w:fill="F2F2F2" w:themeFill="background1" w:themeFillShade="F2"/>
          </w:tcPr>
          <w:p w14:paraId="29B6C54F" w14:textId="77777777" w:rsidR="002F0B35" w:rsidRDefault="002F0B35" w:rsidP="00956708">
            <w:pPr>
              <w:pStyle w:val="Box"/>
              <w:spacing w:before="0" w:line="120" w:lineRule="exact"/>
            </w:pPr>
          </w:p>
        </w:tc>
      </w:tr>
    </w:tbl>
    <w:p w14:paraId="5948BD88" w14:textId="3F6E9F9D" w:rsidR="00BF5A3C" w:rsidRDefault="00BF5A3C" w:rsidP="00135329">
      <w:pPr>
        <w:pStyle w:val="Heading1nochapterno"/>
        <w:sectPr w:rsidR="00BF5A3C" w:rsidSect="00612FEF">
          <w:headerReference w:type="default" r:id="rId20"/>
          <w:footerReference w:type="default" r:id="rId21"/>
          <w:pgSz w:w="11907" w:h="16840" w:code="9"/>
          <w:pgMar w:top="1984" w:right="1304" w:bottom="993" w:left="1814" w:header="1701" w:footer="397" w:gutter="0"/>
          <w:pgNumType w:start="1" w:chapStyle="1" w:chapSep="period"/>
          <w:cols w:space="720"/>
          <w:docGrid w:linePitch="326"/>
        </w:sectPr>
      </w:pPr>
    </w:p>
    <w:p w14:paraId="028444A9" w14:textId="74FF5829" w:rsidR="00A33DFF" w:rsidRPr="00102E22" w:rsidRDefault="00135329" w:rsidP="00102E22">
      <w:pPr>
        <w:pStyle w:val="Heading1nochapterno"/>
        <w:ind w:right="-142"/>
        <w:rPr>
          <w:spacing w:val="-4"/>
        </w:rPr>
      </w:pPr>
      <w:bookmarkStart w:id="5" w:name="_GoBack"/>
      <w:bookmarkEnd w:id="5"/>
      <w:r w:rsidRPr="00102E22">
        <w:rPr>
          <w:spacing w:val="-6"/>
        </w:rPr>
        <w:lastRenderedPageBreak/>
        <w:t xml:space="preserve">The </w:t>
      </w:r>
      <w:proofErr w:type="spellStart"/>
      <w:r w:rsidRPr="00102E22">
        <w:rPr>
          <w:spacing w:val="-6"/>
        </w:rPr>
        <w:t>economywide</w:t>
      </w:r>
      <w:proofErr w:type="spellEnd"/>
      <w:r w:rsidRPr="00102E22">
        <w:rPr>
          <w:spacing w:val="-6"/>
        </w:rPr>
        <w:t xml:space="preserve"> impacts of migration — general equilibrium modelling</w:t>
      </w:r>
      <w:bookmarkEnd w:id="1"/>
    </w:p>
    <w:p w14:paraId="028444AA" w14:textId="680C145A" w:rsidR="00280DD7" w:rsidRDefault="00280DD7" w:rsidP="00762EFC">
      <w:pPr>
        <w:pStyle w:val="BodyText"/>
      </w:pPr>
      <w:bookmarkStart w:id="6" w:name="begin"/>
      <w:bookmarkEnd w:id="6"/>
      <w:r>
        <w:t xml:space="preserve">This technical supplement provides details of </w:t>
      </w:r>
      <w:r w:rsidR="00DC3DDE">
        <w:t xml:space="preserve">the </w:t>
      </w:r>
      <w:r>
        <w:t>modelling</w:t>
      </w:r>
      <w:r w:rsidR="00DC3DDE">
        <w:t xml:space="preserve"> undertaken to analyse the </w:t>
      </w:r>
      <w:proofErr w:type="spellStart"/>
      <w:r w:rsidR="00DC3DDE">
        <w:t>economywide</w:t>
      </w:r>
      <w:proofErr w:type="spellEnd"/>
      <w:r w:rsidR="00DC3DDE">
        <w:t xml:space="preserve"> impact of </w:t>
      </w:r>
      <w:r w:rsidR="00DC3DDE" w:rsidRPr="00DC3DDE">
        <w:t>Australia</w:t>
      </w:r>
      <w:r w:rsidR="007C014B">
        <w:t>’s migrant intake</w:t>
      </w:r>
      <w:r>
        <w:t>.</w:t>
      </w:r>
    </w:p>
    <w:p w14:paraId="028444AB" w14:textId="037A2724" w:rsidR="00762EFC" w:rsidRPr="006B79EA" w:rsidRDefault="00762EFC" w:rsidP="00762EFC">
      <w:pPr>
        <w:pStyle w:val="BodyText"/>
      </w:pPr>
      <w:r w:rsidRPr="006B79EA">
        <w:t xml:space="preserve">The modelling adopts a scenarios approach to quantify the </w:t>
      </w:r>
      <w:r w:rsidR="00DC3DDE">
        <w:t>possible</w:t>
      </w:r>
      <w:r w:rsidR="00DC3DDE" w:rsidRPr="006B79EA">
        <w:t xml:space="preserve"> </w:t>
      </w:r>
      <w:r w:rsidRPr="006B79EA">
        <w:t xml:space="preserve">impacts of </w:t>
      </w:r>
      <w:r>
        <w:t>net overseas migra</w:t>
      </w:r>
      <w:r w:rsidRPr="006B79EA">
        <w:t>t</w:t>
      </w:r>
      <w:r>
        <w:t>ion</w:t>
      </w:r>
      <w:r w:rsidRPr="006B79EA">
        <w:t xml:space="preserve"> </w:t>
      </w:r>
      <w:r w:rsidR="00A30EA0">
        <w:t xml:space="preserve">(NOM) </w:t>
      </w:r>
      <w:r w:rsidRPr="006B79EA">
        <w:t xml:space="preserve">on the Australian population and </w:t>
      </w:r>
      <w:r w:rsidR="00DC3DDE">
        <w:t xml:space="preserve">the Australian </w:t>
      </w:r>
      <w:r w:rsidRPr="006B79EA">
        <w:t xml:space="preserve">economy. These scenarios </w:t>
      </w:r>
      <w:r w:rsidR="002B311E">
        <w:t xml:space="preserve">do not </w:t>
      </w:r>
      <w:r w:rsidRPr="006B79EA">
        <w:t>represent policy options — they are illustrative of</w:t>
      </w:r>
      <w:r w:rsidR="00596168">
        <w:t xml:space="preserve"> </w:t>
      </w:r>
      <w:r w:rsidR="004625FB">
        <w:t xml:space="preserve">the </w:t>
      </w:r>
      <w:r w:rsidR="00A82108">
        <w:t>effects</w:t>
      </w:r>
      <w:r w:rsidRPr="006B79EA">
        <w:t xml:space="preserve"> of </w:t>
      </w:r>
      <w:r w:rsidR="00A30EA0">
        <w:t>NOM</w:t>
      </w:r>
      <w:r w:rsidRPr="006B79EA">
        <w:t xml:space="preserve">. </w:t>
      </w:r>
      <w:r w:rsidR="008C0584">
        <w:t>Four main</w:t>
      </w:r>
      <w:r w:rsidR="005E078D" w:rsidRPr="006B79EA">
        <w:t xml:space="preserve"> </w:t>
      </w:r>
      <w:r w:rsidRPr="006B79EA">
        <w:t>scenarios are considered</w:t>
      </w:r>
      <w:r w:rsidR="003D6DD0">
        <w:t>.</w:t>
      </w:r>
    </w:p>
    <w:p w14:paraId="028444AC" w14:textId="27BEE6E5" w:rsidR="00BF7A71" w:rsidRDefault="00970DE0" w:rsidP="00BF7A71">
      <w:pPr>
        <w:pStyle w:val="ListBullet"/>
      </w:pPr>
      <w:r w:rsidRPr="00965614">
        <w:rPr>
          <w:i/>
        </w:rPr>
        <w:t>Business</w:t>
      </w:r>
      <w:r w:rsidR="00401DE8">
        <w:rPr>
          <w:i/>
        </w:rPr>
        <w:t>-</w:t>
      </w:r>
      <w:r w:rsidRPr="00965614">
        <w:rPr>
          <w:i/>
        </w:rPr>
        <w:t>as</w:t>
      </w:r>
      <w:r w:rsidR="00401DE8">
        <w:rPr>
          <w:i/>
        </w:rPr>
        <w:t>-</w:t>
      </w:r>
      <w:r w:rsidRPr="00965614">
        <w:rPr>
          <w:i/>
        </w:rPr>
        <w:t>usual scenario</w:t>
      </w:r>
      <w:r w:rsidR="00135F40">
        <w:rPr>
          <w:i/>
        </w:rPr>
        <w:t>.</w:t>
      </w:r>
      <w:r w:rsidR="00BF7A71" w:rsidRPr="006B79EA">
        <w:t xml:space="preserve"> </w:t>
      </w:r>
      <w:r w:rsidR="00BF7A71">
        <w:t xml:space="preserve">This scenario is used to illustrate the implications of </w:t>
      </w:r>
      <w:r w:rsidR="004625FB">
        <w:t xml:space="preserve">NOM at </w:t>
      </w:r>
      <w:r w:rsidR="00A82108">
        <w:t xml:space="preserve">a </w:t>
      </w:r>
      <w:r w:rsidR="004625FB">
        <w:t>long</w:t>
      </w:r>
      <w:r w:rsidR="004D4E21">
        <w:noBreakHyphen/>
      </w:r>
      <w:r w:rsidR="004625FB">
        <w:t>term historical average rate of 0.6 per cent of the population.</w:t>
      </w:r>
      <w:r w:rsidR="00BF7A71">
        <w:t xml:space="preserve"> NOM is assumed to converge</w:t>
      </w:r>
      <w:r w:rsidR="004625FB">
        <w:t xml:space="preserve"> from the </w:t>
      </w:r>
      <w:r w:rsidR="00890BE8">
        <w:t xml:space="preserve">recent historically high </w:t>
      </w:r>
      <w:r w:rsidR="004625FB">
        <w:t>level</w:t>
      </w:r>
      <w:r w:rsidR="00A82108">
        <w:t xml:space="preserve"> </w:t>
      </w:r>
      <w:r w:rsidR="00BF7A71">
        <w:t xml:space="preserve">to </w:t>
      </w:r>
      <w:r w:rsidR="00802F72">
        <w:t xml:space="preserve">the annual historical average of </w:t>
      </w:r>
      <w:r w:rsidR="00BF7A71">
        <w:t>0.6</w:t>
      </w:r>
      <w:r w:rsidR="00A14CE3">
        <w:t> </w:t>
      </w:r>
      <w:r w:rsidR="00BF7A71">
        <w:t>per</w:t>
      </w:r>
      <w:r w:rsidR="00A14CE3">
        <w:t> </w:t>
      </w:r>
      <w:r w:rsidR="00BF7A71">
        <w:t>cent</w:t>
      </w:r>
      <w:r w:rsidR="004625FB">
        <w:t xml:space="preserve"> of the population</w:t>
      </w:r>
      <w:r w:rsidR="00BF7A71">
        <w:t xml:space="preserve"> by 2025.</w:t>
      </w:r>
      <w:r w:rsidR="00B26F93" w:rsidRPr="003D567A">
        <w:rPr>
          <w:rStyle w:val="FootnoteReference"/>
        </w:rPr>
        <w:footnoteReference w:id="2"/>
      </w:r>
      <w:r w:rsidR="00BF7A71">
        <w:t xml:space="preserve"> </w:t>
      </w:r>
      <w:r w:rsidR="00A82108">
        <w:t>M</w:t>
      </w:r>
      <w:r w:rsidR="00BF7A71">
        <w:t>igrants are assumed to have the same demographic characteristics</w:t>
      </w:r>
      <w:r w:rsidR="00275878">
        <w:t xml:space="preserve"> (concentrated in the 20 to 40 year old age groups)</w:t>
      </w:r>
      <w:r w:rsidR="00BF7A71">
        <w:t xml:space="preserve"> </w:t>
      </w:r>
      <w:r w:rsidR="00BF7A71" w:rsidRPr="00D362A3">
        <w:t xml:space="preserve">and </w:t>
      </w:r>
      <w:r w:rsidR="00644885">
        <w:t>occupation profile</w:t>
      </w:r>
      <w:r w:rsidR="00BF7A71" w:rsidRPr="00D362A3">
        <w:t xml:space="preserve"> as the </w:t>
      </w:r>
      <w:r w:rsidR="00BF7A71">
        <w:t>current migrant intake</w:t>
      </w:r>
      <w:r w:rsidR="00385D01">
        <w:t xml:space="preserve">, </w:t>
      </w:r>
      <w:r w:rsidR="007E1BE7">
        <w:t>and</w:t>
      </w:r>
      <w:r w:rsidR="00385D01">
        <w:t xml:space="preserve"> the same labour market characteristics as the Australian labour force.</w:t>
      </w:r>
      <w:r w:rsidR="00BF7A71">
        <w:t xml:space="preserve"> </w:t>
      </w:r>
    </w:p>
    <w:p w14:paraId="028444AD" w14:textId="2E77CC7B" w:rsidR="00762EFC" w:rsidRDefault="00970DE0" w:rsidP="00762EFC">
      <w:pPr>
        <w:pStyle w:val="ListBullet"/>
      </w:pPr>
      <w:r w:rsidRPr="00965614">
        <w:rPr>
          <w:i/>
        </w:rPr>
        <w:t xml:space="preserve">Zero </w:t>
      </w:r>
      <w:r w:rsidR="00A30EA0" w:rsidRPr="00965614">
        <w:rPr>
          <w:i/>
        </w:rPr>
        <w:t>NOM</w:t>
      </w:r>
      <w:r w:rsidR="00275878">
        <w:t xml:space="preserve"> </w:t>
      </w:r>
      <w:r w:rsidR="00275878" w:rsidRPr="004A4A3B">
        <w:rPr>
          <w:i/>
        </w:rPr>
        <w:t>scenario</w:t>
      </w:r>
      <w:r w:rsidR="000A671E">
        <w:t xml:space="preserve">. </w:t>
      </w:r>
      <w:r w:rsidR="00A82108">
        <w:t xml:space="preserve">In this scenario, </w:t>
      </w:r>
      <w:r w:rsidR="00BF7A71">
        <w:t>NOM is assumed to be zero</w:t>
      </w:r>
      <w:r w:rsidR="005E078D">
        <w:t xml:space="preserve"> from </w:t>
      </w:r>
      <w:r w:rsidR="00275878">
        <w:t xml:space="preserve">2016 </w:t>
      </w:r>
      <w:r w:rsidR="005E078D">
        <w:t>onwards</w:t>
      </w:r>
      <w:r w:rsidR="00A82108">
        <w:t xml:space="preserve">; </w:t>
      </w:r>
      <w:r w:rsidR="00762EFC" w:rsidRPr="006B79EA">
        <w:t>illustrat</w:t>
      </w:r>
      <w:r w:rsidR="00802F72">
        <w:t>ing</w:t>
      </w:r>
      <w:r w:rsidR="00762EFC" w:rsidRPr="006B79EA">
        <w:t xml:space="preserve"> the </w:t>
      </w:r>
      <w:r w:rsidR="00A82108">
        <w:t>effects</w:t>
      </w:r>
      <w:r w:rsidR="00A82108" w:rsidRPr="006B79EA">
        <w:t xml:space="preserve"> </w:t>
      </w:r>
      <w:r w:rsidR="00762EFC" w:rsidRPr="006B79EA">
        <w:t xml:space="preserve">of </w:t>
      </w:r>
      <w:r w:rsidR="000A671E">
        <w:t xml:space="preserve">natural </w:t>
      </w:r>
      <w:r w:rsidR="00762EFC" w:rsidRPr="006B79EA">
        <w:t>population increases</w:t>
      </w:r>
      <w:r w:rsidR="000A671E">
        <w:t xml:space="preserve"> alone</w:t>
      </w:r>
      <w:r w:rsidR="00762EFC" w:rsidRPr="006B79EA">
        <w:t xml:space="preserve">. </w:t>
      </w:r>
      <w:r w:rsidR="00BF7A71">
        <w:t xml:space="preserve">This scenario </w:t>
      </w:r>
      <w:r w:rsidR="00C263BB">
        <w:t xml:space="preserve">can be interpreted as </w:t>
      </w:r>
      <w:r w:rsidR="00BF7A71">
        <w:t xml:space="preserve">the </w:t>
      </w:r>
      <w:r w:rsidR="007E1BE7">
        <w:t xml:space="preserve">effect </w:t>
      </w:r>
      <w:r w:rsidR="00C263BB">
        <w:t>of natural population growth</w:t>
      </w:r>
      <w:r w:rsidR="00A82108">
        <w:t xml:space="preserve"> </w:t>
      </w:r>
      <w:r w:rsidR="007E1BE7" w:rsidRPr="007E1BE7">
        <w:t>on the size of the population, workforce participation and output per person</w:t>
      </w:r>
      <w:r w:rsidR="00472D40">
        <w:t>.</w:t>
      </w:r>
      <w:r w:rsidR="00BF7A71">
        <w:t xml:space="preserve"> </w:t>
      </w:r>
      <w:r w:rsidR="00C263BB">
        <w:t xml:space="preserve">The difference between this scenario and the </w:t>
      </w:r>
      <w:r>
        <w:t>business</w:t>
      </w:r>
      <w:r w:rsidR="00300F88">
        <w:t>-</w:t>
      </w:r>
      <w:r>
        <w:t>as</w:t>
      </w:r>
      <w:r w:rsidR="00300F88">
        <w:t>-</w:t>
      </w:r>
      <w:r>
        <w:t>usual scenario</w:t>
      </w:r>
      <w:r w:rsidR="00C263BB">
        <w:t xml:space="preserve"> can be interpreted as the contribution of migration to the economy over the projection period.</w:t>
      </w:r>
    </w:p>
    <w:p w14:paraId="028444AE" w14:textId="480D2094" w:rsidR="00275878" w:rsidRDefault="00275878" w:rsidP="00762EFC">
      <w:pPr>
        <w:pStyle w:val="ListBullet"/>
      </w:pPr>
      <w:r>
        <w:rPr>
          <w:i/>
        </w:rPr>
        <w:t>0.3 per cent NOM scenario</w:t>
      </w:r>
      <w:r>
        <w:t>. This scenario assumes that NOM converges to 0.3 per cent of the population</w:t>
      </w:r>
      <w:r w:rsidR="00A82108">
        <w:t xml:space="preserve"> by 2025</w:t>
      </w:r>
      <w:r>
        <w:t>.</w:t>
      </w:r>
    </w:p>
    <w:p w14:paraId="028444AF" w14:textId="4CB7D1F0" w:rsidR="00695BF0" w:rsidRPr="006B79EA" w:rsidRDefault="00695BF0" w:rsidP="00762EFC">
      <w:pPr>
        <w:pStyle w:val="ListBullet"/>
      </w:pPr>
      <w:r>
        <w:rPr>
          <w:i/>
        </w:rPr>
        <w:t>1 per cent NOM scenario</w:t>
      </w:r>
      <w:r w:rsidRPr="00965614">
        <w:t>.</w:t>
      </w:r>
      <w:r>
        <w:t xml:space="preserve"> This scenario assumes that NOM is set </w:t>
      </w:r>
      <w:r w:rsidR="00A82108">
        <w:t xml:space="preserve">at </w:t>
      </w:r>
      <w:r>
        <w:t>1 per cent of the population</w:t>
      </w:r>
      <w:r w:rsidR="00E064BE">
        <w:t xml:space="preserve"> from 2016 onwards</w:t>
      </w:r>
      <w:r>
        <w:t xml:space="preserve">. </w:t>
      </w:r>
      <w:r w:rsidR="00A82108">
        <w:t>This is consistent with settings o</w:t>
      </w:r>
      <w:r>
        <w:t xml:space="preserve">ver the decade to 2014. </w:t>
      </w:r>
    </w:p>
    <w:p w14:paraId="028444B0" w14:textId="1C409450" w:rsidR="005E078D" w:rsidRDefault="005E078D" w:rsidP="00F07F05">
      <w:pPr>
        <w:pStyle w:val="BodyText"/>
      </w:pPr>
      <w:r>
        <w:t xml:space="preserve">In addition to these scenarios, </w:t>
      </w:r>
      <w:r w:rsidR="00A82108">
        <w:t>t</w:t>
      </w:r>
      <w:r>
        <w:t xml:space="preserve">hree </w:t>
      </w:r>
      <w:r w:rsidR="00AC3E12">
        <w:t>scenarios</w:t>
      </w:r>
      <w:r>
        <w:t xml:space="preserve"> examine the sensitivity of </w:t>
      </w:r>
      <w:r w:rsidR="00AC3E12">
        <w:t>results</w:t>
      </w:r>
      <w:r>
        <w:t xml:space="preserve"> to the age and occupational profile (skill level) of NOM. All other assumptions are identical to the business</w:t>
      </w:r>
      <w:r w:rsidR="003A1BCA">
        <w:t>-</w:t>
      </w:r>
      <w:r>
        <w:t>as</w:t>
      </w:r>
      <w:r w:rsidR="003A1BCA">
        <w:t>-</w:t>
      </w:r>
      <w:r>
        <w:t>usual scenario.</w:t>
      </w:r>
    </w:p>
    <w:p w14:paraId="028444B1" w14:textId="2BA4B897" w:rsidR="005E078D" w:rsidRDefault="00AC3E12" w:rsidP="005E078D">
      <w:pPr>
        <w:pStyle w:val="ListBullet"/>
      </w:pPr>
      <w:r>
        <w:rPr>
          <w:i/>
        </w:rPr>
        <w:t xml:space="preserve">Age </w:t>
      </w:r>
      <w:r w:rsidR="00BB1287">
        <w:rPr>
          <w:i/>
        </w:rPr>
        <w:t xml:space="preserve">sensitivity </w:t>
      </w:r>
      <w:r w:rsidR="0072519E">
        <w:rPr>
          <w:i/>
        </w:rPr>
        <w:t xml:space="preserve">scenario. </w:t>
      </w:r>
      <w:r w:rsidR="0072519E">
        <w:rPr>
          <w:caps/>
        </w:rPr>
        <w:t>A</w:t>
      </w:r>
      <w:r>
        <w:t xml:space="preserve">ssumes that </w:t>
      </w:r>
      <w:r w:rsidR="005E078D">
        <w:t>NOM</w:t>
      </w:r>
      <w:r>
        <w:t xml:space="preserve"> </w:t>
      </w:r>
      <w:r w:rsidR="00EF14C7">
        <w:t xml:space="preserve">has </w:t>
      </w:r>
      <w:r w:rsidR="00BB1287">
        <w:t>the same demographic composition as the Australia population</w:t>
      </w:r>
      <w:r w:rsidR="005E078D" w:rsidRPr="006B79EA">
        <w:t>.</w:t>
      </w:r>
      <w:r w:rsidR="00D30951">
        <w:t xml:space="preserve"> </w:t>
      </w:r>
    </w:p>
    <w:p w14:paraId="028444B2" w14:textId="2CC6859D" w:rsidR="00D30951" w:rsidRDefault="00C00C64" w:rsidP="005E078D">
      <w:pPr>
        <w:pStyle w:val="ListBullet"/>
      </w:pPr>
      <w:r>
        <w:rPr>
          <w:i/>
        </w:rPr>
        <w:lastRenderedPageBreak/>
        <w:t>Skilled occupations scenario</w:t>
      </w:r>
      <w:r w:rsidR="0072519E">
        <w:rPr>
          <w:i/>
        </w:rPr>
        <w:t>.</w:t>
      </w:r>
      <w:r w:rsidR="0072519E">
        <w:t xml:space="preserve"> A</w:t>
      </w:r>
      <w:r>
        <w:t xml:space="preserve">ssumes that </w:t>
      </w:r>
      <w:r w:rsidR="00D30951">
        <w:t>30</w:t>
      </w:r>
      <w:r>
        <w:t> </w:t>
      </w:r>
      <w:r w:rsidR="00D30951">
        <w:t>per</w:t>
      </w:r>
      <w:r>
        <w:t> </w:t>
      </w:r>
      <w:r w:rsidR="00D30951">
        <w:t xml:space="preserve">cent of the NOM workforce </w:t>
      </w:r>
      <w:r>
        <w:t xml:space="preserve">are </w:t>
      </w:r>
      <w:r w:rsidR="00D30951">
        <w:t xml:space="preserve">reallocated to skilled and </w:t>
      </w:r>
      <w:proofErr w:type="spellStart"/>
      <w:r w:rsidR="00D30951">
        <w:t>semi</w:t>
      </w:r>
      <w:r>
        <w:noBreakHyphen/>
      </w:r>
      <w:r w:rsidR="00D30951">
        <w:t>skilled</w:t>
      </w:r>
      <w:proofErr w:type="spellEnd"/>
      <w:r w:rsidR="00D30951">
        <w:t xml:space="preserve"> occupations broadly defined</w:t>
      </w:r>
      <w:r>
        <w:t xml:space="preserve"> </w:t>
      </w:r>
      <w:r w:rsidR="00BB1287">
        <w:t>as</w:t>
      </w:r>
      <w:r w:rsidR="00D30951">
        <w:t>: managers; professionals; technicians and trades workers; and community and personal service workers.</w:t>
      </w:r>
      <w:r w:rsidR="008809C8">
        <w:rPr>
          <w:rStyle w:val="FootnoteReference"/>
        </w:rPr>
        <w:footnoteReference w:id="3"/>
      </w:r>
      <w:r w:rsidR="00D30951">
        <w:t xml:space="preserve"> </w:t>
      </w:r>
    </w:p>
    <w:p w14:paraId="028444B3" w14:textId="3B84D316" w:rsidR="00762EFC" w:rsidRDefault="00BB1287" w:rsidP="00D30951">
      <w:pPr>
        <w:pStyle w:val="ListBullet"/>
      </w:pPr>
      <w:r>
        <w:rPr>
          <w:i/>
        </w:rPr>
        <w:t>Lower</w:t>
      </w:r>
      <w:r>
        <w:rPr>
          <w:i/>
        </w:rPr>
        <w:noBreakHyphen/>
      </w:r>
      <w:r w:rsidR="00C00C64">
        <w:rPr>
          <w:i/>
        </w:rPr>
        <w:t>skilled occupations scenario</w:t>
      </w:r>
      <w:r w:rsidR="0072519E">
        <w:rPr>
          <w:i/>
        </w:rPr>
        <w:t>.</w:t>
      </w:r>
      <w:r w:rsidR="0072519E">
        <w:t xml:space="preserve"> A</w:t>
      </w:r>
      <w:r w:rsidR="00C00C64">
        <w:t>ssumes that</w:t>
      </w:r>
      <w:r w:rsidR="00D30951">
        <w:t xml:space="preserve"> 30</w:t>
      </w:r>
      <w:r w:rsidR="00C00C64">
        <w:t> </w:t>
      </w:r>
      <w:r w:rsidR="00D30951">
        <w:t>per</w:t>
      </w:r>
      <w:r w:rsidR="00C00C64">
        <w:t> </w:t>
      </w:r>
      <w:r w:rsidR="00D30951">
        <w:t xml:space="preserve">cent of the NOM workforce </w:t>
      </w:r>
      <w:r w:rsidR="00C00C64">
        <w:t xml:space="preserve">are </w:t>
      </w:r>
      <w:r w:rsidR="00D30951">
        <w:t xml:space="preserve">reallocated to </w:t>
      </w:r>
      <w:proofErr w:type="spellStart"/>
      <w:r w:rsidR="00D30951">
        <w:t>semi</w:t>
      </w:r>
      <w:r w:rsidR="00C00C64">
        <w:noBreakHyphen/>
      </w:r>
      <w:r w:rsidR="00D30951">
        <w:t>skilled</w:t>
      </w:r>
      <w:proofErr w:type="spellEnd"/>
      <w:r w:rsidR="00D30951">
        <w:t xml:space="preserve"> and low</w:t>
      </w:r>
      <w:r w:rsidR="00D30951">
        <w:noBreakHyphen/>
        <w:t>skilled occupations</w:t>
      </w:r>
      <w:r>
        <w:t>,</w:t>
      </w:r>
      <w:r w:rsidR="00D30951">
        <w:t xml:space="preserve"> broadly defined as: clerical and administrative workers; sales workers; machinery operators and drivers; and labourers. </w:t>
      </w:r>
    </w:p>
    <w:p w14:paraId="028444B4" w14:textId="04AFE29A" w:rsidR="00AC771C" w:rsidRDefault="00AC771C" w:rsidP="004D37B1">
      <w:pPr>
        <w:pStyle w:val="BodyText"/>
      </w:pPr>
      <w:r>
        <w:t xml:space="preserve">Sensitivity testing is also undertaken around </w:t>
      </w:r>
      <w:r w:rsidR="00F57858">
        <w:t xml:space="preserve">three </w:t>
      </w:r>
      <w:r>
        <w:t>level</w:t>
      </w:r>
      <w:r w:rsidR="00F57858">
        <w:t>s</w:t>
      </w:r>
      <w:r>
        <w:t xml:space="preserve"> of NOM</w:t>
      </w:r>
      <w:r w:rsidR="00F57858">
        <w:t>, defined in terms of numbers of migrants rather than as a proportion of the population</w:t>
      </w:r>
      <w:r w:rsidR="002A2D24">
        <w:t>. Specifically, where NOM is assumed to</w:t>
      </w:r>
      <w:r>
        <w:t>:</w:t>
      </w:r>
    </w:p>
    <w:p w14:paraId="028444B5" w14:textId="77217BFB" w:rsidR="00AC771C" w:rsidRDefault="002A2D24" w:rsidP="00F07F05">
      <w:pPr>
        <w:pStyle w:val="ListBullet"/>
      </w:pPr>
      <w:r>
        <w:t xml:space="preserve">decline to </w:t>
      </w:r>
      <w:r w:rsidR="00AC771C">
        <w:t>100 000 persons each year</w:t>
      </w:r>
      <w:r>
        <w:t xml:space="preserve"> by 2026 and to remain at that level until 2060</w:t>
      </w:r>
    </w:p>
    <w:p w14:paraId="028444B6" w14:textId="14664D19" w:rsidR="00AC771C" w:rsidRDefault="002A2D24" w:rsidP="00AC771C">
      <w:pPr>
        <w:pStyle w:val="ListBullet"/>
      </w:pPr>
      <w:r w:rsidRPr="002A2D24">
        <w:t xml:space="preserve">remain at </w:t>
      </w:r>
      <w:r w:rsidR="00AC771C">
        <w:t>200 000 persons each year</w:t>
      </w:r>
      <w:r>
        <w:t xml:space="preserve"> </w:t>
      </w:r>
      <w:r w:rsidRPr="002A2D24">
        <w:t>per year through to 2060</w:t>
      </w:r>
    </w:p>
    <w:p w14:paraId="028444B7" w14:textId="6687E4C0" w:rsidR="00AC771C" w:rsidRDefault="002A2D24" w:rsidP="00F07F05">
      <w:pPr>
        <w:pStyle w:val="ListBullet"/>
      </w:pPr>
      <w:r w:rsidRPr="002A2D24">
        <w:t xml:space="preserve">rise to </w:t>
      </w:r>
      <w:r w:rsidR="00AC771C">
        <w:t>250 000 persons each year</w:t>
      </w:r>
      <w:r>
        <w:t xml:space="preserve"> by 2026 and to remain at that level until 2060</w:t>
      </w:r>
      <w:r w:rsidR="00AC771C">
        <w:t>.</w:t>
      </w:r>
    </w:p>
    <w:p w14:paraId="028444B8" w14:textId="2D0BAE12" w:rsidR="004D37B1" w:rsidRDefault="0072756B" w:rsidP="004D37B1">
      <w:pPr>
        <w:pStyle w:val="BodyText"/>
      </w:pPr>
      <w:r>
        <w:t>Section </w:t>
      </w:r>
      <w:proofErr w:type="spellStart"/>
      <w:r w:rsidR="00F9762C">
        <w:t>B</w:t>
      </w:r>
      <w:r>
        <w:t>.1</w:t>
      </w:r>
      <w:proofErr w:type="spellEnd"/>
      <w:r>
        <w:t xml:space="preserve"> </w:t>
      </w:r>
      <w:r w:rsidR="004D37B1" w:rsidDel="00A83D9E">
        <w:t>describes the modelling approach adopted</w:t>
      </w:r>
      <w:r>
        <w:t xml:space="preserve"> and</w:t>
      </w:r>
      <w:r w:rsidR="004D37B1" w:rsidDel="00A83D9E">
        <w:t xml:space="preserve"> </w:t>
      </w:r>
      <w:proofErr w:type="spellStart"/>
      <w:r w:rsidR="00F9762C">
        <w:t>B</w:t>
      </w:r>
      <w:r>
        <w:t>.2</w:t>
      </w:r>
      <w:proofErr w:type="spellEnd"/>
      <w:r>
        <w:t xml:space="preserve"> </w:t>
      </w:r>
      <w:r w:rsidR="004D37B1" w:rsidDel="00A83D9E">
        <w:t xml:space="preserve">the derivation of the </w:t>
      </w:r>
      <w:r w:rsidR="00BB1287">
        <w:t>business</w:t>
      </w:r>
      <w:r w:rsidR="003A1BCA">
        <w:t>-</w:t>
      </w:r>
      <w:r w:rsidR="00BB1287">
        <w:t>as</w:t>
      </w:r>
      <w:r w:rsidR="003A1BCA">
        <w:t>-</w:t>
      </w:r>
      <w:r w:rsidR="00BB1287">
        <w:t>usual scenario, which forms the starting point for all scenarios</w:t>
      </w:r>
      <w:r w:rsidR="0072519E">
        <w:t>. Section </w:t>
      </w:r>
      <w:proofErr w:type="spellStart"/>
      <w:r w:rsidR="00F9762C">
        <w:t>B</w:t>
      </w:r>
      <w:r>
        <w:t>.3</w:t>
      </w:r>
      <w:proofErr w:type="spellEnd"/>
      <w:r>
        <w:t xml:space="preserve"> </w:t>
      </w:r>
      <w:r w:rsidR="004D37B1" w:rsidDel="00A83D9E">
        <w:t>provides additional detail on model projection</w:t>
      </w:r>
      <w:r>
        <w:t>s</w:t>
      </w:r>
      <w:r w:rsidR="004D37B1" w:rsidDel="00A83D9E">
        <w:t xml:space="preserve">. </w:t>
      </w:r>
    </w:p>
    <w:p w14:paraId="028444B9" w14:textId="09DC4661" w:rsidR="00666E02" w:rsidRDefault="00612FEF" w:rsidP="00351A93">
      <w:pPr>
        <w:pStyle w:val="Heading2"/>
      </w:pPr>
      <w:proofErr w:type="spellStart"/>
      <w:r>
        <w:t>B.1</w:t>
      </w:r>
      <w:proofErr w:type="spellEnd"/>
      <w:r w:rsidR="00351A93">
        <w:tab/>
        <w:t>Modelling approach</w:t>
      </w:r>
    </w:p>
    <w:p w14:paraId="028444BA" w14:textId="77777777" w:rsidR="00351A93" w:rsidRDefault="00351A93" w:rsidP="008C6DAB">
      <w:pPr>
        <w:pStyle w:val="Heading3"/>
        <w:spacing w:before="320"/>
      </w:pPr>
      <w:r>
        <w:t>The modelling framework</w:t>
      </w:r>
    </w:p>
    <w:p w14:paraId="028444BB" w14:textId="3D06F98D" w:rsidR="00E4472A" w:rsidRDefault="00E4472A" w:rsidP="00301540">
      <w:pPr>
        <w:pStyle w:val="BodyText"/>
      </w:pPr>
      <w:r w:rsidRPr="00CF478D">
        <w:t xml:space="preserve">The Commission has </w:t>
      </w:r>
      <w:r>
        <w:t>used</w:t>
      </w:r>
      <w:r w:rsidRPr="00CF478D">
        <w:t xml:space="preserve"> </w:t>
      </w:r>
      <w:r w:rsidR="00F57858">
        <w:t xml:space="preserve">a </w:t>
      </w:r>
      <w:r w:rsidRPr="00CF478D">
        <w:t xml:space="preserve">regional </w:t>
      </w:r>
      <w:r w:rsidR="003641C4">
        <w:t>computable general equilibrium (</w:t>
      </w:r>
      <w:proofErr w:type="spellStart"/>
      <w:r w:rsidR="003641C4">
        <w:t>CGE</w:t>
      </w:r>
      <w:proofErr w:type="spellEnd"/>
      <w:r w:rsidR="003641C4">
        <w:t xml:space="preserve">) </w:t>
      </w:r>
      <w:r w:rsidRPr="00CF478D">
        <w:t>model</w:t>
      </w:r>
      <w:r>
        <w:t xml:space="preserve"> —</w:t>
      </w:r>
      <w:r w:rsidR="00D114BD">
        <w:t xml:space="preserve"> </w:t>
      </w:r>
      <w:r>
        <w:t xml:space="preserve">the Victoria University Regional </w:t>
      </w:r>
      <w:r w:rsidR="00F26DC9">
        <w:t xml:space="preserve">Model </w:t>
      </w:r>
      <w:r>
        <w:t>(</w:t>
      </w:r>
      <w:proofErr w:type="spellStart"/>
      <w:r w:rsidR="00776C79">
        <w:t>VURM</w:t>
      </w:r>
      <w:proofErr w:type="spellEnd"/>
      <w:r>
        <w:t>) —</w:t>
      </w:r>
      <w:r w:rsidRPr="00CF478D">
        <w:t xml:space="preserve"> to </w:t>
      </w:r>
      <w:r w:rsidR="00F57858">
        <w:t xml:space="preserve">analyse </w:t>
      </w:r>
      <w:r w:rsidRPr="00CF478D">
        <w:t xml:space="preserve">the </w:t>
      </w:r>
      <w:r>
        <w:t xml:space="preserve">potential </w:t>
      </w:r>
      <w:r w:rsidRPr="00CF478D">
        <w:t xml:space="preserve">impacts </w:t>
      </w:r>
      <w:r>
        <w:t>of NOM on Australia’s demography and economy</w:t>
      </w:r>
      <w:r w:rsidR="00933274">
        <w:t>.</w:t>
      </w:r>
      <w:r w:rsidR="000F3FDD" w:rsidRPr="003D567A">
        <w:rPr>
          <w:rStyle w:val="FootnoteReference"/>
        </w:rPr>
        <w:footnoteReference w:id="4"/>
      </w:r>
      <w:r w:rsidR="00933274">
        <w:t xml:space="preserve"> </w:t>
      </w:r>
      <w:r w:rsidR="00A30EA0">
        <w:t xml:space="preserve">For </w:t>
      </w:r>
      <w:r w:rsidR="00F23104">
        <w:t xml:space="preserve">the purpose of </w:t>
      </w:r>
      <w:r w:rsidR="00A30EA0">
        <w:t>this inquiry</w:t>
      </w:r>
      <w:r w:rsidR="00C15C83">
        <w:t>,</w:t>
      </w:r>
      <w:r w:rsidR="00A30EA0">
        <w:t xml:space="preserve"> </w:t>
      </w:r>
      <w:proofErr w:type="spellStart"/>
      <w:r w:rsidR="00776C79">
        <w:t>VURM</w:t>
      </w:r>
      <w:proofErr w:type="spellEnd"/>
      <w:r w:rsidR="00A30EA0">
        <w:t xml:space="preserve"> </w:t>
      </w:r>
      <w:r w:rsidR="00F23104">
        <w:t xml:space="preserve">includes </w:t>
      </w:r>
      <w:r w:rsidR="00EB515D">
        <w:t xml:space="preserve">additional detail </w:t>
      </w:r>
      <w:r w:rsidR="00F23104">
        <w:t xml:space="preserve">to </w:t>
      </w:r>
      <w:r w:rsidR="00EB515D">
        <w:t xml:space="preserve">model </w:t>
      </w:r>
      <w:r w:rsidR="003648F0">
        <w:t xml:space="preserve">NOM and the </w:t>
      </w:r>
      <w:r w:rsidR="00C15C83">
        <w:t>consequences</w:t>
      </w:r>
      <w:r w:rsidR="003648F0">
        <w:t xml:space="preserve"> </w:t>
      </w:r>
      <w:r w:rsidR="00C15C83">
        <w:t xml:space="preserve">of demographic change </w:t>
      </w:r>
      <w:r w:rsidR="00B97003">
        <w:t>for</w:t>
      </w:r>
      <w:r w:rsidR="00C15C83">
        <w:t xml:space="preserve"> </w:t>
      </w:r>
      <w:r w:rsidR="003648F0">
        <w:t>government expenditure on health, aged care and education by age group. Th</w:t>
      </w:r>
      <w:r w:rsidR="00F23104">
        <w:t>is</w:t>
      </w:r>
      <w:r w:rsidR="003648F0">
        <w:t xml:space="preserve"> </w:t>
      </w:r>
      <w:r w:rsidR="00933274">
        <w:t xml:space="preserve">version is </w:t>
      </w:r>
      <w:r w:rsidR="00F23104">
        <w:t xml:space="preserve">named </w:t>
      </w:r>
      <w:proofErr w:type="spellStart"/>
      <w:r w:rsidR="00776C79">
        <w:t>VURM</w:t>
      </w:r>
      <w:proofErr w:type="spellEnd"/>
      <w:r w:rsidR="004D4E21">
        <w:noBreakHyphen/>
      </w:r>
      <w:r w:rsidR="00933274">
        <w:t xml:space="preserve">MI (Migrant Intake). </w:t>
      </w:r>
    </w:p>
    <w:p w14:paraId="028444BC" w14:textId="41E41069" w:rsidR="00301540" w:rsidRDefault="00301540" w:rsidP="00301540">
      <w:pPr>
        <w:pStyle w:val="BodyText"/>
      </w:pPr>
      <w:r>
        <w:t xml:space="preserve">To assess the </w:t>
      </w:r>
      <w:proofErr w:type="spellStart"/>
      <w:r>
        <w:t>economywide</w:t>
      </w:r>
      <w:proofErr w:type="spellEnd"/>
      <w:r>
        <w:t xml:space="preserve"> impacts of </w:t>
      </w:r>
      <w:r w:rsidR="00E4472A">
        <w:t>migration</w:t>
      </w:r>
      <w:r>
        <w:t xml:space="preserve">, it is necessary to </w:t>
      </w:r>
      <w:r w:rsidR="00C15C83">
        <w:t xml:space="preserve">model how </w:t>
      </w:r>
      <w:r w:rsidR="00FC5095">
        <w:t xml:space="preserve">the </w:t>
      </w:r>
      <w:r w:rsidR="00E4472A">
        <w:t>flow of migrants to the economy</w:t>
      </w:r>
      <w:r>
        <w:t xml:space="preserve"> </w:t>
      </w:r>
      <w:r w:rsidR="00C15C83">
        <w:t xml:space="preserve">affects </w:t>
      </w:r>
      <w:r w:rsidR="00E4472A">
        <w:t xml:space="preserve">the Australian population, the </w:t>
      </w:r>
      <w:r w:rsidR="005270AC">
        <w:t>labour force</w:t>
      </w:r>
      <w:r w:rsidR="00E759E4">
        <w:t xml:space="preserve"> and subsequently </w:t>
      </w:r>
      <w:r w:rsidR="00E4472A">
        <w:t>national demands for goods a</w:t>
      </w:r>
      <w:r w:rsidR="00DA70B9">
        <w:t>nd services</w:t>
      </w:r>
      <w:r w:rsidR="00FC5095">
        <w:t>,</w:t>
      </w:r>
      <w:r w:rsidR="00DA70B9">
        <w:t xml:space="preserve"> producti</w:t>
      </w:r>
      <w:r w:rsidR="00FC5095">
        <w:t>on and trade</w:t>
      </w:r>
      <w:r>
        <w:t xml:space="preserve">. </w:t>
      </w:r>
    </w:p>
    <w:p w14:paraId="6FE577C4" w14:textId="4BC69CD2" w:rsidR="000905CB" w:rsidRDefault="000905CB" w:rsidP="000905CB">
      <w:pPr>
        <w:pStyle w:val="BodyText"/>
      </w:pPr>
      <w:r>
        <w:t xml:space="preserve">In the literature, extensive use has been made of </w:t>
      </w:r>
      <w:proofErr w:type="spellStart"/>
      <w:r>
        <w:t>CGE</w:t>
      </w:r>
      <w:proofErr w:type="spellEnd"/>
      <w:r>
        <w:t xml:space="preserve"> models to assess the </w:t>
      </w:r>
      <w:proofErr w:type="spellStart"/>
      <w:r>
        <w:t>economywide</w:t>
      </w:r>
      <w:proofErr w:type="spellEnd"/>
      <w:r>
        <w:t xml:space="preserve"> impacts of migration in Australia. </w:t>
      </w:r>
    </w:p>
    <w:p w14:paraId="513092E9" w14:textId="7E31F5AC" w:rsidR="000905CB" w:rsidRDefault="000905CB" w:rsidP="000905CB">
      <w:pPr>
        <w:pStyle w:val="ListBullet"/>
      </w:pPr>
      <w:r>
        <w:lastRenderedPageBreak/>
        <w:t>In 2006, the Commission contracted the Centre of Policy Studies (</w:t>
      </w:r>
      <w:proofErr w:type="spellStart"/>
      <w:r>
        <w:t>CoPS</w:t>
      </w:r>
      <w:proofErr w:type="spellEnd"/>
      <w:r>
        <w:t xml:space="preserve">) at Monash University to </w:t>
      </w:r>
      <w:r w:rsidR="00B97003">
        <w:t>use the MONASH model to analyse</w:t>
      </w:r>
      <w:r>
        <w:t xml:space="preserve"> the impact of an increase in skilled </w:t>
      </w:r>
      <w:r w:rsidR="006F06C2">
        <w:t>im</w:t>
      </w:r>
      <w:r>
        <w:t xml:space="preserve">migration </w:t>
      </w:r>
      <w:r w:rsidR="009C6A97" w:rsidRPr="009C6A97">
        <w:rPr>
          <w:szCs w:val="24"/>
        </w:rPr>
        <w:t>(PC </w:t>
      </w:r>
      <w:proofErr w:type="spellStart"/>
      <w:r w:rsidR="009C6A97" w:rsidRPr="009C6A97">
        <w:rPr>
          <w:szCs w:val="24"/>
        </w:rPr>
        <w:t>2006a</w:t>
      </w:r>
      <w:proofErr w:type="spellEnd"/>
      <w:r w:rsidR="009C6A97" w:rsidRPr="009C6A97">
        <w:rPr>
          <w:szCs w:val="24"/>
        </w:rPr>
        <w:t>)</w:t>
      </w:r>
      <w:r>
        <w:t xml:space="preserve">. </w:t>
      </w:r>
    </w:p>
    <w:p w14:paraId="19A0EB5D" w14:textId="0CEA838D" w:rsidR="000905CB" w:rsidRDefault="00541F22" w:rsidP="000905CB">
      <w:pPr>
        <w:pStyle w:val="ListBullet"/>
      </w:pPr>
      <w:r>
        <w:t>Also in 2006,</w:t>
      </w:r>
      <w:r w:rsidR="003641C4">
        <w:t xml:space="preserve"> </w:t>
      </w:r>
      <w:proofErr w:type="spellStart"/>
      <w:r w:rsidR="003641C4">
        <w:t>Giesecke</w:t>
      </w:r>
      <w:proofErr w:type="spellEnd"/>
      <w:r w:rsidR="0017229F">
        <w:t> </w:t>
      </w:r>
      <w:r w:rsidR="009C6A97" w:rsidRPr="009C6A97">
        <w:t>(2006)</w:t>
      </w:r>
      <w:r>
        <w:t xml:space="preserve"> extended the work </w:t>
      </w:r>
      <w:r w:rsidR="00A764AF">
        <w:t xml:space="preserve">published in </w:t>
      </w:r>
      <w:r w:rsidR="00123FC3">
        <w:t>PC </w:t>
      </w:r>
      <w:r w:rsidR="009C6A97" w:rsidRPr="009C6A97">
        <w:t>(</w:t>
      </w:r>
      <w:proofErr w:type="spellStart"/>
      <w:r w:rsidR="009C6A97" w:rsidRPr="009C6A97">
        <w:t>2006a</w:t>
      </w:r>
      <w:proofErr w:type="spellEnd"/>
      <w:r w:rsidR="009C6A97" w:rsidRPr="009C6A97">
        <w:t>)</w:t>
      </w:r>
      <w:r w:rsidR="003641C4">
        <w:t>,</w:t>
      </w:r>
      <w:r w:rsidR="00123FC3">
        <w:t xml:space="preserve"> </w:t>
      </w:r>
      <w:r>
        <w:t>analysing</w:t>
      </w:r>
      <w:r w:rsidR="00A764AF">
        <w:t xml:space="preserve"> </w:t>
      </w:r>
      <w:r>
        <w:t xml:space="preserve">the impact of skilled </w:t>
      </w:r>
      <w:r w:rsidR="006F06C2">
        <w:t>im</w:t>
      </w:r>
      <w:r>
        <w:t>migration</w:t>
      </w:r>
      <w:r w:rsidR="00D15A39">
        <w:t>,</w:t>
      </w:r>
      <w:r>
        <w:t xml:space="preserve"> </w:t>
      </w:r>
      <w:r w:rsidR="00D15A39">
        <w:t xml:space="preserve">including the impact </w:t>
      </w:r>
      <w:r>
        <w:t>on income distribution.</w:t>
      </w:r>
    </w:p>
    <w:p w14:paraId="4F80E676" w14:textId="461B12D4" w:rsidR="000905CB" w:rsidRDefault="000905CB" w:rsidP="000905CB">
      <w:pPr>
        <w:pStyle w:val="ListBullet"/>
      </w:pPr>
      <w:r>
        <w:t xml:space="preserve">In 2013, the Centre for International Economics modelled the implications of skilled </w:t>
      </w:r>
      <w:r w:rsidR="006F06C2">
        <w:t>im</w:t>
      </w:r>
      <w:r>
        <w:t xml:space="preserve">migration in New South Wales </w:t>
      </w:r>
      <w:r w:rsidR="009C6A97" w:rsidRPr="009C6A97">
        <w:rPr>
          <w:szCs w:val="24"/>
        </w:rPr>
        <w:t>(The CIE 2013)</w:t>
      </w:r>
      <w:r>
        <w:t>.</w:t>
      </w:r>
    </w:p>
    <w:p w14:paraId="1F161356" w14:textId="5D9980B7" w:rsidR="000905CB" w:rsidRDefault="000905CB" w:rsidP="000905CB">
      <w:pPr>
        <w:pStyle w:val="ListBullet"/>
      </w:pPr>
      <w:r>
        <w:t>I</w:t>
      </w:r>
      <w:r w:rsidR="00541F22">
        <w:t>n 2015</w:t>
      </w:r>
      <w:r>
        <w:t xml:space="preserve">, the </w:t>
      </w:r>
      <w:r w:rsidR="00541F22">
        <w:t xml:space="preserve">Migration Council Australia commissioned Independent Economics to examine the economic impact of migration over a 35 year period to 2050 </w:t>
      </w:r>
      <w:r w:rsidR="009C6A97" w:rsidRPr="009C6A97">
        <w:rPr>
          <w:szCs w:val="24"/>
        </w:rPr>
        <w:t>(Migration Council Australia and Independent Economics 2015)</w:t>
      </w:r>
      <w:r>
        <w:t xml:space="preserve">. </w:t>
      </w:r>
    </w:p>
    <w:p w14:paraId="729DA4D4" w14:textId="6EE1DE19" w:rsidR="00654E98" w:rsidRDefault="00654E98" w:rsidP="00654E98">
      <w:pPr>
        <w:pStyle w:val="ListBullet"/>
      </w:pPr>
      <w:r>
        <w:t xml:space="preserve">In 2016, the Centre of Policy Studies used a modified version of the </w:t>
      </w:r>
      <w:r w:rsidR="00B97003">
        <w:t xml:space="preserve">model </w:t>
      </w:r>
      <w:r>
        <w:t xml:space="preserve">TERM to examine the labour market displacement effects of Australia’s temporary skilled visa program </w:t>
      </w:r>
      <w:r w:rsidR="009C6A97" w:rsidRPr="009C6A97">
        <w:rPr>
          <w:szCs w:val="24"/>
        </w:rPr>
        <w:t>(Tran et al. forthcoming)</w:t>
      </w:r>
      <w:r>
        <w:t>.</w:t>
      </w:r>
    </w:p>
    <w:p w14:paraId="028444C3" w14:textId="11BB122D" w:rsidR="00301540" w:rsidRDefault="00776C79" w:rsidP="00301540">
      <w:pPr>
        <w:pStyle w:val="BodyText"/>
      </w:pPr>
      <w:proofErr w:type="spellStart"/>
      <w:r>
        <w:t>VURM</w:t>
      </w:r>
      <w:proofErr w:type="spellEnd"/>
      <w:r w:rsidR="003641C4">
        <w:noBreakHyphen/>
      </w:r>
      <w:r w:rsidR="00C01EC5">
        <w:t xml:space="preserve">MI </w:t>
      </w:r>
      <w:r w:rsidR="00301540">
        <w:t>is applied in</w:t>
      </w:r>
      <w:r w:rsidR="00A83D9E">
        <w:t xml:space="preserve"> its</w:t>
      </w:r>
      <w:r w:rsidR="00301540">
        <w:t xml:space="preserve"> </w:t>
      </w:r>
      <w:r w:rsidR="00301540" w:rsidRPr="00CE4FB6">
        <w:rPr>
          <w:i/>
        </w:rPr>
        <w:t>dynamic</w:t>
      </w:r>
      <w:r w:rsidR="00301540">
        <w:t xml:space="preserve"> mode to explore the </w:t>
      </w:r>
      <w:r w:rsidR="005E594F">
        <w:t xml:space="preserve">evolution of the population </w:t>
      </w:r>
      <w:r w:rsidR="00C01EC5">
        <w:t xml:space="preserve">through natural increase and </w:t>
      </w:r>
      <w:r w:rsidR="009A58DB">
        <w:t>NOM</w:t>
      </w:r>
      <w:r w:rsidR="00C01EC5">
        <w:t xml:space="preserve"> </w:t>
      </w:r>
      <w:r w:rsidR="00A56658">
        <w:t>and their effects on</w:t>
      </w:r>
      <w:r w:rsidR="00C15C83">
        <w:t xml:space="preserve"> </w:t>
      </w:r>
      <w:r w:rsidR="00C01EC5">
        <w:t xml:space="preserve">growth in the economy through </w:t>
      </w:r>
      <w:r w:rsidR="0069693F">
        <w:t>changes</w:t>
      </w:r>
      <w:r w:rsidR="001374AB">
        <w:t xml:space="preserve"> in</w:t>
      </w:r>
      <w:r w:rsidR="0069693F">
        <w:t xml:space="preserve"> </w:t>
      </w:r>
      <w:r w:rsidR="000F2538">
        <w:t>labour</w:t>
      </w:r>
      <w:r w:rsidR="002029F5">
        <w:t xml:space="preserve"> force</w:t>
      </w:r>
      <w:r w:rsidR="00C01EC5">
        <w:t xml:space="preserve"> participation and labour productivity </w:t>
      </w:r>
      <w:r w:rsidR="005E594F">
        <w:t>over time</w:t>
      </w:r>
      <w:r w:rsidR="00C01EC5">
        <w:t xml:space="preserve">. </w:t>
      </w:r>
      <w:r w:rsidR="00301540">
        <w:t>Under the dynamic approach, the scenario</w:t>
      </w:r>
      <w:r w:rsidR="00C01EC5">
        <w:t>s</w:t>
      </w:r>
      <w:r w:rsidR="00301540">
        <w:t xml:space="preserve"> focus on </w:t>
      </w:r>
      <w:r w:rsidR="00A83D9E">
        <w:t xml:space="preserve">the </w:t>
      </w:r>
      <w:r w:rsidR="00301540">
        <w:t xml:space="preserve">path of the economy with </w:t>
      </w:r>
      <w:r w:rsidR="005E594F">
        <w:t xml:space="preserve">alternative assumptions </w:t>
      </w:r>
      <w:r w:rsidR="00310E80">
        <w:t>on the annual rate of</w:t>
      </w:r>
      <w:r w:rsidR="00C01EC5">
        <w:t xml:space="preserve"> </w:t>
      </w:r>
      <w:r w:rsidR="009A58DB">
        <w:t>NOM</w:t>
      </w:r>
      <w:r w:rsidR="00C01EC5">
        <w:t xml:space="preserve"> over the period </w:t>
      </w:r>
      <w:r w:rsidR="008F64AA">
        <w:t xml:space="preserve">2016 </w:t>
      </w:r>
      <w:r w:rsidR="00C01EC5">
        <w:t>to 2060</w:t>
      </w:r>
      <w:r w:rsidR="00301540">
        <w:t xml:space="preserve">. </w:t>
      </w:r>
    </w:p>
    <w:p w14:paraId="028444C4" w14:textId="6284AC83" w:rsidR="000420AB" w:rsidRDefault="00D2406C" w:rsidP="00251C30">
      <w:pPr>
        <w:pStyle w:val="BodyText"/>
        <w:rPr>
          <w:lang w:eastAsia="en-US"/>
        </w:rPr>
      </w:pPr>
      <w:r>
        <w:t>The assumed path</w:t>
      </w:r>
      <w:r w:rsidR="00D55F60">
        <w:t>s</w:t>
      </w:r>
      <w:r>
        <w:t xml:space="preserve"> of </w:t>
      </w:r>
      <w:r w:rsidR="00301540">
        <w:t>c</w:t>
      </w:r>
      <w:r w:rsidR="00301540">
        <w:rPr>
          <w:lang w:eastAsia="en-US"/>
        </w:rPr>
        <w:t xml:space="preserve">hanges in labour productivity and other variables are based on historical data at the </w:t>
      </w:r>
      <w:r w:rsidR="00301540" w:rsidRPr="00101D58">
        <w:rPr>
          <w:lang w:eastAsia="en-US"/>
        </w:rPr>
        <w:t>sectoral level</w:t>
      </w:r>
      <w:r w:rsidR="00301540">
        <w:rPr>
          <w:lang w:eastAsia="en-US"/>
        </w:rPr>
        <w:t xml:space="preserve">. Changes in population are estimated using </w:t>
      </w:r>
      <w:r w:rsidR="004B198D">
        <w:rPr>
          <w:lang w:eastAsia="en-US"/>
        </w:rPr>
        <w:t>the</w:t>
      </w:r>
      <w:r w:rsidR="00301540">
        <w:rPr>
          <w:lang w:eastAsia="en-US"/>
        </w:rPr>
        <w:t xml:space="preserve"> cohort</w:t>
      </w:r>
      <w:r w:rsidR="003641C4">
        <w:rPr>
          <w:lang w:eastAsia="en-US"/>
        </w:rPr>
        <w:noBreakHyphen/>
      </w:r>
      <w:r w:rsidR="00301540">
        <w:rPr>
          <w:lang w:eastAsia="en-US"/>
        </w:rPr>
        <w:t xml:space="preserve">based demographic </w:t>
      </w:r>
      <w:r w:rsidR="00251C30">
        <w:rPr>
          <w:lang w:eastAsia="en-US"/>
        </w:rPr>
        <w:t xml:space="preserve">module of </w:t>
      </w:r>
      <w:proofErr w:type="spellStart"/>
      <w:r w:rsidR="00251C30">
        <w:rPr>
          <w:lang w:eastAsia="en-US"/>
        </w:rPr>
        <w:t>VURM</w:t>
      </w:r>
      <w:proofErr w:type="spellEnd"/>
      <w:r w:rsidR="00251C30">
        <w:rPr>
          <w:lang w:eastAsia="en-US"/>
        </w:rPr>
        <w:noBreakHyphen/>
        <w:t xml:space="preserve">MI </w:t>
      </w:r>
      <w:r w:rsidR="00C15C83">
        <w:rPr>
          <w:lang w:eastAsia="en-US"/>
        </w:rPr>
        <w:t>(figure </w:t>
      </w:r>
      <w:proofErr w:type="spellStart"/>
      <w:r w:rsidR="00612FEF">
        <w:rPr>
          <w:lang w:eastAsia="en-US"/>
        </w:rPr>
        <w:t>B.1</w:t>
      </w:r>
      <w:proofErr w:type="spellEnd"/>
      <w:r w:rsidR="00C15C83">
        <w:rPr>
          <w:lang w:eastAsia="en-US"/>
        </w:rPr>
        <w:t>)</w:t>
      </w:r>
      <w:r w:rsidR="00301540">
        <w:rPr>
          <w:lang w:eastAsia="en-US"/>
        </w:rPr>
        <w:t xml:space="preserve">. </w:t>
      </w:r>
    </w:p>
    <w:p w14:paraId="028444C5" w14:textId="0963892D" w:rsidR="000420AB" w:rsidRDefault="000420AB" w:rsidP="000420AB">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420AB" w14:paraId="028444C7" w14:textId="77777777" w:rsidTr="006965BE">
        <w:tc>
          <w:tcPr>
            <w:tcW w:w="8771" w:type="dxa"/>
            <w:tcBorders>
              <w:top w:val="single" w:sz="6" w:space="0" w:color="78A22F"/>
              <w:left w:val="nil"/>
              <w:bottom w:val="nil"/>
              <w:right w:val="nil"/>
            </w:tcBorders>
            <w:shd w:val="clear" w:color="auto" w:fill="auto"/>
          </w:tcPr>
          <w:p w14:paraId="028444C6" w14:textId="4FE60AF8" w:rsidR="000420AB" w:rsidRPr="00176D3F" w:rsidRDefault="000420AB" w:rsidP="00612FEF">
            <w:pPr>
              <w:pStyle w:val="FigureTitle"/>
            </w:pPr>
            <w:r w:rsidRPr="00784A05">
              <w:rPr>
                <w:b w:val="0"/>
              </w:rPr>
              <w:t xml:space="preserve">Figure </w:t>
            </w:r>
            <w:proofErr w:type="spellStart"/>
            <w:r w:rsidR="000C775F">
              <w:rPr>
                <w:b w:val="0"/>
              </w:rPr>
              <w:t>B.</w:t>
            </w:r>
            <w:r w:rsidR="009015D8">
              <w:rPr>
                <w:b w:val="0"/>
                <w:noProof/>
              </w:rPr>
              <w:t>1</w:t>
            </w:r>
            <w:proofErr w:type="spellEnd"/>
            <w:r w:rsidR="00612FEF">
              <w:rPr>
                <w:b w:val="0"/>
              </w:rPr>
              <w:tab/>
            </w:r>
            <w:r>
              <w:t>Stylised</w:t>
            </w:r>
            <w:r w:rsidRPr="00D86D8D">
              <w:t xml:space="preserve"> representation of </w:t>
            </w:r>
            <w:proofErr w:type="spellStart"/>
            <w:r w:rsidR="00776C79">
              <w:t>VURM</w:t>
            </w:r>
            <w:proofErr w:type="spellEnd"/>
            <w:r>
              <w:noBreakHyphen/>
              <w:t>MI</w:t>
            </w:r>
          </w:p>
        </w:tc>
      </w:tr>
      <w:tr w:rsidR="000420AB" w14:paraId="028444CB" w14:textId="77777777" w:rsidTr="006965B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0420AB" w14:paraId="028444C9" w14:textId="77777777" w:rsidTr="006965BE">
              <w:trPr>
                <w:jc w:val="center"/>
              </w:trPr>
              <w:tc>
                <w:tcPr>
                  <w:tcW w:w="5000" w:type="pct"/>
                  <w:tcBorders>
                    <w:top w:val="nil"/>
                    <w:bottom w:val="nil"/>
                  </w:tcBorders>
                </w:tcPr>
                <w:p w14:paraId="028444C8" w14:textId="39912DB6" w:rsidR="00974A74" w:rsidRDefault="00ED0590" w:rsidP="00BC2DCD">
                  <w:pPr>
                    <w:pStyle w:val="Figure"/>
                    <w:spacing w:before="60" w:after="60"/>
                  </w:pPr>
                  <w:r>
                    <w:t xml:space="preserve"> </w:t>
                  </w:r>
                  <w:r w:rsidR="00BC2DCD">
                    <w:rPr>
                      <w:noProof/>
                    </w:rPr>
                    <w:drawing>
                      <wp:inline distT="0" distB="0" distL="0" distR="0" wp14:anchorId="418A8EC2" wp14:editId="23AC5E67">
                        <wp:extent cx="4185285" cy="1835785"/>
                        <wp:effectExtent l="0" t="0" r="5715" b="0"/>
                        <wp:docPr id="6" name="Picture 6" descr="This figure portrays a stylised representation of the VURM MI model. The cohort based demographic module projects population, working age population and labour supply (by age, gender and region). This is transmitted into the production core of the model, which then determines labour inputs in the production process (by occupation, industry and region). The interstate migration projected in the core of the model feeds back into the demographic module of th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85285" cy="1835785"/>
                                </a:xfrm>
                                <a:prstGeom prst="rect">
                                  <a:avLst/>
                                </a:prstGeom>
                                <a:noFill/>
                                <a:ln>
                                  <a:noFill/>
                                </a:ln>
                              </pic:spPr>
                            </pic:pic>
                          </a:graphicData>
                        </a:graphic>
                      </wp:inline>
                    </w:drawing>
                  </w:r>
                </w:p>
              </w:tc>
            </w:tr>
          </w:tbl>
          <w:p w14:paraId="028444CA" w14:textId="77777777" w:rsidR="000420AB" w:rsidRDefault="000420AB" w:rsidP="006965BE">
            <w:pPr>
              <w:pStyle w:val="Figure"/>
            </w:pPr>
          </w:p>
        </w:tc>
      </w:tr>
      <w:tr w:rsidR="000420AB" w14:paraId="028444CD" w14:textId="77777777" w:rsidTr="006965BE">
        <w:tc>
          <w:tcPr>
            <w:tcW w:w="8771" w:type="dxa"/>
            <w:tcBorders>
              <w:top w:val="nil"/>
              <w:left w:val="nil"/>
              <w:bottom w:val="single" w:sz="6" w:space="0" w:color="78A22F"/>
              <w:right w:val="nil"/>
            </w:tcBorders>
            <w:shd w:val="clear" w:color="auto" w:fill="auto"/>
          </w:tcPr>
          <w:p w14:paraId="028444CC" w14:textId="77777777" w:rsidR="000420AB" w:rsidRDefault="000420AB" w:rsidP="006965BE">
            <w:pPr>
              <w:pStyle w:val="Figurespace"/>
            </w:pPr>
          </w:p>
        </w:tc>
      </w:tr>
      <w:tr w:rsidR="000420AB" w:rsidRPr="000863A5" w14:paraId="028444CF" w14:textId="77777777" w:rsidTr="006965BE">
        <w:tc>
          <w:tcPr>
            <w:tcW w:w="8771" w:type="dxa"/>
            <w:tcBorders>
              <w:top w:val="single" w:sz="6" w:space="0" w:color="78A22F"/>
              <w:left w:val="nil"/>
              <w:bottom w:val="nil"/>
              <w:right w:val="nil"/>
            </w:tcBorders>
          </w:tcPr>
          <w:p w14:paraId="028444CE" w14:textId="67AC6690" w:rsidR="000420AB" w:rsidRPr="00626D32" w:rsidRDefault="000420AB" w:rsidP="006965BE">
            <w:pPr>
              <w:pStyle w:val="BoxSpaceBelow"/>
            </w:pPr>
          </w:p>
        </w:tc>
      </w:tr>
    </w:tbl>
    <w:p w14:paraId="028444D0" w14:textId="58FA090A" w:rsidR="00301540" w:rsidRDefault="00301540" w:rsidP="00301540">
      <w:pPr>
        <w:pStyle w:val="BodyText"/>
      </w:pPr>
      <w:r>
        <w:t xml:space="preserve">A detailed description of the theoretical structure of the model is provided in </w:t>
      </w:r>
      <w:r w:rsidR="00B05B87">
        <w:t xml:space="preserve">Adams, Dixon and </w:t>
      </w:r>
      <w:proofErr w:type="spellStart"/>
      <w:r w:rsidR="00B05B87">
        <w:t>Horridge</w:t>
      </w:r>
      <w:proofErr w:type="spellEnd"/>
      <w:r w:rsidR="00251C30">
        <w:t> </w:t>
      </w:r>
      <w:r w:rsidR="009002E0" w:rsidRPr="009002E0">
        <w:t>(2015)</w:t>
      </w:r>
      <w:r>
        <w:t xml:space="preserve">. </w:t>
      </w:r>
    </w:p>
    <w:p w14:paraId="028444D1" w14:textId="77777777" w:rsidR="00301540" w:rsidRDefault="00301540" w:rsidP="00301540">
      <w:pPr>
        <w:pStyle w:val="Heading3"/>
      </w:pPr>
      <w:r>
        <w:lastRenderedPageBreak/>
        <w:t>The modelling in context</w:t>
      </w:r>
    </w:p>
    <w:p w14:paraId="028444D2" w14:textId="4A456466" w:rsidR="00E4472A" w:rsidRDefault="008824D8" w:rsidP="007D07DE">
      <w:pPr>
        <w:pStyle w:val="BodyText"/>
        <w:spacing w:before="200"/>
      </w:pPr>
      <w:r>
        <w:t xml:space="preserve">Like any other </w:t>
      </w:r>
      <w:r w:rsidR="005C257B">
        <w:t xml:space="preserve">economic </w:t>
      </w:r>
      <w:r>
        <w:t xml:space="preserve">model, </w:t>
      </w:r>
      <w:proofErr w:type="spellStart"/>
      <w:r>
        <w:t>VURM</w:t>
      </w:r>
      <w:proofErr w:type="spellEnd"/>
      <w:r w:rsidR="009658ED">
        <w:t>–</w:t>
      </w:r>
      <w:r w:rsidR="0022532D">
        <w:t>MI</w:t>
      </w:r>
      <w:r>
        <w:t xml:space="preserve"> is a simplification of </w:t>
      </w:r>
      <w:r w:rsidR="005C257B">
        <w:t xml:space="preserve">complex </w:t>
      </w:r>
      <w:r w:rsidR="00A56658">
        <w:t xml:space="preserve">economic </w:t>
      </w:r>
      <w:r w:rsidR="007062D5">
        <w:t>intera</w:t>
      </w:r>
      <w:r w:rsidR="00A56658">
        <w:t>c</w:t>
      </w:r>
      <w:r w:rsidR="007062D5">
        <w:t>tions</w:t>
      </w:r>
      <w:r w:rsidR="00717B89">
        <w:t>.</w:t>
      </w:r>
      <w:r w:rsidR="00E4472A">
        <w:t xml:space="preserve"> The model does not account </w:t>
      </w:r>
      <w:r w:rsidR="00E3788A">
        <w:t xml:space="preserve">for </w:t>
      </w:r>
      <w:r w:rsidR="00E4472A">
        <w:t>social and environmental conditions</w:t>
      </w:r>
      <w:r w:rsidR="000420AB">
        <w:t xml:space="preserve"> </w:t>
      </w:r>
      <w:r w:rsidR="00C15C83">
        <w:t xml:space="preserve">that can </w:t>
      </w:r>
      <w:r w:rsidR="00EE714B">
        <w:t>a</w:t>
      </w:r>
      <w:r w:rsidR="000420AB">
        <w:t xml:space="preserve">ffect Australia’s </w:t>
      </w:r>
      <w:r w:rsidR="00C15C83">
        <w:t>demography, consumption choices, labour supply</w:t>
      </w:r>
      <w:r w:rsidR="00316A8B">
        <w:t>,</w:t>
      </w:r>
      <w:r w:rsidR="00C15C83">
        <w:t xml:space="preserve"> and production</w:t>
      </w:r>
      <w:r w:rsidR="00316A8B">
        <w:t xml:space="preserve"> and trade</w:t>
      </w:r>
      <w:r w:rsidR="00E4472A">
        <w:t xml:space="preserve">. </w:t>
      </w:r>
      <w:r w:rsidR="00EE714B">
        <w:t>In addition,</w:t>
      </w:r>
      <w:r w:rsidR="00E4472A">
        <w:t xml:space="preserve"> the model does not </w:t>
      </w:r>
      <w:r w:rsidR="00EE714B">
        <w:t>account for</w:t>
      </w:r>
      <w:r w:rsidR="00E4472A">
        <w:t xml:space="preserve"> the emergence of new activities and products, or </w:t>
      </w:r>
      <w:r w:rsidR="00371220" w:rsidRPr="00371220">
        <w:t>developments in global financial markets that can affect the cost of capital, global population or economic changes</w:t>
      </w:r>
      <w:r w:rsidR="00E4472A">
        <w:t>.</w:t>
      </w:r>
      <w:r w:rsidR="004D4E21">
        <w:t xml:space="preserve"> </w:t>
      </w:r>
    </w:p>
    <w:p w14:paraId="028444D3" w14:textId="1F5490BD" w:rsidR="00301540" w:rsidRPr="00C50381" w:rsidRDefault="00301540" w:rsidP="007D07DE">
      <w:pPr>
        <w:pStyle w:val="BodyText"/>
        <w:spacing w:before="200"/>
        <w:rPr>
          <w:szCs w:val="24"/>
        </w:rPr>
      </w:pPr>
      <w:r>
        <w:t xml:space="preserve">The </w:t>
      </w:r>
      <w:r w:rsidR="004D7BF1">
        <w:t xml:space="preserve">modelling </w:t>
      </w:r>
      <w:r>
        <w:t>approach</w:t>
      </w:r>
      <w:r w:rsidR="000420AB">
        <w:t>, nevertheless,</w:t>
      </w:r>
      <w:r>
        <w:t xml:space="preserve"> seeks to capture </w:t>
      </w:r>
      <w:r w:rsidR="00C15C83">
        <w:t xml:space="preserve">the direct relationships </w:t>
      </w:r>
      <w:r>
        <w:t xml:space="preserve">relevant to </w:t>
      </w:r>
      <w:proofErr w:type="spellStart"/>
      <w:r w:rsidR="004E0F37">
        <w:t>economywide</w:t>
      </w:r>
      <w:proofErr w:type="spellEnd"/>
      <w:r>
        <w:t xml:space="preserve"> </w:t>
      </w:r>
      <w:r w:rsidR="000420AB">
        <w:t xml:space="preserve">impacts of migration. </w:t>
      </w:r>
      <w:r w:rsidR="00EE714B">
        <w:t>T</w:t>
      </w:r>
      <w:r w:rsidRPr="00C50381">
        <w:t xml:space="preserve">he direct effects of </w:t>
      </w:r>
      <w:r w:rsidR="00B77F9A">
        <w:t>NOM</w:t>
      </w:r>
      <w:r w:rsidR="00D46E8A">
        <w:t xml:space="preserve"> are </w:t>
      </w:r>
      <w:r w:rsidRPr="00C50381">
        <w:t xml:space="preserve">imposed on the model as exogenous </w:t>
      </w:r>
      <w:r w:rsidR="00316A8B">
        <w:t>shocks</w:t>
      </w:r>
      <w:r w:rsidR="00B217C6">
        <w:t xml:space="preserve"> </w:t>
      </w:r>
      <w:r w:rsidR="00EE714B">
        <w:t xml:space="preserve">on the population </w:t>
      </w:r>
      <w:r w:rsidR="00B217C6">
        <w:t xml:space="preserve">and </w:t>
      </w:r>
      <w:r w:rsidR="00EE714B">
        <w:t xml:space="preserve">on the </w:t>
      </w:r>
      <w:r w:rsidR="00B217C6">
        <w:t xml:space="preserve">labour force </w:t>
      </w:r>
      <w:r w:rsidR="00EE714B">
        <w:t xml:space="preserve">by </w:t>
      </w:r>
      <w:r w:rsidR="00B217C6">
        <w:t>occupation</w:t>
      </w:r>
      <w:r w:rsidR="00EE714B">
        <w:t>, which produce</w:t>
      </w:r>
      <w:r w:rsidR="00B217C6">
        <w:t xml:space="preserve"> </w:t>
      </w:r>
      <w:r w:rsidR="00EE714B">
        <w:t xml:space="preserve">projected </w:t>
      </w:r>
      <w:r w:rsidRPr="00C50381">
        <w:t>flow</w:t>
      </w:r>
      <w:r w:rsidR="004D4E21">
        <w:noBreakHyphen/>
      </w:r>
      <w:r w:rsidRPr="00C50381">
        <w:t xml:space="preserve">on effects </w:t>
      </w:r>
      <w:r w:rsidR="00723F28">
        <w:t>on production</w:t>
      </w:r>
      <w:r w:rsidR="00967E93">
        <w:t>,</w:t>
      </w:r>
      <w:r w:rsidR="00723F28">
        <w:t xml:space="preserve"> consumption, and government revenue and expenditure</w:t>
      </w:r>
      <w:r w:rsidRPr="00C50381">
        <w:t>.</w:t>
      </w:r>
      <w:r>
        <w:t xml:space="preserve"> </w:t>
      </w:r>
    </w:p>
    <w:p w14:paraId="028444D4" w14:textId="4151FA3B" w:rsidR="00301540" w:rsidRDefault="00301540" w:rsidP="007D07DE">
      <w:pPr>
        <w:pStyle w:val="BodyText"/>
        <w:spacing w:before="200"/>
      </w:pPr>
      <w:r>
        <w:t>As the scenario</w:t>
      </w:r>
      <w:r w:rsidR="0009553F">
        <w:t>s</w:t>
      </w:r>
      <w:r>
        <w:t xml:space="preserve"> modelled reflect </w:t>
      </w:r>
      <w:r w:rsidR="00D46E8A">
        <w:t xml:space="preserve">migrant movements </w:t>
      </w:r>
      <w:r>
        <w:t xml:space="preserve">imposed on the model, </w:t>
      </w:r>
      <w:r w:rsidR="001374AB">
        <w:t>they</w:t>
      </w:r>
      <w:r>
        <w:t xml:space="preserve"> should </w:t>
      </w:r>
      <w:r w:rsidRPr="00B07E02">
        <w:rPr>
          <w:i/>
        </w:rPr>
        <w:t>not</w:t>
      </w:r>
      <w:r>
        <w:t xml:space="preserve"> be interpreted as the effects of </w:t>
      </w:r>
      <w:r w:rsidR="00723F28">
        <w:t xml:space="preserve">future </w:t>
      </w:r>
      <w:r>
        <w:t xml:space="preserve">policy decisions. </w:t>
      </w:r>
      <w:r w:rsidR="00D46E8A">
        <w:t>Rather</w:t>
      </w:r>
      <w:r w:rsidR="00967E93">
        <w:t>,</w:t>
      </w:r>
      <w:r w:rsidR="00D46E8A">
        <w:t xml:space="preserve"> they </w:t>
      </w:r>
      <w:r w:rsidR="00EE714B">
        <w:t xml:space="preserve">illustrate the effects of the combination of a large number of assumptions embodied in </w:t>
      </w:r>
      <w:proofErr w:type="spellStart"/>
      <w:r w:rsidR="00EE714B">
        <w:t>VURM</w:t>
      </w:r>
      <w:proofErr w:type="spellEnd"/>
      <w:r w:rsidR="004D4E21">
        <w:noBreakHyphen/>
      </w:r>
      <w:r w:rsidR="00757A71">
        <w:t>MI</w:t>
      </w:r>
      <w:r w:rsidR="00EE714B">
        <w:t xml:space="preserve"> and in the </w:t>
      </w:r>
      <w:r w:rsidR="00967E93">
        <w:t xml:space="preserve">scenarios </w:t>
      </w:r>
      <w:r w:rsidR="00EE714B">
        <w:t>implemented</w:t>
      </w:r>
      <w:r>
        <w:t>.</w:t>
      </w:r>
    </w:p>
    <w:p w14:paraId="028444D5" w14:textId="4F10CD43" w:rsidR="00301540" w:rsidRDefault="00301540" w:rsidP="007D07DE">
      <w:pPr>
        <w:pStyle w:val="BodyText"/>
        <w:spacing w:before="200"/>
      </w:pPr>
      <w:r>
        <w:t>The dynamic</w:t>
      </w:r>
      <w:r w:rsidR="00EE714B">
        <w:t xml:space="preserve">s underlying </w:t>
      </w:r>
      <w:proofErr w:type="spellStart"/>
      <w:r w:rsidR="00EE714B">
        <w:t>VURM</w:t>
      </w:r>
      <w:proofErr w:type="spellEnd"/>
      <w:r w:rsidR="004D4E21">
        <w:noBreakHyphen/>
      </w:r>
      <w:r w:rsidR="00757A71">
        <w:t>MI</w:t>
      </w:r>
      <w:r w:rsidR="00EE714B">
        <w:t xml:space="preserve"> are consistent with assuming </w:t>
      </w:r>
      <w:r>
        <w:t>‘adaptive’ expectations where industr</w:t>
      </w:r>
      <w:r w:rsidR="00EE714B">
        <w:t>ies</w:t>
      </w:r>
      <w:r>
        <w:t xml:space="preserve"> adjust gradually to change</w:t>
      </w:r>
      <w:r w:rsidR="00EE714B">
        <w:t>s</w:t>
      </w:r>
      <w:r>
        <w:t xml:space="preserve">. Under this approach, </w:t>
      </w:r>
      <w:r w:rsidR="00757A71">
        <w:t xml:space="preserve">industry </w:t>
      </w:r>
      <w:r>
        <w:t xml:space="preserve">capital depreciates </w:t>
      </w:r>
      <w:r w:rsidR="00757A71">
        <w:t xml:space="preserve">progressively </w:t>
      </w:r>
      <w:r>
        <w:t>and accumulates to equilibrate return</w:t>
      </w:r>
      <w:r w:rsidR="00EE714B">
        <w:t>s</w:t>
      </w:r>
      <w:r>
        <w:t xml:space="preserve"> on capital with expected rate</w:t>
      </w:r>
      <w:r w:rsidR="00EE714B">
        <w:t>s</w:t>
      </w:r>
      <w:r>
        <w:t>, based on historical average</w:t>
      </w:r>
      <w:r w:rsidR="00757A71">
        <w:t>s</w:t>
      </w:r>
      <w:r>
        <w:t xml:space="preserve">. </w:t>
      </w:r>
      <w:r w:rsidR="00D46E8A">
        <w:t>There is</w:t>
      </w:r>
      <w:r w:rsidR="0046617F">
        <w:t>,</w:t>
      </w:r>
      <w:r w:rsidR="00D46E8A">
        <w:t xml:space="preserve"> therefore</w:t>
      </w:r>
      <w:r w:rsidR="0046617F">
        <w:t>,</w:t>
      </w:r>
      <w:r w:rsidR="006B3B1B">
        <w:t xml:space="preserve"> a lag between new arrival</w:t>
      </w:r>
      <w:r w:rsidR="0046617F">
        <w:t xml:space="preserve"> of migrants</w:t>
      </w:r>
      <w:r w:rsidR="00D46E8A">
        <w:t xml:space="preserve"> and new</w:t>
      </w:r>
      <w:r w:rsidR="0046617F">
        <w:t xml:space="preserve"> capital</w:t>
      </w:r>
      <w:r w:rsidR="00D46E8A">
        <w:t xml:space="preserve"> investment. </w:t>
      </w:r>
      <w:r w:rsidR="00757A71">
        <w:t>And the modelling abstracts from the possibility that</w:t>
      </w:r>
      <w:r>
        <w:t xml:space="preserve"> firms anticipate changes and adjust </w:t>
      </w:r>
      <w:r w:rsidR="00757A71">
        <w:t xml:space="preserve">employment, </w:t>
      </w:r>
      <w:r>
        <w:t>investment</w:t>
      </w:r>
      <w:r w:rsidR="00757A71">
        <w:t xml:space="preserve"> and</w:t>
      </w:r>
      <w:r>
        <w:t xml:space="preserve"> output </w:t>
      </w:r>
      <w:r w:rsidR="00757A71">
        <w:t>accordingly.</w:t>
      </w:r>
      <w:r w:rsidR="007616BC">
        <w:t xml:space="preserve"> </w:t>
      </w:r>
    </w:p>
    <w:p w14:paraId="028444D6" w14:textId="4CF8C729" w:rsidR="00301540" w:rsidRDefault="00301540" w:rsidP="007D07DE">
      <w:pPr>
        <w:pStyle w:val="BodyText"/>
        <w:spacing w:before="200"/>
      </w:pPr>
      <w:r>
        <w:t xml:space="preserve">The behavioural parameters included in </w:t>
      </w:r>
      <w:proofErr w:type="spellStart"/>
      <w:r w:rsidR="00776C79">
        <w:t>VURM</w:t>
      </w:r>
      <w:proofErr w:type="spellEnd"/>
      <w:r w:rsidR="004D4E21">
        <w:noBreakHyphen/>
      </w:r>
      <w:r w:rsidR="00CF73DD">
        <w:t>MI</w:t>
      </w:r>
      <w:r>
        <w:t xml:space="preserve"> determine the responsiveness of producers and consumers to changes in relative prices</w:t>
      </w:r>
      <w:r w:rsidR="00160406">
        <w:t xml:space="preserve"> (including wages)</w:t>
      </w:r>
      <w:r>
        <w:t xml:space="preserve">. </w:t>
      </w:r>
      <w:r w:rsidR="00F61350">
        <w:t xml:space="preserve">This version </w:t>
      </w:r>
      <w:r w:rsidR="00CF73DD">
        <w:t>use</w:t>
      </w:r>
      <w:r w:rsidR="00F61350">
        <w:t>s</w:t>
      </w:r>
      <w:r w:rsidR="00CF73DD">
        <w:t xml:space="preserve"> the standard parameter values </w:t>
      </w:r>
      <w:r w:rsidR="003711B7">
        <w:t>(see below)</w:t>
      </w:r>
      <w:r w:rsidR="00CF73DD">
        <w:t xml:space="preserve">. </w:t>
      </w:r>
    </w:p>
    <w:p w14:paraId="028444D7" w14:textId="0D71D18E" w:rsidR="00301540" w:rsidRDefault="00757A71" w:rsidP="007D07DE">
      <w:pPr>
        <w:pStyle w:val="BodyText"/>
        <w:spacing w:before="200"/>
      </w:pPr>
      <w:r>
        <w:t>T</w:t>
      </w:r>
      <w:r w:rsidR="00301540">
        <w:t xml:space="preserve">he compilation of the model database is based on many simplifying assumptions needed to translate and calibrate available statistical information into a </w:t>
      </w:r>
      <w:r>
        <w:t xml:space="preserve">consistent </w:t>
      </w:r>
      <w:r w:rsidR="00301540">
        <w:t xml:space="preserve">database representing complex interactions in the economy. </w:t>
      </w:r>
      <w:r w:rsidR="00200422">
        <w:t xml:space="preserve">The demographic and economic projections presented are not forecasts or predictions. These projections reflect </w:t>
      </w:r>
      <w:r w:rsidR="009C573D">
        <w:t>a scenario given the structure of the model and input assumptions.</w:t>
      </w:r>
    </w:p>
    <w:p w14:paraId="028444D8" w14:textId="1B79B024" w:rsidR="004862F2" w:rsidRDefault="004862F2" w:rsidP="004862F2">
      <w:pPr>
        <w:pStyle w:val="Heading3"/>
      </w:pPr>
      <w:r>
        <w:t xml:space="preserve">Extensions to </w:t>
      </w:r>
      <w:proofErr w:type="spellStart"/>
      <w:r w:rsidR="00776C79">
        <w:t>VURM</w:t>
      </w:r>
      <w:proofErr w:type="spellEnd"/>
      <w:r>
        <w:t xml:space="preserve"> for this inquiry</w:t>
      </w:r>
    </w:p>
    <w:p w14:paraId="028444D9" w14:textId="71EEB32F" w:rsidR="004862F2" w:rsidRDefault="00211DB9" w:rsidP="007D07DE">
      <w:pPr>
        <w:pStyle w:val="Heading4"/>
        <w:spacing w:before="240"/>
      </w:pPr>
      <w:r>
        <w:t xml:space="preserve">Modelling of </w:t>
      </w:r>
      <w:r w:rsidR="00762EFC">
        <w:t>net overseas migration</w:t>
      </w:r>
      <w:r w:rsidR="0072519E">
        <w:t xml:space="preserve"> (NOM)</w:t>
      </w:r>
    </w:p>
    <w:p w14:paraId="028444DA" w14:textId="77777777" w:rsidR="001C57E1" w:rsidRDefault="00160406" w:rsidP="007D07DE">
      <w:pPr>
        <w:pStyle w:val="BodyText"/>
        <w:spacing w:before="200"/>
      </w:pPr>
      <w:r>
        <w:t>N</w:t>
      </w:r>
      <w:r w:rsidR="00F75D05">
        <w:t>OM</w:t>
      </w:r>
      <w:r w:rsidR="00EA2FDC">
        <w:t xml:space="preserve"> can </w:t>
      </w:r>
      <w:r>
        <w:t xml:space="preserve">directly </w:t>
      </w:r>
      <w:r w:rsidR="00EA2FDC">
        <w:t xml:space="preserve">affect the Australian economy </w:t>
      </w:r>
      <w:r w:rsidR="00583322">
        <w:t xml:space="preserve">by changing </w:t>
      </w:r>
      <w:r w:rsidR="00EA2FDC">
        <w:t xml:space="preserve">the size of the population, its age and gender </w:t>
      </w:r>
      <w:r w:rsidR="00F75D05">
        <w:t xml:space="preserve">structure as well as the size and composition of </w:t>
      </w:r>
      <w:r w:rsidR="00890A63">
        <w:t xml:space="preserve">the </w:t>
      </w:r>
      <w:r w:rsidR="00F75D05">
        <w:t>labour force</w:t>
      </w:r>
      <w:r w:rsidR="00EA2FDC">
        <w:t xml:space="preserve">. </w:t>
      </w:r>
    </w:p>
    <w:p w14:paraId="028444DB" w14:textId="3AD3DCBA" w:rsidR="00890A63" w:rsidRDefault="00D1414B" w:rsidP="007D07DE">
      <w:pPr>
        <w:pStyle w:val="BodyText"/>
        <w:spacing w:before="200"/>
      </w:pPr>
      <w:r>
        <w:t xml:space="preserve">In </w:t>
      </w:r>
      <w:proofErr w:type="spellStart"/>
      <w:r w:rsidR="00776C79">
        <w:t>VURM</w:t>
      </w:r>
      <w:proofErr w:type="spellEnd"/>
      <w:r w:rsidR="009658ED">
        <w:t>–</w:t>
      </w:r>
      <w:r w:rsidR="00D46234">
        <w:t>MI</w:t>
      </w:r>
      <w:r>
        <w:t xml:space="preserve">, </w:t>
      </w:r>
      <w:r w:rsidR="00D46234">
        <w:t xml:space="preserve">detailed assumptions about </w:t>
      </w:r>
      <w:r>
        <w:t xml:space="preserve">NOM </w:t>
      </w:r>
      <w:r w:rsidR="00D46234">
        <w:t>are</w:t>
      </w:r>
      <w:r>
        <w:t xml:space="preserve"> introduced </w:t>
      </w:r>
      <w:r w:rsidR="00D46234">
        <w:t xml:space="preserve">in terms of </w:t>
      </w:r>
      <w:r>
        <w:t>age</w:t>
      </w:r>
      <w:r w:rsidR="00D46234">
        <w:t xml:space="preserve"> and </w:t>
      </w:r>
      <w:r>
        <w:t>gender of migrant</w:t>
      </w:r>
      <w:r w:rsidR="0072756B">
        <w:t>s</w:t>
      </w:r>
      <w:r w:rsidR="00D46234">
        <w:t xml:space="preserve"> and assumptions about the state</w:t>
      </w:r>
      <w:r w:rsidR="0022532D">
        <w:t xml:space="preserve"> or territory</w:t>
      </w:r>
      <w:r w:rsidR="00D46234">
        <w:t xml:space="preserve"> in which they arrive</w:t>
      </w:r>
      <w:r>
        <w:t xml:space="preserve">. This process is </w:t>
      </w:r>
      <w:r w:rsidR="0072756B">
        <w:t>outlined</w:t>
      </w:r>
      <w:r>
        <w:t xml:space="preserve"> in </w:t>
      </w:r>
      <w:r w:rsidR="000C0F82">
        <w:t>b</w:t>
      </w:r>
      <w:r w:rsidR="007062D5">
        <w:t>ox </w:t>
      </w:r>
      <w:proofErr w:type="spellStart"/>
      <w:r w:rsidR="00D81670">
        <w:t>B</w:t>
      </w:r>
      <w:r>
        <w:t>.1</w:t>
      </w:r>
      <w:proofErr w:type="spellEnd"/>
      <w:r>
        <w:t>.</w:t>
      </w:r>
      <w:r w:rsidR="00890A63" w:rsidRPr="00890A63">
        <w:t xml:space="preserve"> </w:t>
      </w:r>
    </w:p>
    <w:p w14:paraId="0B5D870D" w14:textId="77777777" w:rsidR="00905688" w:rsidRDefault="00905688" w:rsidP="00905688">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905688" w14:paraId="51803C88" w14:textId="77777777" w:rsidTr="002935EF">
        <w:tc>
          <w:tcPr>
            <w:tcW w:w="8771" w:type="dxa"/>
            <w:tcBorders>
              <w:top w:val="single" w:sz="6" w:space="0" w:color="78A22F"/>
              <w:left w:val="nil"/>
              <w:bottom w:val="nil"/>
              <w:right w:val="nil"/>
            </w:tcBorders>
            <w:shd w:val="clear" w:color="auto" w:fill="F2F2F2"/>
          </w:tcPr>
          <w:p w14:paraId="1E12C79B" w14:textId="1E7FF29F" w:rsidR="00905688" w:rsidRDefault="00905688" w:rsidP="002935EF">
            <w:pPr>
              <w:pStyle w:val="BoxTitle"/>
            </w:pPr>
            <w:r>
              <w:rPr>
                <w:b w:val="0"/>
              </w:rPr>
              <w:t xml:space="preserve">Box </w:t>
            </w:r>
            <w:proofErr w:type="spellStart"/>
            <w:r>
              <w:rPr>
                <w:b w:val="0"/>
              </w:rPr>
              <w:t>B.</w:t>
            </w:r>
            <w:r w:rsidR="009015D8">
              <w:rPr>
                <w:b w:val="0"/>
                <w:noProof/>
              </w:rPr>
              <w:t>1</w:t>
            </w:r>
            <w:proofErr w:type="spellEnd"/>
            <w:r>
              <w:tab/>
              <w:t>Operation of the demographic module</w:t>
            </w:r>
          </w:p>
        </w:tc>
      </w:tr>
      <w:tr w:rsidR="00905688" w14:paraId="56E7057E" w14:textId="77777777" w:rsidTr="002935EF">
        <w:trPr>
          <w:cantSplit/>
        </w:trPr>
        <w:tc>
          <w:tcPr>
            <w:tcW w:w="8771" w:type="dxa"/>
            <w:tcBorders>
              <w:top w:val="nil"/>
              <w:left w:val="nil"/>
              <w:bottom w:val="nil"/>
              <w:right w:val="nil"/>
            </w:tcBorders>
            <w:shd w:val="clear" w:color="auto" w:fill="F2F2F2"/>
          </w:tcPr>
          <w:p w14:paraId="3F9F023A" w14:textId="77777777" w:rsidR="00905688" w:rsidRDefault="00905688" w:rsidP="002935EF">
            <w:pPr>
              <w:pStyle w:val="Box"/>
            </w:pPr>
            <w:r>
              <w:t>The demographic module models the effect of demographic changes on subsets of the population, based on age, gender and region (referred to as ‘cohorts’). This makes it a ‘cohort component’ model. It uses a ‘stock–flow’ approach to calculate regional populations by age and gender. The 2014 database consists of the estimated resident population (</w:t>
            </w:r>
            <w:proofErr w:type="spellStart"/>
            <w:r>
              <w:t>ERP</w:t>
            </w:r>
            <w:proofErr w:type="spellEnd"/>
            <w:r>
              <w:t>) for 1616 age, gender and region cohorts as at 30 June 2013 comprising of:</w:t>
            </w:r>
          </w:p>
          <w:p w14:paraId="52253639" w14:textId="77777777" w:rsidR="00905688" w:rsidRDefault="00905688" w:rsidP="002935EF">
            <w:pPr>
              <w:pStyle w:val="BoxListBullet"/>
            </w:pPr>
            <w:r>
              <w:t>101 age groups — 100 single year age cohorts (0 years old to 99 years old) and an open ended 100 years and over cohort</w:t>
            </w:r>
          </w:p>
          <w:p w14:paraId="789E09A9" w14:textId="77777777" w:rsidR="00905688" w:rsidRDefault="00905688" w:rsidP="002935EF">
            <w:pPr>
              <w:pStyle w:val="BoxListBullet"/>
            </w:pPr>
            <w:r>
              <w:t>two genders — male and female</w:t>
            </w:r>
          </w:p>
          <w:p w14:paraId="61E59A3E" w14:textId="77777777" w:rsidR="00905688" w:rsidRDefault="00905688" w:rsidP="002935EF">
            <w:pPr>
              <w:pStyle w:val="BoxListBullet"/>
            </w:pPr>
            <w:r>
              <w:t>eight regions — New South Wales, Victoria, Queensland, South Australia, Western Australia, Tasmania, the Northern Territory and the Australian Capital Territory.</w:t>
            </w:r>
          </w:p>
          <w:p w14:paraId="405B347C" w14:textId="5CBE1E34" w:rsidR="00905688" w:rsidRDefault="00905688" w:rsidP="002935EF">
            <w:pPr>
              <w:pStyle w:val="Box"/>
            </w:pPr>
            <w:r w:rsidRPr="00262F3B">
              <w:t xml:space="preserve">The cohort data that underpin the database for the new demographic module </w:t>
            </w:r>
            <w:r>
              <w:t>are</w:t>
            </w:r>
            <w:r w:rsidRPr="00262F3B">
              <w:t xml:space="preserve"> sourced from the </w:t>
            </w:r>
            <w:r w:rsidRPr="00011FE9">
              <w:t>ABS </w:t>
            </w:r>
            <w:r w:rsidRPr="007C428E">
              <w:rPr>
                <w:rFonts w:cs="Arial"/>
              </w:rPr>
              <w:t>(</w:t>
            </w:r>
            <w:proofErr w:type="spellStart"/>
            <w:r w:rsidRPr="007C428E">
              <w:rPr>
                <w:rFonts w:cs="Arial"/>
              </w:rPr>
              <w:t>2014a</w:t>
            </w:r>
            <w:proofErr w:type="spellEnd"/>
            <w:r w:rsidRPr="007C428E">
              <w:rPr>
                <w:rFonts w:cs="Arial"/>
              </w:rPr>
              <w:t xml:space="preserve">, </w:t>
            </w:r>
            <w:proofErr w:type="spellStart"/>
            <w:r w:rsidRPr="007C428E">
              <w:rPr>
                <w:rFonts w:cs="Arial"/>
              </w:rPr>
              <w:t>2014b</w:t>
            </w:r>
            <w:proofErr w:type="spellEnd"/>
            <w:r w:rsidRPr="007C428E">
              <w:rPr>
                <w:rFonts w:cs="Arial"/>
              </w:rPr>
              <w:t>)</w:t>
            </w:r>
            <w:r w:rsidRPr="00011FE9">
              <w:t>.</w:t>
            </w:r>
          </w:p>
          <w:p w14:paraId="05F94B79" w14:textId="77777777" w:rsidR="00905688" w:rsidRDefault="00905688" w:rsidP="002935EF">
            <w:pPr>
              <w:pStyle w:val="Box"/>
            </w:pPr>
            <w:r>
              <w:t>E</w:t>
            </w:r>
            <w:r w:rsidRPr="008D5DF4">
              <w:t>ach year, the number of people in each age, gender and region cohort changes according to</w:t>
            </w:r>
            <w:r>
              <w:t>: the net inflow from NOM (immigration less emigration); the net inflow from interstate migration; deaths; and births.</w:t>
            </w:r>
          </w:p>
          <w:p w14:paraId="47D10CF1" w14:textId="77777777" w:rsidR="00905688" w:rsidRDefault="00905688" w:rsidP="002935EF">
            <w:pPr>
              <w:pStyle w:val="Box"/>
            </w:pPr>
            <w:r>
              <w:t>People who do not die or leave the region are one year older by the end of the simulation year and join the next age cohort. The demographic module determines population, working</w:t>
            </w:r>
            <w:r>
              <w:noBreakHyphen/>
              <w:t xml:space="preserve">age population and labour supply. </w:t>
            </w:r>
          </w:p>
          <w:p w14:paraId="39EA44EE" w14:textId="77777777" w:rsidR="00905688" w:rsidRPr="00EF3080" w:rsidRDefault="00905688" w:rsidP="002935EF">
            <w:pPr>
              <w:pStyle w:val="BoxHeading1"/>
            </w:pPr>
            <w:r w:rsidRPr="00EF3080">
              <w:t>Stylised representation of the demographic module</w:t>
            </w:r>
          </w:p>
          <w:p w14:paraId="6B632DF5" w14:textId="711CCED9" w:rsidR="00905688" w:rsidRDefault="00905688" w:rsidP="002935EF">
            <w:pPr>
              <w:pStyle w:val="Box"/>
            </w:pPr>
            <w:r>
              <w:rPr>
                <w:noProof/>
              </w:rPr>
              <w:drawing>
                <wp:inline distT="0" distB="0" distL="0" distR="0" wp14:anchorId="18298199" wp14:editId="0502D0FD">
                  <wp:extent cx="5391150" cy="3238500"/>
                  <wp:effectExtent l="0" t="0" r="0" b="0"/>
                  <wp:docPr id="4" name="Picture 4" descr="This figure illustrates the operation of the demographic module. The demographic module models the effect of demographic change on subsets of the population based on age, gender and region (referred to as ‘cohorts’). Each cohort represents a unique combination of: &#10;• 101 age groups: 100 single year age cohorts — 0 years old to 99 years old — and an open ended 100 years and over cohort; &#10;• two genders: male and female; and&#10;• eight regions: New South Wales, Victoria, Queensland, South Australia, Western Australia, Tasmania, the Northern Territory and the Australian Capital Territo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91150" cy="3238500"/>
                          </a:xfrm>
                          <a:prstGeom prst="rect">
                            <a:avLst/>
                          </a:prstGeom>
                          <a:noFill/>
                          <a:ln>
                            <a:noFill/>
                          </a:ln>
                        </pic:spPr>
                      </pic:pic>
                    </a:graphicData>
                  </a:graphic>
                </wp:inline>
              </w:drawing>
            </w:r>
          </w:p>
        </w:tc>
      </w:tr>
      <w:tr w:rsidR="00905688" w14:paraId="2F6D4120" w14:textId="77777777" w:rsidTr="002935EF">
        <w:trPr>
          <w:cantSplit/>
        </w:trPr>
        <w:tc>
          <w:tcPr>
            <w:tcW w:w="8771" w:type="dxa"/>
            <w:tcBorders>
              <w:top w:val="nil"/>
              <w:left w:val="nil"/>
              <w:bottom w:val="single" w:sz="6" w:space="0" w:color="78A22F"/>
              <w:right w:val="nil"/>
            </w:tcBorders>
            <w:shd w:val="clear" w:color="auto" w:fill="F2F2F2"/>
          </w:tcPr>
          <w:p w14:paraId="77CA856B" w14:textId="77777777" w:rsidR="00905688" w:rsidRDefault="00905688" w:rsidP="002935EF">
            <w:pPr>
              <w:pStyle w:val="Box"/>
              <w:spacing w:before="0" w:line="120" w:lineRule="exact"/>
            </w:pPr>
          </w:p>
        </w:tc>
      </w:tr>
      <w:tr w:rsidR="00905688" w:rsidRPr="000863A5" w14:paraId="6FC58F33" w14:textId="77777777" w:rsidTr="002935EF">
        <w:tc>
          <w:tcPr>
            <w:tcW w:w="8771" w:type="dxa"/>
            <w:tcBorders>
              <w:top w:val="single" w:sz="6" w:space="0" w:color="78A22F"/>
              <w:left w:val="nil"/>
              <w:bottom w:val="nil"/>
              <w:right w:val="nil"/>
            </w:tcBorders>
          </w:tcPr>
          <w:p w14:paraId="0D6827A5" w14:textId="77777777" w:rsidR="00905688" w:rsidRPr="00626D32" w:rsidRDefault="00905688" w:rsidP="002935EF">
            <w:pPr>
              <w:pStyle w:val="BoxSpaceBelow"/>
            </w:pPr>
          </w:p>
        </w:tc>
      </w:tr>
    </w:tbl>
    <w:p w14:paraId="028444DC" w14:textId="4D7A8E2B" w:rsidR="00890A63" w:rsidRDefault="00D46234" w:rsidP="00890A63">
      <w:pPr>
        <w:pStyle w:val="BodyText"/>
      </w:pPr>
      <w:r>
        <w:t>In the standard model, m</w:t>
      </w:r>
      <w:r w:rsidR="00890A63">
        <w:t>igrants are assum</w:t>
      </w:r>
      <w:r>
        <w:t>ed</w:t>
      </w:r>
      <w:r w:rsidR="00890A63">
        <w:t xml:space="preserve"> </w:t>
      </w:r>
      <w:r>
        <w:t xml:space="preserve">to </w:t>
      </w:r>
      <w:r w:rsidR="001E2D18">
        <w:t>enter the labour force with age</w:t>
      </w:r>
      <w:r w:rsidR="001E2D18">
        <w:noBreakHyphen/>
        <w:t xml:space="preserve">gender characteristics of the migrant population and to </w:t>
      </w:r>
      <w:r>
        <w:t xml:space="preserve">display </w:t>
      </w:r>
      <w:r w:rsidR="00890A63">
        <w:t xml:space="preserve">the </w:t>
      </w:r>
      <w:r>
        <w:t xml:space="preserve">same </w:t>
      </w:r>
      <w:r w:rsidR="00890A63">
        <w:t xml:space="preserve">characteristics </w:t>
      </w:r>
      <w:r>
        <w:t xml:space="preserve">as </w:t>
      </w:r>
      <w:r w:rsidR="00890A63">
        <w:t xml:space="preserve">the </w:t>
      </w:r>
      <w:r w:rsidR="001E2D18">
        <w:t xml:space="preserve">general </w:t>
      </w:r>
      <w:r w:rsidR="00890A63">
        <w:t>population with respect to age</w:t>
      </w:r>
      <w:r w:rsidR="0072519E">
        <w:noBreakHyphen/>
      </w:r>
      <w:r w:rsidR="00890A63">
        <w:t xml:space="preserve">specific fertility and </w:t>
      </w:r>
      <w:r w:rsidR="001E2D18">
        <w:t>age</w:t>
      </w:r>
      <w:r w:rsidR="001E2D18">
        <w:noBreakHyphen/>
        <w:t xml:space="preserve">specific </w:t>
      </w:r>
      <w:r w:rsidR="00890A63">
        <w:t xml:space="preserve">labour force participation rates. </w:t>
      </w:r>
      <w:r>
        <w:t>M</w:t>
      </w:r>
      <w:r w:rsidR="00890A63">
        <w:t xml:space="preserve">igrants are also assumed to initially reside in and join the labour force </w:t>
      </w:r>
      <w:r w:rsidR="00890A63">
        <w:lastRenderedPageBreak/>
        <w:t xml:space="preserve">of the </w:t>
      </w:r>
      <w:r w:rsidR="0022532D">
        <w:t xml:space="preserve">region </w:t>
      </w:r>
      <w:r w:rsidR="00890A63">
        <w:t>of disembarkation</w:t>
      </w:r>
      <w:r>
        <w:t xml:space="preserve">, </w:t>
      </w:r>
      <w:r w:rsidR="00890A63">
        <w:t xml:space="preserve">have the </w:t>
      </w:r>
      <w:r w:rsidR="0022532D">
        <w:t>r</w:t>
      </w:r>
      <w:r w:rsidR="009D258C">
        <w:t>egion</w:t>
      </w:r>
      <w:r w:rsidR="00251C30">
        <w:t>’s</w:t>
      </w:r>
      <w:r w:rsidR="0022532D">
        <w:t xml:space="preserve"> </w:t>
      </w:r>
      <w:r w:rsidR="00890A63">
        <w:t xml:space="preserve">average occupational characteristics at the time of arrival, and </w:t>
      </w:r>
      <w:r>
        <w:t xml:space="preserve">display </w:t>
      </w:r>
      <w:r w:rsidR="00890A63">
        <w:t>the same unemployment rates</w:t>
      </w:r>
      <w:r w:rsidRPr="00D46234">
        <w:t xml:space="preserve"> </w:t>
      </w:r>
      <w:r>
        <w:t xml:space="preserve">by </w:t>
      </w:r>
      <w:r w:rsidR="0022532D">
        <w:t xml:space="preserve">region </w:t>
      </w:r>
      <w:r>
        <w:t>and occupation</w:t>
      </w:r>
      <w:r w:rsidR="00890A63">
        <w:t>.</w:t>
      </w:r>
    </w:p>
    <w:p w14:paraId="028444DD" w14:textId="6B0D9D2D" w:rsidR="00890A63" w:rsidRDefault="00890A63" w:rsidP="00890A63">
      <w:pPr>
        <w:pStyle w:val="BodyText"/>
      </w:pPr>
      <w:r>
        <w:t xml:space="preserve">For the purpose of this inquiry, the </w:t>
      </w:r>
      <w:proofErr w:type="spellStart"/>
      <w:r w:rsidR="00776C79">
        <w:t>VURM</w:t>
      </w:r>
      <w:proofErr w:type="spellEnd"/>
      <w:r>
        <w:t xml:space="preserve"> has been modified to allow for migrants to enter the labour force with:</w:t>
      </w:r>
    </w:p>
    <w:p w14:paraId="028444DE" w14:textId="7A9E169B" w:rsidR="00890A63" w:rsidRDefault="00890A63" w:rsidP="00890A63">
      <w:pPr>
        <w:pStyle w:val="ListBullet"/>
        <w:spacing w:line="320" w:lineRule="atLeast"/>
      </w:pPr>
      <w:r>
        <w:t>age</w:t>
      </w:r>
      <w:r w:rsidR="0072519E">
        <w:t xml:space="preserve"> and </w:t>
      </w:r>
      <w:r>
        <w:t xml:space="preserve">gender </w:t>
      </w:r>
      <w:r w:rsidR="0072519E">
        <w:t>(age</w:t>
      </w:r>
      <w:r w:rsidR="0072519E">
        <w:noBreakHyphen/>
        <w:t xml:space="preserve">gender) </w:t>
      </w:r>
      <w:r>
        <w:t>characteristics</w:t>
      </w:r>
      <w:r w:rsidR="00D46234" w:rsidRPr="00D46234">
        <w:t xml:space="preserve"> </w:t>
      </w:r>
      <w:r w:rsidR="001E2D18">
        <w:t>of either the migrant population or</w:t>
      </w:r>
      <w:r w:rsidR="00D46234">
        <w:t xml:space="preserve"> of the </w:t>
      </w:r>
      <w:r w:rsidR="002D69C3">
        <w:t xml:space="preserve">Australian </w:t>
      </w:r>
      <w:r w:rsidR="00D46234">
        <w:t>population</w:t>
      </w:r>
    </w:p>
    <w:p w14:paraId="028444DF" w14:textId="3DED37F4" w:rsidR="00890A63" w:rsidRDefault="00890A63" w:rsidP="00890A63">
      <w:pPr>
        <w:pStyle w:val="ListBullet"/>
        <w:spacing w:line="320" w:lineRule="atLeast"/>
      </w:pPr>
      <w:r>
        <w:t xml:space="preserve">occupation employment characteristics </w:t>
      </w:r>
      <w:r w:rsidR="00D46234">
        <w:t>different to those</w:t>
      </w:r>
      <w:r>
        <w:t xml:space="preserve"> of </w:t>
      </w:r>
      <w:r w:rsidR="00C930D0">
        <w:t xml:space="preserve">the </w:t>
      </w:r>
      <w:r w:rsidR="002D69C3">
        <w:t>Australian</w:t>
      </w:r>
      <w:r w:rsidR="00C930D0">
        <w:t xml:space="preserve"> labour force</w:t>
      </w:r>
      <w:r>
        <w:t xml:space="preserve">. </w:t>
      </w:r>
    </w:p>
    <w:p w14:paraId="028444E0" w14:textId="386AA434" w:rsidR="00890A63" w:rsidRDefault="00890A63" w:rsidP="00890A63">
      <w:pPr>
        <w:pStyle w:val="BodyText"/>
      </w:pPr>
      <w:r>
        <w:t xml:space="preserve">The business-as-usual scenario </w:t>
      </w:r>
      <w:r w:rsidR="00D46234">
        <w:t xml:space="preserve">uses </w:t>
      </w:r>
      <w:r>
        <w:t>th</w:t>
      </w:r>
      <w:r w:rsidR="00F606A7">
        <w:t>e</w:t>
      </w:r>
      <w:r>
        <w:t>s</w:t>
      </w:r>
      <w:r w:rsidR="00F606A7">
        <w:t>e</w:t>
      </w:r>
      <w:r>
        <w:t xml:space="preserve"> modification</w:t>
      </w:r>
      <w:r w:rsidR="00F606A7">
        <w:t>s</w:t>
      </w:r>
      <w:r>
        <w:t xml:space="preserve"> to project the economic impact of </w:t>
      </w:r>
      <w:r w:rsidR="00F606A7">
        <w:t xml:space="preserve">NOM with </w:t>
      </w:r>
      <w:r>
        <w:t xml:space="preserve">the current </w:t>
      </w:r>
      <w:r w:rsidR="001E2D18">
        <w:t>age</w:t>
      </w:r>
      <w:r w:rsidR="001E2D18">
        <w:noBreakHyphen/>
        <w:t xml:space="preserve">gender and </w:t>
      </w:r>
      <w:r>
        <w:t xml:space="preserve">occupational structure of NOM. Key model code changes are listed in </w:t>
      </w:r>
      <w:r w:rsidR="0072519E">
        <w:t xml:space="preserve">Attachment </w:t>
      </w:r>
      <w:r w:rsidR="008809C8">
        <w:t>2</w:t>
      </w:r>
      <w:r w:rsidR="0072519E">
        <w:t xml:space="preserve"> of this technical supplement</w:t>
      </w:r>
      <w:r>
        <w:t>.</w:t>
      </w:r>
      <w:r w:rsidR="004D4E21">
        <w:t xml:space="preserve"> </w:t>
      </w:r>
    </w:p>
    <w:p w14:paraId="028444E1" w14:textId="77777777" w:rsidR="00890A63" w:rsidRDefault="00890A63" w:rsidP="00890A63">
      <w:pPr>
        <w:pStyle w:val="Heading4"/>
      </w:pPr>
      <w:r>
        <w:t>Modelling government finances</w:t>
      </w:r>
    </w:p>
    <w:p w14:paraId="028444E2" w14:textId="365482F1" w:rsidR="00890A63" w:rsidRDefault="00890A63" w:rsidP="00890A63">
      <w:pPr>
        <w:pStyle w:val="BodyText"/>
      </w:pPr>
      <w:r>
        <w:t xml:space="preserve">The terms of reference </w:t>
      </w:r>
      <w:r w:rsidR="00C43D78">
        <w:t xml:space="preserve">ask </w:t>
      </w:r>
      <w:r>
        <w:t xml:space="preserve">the Commission to consider the Australian and </w:t>
      </w:r>
      <w:r w:rsidR="0072519E">
        <w:t>s</w:t>
      </w:r>
      <w:r>
        <w:t xml:space="preserve">tate and </w:t>
      </w:r>
      <w:r w:rsidR="0072519E">
        <w:t>t</w:t>
      </w:r>
      <w:r>
        <w:t xml:space="preserve">erritory government finance implications of migration. </w:t>
      </w:r>
      <w:r w:rsidR="00CD0CB7">
        <w:t>A</w:t>
      </w:r>
      <w:r>
        <w:t xml:space="preserve">n important means by which NOM affects governments finances is through its effects on expenditures </w:t>
      </w:r>
      <w:r w:rsidR="00CD0CB7">
        <w:t xml:space="preserve">that </w:t>
      </w:r>
      <w:r>
        <w:t xml:space="preserve">relate </w:t>
      </w:r>
      <w:r w:rsidR="00CD0CB7">
        <w:t xml:space="preserve">directly </w:t>
      </w:r>
      <w:r>
        <w:t>to demography including health, aged</w:t>
      </w:r>
      <w:r w:rsidR="00E4769E">
        <w:t xml:space="preserve"> </w:t>
      </w:r>
      <w:r>
        <w:t xml:space="preserve">care and education, in addition to the </w:t>
      </w:r>
      <w:r w:rsidR="00E911EE">
        <w:t>Age Pension</w:t>
      </w:r>
      <w:r>
        <w:t xml:space="preserve">. NOM also </w:t>
      </w:r>
      <w:r w:rsidR="00E064BE">
        <w:t>a</w:t>
      </w:r>
      <w:r>
        <w:t xml:space="preserve">ffects government revenues including personal income </w:t>
      </w:r>
      <w:r w:rsidR="00CD0CB7">
        <w:t xml:space="preserve">taxes </w:t>
      </w:r>
      <w:r>
        <w:t xml:space="preserve">and goods and services taxation (GST) through higher economic activity. </w:t>
      </w:r>
    </w:p>
    <w:p w14:paraId="028444E3" w14:textId="3067DBD5" w:rsidR="00890A63" w:rsidRDefault="00890A63" w:rsidP="00890A63">
      <w:pPr>
        <w:pStyle w:val="BodyText"/>
      </w:pPr>
      <w:r>
        <w:t xml:space="preserve">In </w:t>
      </w:r>
      <w:proofErr w:type="spellStart"/>
      <w:r w:rsidR="00776C79">
        <w:t>VURM</w:t>
      </w:r>
      <w:proofErr w:type="spellEnd"/>
      <w:r w:rsidR="00C43D78">
        <w:noBreakHyphen/>
        <w:t>MI</w:t>
      </w:r>
      <w:r>
        <w:t xml:space="preserve">, </w:t>
      </w:r>
      <w:r w:rsidR="00E911EE">
        <w:t>Age Pension</w:t>
      </w:r>
      <w:r>
        <w:t xml:space="preserve"> payments </w:t>
      </w:r>
      <w:r w:rsidR="00CD0CB7">
        <w:t xml:space="preserve">are </w:t>
      </w:r>
      <w:r>
        <w:t xml:space="preserve">indexed to the population over 65 years and the </w:t>
      </w:r>
      <w:r w:rsidR="00B96648">
        <w:t>projected</w:t>
      </w:r>
      <w:r w:rsidR="000C6AC8">
        <w:t xml:space="preserve"> wage</w:t>
      </w:r>
      <w:r w:rsidR="00B96648">
        <w:t xml:space="preserve"> </w:t>
      </w:r>
      <w:r>
        <w:t xml:space="preserve">index. Under this setup, </w:t>
      </w:r>
      <w:r w:rsidR="00E911EE">
        <w:t>Age Pension</w:t>
      </w:r>
      <w:r>
        <w:t xml:space="preserve"> payments are responsive to the effect of NOM on the demographic structure of the population.</w:t>
      </w:r>
    </w:p>
    <w:p w14:paraId="5F27FF80" w14:textId="77777777" w:rsidR="007D07DE" w:rsidRDefault="007D07DE" w:rsidP="007D07DE">
      <w:pPr>
        <w:pStyle w:val="BodyText"/>
      </w:pPr>
      <w:proofErr w:type="spellStart"/>
      <w:r>
        <w:t>VURM</w:t>
      </w:r>
      <w:proofErr w:type="spellEnd"/>
      <w:r>
        <w:t>–MI also varies real government final consumption expenditure</w:t>
      </w:r>
      <w:r w:rsidRPr="003D567A">
        <w:rPr>
          <w:rStyle w:val="FootnoteReference"/>
        </w:rPr>
        <w:footnoteReference w:id="5"/>
      </w:r>
      <w:r>
        <w:t xml:space="preserve"> on education, health and aged care services in response to changes in national aggregate real household final consumption spending per person and per person government expenditure on education, health and aged care. </w:t>
      </w:r>
    </w:p>
    <w:p w14:paraId="028444F6" w14:textId="653FB7FE" w:rsidR="00464741" w:rsidRDefault="009F53BD" w:rsidP="003C26EE">
      <w:pPr>
        <w:pStyle w:val="BodyText"/>
      </w:pPr>
      <w:r>
        <w:t>P</w:t>
      </w:r>
      <w:r w:rsidR="00790A19">
        <w:t xml:space="preserve">er </w:t>
      </w:r>
      <w:r w:rsidR="00464741">
        <w:t>person</w:t>
      </w:r>
      <w:r w:rsidR="00790A19">
        <w:t xml:space="preserve"> </w:t>
      </w:r>
      <w:r w:rsidR="00252721">
        <w:t xml:space="preserve">government </w:t>
      </w:r>
      <w:r w:rsidR="00790A19">
        <w:t>expendit</w:t>
      </w:r>
      <w:r w:rsidR="00E40745">
        <w:t>ure</w:t>
      </w:r>
      <w:r w:rsidR="00B97003">
        <w:t>s</w:t>
      </w:r>
      <w:r w:rsidR="00E40745">
        <w:t xml:space="preserve"> </w:t>
      </w:r>
      <w:r w:rsidR="003C54EB">
        <w:t xml:space="preserve">on </w:t>
      </w:r>
      <w:r w:rsidR="00E40745">
        <w:t>health</w:t>
      </w:r>
      <w:r w:rsidR="00345BE3">
        <w:t xml:space="preserve">, </w:t>
      </w:r>
      <w:r w:rsidR="00790A19">
        <w:t>education</w:t>
      </w:r>
      <w:r w:rsidR="00345BE3">
        <w:t xml:space="preserve"> and age</w:t>
      </w:r>
      <w:r w:rsidR="006C6F2C">
        <w:t>d</w:t>
      </w:r>
      <w:r w:rsidR="00E4769E">
        <w:t xml:space="preserve"> </w:t>
      </w:r>
      <w:r w:rsidR="00345BE3">
        <w:t>care</w:t>
      </w:r>
      <w:r>
        <w:t xml:space="preserve"> are assumed to vary with age, giving rise to ‘expenditure pyramids’ in </w:t>
      </w:r>
      <w:r w:rsidR="00790A19">
        <w:t>figure </w:t>
      </w:r>
      <w:proofErr w:type="spellStart"/>
      <w:r w:rsidR="008D5551">
        <w:t>B</w:t>
      </w:r>
      <w:r w:rsidR="00790A19">
        <w:t>.</w:t>
      </w:r>
      <w:r w:rsidR="00252721">
        <w:t>2</w:t>
      </w:r>
      <w:proofErr w:type="spellEnd"/>
      <w:r w:rsidR="00790A19">
        <w:t xml:space="preserve">. </w:t>
      </w:r>
      <w:r w:rsidR="007E419F">
        <w:t>The</w:t>
      </w:r>
      <w:r w:rsidR="00453DB7">
        <w:t>se per person government expenditure</w:t>
      </w:r>
      <w:r w:rsidR="008D5551">
        <w:t>s</w:t>
      </w:r>
      <w:r w:rsidR="00453DB7">
        <w:t xml:space="preserve"> for health, education and aged</w:t>
      </w:r>
      <w:r w:rsidR="00E4769E">
        <w:t xml:space="preserve"> </w:t>
      </w:r>
      <w:r w:rsidR="00453DB7">
        <w:t xml:space="preserve">care </w:t>
      </w:r>
      <w:r w:rsidR="00454A4B">
        <w:t>are</w:t>
      </w:r>
      <w:r w:rsidR="00453DB7">
        <w:t xml:space="preserve"> sourced from the </w:t>
      </w:r>
      <w:r w:rsidR="00E01F72">
        <w:t>Commission’s </w:t>
      </w:r>
      <w:r w:rsidR="007C428E" w:rsidRPr="007C428E">
        <w:t>(2013)</w:t>
      </w:r>
      <w:r w:rsidR="00B97777">
        <w:t xml:space="preserve"> </w:t>
      </w:r>
      <w:r w:rsidR="00B97777">
        <w:rPr>
          <w:i/>
        </w:rPr>
        <w:t xml:space="preserve">An Ageing Australia </w:t>
      </w:r>
      <w:r w:rsidR="00B97777">
        <w:t>report</w:t>
      </w:r>
      <w:r w:rsidR="00454A4B">
        <w:t xml:space="preserve">, </w:t>
      </w:r>
      <w:r w:rsidR="00B97777">
        <w:t xml:space="preserve">adjusted to 2014 prices and </w:t>
      </w:r>
      <w:r w:rsidR="00A05123">
        <w:t xml:space="preserve">scaled </w:t>
      </w:r>
      <w:r w:rsidR="003B5537">
        <w:t xml:space="preserve">to be </w:t>
      </w:r>
      <w:r w:rsidR="00A05123">
        <w:t>consisten</w:t>
      </w:r>
      <w:r w:rsidR="003B5537">
        <w:t>t</w:t>
      </w:r>
      <w:r w:rsidR="00A05123">
        <w:t xml:space="preserve"> with the</w:t>
      </w:r>
      <w:r w:rsidR="00454A4B">
        <w:t xml:space="preserve"> database’s population</w:t>
      </w:r>
      <w:r w:rsidR="00A05123">
        <w:t xml:space="preserve"> and aggregate government final consumption </w:t>
      </w:r>
      <w:r w:rsidR="00A05123">
        <w:lastRenderedPageBreak/>
        <w:t xml:space="preserve">expenditure levels for these items. </w:t>
      </w:r>
      <w:r w:rsidR="00790A19">
        <w:t xml:space="preserve">The pyramids show </w:t>
      </w:r>
      <w:r>
        <w:t xml:space="preserve">how </w:t>
      </w:r>
      <w:r w:rsidR="00790A19">
        <w:t>government expenditure</w:t>
      </w:r>
      <w:r w:rsidR="00B97003">
        <w:t>s</w:t>
      </w:r>
      <w:r w:rsidR="00D17464">
        <w:t xml:space="preserve"> per person</w:t>
      </w:r>
      <w:r w:rsidR="00790A19">
        <w:t xml:space="preserve"> on these services </w:t>
      </w:r>
      <w:r>
        <w:t>are</w:t>
      </w:r>
      <w:r w:rsidR="00790A19">
        <w:t xml:space="preserve"> sensitive to the population age structure, with the </w:t>
      </w:r>
      <w:r w:rsidR="00E40745">
        <w:t xml:space="preserve">profiles for health </w:t>
      </w:r>
      <w:r w:rsidR="00DA51B9">
        <w:t xml:space="preserve">and aged care </w:t>
      </w:r>
      <w:r w:rsidR="00E40745">
        <w:t>being weighted towards the older age groups and education towards the younger</w:t>
      </w:r>
      <w:r w:rsidR="00790A19">
        <w:t xml:space="preserve">. </w:t>
      </w:r>
    </w:p>
    <w:p w14:paraId="028444FD" w14:textId="0F5E73B8" w:rsidR="00430FB3" w:rsidRDefault="00430FB3" w:rsidP="00941DB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30FB3" w14:paraId="02844500" w14:textId="77777777" w:rsidTr="00941DBF">
        <w:tc>
          <w:tcPr>
            <w:tcW w:w="8771" w:type="dxa"/>
            <w:tcBorders>
              <w:top w:val="single" w:sz="6" w:space="0" w:color="78A22F"/>
              <w:left w:val="nil"/>
              <w:bottom w:val="nil"/>
              <w:right w:val="nil"/>
            </w:tcBorders>
            <w:shd w:val="clear" w:color="auto" w:fill="auto"/>
          </w:tcPr>
          <w:p w14:paraId="028444FE" w14:textId="281C1DD0" w:rsidR="00430FB3" w:rsidRDefault="00430FB3" w:rsidP="00941DBF">
            <w:pPr>
              <w:pStyle w:val="FigureTitle"/>
            </w:pPr>
            <w:r w:rsidRPr="00784A05">
              <w:rPr>
                <w:b w:val="0"/>
              </w:rPr>
              <w:t xml:space="preserve">Figure </w:t>
            </w:r>
            <w:proofErr w:type="spellStart"/>
            <w:r w:rsidR="000C775F">
              <w:rPr>
                <w:b w:val="0"/>
              </w:rPr>
              <w:t>B.</w:t>
            </w:r>
            <w:r w:rsidR="009015D8">
              <w:rPr>
                <w:b w:val="0"/>
                <w:noProof/>
              </w:rPr>
              <w:t>2</w:t>
            </w:r>
            <w:proofErr w:type="spellEnd"/>
            <w:r w:rsidR="006C6F2C">
              <w:tab/>
              <w:t xml:space="preserve">Health, </w:t>
            </w:r>
            <w:r>
              <w:t>education</w:t>
            </w:r>
            <w:r w:rsidR="006C6F2C">
              <w:t xml:space="preserve"> and aged</w:t>
            </w:r>
            <w:r w:rsidR="00E4769E">
              <w:t xml:space="preserve"> </w:t>
            </w:r>
            <w:r w:rsidR="006C6F2C">
              <w:t>care</w:t>
            </w:r>
            <w:r>
              <w:t xml:space="preserve"> costs </w:t>
            </w:r>
            <w:r w:rsidR="00252721">
              <w:t xml:space="preserve">to governments </w:t>
            </w:r>
            <w:r w:rsidR="002C0D8E">
              <w:t xml:space="preserve">vary </w:t>
            </w:r>
            <w:r>
              <w:t xml:space="preserve">by age and </w:t>
            </w:r>
            <w:r w:rsidR="00C47C86">
              <w:t>gender</w:t>
            </w:r>
          </w:p>
          <w:p w14:paraId="028444FF" w14:textId="3CD3E388" w:rsidR="00430FB3" w:rsidRPr="00176D3F" w:rsidRDefault="00290B1E" w:rsidP="00F57180">
            <w:pPr>
              <w:pStyle w:val="Subtitle"/>
            </w:pPr>
            <w:r>
              <w:t>2014</w:t>
            </w:r>
          </w:p>
        </w:tc>
      </w:tr>
      <w:tr w:rsidR="00430FB3" w14:paraId="0284450E" w14:textId="77777777" w:rsidTr="00941DBF">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13"/>
              <w:gridCol w:w="3839"/>
            </w:tblGrid>
            <w:tr w:rsidR="001E7D6C" w14:paraId="02844503" w14:textId="77777777" w:rsidTr="00C72F97">
              <w:trPr>
                <w:trHeight w:val="54"/>
                <w:jc w:val="center"/>
              </w:trPr>
              <w:tc>
                <w:tcPr>
                  <w:tcW w:w="2500" w:type="pct"/>
                  <w:tcBorders>
                    <w:top w:val="nil"/>
                    <w:bottom w:val="nil"/>
                  </w:tcBorders>
                </w:tcPr>
                <w:p w14:paraId="02844501" w14:textId="3059767C" w:rsidR="003C26EE" w:rsidRPr="002A7BBA" w:rsidRDefault="006C6F2C" w:rsidP="00F07F05">
                  <w:pPr>
                    <w:pStyle w:val="Figure"/>
                    <w:numPr>
                      <w:ilvl w:val="0"/>
                      <w:numId w:val="26"/>
                    </w:numPr>
                    <w:spacing w:before="60" w:after="60"/>
                    <w:rPr>
                      <w:rFonts w:ascii="Arial" w:hAnsi="Arial" w:cs="Arial"/>
                      <w:b/>
                      <w:sz w:val="18"/>
                      <w:szCs w:val="18"/>
                    </w:rPr>
                  </w:pPr>
                  <w:r>
                    <w:rPr>
                      <w:rFonts w:ascii="Arial" w:hAnsi="Arial" w:cs="Arial"/>
                      <w:b/>
                      <w:sz w:val="18"/>
                      <w:szCs w:val="18"/>
                    </w:rPr>
                    <w:t>All governments</w:t>
                  </w:r>
                  <w:r w:rsidR="00617C0B">
                    <w:rPr>
                      <w:rFonts w:ascii="Arial" w:hAnsi="Arial" w:cs="Arial"/>
                      <w:b/>
                      <w:sz w:val="18"/>
                      <w:szCs w:val="18"/>
                    </w:rPr>
                    <w:t>’</w:t>
                  </w:r>
                  <w:r>
                    <w:rPr>
                      <w:rFonts w:ascii="Arial" w:hAnsi="Arial" w:cs="Arial"/>
                      <w:b/>
                      <w:sz w:val="18"/>
                      <w:szCs w:val="18"/>
                    </w:rPr>
                    <w:t xml:space="preserve"> h</w:t>
                  </w:r>
                  <w:r w:rsidR="00146DC8" w:rsidRPr="0072756B">
                    <w:rPr>
                      <w:rFonts w:ascii="Arial" w:hAnsi="Arial" w:cs="Arial"/>
                      <w:b/>
                      <w:sz w:val="18"/>
                      <w:szCs w:val="18"/>
                    </w:rPr>
                    <w:t>ealth</w:t>
                  </w:r>
                  <w:r>
                    <w:rPr>
                      <w:rFonts w:ascii="Arial" w:hAnsi="Arial" w:cs="Arial"/>
                      <w:b/>
                      <w:sz w:val="18"/>
                      <w:szCs w:val="18"/>
                    </w:rPr>
                    <w:t xml:space="preserve"> expenditure</w:t>
                  </w:r>
                </w:p>
              </w:tc>
              <w:tc>
                <w:tcPr>
                  <w:tcW w:w="2500" w:type="pct"/>
                  <w:gridSpan w:val="2"/>
                  <w:tcBorders>
                    <w:top w:val="nil"/>
                    <w:bottom w:val="nil"/>
                  </w:tcBorders>
                </w:tcPr>
                <w:p w14:paraId="02844502" w14:textId="76360743" w:rsidR="001E7D6C" w:rsidRPr="002A7BBA" w:rsidRDefault="008100D9" w:rsidP="00290B1E">
                  <w:pPr>
                    <w:pStyle w:val="Figure"/>
                    <w:numPr>
                      <w:ilvl w:val="0"/>
                      <w:numId w:val="26"/>
                    </w:numPr>
                    <w:spacing w:before="60" w:after="60"/>
                    <w:rPr>
                      <w:rFonts w:ascii="Arial" w:hAnsi="Arial" w:cs="Arial"/>
                      <w:b/>
                      <w:sz w:val="18"/>
                      <w:szCs w:val="18"/>
                    </w:rPr>
                  </w:pPr>
                  <w:r w:rsidRPr="0072756B">
                    <w:rPr>
                      <w:rFonts w:ascii="Arial" w:hAnsi="Arial" w:cs="Arial"/>
                      <w:b/>
                      <w:sz w:val="18"/>
                      <w:szCs w:val="18"/>
                    </w:rPr>
                    <w:t>All governments</w:t>
                  </w:r>
                  <w:r w:rsidR="00617C0B">
                    <w:rPr>
                      <w:rFonts w:ascii="Arial" w:hAnsi="Arial" w:cs="Arial"/>
                      <w:b/>
                      <w:sz w:val="18"/>
                      <w:szCs w:val="18"/>
                    </w:rPr>
                    <w:t>’</w:t>
                  </w:r>
                  <w:r w:rsidRPr="0072756B">
                    <w:rPr>
                      <w:rFonts w:ascii="Arial" w:hAnsi="Arial" w:cs="Arial"/>
                      <w:b/>
                      <w:sz w:val="18"/>
                      <w:szCs w:val="18"/>
                    </w:rPr>
                    <w:t xml:space="preserve"> e</w:t>
                  </w:r>
                  <w:r w:rsidR="001E7D6C" w:rsidRPr="0072756B">
                    <w:rPr>
                      <w:rFonts w:ascii="Arial" w:hAnsi="Arial" w:cs="Arial"/>
                      <w:b/>
                      <w:sz w:val="18"/>
                      <w:szCs w:val="18"/>
                    </w:rPr>
                    <w:t>ducation</w:t>
                  </w:r>
                  <w:r w:rsidRPr="0072756B">
                    <w:rPr>
                      <w:rFonts w:ascii="Arial" w:hAnsi="Arial" w:cs="Arial"/>
                      <w:b/>
                      <w:sz w:val="18"/>
                      <w:szCs w:val="18"/>
                    </w:rPr>
                    <w:t xml:space="preserve"> expenditure</w:t>
                  </w:r>
                </w:p>
              </w:tc>
            </w:tr>
            <w:tr w:rsidR="006D2DE5" w14:paraId="23CB403B" w14:textId="77777777" w:rsidTr="004A29C9">
              <w:tblPrEx>
                <w:tblCellMar>
                  <w:left w:w="108" w:type="dxa"/>
                  <w:right w:w="108" w:type="dxa"/>
                </w:tblCellMar>
              </w:tblPrEx>
              <w:trPr>
                <w:trHeight w:val="48"/>
                <w:jc w:val="center"/>
              </w:trPr>
              <w:tc>
                <w:tcPr>
                  <w:tcW w:w="2500" w:type="pct"/>
                  <w:tcBorders>
                    <w:top w:val="nil"/>
                    <w:bottom w:val="nil"/>
                  </w:tcBorders>
                </w:tcPr>
                <w:p w14:paraId="5E5BDB43" w14:textId="388A0ADD" w:rsidR="006D2DE5" w:rsidRDefault="00243159" w:rsidP="006D2DE5">
                  <w:pPr>
                    <w:pStyle w:val="Figure"/>
                    <w:spacing w:before="0" w:after="0"/>
                  </w:pPr>
                  <w:r>
                    <w:rPr>
                      <w:noProof/>
                    </w:rPr>
                    <w:drawing>
                      <wp:inline distT="0" distB="0" distL="0" distR="0" wp14:anchorId="7896E4B0" wp14:editId="4138DD34">
                        <wp:extent cx="2527300" cy="2338070"/>
                        <wp:effectExtent l="0" t="0" r="6350" b="5080"/>
                        <wp:docPr id="5" name="Picture 5" descr="This figure shows the per person expenditure pyramids for each of health and education (adjusted to 2014 prices) in three panels. The pyramids show that the level of government expenditure on these services is sensitive to the population age structure, with the profiles for health and aged care being weighted towards the older age groups and education towards the younger in terms of level of per person expend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27300" cy="2338070"/>
                                </a:xfrm>
                                <a:prstGeom prst="rect">
                                  <a:avLst/>
                                </a:prstGeom>
                                <a:noFill/>
                                <a:ln>
                                  <a:noFill/>
                                </a:ln>
                              </pic:spPr>
                            </pic:pic>
                          </a:graphicData>
                        </a:graphic>
                      </wp:inline>
                    </w:drawing>
                  </w:r>
                </w:p>
              </w:tc>
              <w:tc>
                <w:tcPr>
                  <w:tcW w:w="2500" w:type="pct"/>
                  <w:gridSpan w:val="2"/>
                  <w:tcBorders>
                    <w:top w:val="nil"/>
                    <w:bottom w:val="nil"/>
                  </w:tcBorders>
                </w:tcPr>
                <w:p w14:paraId="04F77189" w14:textId="73E30483" w:rsidR="006D2DE5" w:rsidRPr="004A29C9" w:rsidRDefault="00243159" w:rsidP="006D2DE5">
                  <w:pPr>
                    <w:pStyle w:val="Figure"/>
                    <w:spacing w:before="0" w:after="0"/>
                    <w:rPr>
                      <w:noProof/>
                    </w:rPr>
                  </w:pPr>
                  <w:r>
                    <w:rPr>
                      <w:noProof/>
                    </w:rPr>
                    <w:drawing>
                      <wp:inline distT="0" distB="0" distL="0" distR="0" wp14:anchorId="206E95CF" wp14:editId="18069B8E">
                        <wp:extent cx="2501900" cy="2320290"/>
                        <wp:effectExtent l="0" t="0" r="0" b="3810"/>
                        <wp:docPr id="7" name="Picture 7" descr="This figure shows the per person expenditure pyramids for each of health and education (adjusted to 2014 prices) in three panels. The pyramids show that the level of government expenditure on these services is sensitive to the population age structure, with the profiles for health and aged care being weighted towards the older age groups and education towards the younger in terms of level of per person expend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01900" cy="2320290"/>
                                </a:xfrm>
                                <a:prstGeom prst="rect">
                                  <a:avLst/>
                                </a:prstGeom>
                                <a:noFill/>
                                <a:ln>
                                  <a:noFill/>
                                </a:ln>
                              </pic:spPr>
                            </pic:pic>
                          </a:graphicData>
                        </a:graphic>
                      </wp:inline>
                    </w:drawing>
                  </w:r>
                </w:p>
              </w:tc>
            </w:tr>
            <w:tr w:rsidR="00345BE3" w14:paraId="02844509" w14:textId="77777777" w:rsidTr="00C72F97">
              <w:trPr>
                <w:trHeight w:val="48"/>
                <w:jc w:val="center"/>
              </w:trPr>
              <w:tc>
                <w:tcPr>
                  <w:tcW w:w="2500" w:type="pct"/>
                  <w:tcBorders>
                    <w:top w:val="nil"/>
                    <w:bottom w:val="nil"/>
                  </w:tcBorders>
                </w:tcPr>
                <w:p w14:paraId="02844507" w14:textId="372EAEEA" w:rsidR="006C6F2C" w:rsidRPr="008100D9" w:rsidDel="008100D9" w:rsidRDefault="006C6F2C" w:rsidP="00290B1E">
                  <w:pPr>
                    <w:pStyle w:val="Figure"/>
                    <w:numPr>
                      <w:ilvl w:val="0"/>
                      <w:numId w:val="26"/>
                    </w:numPr>
                    <w:spacing w:before="60" w:after="60"/>
                  </w:pPr>
                  <w:r w:rsidRPr="006C6F2C">
                    <w:rPr>
                      <w:rFonts w:ascii="Arial" w:hAnsi="Arial" w:cs="Arial"/>
                      <w:b/>
                      <w:sz w:val="18"/>
                      <w:szCs w:val="18"/>
                    </w:rPr>
                    <w:t>A</w:t>
                  </w:r>
                  <w:r>
                    <w:rPr>
                      <w:rFonts w:ascii="Arial" w:hAnsi="Arial" w:cs="Arial"/>
                      <w:b/>
                      <w:sz w:val="18"/>
                      <w:szCs w:val="18"/>
                    </w:rPr>
                    <w:t>ll governments</w:t>
                  </w:r>
                  <w:r w:rsidR="00617C0B">
                    <w:rPr>
                      <w:rFonts w:ascii="Arial" w:hAnsi="Arial" w:cs="Arial"/>
                      <w:b/>
                      <w:sz w:val="18"/>
                      <w:szCs w:val="18"/>
                    </w:rPr>
                    <w:t>’</w:t>
                  </w:r>
                  <w:r>
                    <w:rPr>
                      <w:rFonts w:ascii="Arial" w:hAnsi="Arial" w:cs="Arial"/>
                      <w:b/>
                      <w:sz w:val="18"/>
                      <w:szCs w:val="18"/>
                    </w:rPr>
                    <w:t xml:space="preserve"> aged</w:t>
                  </w:r>
                  <w:r w:rsidR="00E4769E">
                    <w:rPr>
                      <w:rFonts w:ascii="Arial" w:hAnsi="Arial" w:cs="Arial"/>
                      <w:b/>
                      <w:sz w:val="18"/>
                      <w:szCs w:val="18"/>
                    </w:rPr>
                    <w:t xml:space="preserve"> </w:t>
                  </w:r>
                  <w:r>
                    <w:rPr>
                      <w:rFonts w:ascii="Arial" w:hAnsi="Arial" w:cs="Arial"/>
                      <w:b/>
                      <w:sz w:val="18"/>
                      <w:szCs w:val="18"/>
                    </w:rPr>
                    <w:t>care expenditure</w:t>
                  </w:r>
                </w:p>
              </w:tc>
              <w:tc>
                <w:tcPr>
                  <w:tcW w:w="2500" w:type="pct"/>
                  <w:gridSpan w:val="2"/>
                  <w:tcBorders>
                    <w:top w:val="nil"/>
                    <w:bottom w:val="nil"/>
                  </w:tcBorders>
                </w:tcPr>
                <w:p w14:paraId="02844508" w14:textId="77777777" w:rsidR="00345BE3" w:rsidRPr="008100D9" w:rsidDel="008100D9" w:rsidRDefault="00345BE3" w:rsidP="00941DBF">
                  <w:pPr>
                    <w:pStyle w:val="Figure"/>
                    <w:spacing w:before="60" w:after="60"/>
                  </w:pPr>
                </w:p>
              </w:tc>
            </w:tr>
            <w:tr w:rsidR="00345BE3" w14:paraId="0284450C" w14:textId="77777777" w:rsidTr="006D2DE5">
              <w:tblPrEx>
                <w:tblCellMar>
                  <w:left w:w="108" w:type="dxa"/>
                  <w:right w:w="108" w:type="dxa"/>
                </w:tblCellMar>
              </w:tblPrEx>
              <w:trPr>
                <w:trHeight w:val="48"/>
                <w:jc w:val="center"/>
              </w:trPr>
              <w:tc>
                <w:tcPr>
                  <w:tcW w:w="2743" w:type="pct"/>
                  <w:gridSpan w:val="2"/>
                  <w:tcBorders>
                    <w:top w:val="nil"/>
                    <w:bottom w:val="nil"/>
                  </w:tcBorders>
                </w:tcPr>
                <w:p w14:paraId="0284450A" w14:textId="6F6E8198" w:rsidR="00345BE3" w:rsidRPr="008100D9" w:rsidDel="008100D9" w:rsidRDefault="00243159" w:rsidP="006D2DE5">
                  <w:pPr>
                    <w:pStyle w:val="Figure"/>
                    <w:spacing w:before="0" w:after="0"/>
                    <w:jc w:val="left"/>
                  </w:pPr>
                  <w:r>
                    <w:rPr>
                      <w:noProof/>
                    </w:rPr>
                    <w:drawing>
                      <wp:inline distT="0" distB="0" distL="0" distR="0" wp14:anchorId="4844D369" wp14:editId="3E730645">
                        <wp:extent cx="2614933" cy="2237934"/>
                        <wp:effectExtent l="0" t="0" r="0" b="0"/>
                        <wp:docPr id="8" name="Picture 8" descr="This figure shows the per person expenditure pyramids for each of health and education (adjusted to 2014 prices) in three panels. The pyramids show that the level of government expenditure on these services is sensitive to the population age structure, with the profiles for health and aged care being weighted towards the older age groups and education towards the younger in terms of level of per person expend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18190" cy="2240722"/>
                                </a:xfrm>
                                <a:prstGeom prst="rect">
                                  <a:avLst/>
                                </a:prstGeom>
                                <a:noFill/>
                                <a:ln>
                                  <a:noFill/>
                                </a:ln>
                              </pic:spPr>
                            </pic:pic>
                          </a:graphicData>
                        </a:graphic>
                      </wp:inline>
                    </w:drawing>
                  </w:r>
                </w:p>
              </w:tc>
              <w:tc>
                <w:tcPr>
                  <w:tcW w:w="2257" w:type="pct"/>
                  <w:tcBorders>
                    <w:top w:val="nil"/>
                    <w:bottom w:val="nil"/>
                  </w:tcBorders>
                  <w:vAlign w:val="center"/>
                </w:tcPr>
                <w:p w14:paraId="0284450B" w14:textId="39355CDD" w:rsidR="00345BE3" w:rsidRPr="008100D9" w:rsidDel="008100D9" w:rsidRDefault="00243159" w:rsidP="006D2DE5">
                  <w:pPr>
                    <w:pStyle w:val="Figure"/>
                    <w:spacing w:before="0" w:after="0"/>
                  </w:pPr>
                  <w:r>
                    <w:rPr>
                      <w:noProof/>
                    </w:rPr>
                    <w:drawing>
                      <wp:inline distT="0" distB="0" distL="0" distR="0" wp14:anchorId="101381B0" wp14:editId="290F1828">
                        <wp:extent cx="1250950" cy="629920"/>
                        <wp:effectExtent l="0" t="0" r="6350" b="0"/>
                        <wp:docPr id="9" name="Picture 9" descr="This figure shows the per person expenditure pyramids for each of health and education (adjusted to 2014 prices) in three panels. The pyramids show that the level of government expenditure on these services is sensitive to the population age structure, with the profiles for health and aged care being weighted towards the older age groups and education towards the younger in terms of level of per person expendi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50950" cy="629920"/>
                                </a:xfrm>
                                <a:prstGeom prst="rect">
                                  <a:avLst/>
                                </a:prstGeom>
                                <a:noFill/>
                                <a:ln>
                                  <a:noFill/>
                                </a:ln>
                              </pic:spPr>
                            </pic:pic>
                          </a:graphicData>
                        </a:graphic>
                      </wp:inline>
                    </w:drawing>
                  </w:r>
                </w:p>
              </w:tc>
            </w:tr>
          </w:tbl>
          <w:p w14:paraId="0284450D" w14:textId="77777777" w:rsidR="00430FB3" w:rsidRDefault="00430FB3" w:rsidP="00CE249C">
            <w:pPr>
              <w:pStyle w:val="Figure"/>
              <w:spacing w:after="0"/>
            </w:pPr>
          </w:p>
        </w:tc>
      </w:tr>
      <w:tr w:rsidR="00430FB3" w:rsidRPr="00176D3F" w14:paraId="02844512" w14:textId="77777777" w:rsidTr="00941DBF">
        <w:tc>
          <w:tcPr>
            <w:tcW w:w="8771" w:type="dxa"/>
            <w:tcBorders>
              <w:top w:val="nil"/>
              <w:left w:val="nil"/>
              <w:bottom w:val="nil"/>
              <w:right w:val="nil"/>
            </w:tcBorders>
            <w:shd w:val="clear" w:color="auto" w:fill="auto"/>
          </w:tcPr>
          <w:p w14:paraId="02844511" w14:textId="3177F8C7" w:rsidR="00430FB3" w:rsidRPr="00176D3F" w:rsidRDefault="00430FB3" w:rsidP="00AB687B">
            <w:pPr>
              <w:pStyle w:val="Source"/>
            </w:pPr>
            <w:r>
              <w:rPr>
                <w:i/>
              </w:rPr>
              <w:t>S</w:t>
            </w:r>
            <w:r w:rsidRPr="00784A05">
              <w:rPr>
                <w:i/>
              </w:rPr>
              <w:t>ource</w:t>
            </w:r>
            <w:r w:rsidRPr="00176D3F">
              <w:t xml:space="preserve">: </w:t>
            </w:r>
            <w:r w:rsidR="00B369D7">
              <w:t xml:space="preserve">Productivity Commission estimates based on </w:t>
            </w:r>
            <w:r w:rsidR="00DA51B9">
              <w:t>PC </w:t>
            </w:r>
            <w:r w:rsidR="00255AB5" w:rsidRPr="00255AB5">
              <w:rPr>
                <w:rFonts w:cs="Arial"/>
              </w:rPr>
              <w:t>(2013)</w:t>
            </w:r>
            <w:r w:rsidRPr="00430FB3">
              <w:t>.</w:t>
            </w:r>
            <w:r>
              <w:rPr>
                <w:i/>
              </w:rPr>
              <w:t xml:space="preserve"> </w:t>
            </w:r>
          </w:p>
        </w:tc>
      </w:tr>
      <w:tr w:rsidR="00430FB3" w14:paraId="02844514" w14:textId="77777777" w:rsidTr="00941DBF">
        <w:tc>
          <w:tcPr>
            <w:tcW w:w="8771" w:type="dxa"/>
            <w:tcBorders>
              <w:top w:val="nil"/>
              <w:left w:val="nil"/>
              <w:bottom w:val="single" w:sz="6" w:space="0" w:color="78A22F"/>
              <w:right w:val="nil"/>
            </w:tcBorders>
            <w:shd w:val="clear" w:color="auto" w:fill="auto"/>
          </w:tcPr>
          <w:p w14:paraId="02844513" w14:textId="77777777" w:rsidR="00430FB3" w:rsidRDefault="00430FB3" w:rsidP="00941DBF">
            <w:pPr>
              <w:pStyle w:val="Figurespace"/>
            </w:pPr>
          </w:p>
        </w:tc>
      </w:tr>
      <w:tr w:rsidR="00430FB3" w:rsidRPr="000863A5" w14:paraId="02844516" w14:textId="77777777" w:rsidTr="00941DBF">
        <w:tc>
          <w:tcPr>
            <w:tcW w:w="8771" w:type="dxa"/>
            <w:tcBorders>
              <w:top w:val="single" w:sz="6" w:space="0" w:color="78A22F"/>
              <w:left w:val="nil"/>
              <w:bottom w:val="nil"/>
              <w:right w:val="nil"/>
            </w:tcBorders>
          </w:tcPr>
          <w:p w14:paraId="02844515" w14:textId="2B5A0535" w:rsidR="00430FB3" w:rsidRPr="00626D32" w:rsidRDefault="00430FB3" w:rsidP="00941DBF">
            <w:pPr>
              <w:pStyle w:val="BoxSpaceBelow"/>
            </w:pPr>
          </w:p>
        </w:tc>
      </w:tr>
    </w:tbl>
    <w:p w14:paraId="2EED5443" w14:textId="13A41D1A" w:rsidR="006D2DE5" w:rsidRDefault="006D2DE5" w:rsidP="006D2DE5">
      <w:pPr>
        <w:pStyle w:val="BodyText"/>
      </w:pPr>
      <w:r>
        <w:t xml:space="preserve">The main additional equations included in </w:t>
      </w:r>
      <w:proofErr w:type="spellStart"/>
      <w:r>
        <w:t>VURM</w:t>
      </w:r>
      <w:proofErr w:type="spellEnd"/>
      <w:r>
        <w:noBreakHyphen/>
        <w:t xml:space="preserve">MI to implement this theory are listed in </w:t>
      </w:r>
      <w:r w:rsidR="0072519E">
        <w:t>Attachment 2 of this technical supplement</w:t>
      </w:r>
      <w:r>
        <w:t>.</w:t>
      </w:r>
    </w:p>
    <w:p w14:paraId="5B1AF008" w14:textId="3DC2A192" w:rsidR="006D2DE5" w:rsidRPr="00351A93" w:rsidRDefault="006D2DE5" w:rsidP="006D2DE5">
      <w:pPr>
        <w:pStyle w:val="Heading3"/>
      </w:pPr>
      <w:r>
        <w:lastRenderedPageBreak/>
        <w:t>The economic environment (model closure)</w:t>
      </w:r>
    </w:p>
    <w:p w14:paraId="33774E6E" w14:textId="77777777" w:rsidR="006D2DE5" w:rsidRDefault="006D2DE5" w:rsidP="006D2DE5">
      <w:pPr>
        <w:pStyle w:val="BodyText"/>
      </w:pPr>
      <w:r>
        <w:t xml:space="preserve">To examine the effect of migration on the economy </w:t>
      </w:r>
      <w:r>
        <w:rPr>
          <w:lang w:eastAsia="en-US"/>
        </w:rPr>
        <w:t>involves running the model through time in a series of one</w:t>
      </w:r>
      <w:r>
        <w:rPr>
          <w:lang w:eastAsia="en-US"/>
        </w:rPr>
        <w:noBreakHyphen/>
        <w:t>year recursive</w:t>
      </w:r>
      <w:r>
        <w:rPr>
          <w:lang w:eastAsia="en-US"/>
        </w:rPr>
        <w:noBreakHyphen/>
        <w:t xml:space="preserve">dynamic </w:t>
      </w:r>
      <w:r w:rsidRPr="00DD4E79">
        <w:rPr>
          <w:lang w:eastAsia="en-US"/>
        </w:rPr>
        <w:t>steps</w:t>
      </w:r>
      <w:r>
        <w:rPr>
          <w:lang w:eastAsia="en-US"/>
        </w:rPr>
        <w:t xml:space="preserve">. Each step involves gradual adjustments in capital and labour markets to changes in the economic conditions. </w:t>
      </w:r>
    </w:p>
    <w:p w14:paraId="03089E8B" w14:textId="77777777" w:rsidR="006D2DE5" w:rsidRDefault="006D2DE5" w:rsidP="006D2DE5">
      <w:pPr>
        <w:pStyle w:val="BodyText"/>
      </w:pPr>
      <w:r>
        <w:t>The modelling undertaken for this inquiry is based on assumptions affecting the level and distribution of economic activity.</w:t>
      </w:r>
    </w:p>
    <w:p w14:paraId="7CB6E008" w14:textId="77777777" w:rsidR="006D2DE5" w:rsidRPr="0072519E" w:rsidRDefault="006D2DE5" w:rsidP="0072519E">
      <w:pPr>
        <w:pStyle w:val="ListBullet"/>
      </w:pPr>
      <w:r w:rsidRPr="0072519E">
        <w:t>The size and age structure of the population in each state and territory changes according to state</w:t>
      </w:r>
      <w:r w:rsidRPr="0072519E">
        <w:noBreakHyphen/>
        <w:t>specific assumptions about fertility, life expectancy and NOM.</w:t>
      </w:r>
    </w:p>
    <w:p w14:paraId="0EBD9330" w14:textId="77777777" w:rsidR="006D2DE5" w:rsidRPr="0072519E" w:rsidRDefault="006D2DE5" w:rsidP="0072519E">
      <w:pPr>
        <w:pStyle w:val="ListBullet"/>
      </w:pPr>
      <w:r w:rsidRPr="0072519E">
        <w:t>The aggregate supply of labour is determined by region</w:t>
      </w:r>
      <w:r w:rsidRPr="0072519E">
        <w:noBreakHyphen/>
        <w:t xml:space="preserve">specific working age population and labour force participation rates, as well as by the unemployment rate by region and occupation. </w:t>
      </w:r>
    </w:p>
    <w:p w14:paraId="19C461A5" w14:textId="77777777" w:rsidR="006D2DE5" w:rsidRPr="0072519E" w:rsidRDefault="006D2DE5" w:rsidP="0072519E">
      <w:pPr>
        <w:pStyle w:val="ListBullet"/>
      </w:pPr>
      <w:r w:rsidRPr="0072519E">
        <w:t xml:space="preserve">Employment by region, industry and occupation gradually responds to changes in the working age population, its participation in the labour force and real after tax wages accruing to households (governing labour supply). </w:t>
      </w:r>
    </w:p>
    <w:p w14:paraId="1DE2BC2D" w14:textId="77777777" w:rsidR="006D2DE5" w:rsidRPr="0072519E" w:rsidRDefault="006D2DE5" w:rsidP="0072519E">
      <w:pPr>
        <w:pStyle w:val="ListBullet"/>
      </w:pPr>
      <w:r w:rsidRPr="0072519E">
        <w:t xml:space="preserve">Employment by region, industry and occupation also responds to changes in the costs and prices of regional industries and the real cost of labour to those industries (governing labour demand). </w:t>
      </w:r>
    </w:p>
    <w:p w14:paraId="1E59DDE5" w14:textId="77777777" w:rsidR="006D2DE5" w:rsidRPr="0072519E" w:rsidRDefault="006D2DE5" w:rsidP="0072519E">
      <w:pPr>
        <w:pStyle w:val="ListBullet"/>
      </w:pPr>
      <w:r w:rsidRPr="0072519E">
        <w:t xml:space="preserve">Investment, and with it the capital stock, in each industry responds gradually to differences between expected and actual rates of return. Expected rates of return are determined by values in the database. In each region, real government investment is assumed to move in line with real private investment. Real Australian Government investment is assumed to move in line with national real private investment. </w:t>
      </w:r>
    </w:p>
    <w:p w14:paraId="78A261F8" w14:textId="77777777" w:rsidR="006D2DE5" w:rsidRPr="0072519E" w:rsidRDefault="006D2DE5" w:rsidP="0072519E">
      <w:pPr>
        <w:pStyle w:val="ListBullet"/>
      </w:pPr>
      <w:r w:rsidRPr="0072519E">
        <w:t>Household consumption by state is determined by state post</w:t>
      </w:r>
      <w:r w:rsidRPr="0072519E">
        <w:noBreakHyphen/>
        <w:t xml:space="preserve">tax household disposable income and the average propensity to consume or save. With household propensity to consumer fixed, expenditure on individual products varies according to relative prices and household disposable income. </w:t>
      </w:r>
    </w:p>
    <w:p w14:paraId="0284451B" w14:textId="089567C0" w:rsidR="0035470A" w:rsidRPr="0072519E" w:rsidRDefault="006D2DE5" w:rsidP="0072519E">
      <w:pPr>
        <w:pStyle w:val="ListBullet"/>
      </w:pPr>
      <w:r w:rsidRPr="0072519E">
        <w:t xml:space="preserve"> </w:t>
      </w:r>
      <w:r w:rsidR="0035470A" w:rsidRPr="0072519E">
        <w:t xml:space="preserve">Nominal government expenditure (including government consumption and other outlays) moves in line with the underlying drivers of </w:t>
      </w:r>
      <w:r w:rsidR="005B643B" w:rsidRPr="0072519E">
        <w:t xml:space="preserve">government expenditure </w:t>
      </w:r>
      <w:r w:rsidR="0035470A" w:rsidRPr="0072519E">
        <w:t>activity (such as population, unemployment, aggregate economic activity and prices).</w:t>
      </w:r>
    </w:p>
    <w:p w14:paraId="0284451C" w14:textId="05CBC4F0" w:rsidR="0035470A" w:rsidRPr="0072519E" w:rsidRDefault="003641C4" w:rsidP="0072519E">
      <w:pPr>
        <w:pStyle w:val="ListBullet"/>
      </w:pPr>
      <w:r w:rsidRPr="0072519E">
        <w:t>Average</w:t>
      </w:r>
      <w:r w:rsidR="0035470A" w:rsidRPr="0072519E">
        <w:t xml:space="preserve"> tax rates are assumed to remain fixed so that revenue moves in line with the various tax bases.</w:t>
      </w:r>
      <w:r w:rsidR="0001557C" w:rsidRPr="0072519E">
        <w:t xml:space="preserve"> The budget position is held fixed as a share of </w:t>
      </w:r>
      <w:r w:rsidR="0072519E" w:rsidRPr="0072519E">
        <w:t xml:space="preserve">gross domestic product </w:t>
      </w:r>
      <w:r w:rsidR="009C669F" w:rsidRPr="0072519E">
        <w:t>(</w:t>
      </w:r>
      <w:r w:rsidR="0001557C" w:rsidRPr="0072519E">
        <w:t>GDP</w:t>
      </w:r>
      <w:r w:rsidR="009C669F" w:rsidRPr="0072519E">
        <w:t>)</w:t>
      </w:r>
      <w:r w:rsidR="0001557C" w:rsidRPr="0072519E">
        <w:t xml:space="preserve"> or </w:t>
      </w:r>
      <w:r w:rsidR="0072519E" w:rsidRPr="0072519E">
        <w:t xml:space="preserve">gross state product </w:t>
      </w:r>
      <w:r w:rsidR="0001557C" w:rsidRPr="0072519E">
        <w:t>(GSP) through the use of lump</w:t>
      </w:r>
      <w:r w:rsidR="004D4E21" w:rsidRPr="0072519E">
        <w:noBreakHyphen/>
      </w:r>
      <w:r w:rsidR="0001557C" w:rsidRPr="0072519E">
        <w:t>sum transfers to, or from, households.</w:t>
      </w:r>
    </w:p>
    <w:p w14:paraId="0284451D" w14:textId="1CBE2024" w:rsidR="00852EFF" w:rsidRPr="0072519E" w:rsidRDefault="00852EFF" w:rsidP="0072519E">
      <w:pPr>
        <w:pStyle w:val="ListBullet"/>
      </w:pPr>
      <w:r w:rsidRPr="0072519E">
        <w:t xml:space="preserve">The aggregate terms of trade is assumed </w:t>
      </w:r>
      <w:r w:rsidR="0001557C" w:rsidRPr="0072519E">
        <w:t xml:space="preserve">to </w:t>
      </w:r>
      <w:r w:rsidR="005457C8" w:rsidRPr="0072519E">
        <w:t>decline to its long</w:t>
      </w:r>
      <w:r w:rsidR="004D4E21" w:rsidRPr="0072519E">
        <w:noBreakHyphen/>
      </w:r>
      <w:r w:rsidR="005457C8" w:rsidRPr="0072519E">
        <w:t xml:space="preserve">run trend by 2018 and then remain </w:t>
      </w:r>
      <w:r w:rsidRPr="0072519E">
        <w:t>fixed</w:t>
      </w:r>
      <w:r w:rsidR="005457C8" w:rsidRPr="0072519E">
        <w:t xml:space="preserve"> thereafter</w:t>
      </w:r>
      <w:r w:rsidR="0001557C" w:rsidRPr="0072519E">
        <w:t>,</w:t>
      </w:r>
      <w:r w:rsidRPr="0072519E">
        <w:t xml:space="preserve"> while the price of individual exported products in domestic and foreign currency prices can vary with changes in the </w:t>
      </w:r>
      <w:r w:rsidR="00972651" w:rsidRPr="0072519E">
        <w:t xml:space="preserve">relative </w:t>
      </w:r>
      <w:r w:rsidRPr="0072519E">
        <w:t xml:space="preserve">competiveness of </w:t>
      </w:r>
      <w:r w:rsidR="00842F3A" w:rsidRPr="0072519E">
        <w:t xml:space="preserve">exporting </w:t>
      </w:r>
      <w:r w:rsidRPr="0072519E">
        <w:t>industries. Import prices are assumed</w:t>
      </w:r>
      <w:r w:rsidR="0001557C" w:rsidRPr="0072519E">
        <w:t xml:space="preserve"> to be</w:t>
      </w:r>
      <w:r w:rsidRPr="0072519E">
        <w:t xml:space="preserve"> fixed in foreign currency prices.</w:t>
      </w:r>
    </w:p>
    <w:p w14:paraId="4DF9C61A" w14:textId="3570FFFD" w:rsidR="00BE3974" w:rsidRPr="0072519E" w:rsidRDefault="00BE3974" w:rsidP="0072519E">
      <w:pPr>
        <w:pStyle w:val="ListBullet"/>
      </w:pPr>
      <w:r w:rsidRPr="0072519E">
        <w:t>Growth in labour productivity for each industry returns from its current 2014 growth rate to its longer</w:t>
      </w:r>
      <w:r w:rsidR="00D44386" w:rsidRPr="0072519E">
        <w:noBreakHyphen/>
      </w:r>
      <w:r w:rsidRPr="0072519E">
        <w:t>term average by 2018, and is applied in each region.</w:t>
      </w:r>
    </w:p>
    <w:p w14:paraId="02844522" w14:textId="606DD206" w:rsidR="00D87340" w:rsidRPr="0072519E" w:rsidRDefault="00852EFF" w:rsidP="0072519E">
      <w:pPr>
        <w:pStyle w:val="ListBullet"/>
      </w:pPr>
      <w:r w:rsidRPr="0072519E">
        <w:lastRenderedPageBreak/>
        <w:t xml:space="preserve">The model index of consumer prices (CPI) is the model </w:t>
      </w:r>
      <w:proofErr w:type="spellStart"/>
      <w:r w:rsidRPr="0072519E">
        <w:t>numeraire</w:t>
      </w:r>
      <w:proofErr w:type="spellEnd"/>
      <w:r w:rsidRPr="0072519E">
        <w:t xml:space="preserve"> while the nominal foreign currency exchange rate varies. All domestic prices in the projection period are therefore real prices relative to the model CPI</w:t>
      </w:r>
      <w:r w:rsidR="00BE3974" w:rsidRPr="0072519E">
        <w:t xml:space="preserve">. </w:t>
      </w:r>
    </w:p>
    <w:p w14:paraId="02844523" w14:textId="3F5766D2" w:rsidR="00905992" w:rsidRPr="007B5707" w:rsidRDefault="00056EFA" w:rsidP="00905992">
      <w:pPr>
        <w:pStyle w:val="BodyText"/>
      </w:pPr>
      <w:r>
        <w:t xml:space="preserve">Further detail of the assumptions made in the business-as-usual scenario are described in </w:t>
      </w:r>
      <w:r w:rsidR="00FD7689">
        <w:t>P</w:t>
      </w:r>
      <w:r w:rsidR="00E17337">
        <w:t>C</w:t>
      </w:r>
      <w:r w:rsidR="00FD7689">
        <w:t> </w:t>
      </w:r>
      <w:r w:rsidR="00571B42" w:rsidRPr="00571B42">
        <w:t>(forthcoming)</w:t>
      </w:r>
      <w:r w:rsidR="007B5707" w:rsidRPr="00642F61">
        <w:t>.</w:t>
      </w:r>
    </w:p>
    <w:p w14:paraId="02844524" w14:textId="3F7C2AB6" w:rsidR="00302F9D" w:rsidRDefault="001D3C04" w:rsidP="00302F9D">
      <w:pPr>
        <w:pStyle w:val="BodyText"/>
      </w:pPr>
      <w:r>
        <w:t>A</w:t>
      </w:r>
      <w:r w:rsidR="00D92545">
        <w:t>s far as practicable, the modelling assumptions are aligned with historical experience in Australia</w:t>
      </w:r>
      <w:r w:rsidR="00B475A8">
        <w:t>.</w:t>
      </w:r>
      <w:r w:rsidR="00D92545">
        <w:t xml:space="preserve"> </w:t>
      </w:r>
      <w:r w:rsidR="007B5707">
        <w:t xml:space="preserve">There is inevitable uncertainty around these assumptions used to produce these projections. </w:t>
      </w:r>
      <w:r w:rsidR="00F54A65">
        <w:t xml:space="preserve">Generally, </w:t>
      </w:r>
      <w:r w:rsidR="00C26564">
        <w:t xml:space="preserve">as </w:t>
      </w:r>
      <w:r w:rsidR="0021137E">
        <w:t xml:space="preserve">the validity of </w:t>
      </w:r>
      <w:r w:rsidR="00C26564">
        <w:t xml:space="preserve">assumptions are more uncertain over longer time periods, </w:t>
      </w:r>
      <w:r w:rsidR="00F54A65">
        <w:t xml:space="preserve">more caution is needed in interpreting results that are well into the future. </w:t>
      </w:r>
    </w:p>
    <w:p w14:paraId="02844525" w14:textId="77777777" w:rsidR="005E1D1D" w:rsidRDefault="005E1D1D" w:rsidP="003D567A">
      <w:pPr>
        <w:pStyle w:val="Heading3"/>
      </w:pPr>
      <w:r>
        <w:t>Model parameters</w:t>
      </w:r>
    </w:p>
    <w:p w14:paraId="02844526" w14:textId="74518DED" w:rsidR="005E1D1D" w:rsidRDefault="005E1D1D" w:rsidP="005E1D1D">
      <w:pPr>
        <w:pStyle w:val="BodyText"/>
      </w:pPr>
      <w:r>
        <w:t xml:space="preserve">In </w:t>
      </w:r>
      <w:proofErr w:type="spellStart"/>
      <w:r w:rsidR="001D3C04">
        <w:t>CGE</w:t>
      </w:r>
      <w:proofErr w:type="spellEnd"/>
      <w:r>
        <w:t xml:space="preserve"> models such as </w:t>
      </w:r>
      <w:proofErr w:type="spellStart"/>
      <w:r w:rsidR="00776C79">
        <w:t>VURM</w:t>
      </w:r>
      <w:proofErr w:type="spellEnd"/>
      <w:r w:rsidR="00010582">
        <w:noBreakHyphen/>
        <w:t>MI</w:t>
      </w:r>
      <w:r>
        <w:t xml:space="preserve">, </w:t>
      </w:r>
      <w:r w:rsidR="00044BC4">
        <w:t xml:space="preserve">some of </w:t>
      </w:r>
      <w:r>
        <w:t xml:space="preserve">the key parameters </w:t>
      </w:r>
      <w:r w:rsidR="00842F3A">
        <w:t xml:space="preserve">driving the adjustment to an external shock </w:t>
      </w:r>
      <w:r>
        <w:t xml:space="preserve">are the responsiveness of trade volumes and the </w:t>
      </w:r>
      <w:r w:rsidR="00044BC4">
        <w:t xml:space="preserve">responsiveness </w:t>
      </w:r>
      <w:r>
        <w:t>of labour and capital between activities and across regions</w:t>
      </w:r>
      <w:r w:rsidR="00B97003">
        <w:t xml:space="preserve"> to changes in relative prices</w:t>
      </w:r>
      <w:r>
        <w:t xml:space="preserve">. </w:t>
      </w:r>
      <w:r w:rsidR="00044BC4">
        <w:t>P</w:t>
      </w:r>
      <w:r w:rsidR="001D3C04">
        <w:t xml:space="preserve">arameters </w:t>
      </w:r>
      <w:r>
        <w:t>include:</w:t>
      </w:r>
    </w:p>
    <w:p w14:paraId="02844527" w14:textId="77777777" w:rsidR="005E1D1D" w:rsidRDefault="005E1D1D" w:rsidP="005E1D1D">
      <w:pPr>
        <w:pStyle w:val="ListBullet"/>
        <w:spacing w:after="120" w:line="276" w:lineRule="auto"/>
        <w:jc w:val="left"/>
      </w:pPr>
      <w:r>
        <w:t xml:space="preserve">export demand </w:t>
      </w:r>
      <w:proofErr w:type="spellStart"/>
      <w:r>
        <w:t>elasticities</w:t>
      </w:r>
      <w:proofErr w:type="spellEnd"/>
    </w:p>
    <w:p w14:paraId="02844528" w14:textId="7B9378A8" w:rsidR="005E1D1D" w:rsidRDefault="00EA1CA5" w:rsidP="005E1D1D">
      <w:pPr>
        <w:pStyle w:val="ListBullet"/>
        <w:spacing w:after="120" w:line="276" w:lineRule="auto"/>
        <w:jc w:val="left"/>
      </w:pPr>
      <w:r>
        <w:t>domestic</w:t>
      </w:r>
      <w:r w:rsidR="004D4E21">
        <w:noBreakHyphen/>
      </w:r>
      <w:r w:rsidR="005E1D1D">
        <w:t xml:space="preserve">import substitution </w:t>
      </w:r>
      <w:proofErr w:type="spellStart"/>
      <w:r w:rsidR="005E1D1D">
        <w:t>elasticities</w:t>
      </w:r>
      <w:proofErr w:type="spellEnd"/>
    </w:p>
    <w:p w14:paraId="02844529" w14:textId="73CC7618" w:rsidR="005E1D1D" w:rsidRPr="006C7BA7" w:rsidRDefault="005E1D1D" w:rsidP="005E1D1D">
      <w:pPr>
        <w:pStyle w:val="ListBullet"/>
        <w:spacing w:after="120" w:line="276" w:lineRule="auto"/>
        <w:jc w:val="left"/>
      </w:pPr>
      <w:r>
        <w:t xml:space="preserve">primary factor substitution </w:t>
      </w:r>
      <w:proofErr w:type="spellStart"/>
      <w:r>
        <w:t>elasticities</w:t>
      </w:r>
      <w:proofErr w:type="spellEnd"/>
      <w:r>
        <w:t xml:space="preserve">, and occupational transformation </w:t>
      </w:r>
      <w:proofErr w:type="spellStart"/>
      <w:r w:rsidR="00044BC4">
        <w:t>elasticities</w:t>
      </w:r>
      <w:proofErr w:type="spellEnd"/>
      <w:r w:rsidR="00044BC4">
        <w:t xml:space="preserve"> </w:t>
      </w:r>
      <w:r>
        <w:t>(supply</w:t>
      </w:r>
      <w:r w:rsidR="004D4E21">
        <w:noBreakHyphen/>
      </w:r>
      <w:r>
        <w:t xml:space="preserve">side) and substitution </w:t>
      </w:r>
      <w:proofErr w:type="spellStart"/>
      <w:r w:rsidR="00044BC4">
        <w:t>elasticities</w:t>
      </w:r>
      <w:proofErr w:type="spellEnd"/>
      <w:r w:rsidR="00044BC4">
        <w:t xml:space="preserve"> </w:t>
      </w:r>
      <w:r>
        <w:t>(demand</w:t>
      </w:r>
      <w:r w:rsidR="004D4E21">
        <w:noBreakHyphen/>
      </w:r>
      <w:r>
        <w:t xml:space="preserve">side). </w:t>
      </w:r>
    </w:p>
    <w:p w14:paraId="0284452A" w14:textId="77777777" w:rsidR="005E1D1D" w:rsidRDefault="005E1D1D" w:rsidP="005E1D1D">
      <w:pPr>
        <w:pStyle w:val="BodyText"/>
      </w:pPr>
      <w:r>
        <w:t xml:space="preserve">The standard </w:t>
      </w:r>
      <w:proofErr w:type="spellStart"/>
      <w:r w:rsidR="00776C79">
        <w:t>VURM</w:t>
      </w:r>
      <w:proofErr w:type="spellEnd"/>
      <w:r>
        <w:t xml:space="preserve"> parameter values have been used.</w:t>
      </w:r>
    </w:p>
    <w:p w14:paraId="0284452B" w14:textId="77777777" w:rsidR="005E1D1D" w:rsidRDefault="005E1D1D" w:rsidP="00CF2A59">
      <w:pPr>
        <w:pStyle w:val="Heading4"/>
      </w:pPr>
      <w:r>
        <w:t xml:space="preserve">Export demand </w:t>
      </w:r>
      <w:proofErr w:type="spellStart"/>
      <w:r>
        <w:t>elasticities</w:t>
      </w:r>
      <w:proofErr w:type="spellEnd"/>
    </w:p>
    <w:p w14:paraId="0284452C" w14:textId="57BF8F29" w:rsidR="005E1D1D" w:rsidRDefault="005E1D1D" w:rsidP="005E1D1D">
      <w:pPr>
        <w:pStyle w:val="BodyText"/>
      </w:pPr>
      <w:r>
        <w:t xml:space="preserve">Export demand </w:t>
      </w:r>
      <w:proofErr w:type="spellStart"/>
      <w:r>
        <w:t>elasticities</w:t>
      </w:r>
      <w:proofErr w:type="spellEnd"/>
      <w:r>
        <w:t xml:space="preserve"> </w:t>
      </w:r>
      <w:r w:rsidRPr="00EC4C93">
        <w:t xml:space="preserve">govern the extent to which </w:t>
      </w:r>
      <w:r w:rsidR="00B97003">
        <w:t>world</w:t>
      </w:r>
      <w:r w:rsidR="00EA1CA5">
        <w:t xml:space="preserve"> </w:t>
      </w:r>
      <w:r w:rsidR="00EA1CA5" w:rsidRPr="00EC4C93">
        <w:t>price</w:t>
      </w:r>
      <w:r w:rsidR="00EA1CA5">
        <w:t>s</w:t>
      </w:r>
      <w:r w:rsidR="00EA1CA5" w:rsidRPr="00EC4C93">
        <w:t xml:space="preserve"> </w:t>
      </w:r>
      <w:r w:rsidR="00842F3A">
        <w:t xml:space="preserve">respond </w:t>
      </w:r>
      <w:r w:rsidR="00B22F8C">
        <w:t>to changes in</w:t>
      </w:r>
      <w:r w:rsidR="00EA1CA5" w:rsidRPr="00EA1CA5">
        <w:t xml:space="preserve"> </w:t>
      </w:r>
      <w:r w:rsidR="00EA1CA5" w:rsidRPr="00EC4C93">
        <w:t>export volumes</w:t>
      </w:r>
      <w:r w:rsidR="00EA1CA5">
        <w:t xml:space="preserve"> </w:t>
      </w:r>
      <w:r w:rsidRPr="00EC4C93">
        <w:t xml:space="preserve">— the </w:t>
      </w:r>
      <w:r w:rsidR="00B22F8C">
        <w:t>larger</w:t>
      </w:r>
      <w:r w:rsidR="00B22F8C" w:rsidRPr="00EC4C93">
        <w:t xml:space="preserve"> </w:t>
      </w:r>
      <w:r w:rsidRPr="00EC4C93">
        <w:t xml:space="preserve">the </w:t>
      </w:r>
      <w:proofErr w:type="spellStart"/>
      <w:r w:rsidRPr="00EC4C93">
        <w:t>elasticities</w:t>
      </w:r>
      <w:proofErr w:type="spellEnd"/>
      <w:r w:rsidRPr="00EC4C93">
        <w:t>, the smaller the price declines</w:t>
      </w:r>
      <w:r>
        <w:t xml:space="preserve"> </w:t>
      </w:r>
      <w:r w:rsidR="00B22F8C">
        <w:t>for a given increase in export volume</w:t>
      </w:r>
      <w:r w:rsidRPr="00EC4C93">
        <w:t xml:space="preserve">. </w:t>
      </w:r>
    </w:p>
    <w:p w14:paraId="0284452D" w14:textId="6C863A1E" w:rsidR="00CB44B0" w:rsidRDefault="005E1D1D" w:rsidP="005E1D1D">
      <w:pPr>
        <w:pStyle w:val="BodyText"/>
      </w:pPr>
      <w:r>
        <w:t>In year</w:t>
      </w:r>
      <w:r w:rsidR="004250DC">
        <w:noBreakHyphen/>
      </w:r>
      <w:r>
        <w:t>to</w:t>
      </w:r>
      <w:r w:rsidR="004250DC">
        <w:noBreakHyphen/>
      </w:r>
      <w:r>
        <w:t xml:space="preserve">year simulations, the reference value of </w:t>
      </w:r>
      <w:r w:rsidR="00CB70A4">
        <w:t>minus five (</w:t>
      </w:r>
      <w:r w:rsidR="004D4E21">
        <w:noBreakHyphen/>
      </w:r>
      <w:r>
        <w:t>5</w:t>
      </w:r>
      <w:r w:rsidR="00CB70A4">
        <w:t>)</w:t>
      </w:r>
      <w:r>
        <w:t xml:space="preserve"> adopted by the </w:t>
      </w:r>
      <w:proofErr w:type="spellStart"/>
      <w:r>
        <w:t>CoPS</w:t>
      </w:r>
      <w:proofErr w:type="spellEnd"/>
      <w:r>
        <w:t xml:space="preserve"> is applied. This value assumes that Australia has </w:t>
      </w:r>
      <w:r w:rsidR="00B22F8C">
        <w:t>some</w:t>
      </w:r>
      <w:r>
        <w:t xml:space="preserve"> influence over prices </w:t>
      </w:r>
      <w:r w:rsidR="00B22F8C">
        <w:t xml:space="preserve">it receives for its produce on global markets </w:t>
      </w:r>
      <w:r>
        <w:t>in the short term. For example, Australian producers might be able to increase prices in the short term by withholding supply of commodity exports</w:t>
      </w:r>
      <w:r w:rsidR="00B22F8C">
        <w:t>. However</w:t>
      </w:r>
      <w:r>
        <w:t xml:space="preserve">, </w:t>
      </w:r>
      <w:r w:rsidR="00B22F8C">
        <w:t xml:space="preserve">this capability </w:t>
      </w:r>
      <w:r>
        <w:t xml:space="preserve">would </w:t>
      </w:r>
      <w:r w:rsidR="00B22F8C">
        <w:t xml:space="preserve">not </w:t>
      </w:r>
      <w:r>
        <w:t xml:space="preserve">be expected </w:t>
      </w:r>
      <w:r w:rsidR="00B97003">
        <w:t>to continue in</w:t>
      </w:r>
      <w:r w:rsidR="00B22F8C">
        <w:t xml:space="preserve"> the </w:t>
      </w:r>
      <w:r>
        <w:t>long term. This is because other commodity exporters may respond to higher prices by increasing their own supply, or major importers may turn to domestic production</w:t>
      </w:r>
      <w:r w:rsidR="00F001D4">
        <w:t xml:space="preserve"> — </w:t>
      </w:r>
      <w:r w:rsidR="00323ABD">
        <w:t xml:space="preserve">that is, </w:t>
      </w:r>
      <w:r w:rsidR="00F001D4">
        <w:t>in general</w:t>
      </w:r>
      <w:r w:rsidR="00972651">
        <w:t>,</w:t>
      </w:r>
      <w:r w:rsidR="00F001D4">
        <w:t xml:space="preserve"> Australia is a price taker</w:t>
      </w:r>
      <w:r>
        <w:t xml:space="preserve">. </w:t>
      </w:r>
    </w:p>
    <w:p w14:paraId="0284452E" w14:textId="77777777" w:rsidR="005E1D1D" w:rsidRDefault="005E1D1D" w:rsidP="00CF2A59">
      <w:pPr>
        <w:pStyle w:val="Heading4"/>
      </w:pPr>
      <w:r>
        <w:lastRenderedPageBreak/>
        <w:t>Domestic</w:t>
      </w:r>
      <w:r>
        <w:noBreakHyphen/>
        <w:t xml:space="preserve">import substitution </w:t>
      </w:r>
      <w:proofErr w:type="spellStart"/>
      <w:r>
        <w:t>elasticities</w:t>
      </w:r>
      <w:proofErr w:type="spellEnd"/>
    </w:p>
    <w:p w14:paraId="0284452F" w14:textId="7CBEAF8B" w:rsidR="005E1D1D" w:rsidRDefault="005E1D1D" w:rsidP="005E1D1D">
      <w:pPr>
        <w:pStyle w:val="BodyText"/>
      </w:pPr>
      <w:r>
        <w:t>Domestic</w:t>
      </w:r>
      <w:r w:rsidR="004250DC">
        <w:noBreakHyphen/>
      </w:r>
      <w:r>
        <w:t xml:space="preserve">import substitution </w:t>
      </w:r>
      <w:proofErr w:type="spellStart"/>
      <w:r>
        <w:t>elasticities</w:t>
      </w:r>
      <w:proofErr w:type="spellEnd"/>
      <w:r>
        <w:t xml:space="preserve"> determine the degree of substitutability between domestically produced and imported products (</w:t>
      </w:r>
      <w:proofErr w:type="spellStart"/>
      <w:r>
        <w:t>Armington</w:t>
      </w:r>
      <w:proofErr w:type="spellEnd"/>
      <w:r>
        <w:t xml:space="preserve"> </w:t>
      </w:r>
      <w:proofErr w:type="spellStart"/>
      <w:r>
        <w:t>elasticities</w:t>
      </w:r>
      <w:proofErr w:type="spellEnd"/>
      <w:r>
        <w:t xml:space="preserve">). More specifically, the </w:t>
      </w:r>
      <w:proofErr w:type="spellStart"/>
      <w:r>
        <w:t>elasticiti</w:t>
      </w:r>
      <w:r w:rsidR="0072519E">
        <w:t>es</w:t>
      </w:r>
      <w:proofErr w:type="spellEnd"/>
      <w:r w:rsidR="0072519E">
        <w:t xml:space="preserve"> determine the sensitivity of demand for:</w:t>
      </w:r>
      <w:r>
        <w:t xml:space="preserve"> </w:t>
      </w:r>
    </w:p>
    <w:p w14:paraId="02844530" w14:textId="754ED897" w:rsidR="005E1D1D" w:rsidRDefault="005E1D1D" w:rsidP="005E1D1D">
      <w:pPr>
        <w:pStyle w:val="ListBullet"/>
        <w:spacing w:after="120" w:line="276" w:lineRule="auto"/>
        <w:jc w:val="left"/>
      </w:pPr>
      <w:r>
        <w:t xml:space="preserve">imports </w:t>
      </w:r>
      <w:r w:rsidR="00EA1CA5">
        <w:t xml:space="preserve">in response </w:t>
      </w:r>
      <w:r>
        <w:t xml:space="preserve">to changes in the price of imports relative to </w:t>
      </w:r>
      <w:r w:rsidR="00334443">
        <w:t xml:space="preserve">the price of </w:t>
      </w:r>
      <w:r>
        <w:t>domestic product</w:t>
      </w:r>
      <w:r w:rsidR="00B97003">
        <w:t>s</w:t>
      </w:r>
    </w:p>
    <w:p w14:paraId="02844531" w14:textId="31A7E471" w:rsidR="005E1D1D" w:rsidRDefault="00B97003" w:rsidP="005E1D1D">
      <w:pPr>
        <w:pStyle w:val="ListBullet"/>
        <w:spacing w:after="120" w:line="276" w:lineRule="auto"/>
        <w:jc w:val="left"/>
      </w:pPr>
      <w:r>
        <w:t>domestic products</w:t>
      </w:r>
      <w:r w:rsidR="005E1D1D">
        <w:t xml:space="preserve"> </w:t>
      </w:r>
      <w:r w:rsidR="00EA1CA5">
        <w:t xml:space="preserve">in response </w:t>
      </w:r>
      <w:r w:rsidR="005E1D1D">
        <w:t xml:space="preserve">to changes in the price of domestic </w:t>
      </w:r>
      <w:r w:rsidR="00A00D5C">
        <w:t>products</w:t>
      </w:r>
      <w:r w:rsidR="005E1D1D">
        <w:t xml:space="preserve"> relative to </w:t>
      </w:r>
      <w:r w:rsidR="004C64D3">
        <w:t xml:space="preserve">the </w:t>
      </w:r>
      <w:r w:rsidR="00334443">
        <w:t xml:space="preserve">price of </w:t>
      </w:r>
      <w:r w:rsidR="005E1D1D">
        <w:t>imports.</w:t>
      </w:r>
    </w:p>
    <w:p w14:paraId="02844532" w14:textId="77777777" w:rsidR="005E1D1D" w:rsidRDefault="005E1D1D" w:rsidP="005E1D1D">
      <w:pPr>
        <w:pStyle w:val="BodyText"/>
      </w:pPr>
      <w:r>
        <w:t xml:space="preserve">The values adopted in this study are the standard values incorporated by the </w:t>
      </w:r>
      <w:proofErr w:type="spellStart"/>
      <w:r>
        <w:t>CoPS</w:t>
      </w:r>
      <w:proofErr w:type="spellEnd"/>
      <w:r>
        <w:t xml:space="preserve"> in </w:t>
      </w:r>
      <w:proofErr w:type="spellStart"/>
      <w:r w:rsidR="00776C79">
        <w:t>VURM</w:t>
      </w:r>
      <w:proofErr w:type="spellEnd"/>
      <w:r>
        <w:t xml:space="preserve">. The values range between 0 (for products with </w:t>
      </w:r>
      <w:r w:rsidR="00EA1CA5">
        <w:t xml:space="preserve">low </w:t>
      </w:r>
      <w:r>
        <w:t>import</w:t>
      </w:r>
      <w:r w:rsidR="00EA1CA5">
        <w:t xml:space="preserve"> volume</w:t>
      </w:r>
      <w:r>
        <w:t xml:space="preserve">s) </w:t>
      </w:r>
      <w:r w:rsidR="004250DC">
        <w:t>and </w:t>
      </w:r>
      <w:r>
        <w:t xml:space="preserve">10 (for products with a high degree of </w:t>
      </w:r>
      <w:r w:rsidR="00EA1CA5">
        <w:t>substitutability</w:t>
      </w:r>
      <w:r>
        <w:t xml:space="preserve">). </w:t>
      </w:r>
    </w:p>
    <w:p w14:paraId="02844533" w14:textId="77777777" w:rsidR="005E1D1D" w:rsidRDefault="005E1D1D" w:rsidP="00CF2A59">
      <w:pPr>
        <w:pStyle w:val="Heading4"/>
      </w:pPr>
      <w:r>
        <w:t>Primary factor substitution and occupational mobility parameters</w:t>
      </w:r>
    </w:p>
    <w:p w14:paraId="02844534" w14:textId="1140DEC1" w:rsidR="005E1D1D" w:rsidRDefault="00B97003" w:rsidP="005E1D1D">
      <w:pPr>
        <w:pStyle w:val="BodyText"/>
      </w:pPr>
      <w:r>
        <w:t>Factor s</w:t>
      </w:r>
      <w:r w:rsidR="005E1D1D">
        <w:t xml:space="preserve">ubstitution </w:t>
      </w:r>
      <w:proofErr w:type="spellStart"/>
      <w:r w:rsidR="005E1D1D">
        <w:t>elasticities</w:t>
      </w:r>
      <w:proofErr w:type="spellEnd"/>
      <w:r w:rsidR="005E1D1D">
        <w:t xml:space="preserve"> determine the degree to which labour and capital inputs can be substituted for each other in production. The values for year</w:t>
      </w:r>
      <w:r w:rsidR="004250DC">
        <w:noBreakHyphen/>
      </w:r>
      <w:r w:rsidR="005E1D1D">
        <w:t>to</w:t>
      </w:r>
      <w:r w:rsidR="0072519E">
        <w:noBreakHyphen/>
      </w:r>
      <w:r w:rsidR="005E1D1D">
        <w:t xml:space="preserve">year simulations in </w:t>
      </w:r>
      <w:proofErr w:type="spellStart"/>
      <w:r w:rsidR="00776C79">
        <w:t>VURM</w:t>
      </w:r>
      <w:proofErr w:type="spellEnd"/>
      <w:r w:rsidR="005E1D1D">
        <w:t xml:space="preserve"> </w:t>
      </w:r>
      <w:r w:rsidR="004250DC">
        <w:t>are </w:t>
      </w:r>
      <w:r w:rsidR="005E1D1D">
        <w:t xml:space="preserve">0.5 for all industries. </w:t>
      </w:r>
    </w:p>
    <w:p w14:paraId="02844535" w14:textId="2DB8C732" w:rsidR="005E1D1D" w:rsidRDefault="00776C79" w:rsidP="005E1D1D">
      <w:pPr>
        <w:pStyle w:val="BodyText"/>
      </w:pPr>
      <w:proofErr w:type="spellStart"/>
      <w:r>
        <w:t>VURM</w:t>
      </w:r>
      <w:proofErr w:type="spellEnd"/>
      <w:r w:rsidR="005E1D1D">
        <w:t xml:space="preserve"> also includes </w:t>
      </w:r>
      <w:proofErr w:type="spellStart"/>
      <w:r w:rsidR="005E1D1D">
        <w:t>elasticities</w:t>
      </w:r>
      <w:proofErr w:type="spellEnd"/>
      <w:r w:rsidR="005E1D1D">
        <w:t xml:space="preserve"> governing the degree of substitutability in</w:t>
      </w:r>
      <w:r w:rsidR="000C3A63">
        <w:t xml:space="preserve"> the</w:t>
      </w:r>
      <w:r w:rsidR="005E1D1D">
        <w:t xml:space="preserve"> use of </w:t>
      </w:r>
      <w:r w:rsidR="00774D05">
        <w:t xml:space="preserve">labour in </w:t>
      </w:r>
      <w:r w:rsidR="005E1D1D">
        <w:t>the eight different occupations in production. The values for year</w:t>
      </w:r>
      <w:r w:rsidR="004250DC">
        <w:noBreakHyphen/>
      </w:r>
      <w:r w:rsidR="005E1D1D">
        <w:t>to</w:t>
      </w:r>
      <w:r w:rsidR="004250DC">
        <w:noBreakHyphen/>
      </w:r>
      <w:r w:rsidR="005E1D1D">
        <w:t xml:space="preserve">year simulations </w:t>
      </w:r>
      <w:r w:rsidR="004250DC">
        <w:t>are </w:t>
      </w:r>
      <w:r w:rsidR="005E1D1D">
        <w:t xml:space="preserve">0.35. The selection of these values reflects an assumption that employers have </w:t>
      </w:r>
      <w:r w:rsidR="00555ACC">
        <w:t xml:space="preserve">some </w:t>
      </w:r>
      <w:r w:rsidR="005E1D1D">
        <w:t>flexibility to alter the occupational mix used in production on a year</w:t>
      </w:r>
      <w:r w:rsidR="004D4E21">
        <w:noBreakHyphen/>
      </w:r>
      <w:r w:rsidR="005E1D1D">
        <w:t>to</w:t>
      </w:r>
      <w:r w:rsidR="004D4E21">
        <w:noBreakHyphen/>
      </w:r>
      <w:r w:rsidR="005E1D1D">
        <w:t>year basis.</w:t>
      </w:r>
    </w:p>
    <w:p w14:paraId="02844536" w14:textId="6697E18E" w:rsidR="005E1D1D" w:rsidRDefault="00D53A8D" w:rsidP="005E1D1D">
      <w:pPr>
        <w:pStyle w:val="BodyText"/>
      </w:pPr>
      <w:r>
        <w:t>T</w:t>
      </w:r>
      <w:r w:rsidR="005E1D1D">
        <w:t xml:space="preserve">ransformation </w:t>
      </w:r>
      <w:proofErr w:type="spellStart"/>
      <w:r w:rsidR="005E1D1D">
        <w:t>elasticities</w:t>
      </w:r>
      <w:proofErr w:type="spellEnd"/>
      <w:r w:rsidR="005E1D1D">
        <w:t xml:space="preserve"> determine the extent to which the supply of labour</w:t>
      </w:r>
      <w:r w:rsidR="00AE1842">
        <w:t xml:space="preserve">, including immigrant labour, </w:t>
      </w:r>
      <w:r w:rsidR="005E1D1D">
        <w:t xml:space="preserve">can move between the eight occupational groups. The value for </w:t>
      </w:r>
      <w:r w:rsidR="004250DC">
        <w:t>year</w:t>
      </w:r>
      <w:r w:rsidR="004250DC">
        <w:noBreakHyphen/>
        <w:t>to</w:t>
      </w:r>
      <w:r w:rsidR="004250DC">
        <w:noBreakHyphen/>
        <w:t xml:space="preserve">year </w:t>
      </w:r>
      <w:r w:rsidR="005E1D1D">
        <w:t xml:space="preserve">simulations is set </w:t>
      </w:r>
      <w:r w:rsidR="004250DC">
        <w:t>at </w:t>
      </w:r>
      <w:r w:rsidR="005E1D1D">
        <w:t xml:space="preserve">0.1. The selection of this value reflects an assumption that, on a </w:t>
      </w:r>
      <w:r w:rsidR="004250DC">
        <w:t>year</w:t>
      </w:r>
      <w:r w:rsidR="004250DC">
        <w:noBreakHyphen/>
        <w:t>to</w:t>
      </w:r>
      <w:r w:rsidR="0072519E">
        <w:noBreakHyphen/>
      </w:r>
      <w:r w:rsidR="004250DC">
        <w:t xml:space="preserve">year </w:t>
      </w:r>
      <w:r w:rsidR="005E1D1D">
        <w:t>basis, employees have limited potential to change their occupation.</w:t>
      </w:r>
    </w:p>
    <w:p w14:paraId="02844537" w14:textId="77777777" w:rsidR="00AE1842" w:rsidRDefault="00AC6B77" w:rsidP="00CF2A59">
      <w:pPr>
        <w:pStyle w:val="Heading3"/>
      </w:pPr>
      <w:r>
        <w:t>Model database</w:t>
      </w:r>
    </w:p>
    <w:p w14:paraId="02844538" w14:textId="39F4A94B" w:rsidR="00F6344A" w:rsidRDefault="00AC6B77" w:rsidP="00F07F05">
      <w:pPr>
        <w:pStyle w:val="BodyText"/>
      </w:pPr>
      <w:r w:rsidRPr="00B7414A">
        <w:t xml:space="preserve">The database </w:t>
      </w:r>
      <w:r>
        <w:t xml:space="preserve">used for this inquiry </w:t>
      </w:r>
      <w:r w:rsidRPr="00B7414A">
        <w:t>was created f</w:t>
      </w:r>
      <w:r>
        <w:t xml:space="preserve">rom the standard </w:t>
      </w:r>
      <w:proofErr w:type="spellStart"/>
      <w:r w:rsidR="00776C79">
        <w:t>VURM</w:t>
      </w:r>
      <w:proofErr w:type="spellEnd"/>
      <w:r w:rsidR="00323ABD">
        <w:t xml:space="preserve"> </w:t>
      </w:r>
      <w:r>
        <w:t xml:space="preserve">database, which aligns with the </w:t>
      </w:r>
      <w:r w:rsidRPr="00B7414A">
        <w:t>20</w:t>
      </w:r>
      <w:r>
        <w:t>09</w:t>
      </w:r>
      <w:r w:rsidRPr="00B7414A">
        <w:noBreakHyphen/>
      </w:r>
      <w:r>
        <w:t xml:space="preserve">10 ABS </w:t>
      </w:r>
      <w:r w:rsidRPr="0023097E">
        <w:rPr>
          <w:i/>
        </w:rPr>
        <w:t>Input</w:t>
      </w:r>
      <w:r w:rsidR="004D4E21">
        <w:rPr>
          <w:i/>
        </w:rPr>
        <w:noBreakHyphen/>
      </w:r>
      <w:r w:rsidRPr="0023097E">
        <w:rPr>
          <w:i/>
        </w:rPr>
        <w:t>Output Tables</w:t>
      </w:r>
      <w:r w:rsidR="00894800">
        <w:rPr>
          <w:i/>
        </w:rPr>
        <w:t xml:space="preserve"> </w:t>
      </w:r>
      <w:r w:rsidR="00571B42" w:rsidRPr="00571B42">
        <w:rPr>
          <w:szCs w:val="24"/>
        </w:rPr>
        <w:t>(</w:t>
      </w:r>
      <w:proofErr w:type="spellStart"/>
      <w:r w:rsidR="00571B42" w:rsidRPr="00571B42">
        <w:rPr>
          <w:szCs w:val="24"/>
        </w:rPr>
        <w:t>CoPS</w:t>
      </w:r>
      <w:proofErr w:type="spellEnd"/>
      <w:r w:rsidR="00571B42" w:rsidRPr="00571B42">
        <w:rPr>
          <w:szCs w:val="24"/>
        </w:rPr>
        <w:t> 2015)</w:t>
      </w:r>
      <w:r>
        <w:t>.</w:t>
      </w:r>
      <w:r w:rsidR="008809C8">
        <w:rPr>
          <w:rStyle w:val="FootnoteReference"/>
        </w:rPr>
        <w:footnoteReference w:id="6"/>
      </w:r>
      <w:r>
        <w:t xml:space="preserve"> </w:t>
      </w:r>
      <w:r w:rsidR="000C3A63">
        <w:t>The database has been updated to 2014 based on population, terms of trade and other changes over the period 2010 to 2014.</w:t>
      </w:r>
      <w:r w:rsidR="004250DC">
        <w:t xml:space="preserve"> For the purposes of this documentation, financial years are </w:t>
      </w:r>
      <w:r w:rsidR="00D53A8D">
        <w:t xml:space="preserve">identified </w:t>
      </w:r>
      <w:r w:rsidR="004250DC">
        <w:t>in terms of the final year, for example 2013</w:t>
      </w:r>
      <w:r w:rsidR="004250DC">
        <w:noBreakHyphen/>
        <w:t>14 is described as 2014.</w:t>
      </w:r>
    </w:p>
    <w:p w14:paraId="02844539" w14:textId="5A12E152" w:rsidR="00AC5468" w:rsidRDefault="000C775F" w:rsidP="00AC5468">
      <w:pPr>
        <w:pStyle w:val="Heading2"/>
      </w:pPr>
      <w:proofErr w:type="spellStart"/>
      <w:r>
        <w:lastRenderedPageBreak/>
        <w:t>B.</w:t>
      </w:r>
      <w:r w:rsidR="009015D8">
        <w:rPr>
          <w:noProof/>
        </w:rPr>
        <w:t>1</w:t>
      </w:r>
      <w:proofErr w:type="spellEnd"/>
      <w:r w:rsidR="00AC5468">
        <w:tab/>
        <w:t xml:space="preserve">Modelling </w:t>
      </w:r>
      <w:r w:rsidR="008D52A5">
        <w:t>the business</w:t>
      </w:r>
      <w:r w:rsidR="00300F88">
        <w:t>-</w:t>
      </w:r>
      <w:r w:rsidR="008D52A5">
        <w:t>as</w:t>
      </w:r>
      <w:r w:rsidR="00300F88">
        <w:t>-</w:t>
      </w:r>
      <w:r w:rsidR="008D52A5">
        <w:t>usual</w:t>
      </w:r>
      <w:r w:rsidR="00AC5468">
        <w:t xml:space="preserve"> scenario</w:t>
      </w:r>
    </w:p>
    <w:p w14:paraId="0284453A" w14:textId="7F30BEC8" w:rsidR="00AC5468" w:rsidRDefault="00AC5468" w:rsidP="00AC5468">
      <w:pPr>
        <w:pStyle w:val="BodyText"/>
      </w:pPr>
      <w:r>
        <w:t xml:space="preserve">This section outlines </w:t>
      </w:r>
      <w:r w:rsidRPr="00B456E0">
        <w:t>key aspects</w:t>
      </w:r>
      <w:r>
        <w:t xml:space="preserve"> of the </w:t>
      </w:r>
      <w:r w:rsidR="008D52A5">
        <w:t>business</w:t>
      </w:r>
      <w:r w:rsidR="00986F8B">
        <w:t>-</w:t>
      </w:r>
      <w:r w:rsidR="008D52A5">
        <w:t>as</w:t>
      </w:r>
      <w:r w:rsidR="00986F8B">
        <w:t>-</w:t>
      </w:r>
      <w:r w:rsidR="008D52A5">
        <w:t>usual</w:t>
      </w:r>
      <w:r w:rsidR="004250DC">
        <w:t xml:space="preserve"> </w:t>
      </w:r>
      <w:r>
        <w:t xml:space="preserve">scenario. </w:t>
      </w:r>
    </w:p>
    <w:p w14:paraId="0284453B" w14:textId="7FCEE78F" w:rsidR="00B22981" w:rsidRDefault="00B22981" w:rsidP="00B22981">
      <w:pPr>
        <w:pStyle w:val="BodyText"/>
      </w:pPr>
      <w:r>
        <w:t xml:space="preserve">The key demographic assumptions of the projections compared to data for </w:t>
      </w:r>
      <w:r w:rsidRPr="002462CF">
        <w:t>2014</w:t>
      </w:r>
      <w:r>
        <w:t xml:space="preserve"> are reported in table </w:t>
      </w:r>
      <w:proofErr w:type="spellStart"/>
      <w:r w:rsidR="00CB778B">
        <w:t>B</w:t>
      </w:r>
      <w:r>
        <w:t>.1</w:t>
      </w:r>
      <w:proofErr w:type="spellEnd"/>
      <w:r>
        <w:t>. The demographic projections are based on c</w:t>
      </w:r>
      <w:r w:rsidRPr="00D13120">
        <w:t xml:space="preserve">urrent </w:t>
      </w:r>
      <w:r>
        <w:t xml:space="preserve">age, </w:t>
      </w:r>
      <w:r w:rsidR="00976B64">
        <w:t xml:space="preserve">region </w:t>
      </w:r>
      <w:r>
        <w:t>and gender</w:t>
      </w:r>
      <w:r w:rsidR="0072519E">
        <w:noBreakHyphen/>
      </w:r>
      <w:r>
        <w:t xml:space="preserve">specific </w:t>
      </w:r>
      <w:r w:rsidRPr="00D13120">
        <w:t>fertility</w:t>
      </w:r>
      <w:r w:rsidR="00A760FC">
        <w:t>,</w:t>
      </w:r>
      <w:r w:rsidRPr="00D13120">
        <w:t xml:space="preserve"> </w:t>
      </w:r>
      <w:r>
        <w:t>life expectancy projections</w:t>
      </w:r>
      <w:r w:rsidR="00A760FC">
        <w:t xml:space="preserve"> and annual rate of NOM</w:t>
      </w:r>
      <w:r w:rsidRPr="00D13120">
        <w:t xml:space="preserve">. </w:t>
      </w:r>
      <w:r>
        <w:t xml:space="preserve">These assumptions </w:t>
      </w:r>
      <w:r w:rsidR="00026A13">
        <w:t xml:space="preserve">are consistent with inputs into other demographic projections and </w:t>
      </w:r>
      <w:r w:rsidR="00C263BB">
        <w:t>result</w:t>
      </w:r>
      <w:r w:rsidR="00026A13">
        <w:t xml:space="preserve"> in population in the order of</w:t>
      </w:r>
      <w:r>
        <w:t xml:space="preserve"> </w:t>
      </w:r>
      <w:r w:rsidR="00C263BB">
        <w:t>40</w:t>
      </w:r>
      <w:r w:rsidR="00CD0167">
        <w:t> </w:t>
      </w:r>
      <w:r w:rsidR="00C263BB">
        <w:t xml:space="preserve">million </w:t>
      </w:r>
      <w:r w:rsidR="00565D87">
        <w:t xml:space="preserve">by 2060 </w:t>
      </w:r>
      <w:r w:rsidR="00C263BB">
        <w:t xml:space="preserve">in the </w:t>
      </w:r>
      <w:r w:rsidR="00970DE0">
        <w:t>business-as-usual scenario</w:t>
      </w:r>
      <w:r>
        <w:t>.</w:t>
      </w:r>
    </w:p>
    <w:p w14:paraId="0284453C" w14:textId="0120BB5A" w:rsidR="00B22981" w:rsidRDefault="00B22981" w:rsidP="00B22981">
      <w:pPr>
        <w:pStyle w:val="BoxSpaceAbove"/>
      </w:pPr>
      <w:r>
        <w:t xml:space="preserve"> </w:t>
      </w: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F40C31" w14:paraId="0284453E" w14:textId="77777777" w:rsidTr="00AB5F53">
        <w:tc>
          <w:tcPr>
            <w:tcW w:w="8771" w:type="dxa"/>
            <w:tcBorders>
              <w:top w:val="single" w:sz="6" w:space="0" w:color="78A22F"/>
              <w:left w:val="nil"/>
              <w:bottom w:val="nil"/>
              <w:right w:val="nil"/>
            </w:tcBorders>
            <w:shd w:val="clear" w:color="auto" w:fill="auto"/>
          </w:tcPr>
          <w:p w14:paraId="0284453D" w14:textId="08391E62" w:rsidR="00F40C31" w:rsidRPr="00784A05" w:rsidRDefault="00F40C31" w:rsidP="00AB5F53">
            <w:pPr>
              <w:pStyle w:val="TableTitle"/>
            </w:pPr>
            <w:r w:rsidRPr="00C66462">
              <w:rPr>
                <w:b w:val="0"/>
              </w:rPr>
              <w:t xml:space="preserve">Table </w:t>
            </w:r>
            <w:proofErr w:type="spellStart"/>
            <w:r w:rsidR="000C775F">
              <w:rPr>
                <w:b w:val="0"/>
              </w:rPr>
              <w:t>B.</w:t>
            </w:r>
            <w:r w:rsidR="009015D8">
              <w:rPr>
                <w:b w:val="0"/>
                <w:noProof/>
              </w:rPr>
              <w:t>1</w:t>
            </w:r>
            <w:proofErr w:type="spellEnd"/>
            <w:r>
              <w:tab/>
              <w:t>Key demographic assumptions</w:t>
            </w:r>
          </w:p>
        </w:tc>
      </w:tr>
      <w:tr w:rsidR="00F40C31" w14:paraId="0284455E" w14:textId="77777777" w:rsidTr="00AB5F53">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3711"/>
              <w:gridCol w:w="1117"/>
              <w:gridCol w:w="1708"/>
              <w:gridCol w:w="732"/>
              <w:gridCol w:w="1219"/>
            </w:tblGrid>
            <w:tr w:rsidR="00F40C31" w14:paraId="02844543" w14:textId="77777777" w:rsidTr="006D2DE5">
              <w:tc>
                <w:tcPr>
                  <w:tcW w:w="2187" w:type="pct"/>
                  <w:tcBorders>
                    <w:top w:val="single" w:sz="6" w:space="0" w:color="BFBFBF"/>
                    <w:bottom w:val="single" w:sz="6" w:space="0" w:color="BFBFBF"/>
                  </w:tcBorders>
                  <w:shd w:val="clear" w:color="auto" w:fill="auto"/>
                  <w:tcMar>
                    <w:top w:w="28" w:type="dxa"/>
                  </w:tcMar>
                </w:tcPr>
                <w:p w14:paraId="0284453F" w14:textId="77777777" w:rsidR="00F40C31" w:rsidRDefault="00F40C31" w:rsidP="00AB5F53">
                  <w:pPr>
                    <w:pStyle w:val="TableColumnHeading"/>
                    <w:jc w:val="left"/>
                  </w:pPr>
                </w:p>
              </w:tc>
              <w:tc>
                <w:tcPr>
                  <w:tcW w:w="658" w:type="pct"/>
                  <w:tcBorders>
                    <w:top w:val="single" w:sz="6" w:space="0" w:color="BFBFBF"/>
                    <w:bottom w:val="single" w:sz="6" w:space="0" w:color="BFBFBF"/>
                  </w:tcBorders>
                </w:tcPr>
                <w:p w14:paraId="21C89EEB" w14:textId="2703E057" w:rsidR="00CB778B" w:rsidRDefault="006D2DE5" w:rsidP="00565D87">
                  <w:pPr>
                    <w:pStyle w:val="TableColumnHeading"/>
                  </w:pPr>
                  <w:r>
                    <w:br/>
                  </w:r>
                  <w:r w:rsidR="00CB778B">
                    <w:t>Units</w:t>
                  </w:r>
                </w:p>
              </w:tc>
              <w:tc>
                <w:tcPr>
                  <w:tcW w:w="1006" w:type="pct"/>
                  <w:tcBorders>
                    <w:top w:val="single" w:sz="6" w:space="0" w:color="BFBFBF"/>
                    <w:bottom w:val="single" w:sz="6" w:space="0" w:color="BFBFBF"/>
                  </w:tcBorders>
                  <w:vAlign w:val="bottom"/>
                </w:tcPr>
                <w:p w14:paraId="02844540" w14:textId="77777777" w:rsidR="00F40C31" w:rsidRDefault="00565D87" w:rsidP="00565D87">
                  <w:pPr>
                    <w:pStyle w:val="TableColumnHeading"/>
                  </w:pPr>
                  <w:proofErr w:type="spellStart"/>
                  <w:r>
                    <w:t>VURM</w:t>
                  </w:r>
                  <w:proofErr w:type="spellEnd"/>
                  <w:r>
                    <w:t xml:space="preserve"> </w:t>
                  </w:r>
                  <w:r w:rsidR="00F40C31">
                    <w:t>variable</w:t>
                  </w:r>
                </w:p>
              </w:tc>
              <w:tc>
                <w:tcPr>
                  <w:tcW w:w="431" w:type="pct"/>
                  <w:tcBorders>
                    <w:top w:val="single" w:sz="6" w:space="0" w:color="BFBFBF"/>
                    <w:bottom w:val="single" w:sz="6" w:space="0" w:color="BFBFBF"/>
                  </w:tcBorders>
                  <w:shd w:val="clear" w:color="auto" w:fill="auto"/>
                  <w:tcMar>
                    <w:top w:w="28" w:type="dxa"/>
                  </w:tcMar>
                  <w:vAlign w:val="bottom"/>
                </w:tcPr>
                <w:p w14:paraId="02844541" w14:textId="77777777" w:rsidR="00F40C31" w:rsidRDefault="00F40C31" w:rsidP="00AB5F53">
                  <w:pPr>
                    <w:pStyle w:val="TableColumnHeading"/>
                  </w:pPr>
                  <w:r>
                    <w:t>2014</w:t>
                  </w:r>
                </w:p>
              </w:tc>
              <w:tc>
                <w:tcPr>
                  <w:tcW w:w="718" w:type="pct"/>
                  <w:tcBorders>
                    <w:top w:val="single" w:sz="6" w:space="0" w:color="BFBFBF"/>
                    <w:bottom w:val="single" w:sz="6" w:space="0" w:color="BFBFBF"/>
                  </w:tcBorders>
                  <w:vAlign w:val="bottom"/>
                </w:tcPr>
                <w:p w14:paraId="02844542" w14:textId="41BBB195" w:rsidR="00F40C31" w:rsidRDefault="00F40C31" w:rsidP="00AB5F53">
                  <w:pPr>
                    <w:pStyle w:val="TableColumnHeading"/>
                  </w:pPr>
                  <w:r>
                    <w:t xml:space="preserve">Beyond </w:t>
                  </w:r>
                  <w:r w:rsidR="00F53492">
                    <w:br/>
                  </w:r>
                  <w:r>
                    <w:t>2025</w:t>
                  </w:r>
                </w:p>
              </w:tc>
            </w:tr>
            <w:tr w:rsidR="00F40C31" w:rsidRPr="00D3339E" w14:paraId="02844548" w14:textId="77777777" w:rsidTr="006D2DE5">
              <w:tc>
                <w:tcPr>
                  <w:tcW w:w="2187" w:type="pct"/>
                  <w:tcBorders>
                    <w:top w:val="single" w:sz="6" w:space="0" w:color="BFBFBF"/>
                  </w:tcBorders>
                </w:tcPr>
                <w:p w14:paraId="02844544" w14:textId="2D3E669A" w:rsidR="00F40C31" w:rsidRDefault="00F40C31" w:rsidP="00AB5F53">
                  <w:pPr>
                    <w:pStyle w:val="TableUnitsRow"/>
                    <w:jc w:val="left"/>
                  </w:pPr>
                  <w:r>
                    <w:t>Starting population</w:t>
                  </w:r>
                </w:p>
              </w:tc>
              <w:tc>
                <w:tcPr>
                  <w:tcW w:w="658" w:type="pct"/>
                  <w:tcBorders>
                    <w:top w:val="single" w:sz="6" w:space="0" w:color="BFBFBF"/>
                  </w:tcBorders>
                </w:tcPr>
                <w:p w14:paraId="06EEFEBC" w14:textId="36827C86" w:rsidR="00CB778B" w:rsidRDefault="00CB778B" w:rsidP="00AB5F53">
                  <w:pPr>
                    <w:pStyle w:val="TableBodyText"/>
                  </w:pPr>
                  <w:r>
                    <w:t>million</w:t>
                  </w:r>
                </w:p>
              </w:tc>
              <w:tc>
                <w:tcPr>
                  <w:tcW w:w="1006" w:type="pct"/>
                  <w:tcBorders>
                    <w:top w:val="single" w:sz="6" w:space="0" w:color="BFBFBF"/>
                  </w:tcBorders>
                </w:tcPr>
                <w:p w14:paraId="02844545" w14:textId="77777777" w:rsidR="00F40C31" w:rsidRDefault="00F40C31" w:rsidP="00AB5F53">
                  <w:pPr>
                    <w:pStyle w:val="TableBodyText"/>
                  </w:pPr>
                  <w:proofErr w:type="spellStart"/>
                  <w:r>
                    <w:t>natpop</w:t>
                  </w:r>
                  <w:proofErr w:type="spellEnd"/>
                </w:p>
              </w:tc>
              <w:tc>
                <w:tcPr>
                  <w:tcW w:w="431" w:type="pct"/>
                  <w:tcBorders>
                    <w:top w:val="single" w:sz="6" w:space="0" w:color="BFBFBF"/>
                  </w:tcBorders>
                </w:tcPr>
                <w:p w14:paraId="02844546" w14:textId="77777777" w:rsidR="00F40C31" w:rsidRDefault="00F40C31" w:rsidP="00AB5F53">
                  <w:pPr>
                    <w:pStyle w:val="TableBodyText"/>
                  </w:pPr>
                  <w:r>
                    <w:t>23</w:t>
                  </w:r>
                </w:p>
              </w:tc>
              <w:tc>
                <w:tcPr>
                  <w:tcW w:w="718" w:type="pct"/>
                  <w:tcBorders>
                    <w:top w:val="single" w:sz="6" w:space="0" w:color="BFBFBF"/>
                  </w:tcBorders>
                  <w:shd w:val="clear" w:color="auto" w:fill="auto"/>
                </w:tcPr>
                <w:p w14:paraId="02844547" w14:textId="77777777" w:rsidR="00F40C31" w:rsidRPr="00D3339E" w:rsidRDefault="00F40C31" w:rsidP="00AB5F53">
                  <w:pPr>
                    <w:pStyle w:val="TableBodyText"/>
                  </w:pPr>
                  <w:proofErr w:type="spellStart"/>
                  <w:r w:rsidRPr="00D3339E">
                    <w:t>na</w:t>
                  </w:r>
                  <w:proofErr w:type="spellEnd"/>
                </w:p>
              </w:tc>
            </w:tr>
            <w:tr w:rsidR="00F40C31" w14:paraId="0284454D" w14:textId="77777777" w:rsidTr="006D2DE5">
              <w:tc>
                <w:tcPr>
                  <w:tcW w:w="2187" w:type="pct"/>
                </w:tcPr>
                <w:p w14:paraId="02844549" w14:textId="2BC7A5BC" w:rsidR="00F40C31" w:rsidRDefault="00F40C31" w:rsidP="00FF39E3">
                  <w:pPr>
                    <w:pStyle w:val="TableBodyText"/>
                    <w:jc w:val="left"/>
                  </w:pPr>
                  <w:r>
                    <w:t>Total fertility rate</w:t>
                  </w:r>
                  <w:r w:rsidR="00FF39E3">
                    <w:rPr>
                      <w:rStyle w:val="NoteLabel"/>
                    </w:rPr>
                    <w:t xml:space="preserve"> a</w:t>
                  </w:r>
                  <w:r w:rsidR="00CA1959">
                    <w:t xml:space="preserve"> </w:t>
                  </w:r>
                </w:p>
              </w:tc>
              <w:tc>
                <w:tcPr>
                  <w:tcW w:w="658" w:type="pct"/>
                </w:tcPr>
                <w:p w14:paraId="7667BDAA" w14:textId="1F5000BF" w:rsidR="00CB778B" w:rsidRDefault="00CB778B" w:rsidP="00AB5F53">
                  <w:pPr>
                    <w:pStyle w:val="TableBodyText"/>
                  </w:pPr>
                  <w:r>
                    <w:t xml:space="preserve">births per </w:t>
                  </w:r>
                  <w:r w:rsidR="00F53492">
                    <w:br/>
                  </w:r>
                  <w:r>
                    <w:t>woman</w:t>
                  </w:r>
                </w:p>
              </w:tc>
              <w:tc>
                <w:tcPr>
                  <w:tcW w:w="1006" w:type="pct"/>
                </w:tcPr>
                <w:p w14:paraId="0284454A" w14:textId="77777777" w:rsidR="00F40C31" w:rsidRDefault="00B06A75" w:rsidP="00AB5F53">
                  <w:pPr>
                    <w:pStyle w:val="TableBodyText"/>
                  </w:pPr>
                  <w:proofErr w:type="spellStart"/>
                  <w:r>
                    <w:t>NATTFR</w:t>
                  </w:r>
                  <w:proofErr w:type="spellEnd"/>
                </w:p>
              </w:tc>
              <w:tc>
                <w:tcPr>
                  <w:tcW w:w="431" w:type="pct"/>
                </w:tcPr>
                <w:p w14:paraId="0284454B" w14:textId="77777777" w:rsidR="00F40C31" w:rsidRDefault="00F40C31" w:rsidP="00AB5F53">
                  <w:pPr>
                    <w:pStyle w:val="TableBodyText"/>
                  </w:pPr>
                  <w:r>
                    <w:t>1.</w:t>
                  </w:r>
                  <w:r w:rsidR="00B06A75">
                    <w:t>9</w:t>
                  </w:r>
                  <w:r>
                    <w:t>6</w:t>
                  </w:r>
                </w:p>
              </w:tc>
              <w:tc>
                <w:tcPr>
                  <w:tcW w:w="718" w:type="pct"/>
                </w:tcPr>
                <w:p w14:paraId="0284454C" w14:textId="68E6B948" w:rsidR="00F40C31" w:rsidRDefault="00E124E8" w:rsidP="00AB5F53">
                  <w:pPr>
                    <w:pStyle w:val="TableBodyText"/>
                  </w:pPr>
                  <w:r>
                    <w:t>converges</w:t>
                  </w:r>
                  <w:r w:rsidR="00F53492">
                    <w:br/>
                  </w:r>
                  <w:r>
                    <w:t xml:space="preserve"> to </w:t>
                  </w:r>
                  <w:r w:rsidR="00F40C31">
                    <w:t>1</w:t>
                  </w:r>
                  <w:r>
                    <w:t>.86</w:t>
                  </w:r>
                </w:p>
              </w:tc>
            </w:tr>
            <w:tr w:rsidR="00F40C31" w14:paraId="02844552" w14:textId="77777777" w:rsidTr="006D2DE5">
              <w:tc>
                <w:tcPr>
                  <w:tcW w:w="2187" w:type="pct"/>
                  <w:shd w:val="clear" w:color="auto" w:fill="auto"/>
                </w:tcPr>
                <w:p w14:paraId="0284454E" w14:textId="0E45FAE7" w:rsidR="00F40C31" w:rsidRDefault="00F40C31" w:rsidP="006D2DE5">
                  <w:pPr>
                    <w:pStyle w:val="TableBodyText"/>
                    <w:jc w:val="left"/>
                  </w:pPr>
                  <w:r>
                    <w:t>Male births per 100 female births</w:t>
                  </w:r>
                  <w:r w:rsidR="00FF39E3">
                    <w:rPr>
                      <w:rStyle w:val="NoteLabel"/>
                    </w:rPr>
                    <w:t>a</w:t>
                  </w:r>
                </w:p>
              </w:tc>
              <w:tc>
                <w:tcPr>
                  <w:tcW w:w="658" w:type="pct"/>
                </w:tcPr>
                <w:p w14:paraId="73A231DE" w14:textId="77777777" w:rsidR="00CB778B" w:rsidRDefault="00CB778B" w:rsidP="00AB5F53">
                  <w:pPr>
                    <w:pStyle w:val="TableBodyText"/>
                  </w:pPr>
                </w:p>
              </w:tc>
              <w:tc>
                <w:tcPr>
                  <w:tcW w:w="1006" w:type="pct"/>
                </w:tcPr>
                <w:p w14:paraId="0284454F" w14:textId="77777777" w:rsidR="00F40C31" w:rsidRDefault="00F40C31" w:rsidP="00AB5F53">
                  <w:pPr>
                    <w:pStyle w:val="TableBodyText"/>
                  </w:pPr>
                  <w:proofErr w:type="spellStart"/>
                  <w:r>
                    <w:t>POPALPHA</w:t>
                  </w:r>
                  <w:proofErr w:type="spellEnd"/>
                </w:p>
              </w:tc>
              <w:tc>
                <w:tcPr>
                  <w:tcW w:w="431" w:type="pct"/>
                  <w:shd w:val="clear" w:color="auto" w:fill="auto"/>
                </w:tcPr>
                <w:p w14:paraId="02844550" w14:textId="34DE21EF" w:rsidR="00F40C31" w:rsidRDefault="00F40C31" w:rsidP="00AB5F53">
                  <w:pPr>
                    <w:pStyle w:val="TableBodyText"/>
                  </w:pPr>
                  <w:r>
                    <w:t>105.</w:t>
                  </w:r>
                  <w:r w:rsidR="00E124E8">
                    <w:t>7</w:t>
                  </w:r>
                </w:p>
              </w:tc>
              <w:tc>
                <w:tcPr>
                  <w:tcW w:w="718" w:type="pct"/>
                </w:tcPr>
                <w:p w14:paraId="02844551" w14:textId="3A0B71A3" w:rsidR="00F40C31" w:rsidRDefault="00F40C31" w:rsidP="00AB5F53">
                  <w:pPr>
                    <w:pStyle w:val="TableBodyText"/>
                  </w:pPr>
                  <w:r>
                    <w:t>105.</w:t>
                  </w:r>
                  <w:r w:rsidR="00E124E8">
                    <w:t>7</w:t>
                  </w:r>
                </w:p>
              </w:tc>
            </w:tr>
            <w:tr w:rsidR="00F40C31" w14:paraId="02844557" w14:textId="77777777" w:rsidTr="006D2DE5">
              <w:tc>
                <w:tcPr>
                  <w:tcW w:w="2187" w:type="pct"/>
                  <w:shd w:val="clear" w:color="auto" w:fill="auto"/>
                </w:tcPr>
                <w:p w14:paraId="02844553" w14:textId="7CB34E50" w:rsidR="00F40C31" w:rsidRDefault="00F40C31" w:rsidP="00FF39E3">
                  <w:pPr>
                    <w:pStyle w:val="TableBodyText"/>
                    <w:jc w:val="left"/>
                    <w:rPr>
                      <w:i/>
                    </w:rPr>
                  </w:pPr>
                  <w:r>
                    <w:t>Life expectancy at birth</w:t>
                  </w:r>
                  <w:r w:rsidR="00FF39E3">
                    <w:rPr>
                      <w:rStyle w:val="NoteLabel"/>
                    </w:rPr>
                    <w:t>a</w:t>
                  </w:r>
                  <w:r>
                    <w:rPr>
                      <w:rStyle w:val="NoteLabel"/>
                    </w:rPr>
                    <w:t> </w:t>
                  </w:r>
                </w:p>
              </w:tc>
              <w:tc>
                <w:tcPr>
                  <w:tcW w:w="658" w:type="pct"/>
                </w:tcPr>
                <w:p w14:paraId="0E0839E5" w14:textId="4DC06A2E" w:rsidR="00CB778B" w:rsidRDefault="00B97003" w:rsidP="00AB5F53">
                  <w:pPr>
                    <w:pStyle w:val="TableBodyText"/>
                  </w:pPr>
                  <w:r>
                    <w:t>years</w:t>
                  </w:r>
                </w:p>
              </w:tc>
              <w:tc>
                <w:tcPr>
                  <w:tcW w:w="1006" w:type="pct"/>
                </w:tcPr>
                <w:p w14:paraId="02844554" w14:textId="77777777" w:rsidR="00F40C31" w:rsidRDefault="00F40C31" w:rsidP="00AB5F53">
                  <w:pPr>
                    <w:pStyle w:val="TableBodyText"/>
                  </w:pPr>
                  <w:proofErr w:type="spellStart"/>
                  <w:r>
                    <w:t>ex@1</w:t>
                  </w:r>
                  <w:proofErr w:type="spellEnd"/>
                </w:p>
              </w:tc>
              <w:tc>
                <w:tcPr>
                  <w:tcW w:w="431" w:type="pct"/>
                  <w:shd w:val="clear" w:color="auto" w:fill="auto"/>
                </w:tcPr>
                <w:p w14:paraId="02844555" w14:textId="77777777" w:rsidR="00F40C31" w:rsidRDefault="00F40C31" w:rsidP="00AB5F53">
                  <w:pPr>
                    <w:pStyle w:val="TableBodyText"/>
                  </w:pPr>
                  <w:r>
                    <w:t>83</w:t>
                  </w:r>
                </w:p>
              </w:tc>
              <w:tc>
                <w:tcPr>
                  <w:tcW w:w="718" w:type="pct"/>
                </w:tcPr>
                <w:p w14:paraId="02844556" w14:textId="7F956C7A" w:rsidR="00F40C31" w:rsidRDefault="00F53492" w:rsidP="00AB5F53">
                  <w:pPr>
                    <w:pStyle w:val="TableBodyText"/>
                  </w:pPr>
                  <w:r>
                    <w:t>converges</w:t>
                  </w:r>
                  <w:r>
                    <w:br/>
                    <w:t xml:space="preserve"> to </w:t>
                  </w:r>
                  <w:r w:rsidR="00F40C31">
                    <w:t>93</w:t>
                  </w:r>
                </w:p>
              </w:tc>
            </w:tr>
            <w:tr w:rsidR="00F40C31" w14:paraId="0284455C" w14:textId="77777777" w:rsidTr="006D2DE5">
              <w:tc>
                <w:tcPr>
                  <w:tcW w:w="2187" w:type="pct"/>
                  <w:tcBorders>
                    <w:bottom w:val="single" w:sz="4" w:space="0" w:color="BFBFBF" w:themeColor="background2"/>
                  </w:tcBorders>
                  <w:shd w:val="clear" w:color="auto" w:fill="auto"/>
                </w:tcPr>
                <w:p w14:paraId="02844558" w14:textId="59A01088" w:rsidR="00F40C31" w:rsidRDefault="00CB778B" w:rsidP="00AB5F53">
                  <w:pPr>
                    <w:pStyle w:val="TableBodyText"/>
                    <w:jc w:val="left"/>
                  </w:pPr>
                  <w:r>
                    <w:t>NOM</w:t>
                  </w:r>
                </w:p>
              </w:tc>
              <w:tc>
                <w:tcPr>
                  <w:tcW w:w="658" w:type="pct"/>
                  <w:tcBorders>
                    <w:bottom w:val="single" w:sz="4" w:space="0" w:color="BFBFBF" w:themeColor="background2"/>
                  </w:tcBorders>
                </w:tcPr>
                <w:p w14:paraId="4F31F363" w14:textId="307D504B" w:rsidR="00CB778B" w:rsidRDefault="00246FC2" w:rsidP="00AB5F53">
                  <w:pPr>
                    <w:pStyle w:val="TableBodyText"/>
                  </w:pPr>
                  <w:r>
                    <w:t>‘</w:t>
                  </w:r>
                  <w:r w:rsidR="00B97003">
                    <w:t>000</w:t>
                  </w:r>
                </w:p>
              </w:tc>
              <w:tc>
                <w:tcPr>
                  <w:tcW w:w="1006" w:type="pct"/>
                  <w:tcBorders>
                    <w:bottom w:val="single" w:sz="4" w:space="0" w:color="BFBFBF" w:themeColor="background2"/>
                  </w:tcBorders>
                </w:tcPr>
                <w:p w14:paraId="02844559" w14:textId="77777777" w:rsidR="00F40C31" w:rsidRDefault="00F40C31" w:rsidP="00AB5F53">
                  <w:pPr>
                    <w:pStyle w:val="TableBodyText"/>
                    <w:rPr>
                      <w:szCs w:val="24"/>
                    </w:rPr>
                  </w:pPr>
                  <w:proofErr w:type="spellStart"/>
                  <w:r>
                    <w:t>Projectnom</w:t>
                  </w:r>
                  <w:proofErr w:type="spellEnd"/>
                </w:p>
              </w:tc>
              <w:tc>
                <w:tcPr>
                  <w:tcW w:w="431" w:type="pct"/>
                  <w:tcBorders>
                    <w:bottom w:val="single" w:sz="4" w:space="0" w:color="BFBFBF" w:themeColor="background2"/>
                  </w:tcBorders>
                  <w:shd w:val="clear" w:color="auto" w:fill="auto"/>
                </w:tcPr>
                <w:p w14:paraId="0284455A" w14:textId="77777777" w:rsidR="00F40C31" w:rsidRDefault="00F40C31" w:rsidP="00AB5F53">
                  <w:pPr>
                    <w:pStyle w:val="TableBodyText"/>
                  </w:pPr>
                  <w:r>
                    <w:t>206</w:t>
                  </w:r>
                </w:p>
              </w:tc>
              <w:tc>
                <w:tcPr>
                  <w:tcW w:w="718" w:type="pct"/>
                  <w:tcBorders>
                    <w:bottom w:val="single" w:sz="4" w:space="0" w:color="BFBFBF" w:themeColor="background2"/>
                  </w:tcBorders>
                </w:tcPr>
                <w:p w14:paraId="0284455B" w14:textId="23B7155F" w:rsidR="00F40C31" w:rsidRDefault="00F40C31" w:rsidP="00F53492">
                  <w:pPr>
                    <w:pStyle w:val="TableBodyText"/>
                  </w:pPr>
                  <w:r>
                    <w:t>0.6</w:t>
                  </w:r>
                  <w:r w:rsidR="00E12D87">
                    <w:t>%</w:t>
                  </w:r>
                  <w:r w:rsidR="00F53492">
                    <w:t xml:space="preserve"> of</w:t>
                  </w:r>
                  <w:r w:rsidR="00F53492">
                    <w:br/>
                  </w:r>
                  <w:r>
                    <w:t>population</w:t>
                  </w:r>
                </w:p>
              </w:tc>
            </w:tr>
          </w:tbl>
          <w:p w14:paraId="0284455D" w14:textId="77777777" w:rsidR="00F40C31" w:rsidRDefault="00F40C31" w:rsidP="00AB5F53">
            <w:pPr>
              <w:pStyle w:val="Box"/>
            </w:pPr>
          </w:p>
        </w:tc>
      </w:tr>
      <w:tr w:rsidR="00F40C31" w14:paraId="02844560" w14:textId="77777777" w:rsidTr="00AB5F53">
        <w:trPr>
          <w:cantSplit/>
        </w:trPr>
        <w:tc>
          <w:tcPr>
            <w:tcW w:w="8771" w:type="dxa"/>
            <w:tcBorders>
              <w:top w:val="nil"/>
              <w:left w:val="nil"/>
              <w:bottom w:val="nil"/>
              <w:right w:val="nil"/>
            </w:tcBorders>
            <w:shd w:val="clear" w:color="auto" w:fill="auto"/>
          </w:tcPr>
          <w:p w14:paraId="0284455F" w14:textId="256C5C9E" w:rsidR="00F40C31" w:rsidRDefault="00F40C31" w:rsidP="007075F4">
            <w:pPr>
              <w:pStyle w:val="Note"/>
            </w:pPr>
            <w:proofErr w:type="spellStart"/>
            <w:r>
              <w:t>na</w:t>
            </w:r>
            <w:proofErr w:type="spellEnd"/>
            <w:r>
              <w:t>: not applicable</w:t>
            </w:r>
            <w:r w:rsidR="00FF39E3">
              <w:t xml:space="preserve"> </w:t>
            </w:r>
            <w:r>
              <w:rPr>
                <w:rStyle w:val="NoteLabel"/>
              </w:rPr>
              <w:t xml:space="preserve"> </w:t>
            </w:r>
            <w:r w:rsidR="00FF39E3">
              <w:rPr>
                <w:rStyle w:val="NoteLabel"/>
              </w:rPr>
              <w:t>a</w:t>
            </w:r>
            <w:r w:rsidR="007075F4">
              <w:t> </w:t>
            </w:r>
            <w:r w:rsidR="00FF39E3">
              <w:t>National average.</w:t>
            </w:r>
          </w:p>
        </w:tc>
      </w:tr>
      <w:tr w:rsidR="00F40C31" w14:paraId="02844562" w14:textId="77777777" w:rsidTr="00AB5F53">
        <w:trPr>
          <w:cantSplit/>
        </w:trPr>
        <w:tc>
          <w:tcPr>
            <w:tcW w:w="8771" w:type="dxa"/>
            <w:tcBorders>
              <w:top w:val="nil"/>
              <w:left w:val="nil"/>
              <w:bottom w:val="nil"/>
              <w:right w:val="nil"/>
            </w:tcBorders>
            <w:shd w:val="clear" w:color="auto" w:fill="auto"/>
          </w:tcPr>
          <w:p w14:paraId="02844561" w14:textId="77777777" w:rsidR="00F40C31" w:rsidRPr="00AD27E4" w:rsidRDefault="00F40C31" w:rsidP="00AB5F53">
            <w:pPr>
              <w:pStyle w:val="Source"/>
            </w:pPr>
            <w:r>
              <w:rPr>
                <w:i/>
              </w:rPr>
              <w:t>Sources</w:t>
            </w:r>
            <w:r w:rsidRPr="00167F06">
              <w:t xml:space="preserve">: </w:t>
            </w:r>
            <w:r>
              <w:t xml:space="preserve">Productivity Commission estimates based on </w:t>
            </w:r>
            <w:r w:rsidRPr="007D2264">
              <w:t>ABS (</w:t>
            </w:r>
            <w:r w:rsidRPr="00364CE1">
              <w:rPr>
                <w:i/>
              </w:rPr>
              <w:t>Australian Historical Population Statistics, 2014</w:t>
            </w:r>
            <w:r w:rsidRPr="007D2264">
              <w:t>, Cat. no. 3105.0.65.001); ABS (</w:t>
            </w:r>
            <w:r w:rsidRPr="00364CE1">
              <w:rPr>
                <w:i/>
              </w:rPr>
              <w:t xml:space="preserve">Australian Demographic Statistics, </w:t>
            </w:r>
            <w:r>
              <w:rPr>
                <w:i/>
              </w:rPr>
              <w:t>December</w:t>
            </w:r>
            <w:r w:rsidRPr="00364CE1">
              <w:rPr>
                <w:i/>
              </w:rPr>
              <w:t xml:space="preserve"> 2014</w:t>
            </w:r>
            <w:r w:rsidRPr="007D2264">
              <w:t>, Cat. no. 3101.0)</w:t>
            </w:r>
            <w:r>
              <w:t>.</w:t>
            </w:r>
          </w:p>
        </w:tc>
      </w:tr>
      <w:tr w:rsidR="00F40C31" w14:paraId="02844564" w14:textId="77777777" w:rsidTr="00AB5F53">
        <w:trPr>
          <w:cantSplit/>
        </w:trPr>
        <w:tc>
          <w:tcPr>
            <w:tcW w:w="8771" w:type="dxa"/>
            <w:tcBorders>
              <w:top w:val="nil"/>
              <w:left w:val="nil"/>
              <w:bottom w:val="single" w:sz="6" w:space="0" w:color="78A22F"/>
              <w:right w:val="nil"/>
            </w:tcBorders>
            <w:shd w:val="clear" w:color="auto" w:fill="auto"/>
          </w:tcPr>
          <w:p w14:paraId="02844563" w14:textId="77777777" w:rsidR="00F40C31" w:rsidRDefault="00F40C31" w:rsidP="00AB5F53">
            <w:pPr>
              <w:pStyle w:val="Box"/>
              <w:spacing w:before="0" w:line="120" w:lineRule="exact"/>
            </w:pPr>
          </w:p>
        </w:tc>
      </w:tr>
      <w:tr w:rsidR="00B22981" w:rsidRPr="000863A5" w14:paraId="02844566" w14:textId="77777777" w:rsidTr="00DD0E03">
        <w:tc>
          <w:tcPr>
            <w:tcW w:w="8771" w:type="dxa"/>
            <w:tcBorders>
              <w:top w:val="single" w:sz="6" w:space="0" w:color="78A22F"/>
              <w:left w:val="nil"/>
              <w:bottom w:val="nil"/>
              <w:right w:val="nil"/>
            </w:tcBorders>
          </w:tcPr>
          <w:p w14:paraId="02844565" w14:textId="2BAB4F0B" w:rsidR="00B22981" w:rsidRPr="00626D32" w:rsidRDefault="00B22981" w:rsidP="00DD0E03">
            <w:pPr>
              <w:pStyle w:val="BoxSpaceBelow"/>
            </w:pPr>
          </w:p>
        </w:tc>
      </w:tr>
    </w:tbl>
    <w:p w14:paraId="2776F5FC" w14:textId="2AA6482C" w:rsidR="000C49E5" w:rsidRDefault="000C49E5" w:rsidP="000C49E5">
      <w:pPr>
        <w:pStyle w:val="BodyText"/>
      </w:pPr>
      <w:r>
        <w:t xml:space="preserve">The demographic modelling in </w:t>
      </w:r>
      <w:proofErr w:type="spellStart"/>
      <w:r>
        <w:t>VURM</w:t>
      </w:r>
      <w:proofErr w:type="spellEnd"/>
      <w:r>
        <w:t xml:space="preserve"> is based on the framework and assumptions initially developed by the Productivity Commission over the past decade </w:t>
      </w:r>
      <w:r w:rsidRPr="001F1BF8">
        <w:rPr>
          <w:szCs w:val="24"/>
        </w:rPr>
        <w:t>(</w:t>
      </w:r>
      <w:proofErr w:type="spellStart"/>
      <w:r w:rsidRPr="001F1BF8">
        <w:rPr>
          <w:szCs w:val="24"/>
        </w:rPr>
        <w:t>Cuxson</w:t>
      </w:r>
      <w:proofErr w:type="spellEnd"/>
      <w:r w:rsidRPr="001F1BF8">
        <w:rPr>
          <w:szCs w:val="24"/>
        </w:rPr>
        <w:t xml:space="preserve"> et al. 2008; Lattimore and </w:t>
      </w:r>
      <w:proofErr w:type="spellStart"/>
      <w:r w:rsidRPr="001F1BF8">
        <w:rPr>
          <w:szCs w:val="24"/>
        </w:rPr>
        <w:t>Pobke</w:t>
      </w:r>
      <w:proofErr w:type="spellEnd"/>
      <w:r w:rsidRPr="001F1BF8">
        <w:rPr>
          <w:szCs w:val="24"/>
        </w:rPr>
        <w:t xml:space="preserve"> 2008; PC 2005, </w:t>
      </w:r>
      <w:proofErr w:type="spellStart"/>
      <w:r w:rsidRPr="001F1BF8">
        <w:rPr>
          <w:szCs w:val="24"/>
        </w:rPr>
        <w:t>2006b</w:t>
      </w:r>
      <w:proofErr w:type="spellEnd"/>
      <w:r w:rsidRPr="001F1BF8">
        <w:rPr>
          <w:szCs w:val="24"/>
        </w:rPr>
        <w:t>, 2013)</w:t>
      </w:r>
      <w:r>
        <w:t xml:space="preserve">. For more detail, see the Commission’s documentation of its reference case </w:t>
      </w:r>
      <w:r w:rsidRPr="001F1BF8">
        <w:rPr>
          <w:szCs w:val="24"/>
        </w:rPr>
        <w:t>(PC forthcoming, 2012)</w:t>
      </w:r>
      <w:r>
        <w:t xml:space="preserve">. </w:t>
      </w:r>
    </w:p>
    <w:p w14:paraId="02844567" w14:textId="75FAF8C0" w:rsidR="00B22981" w:rsidRDefault="00956046" w:rsidP="00B22981">
      <w:pPr>
        <w:pStyle w:val="BodyText"/>
      </w:pPr>
      <w:r>
        <w:t>Working age to population ratios, participation rates and employment rates link population to economic activity.</w:t>
      </w:r>
      <w:r w:rsidR="00B22981">
        <w:t xml:space="preserve"> </w:t>
      </w:r>
      <w:r w:rsidR="003C7A96">
        <w:t>Participation rates are highest for m</w:t>
      </w:r>
      <w:r w:rsidR="00B22981">
        <w:t xml:space="preserve">ales and females aged </w:t>
      </w:r>
      <w:r w:rsidR="00C47B82">
        <w:t>between </w:t>
      </w:r>
      <w:r w:rsidR="00B22981">
        <w:t xml:space="preserve">20 and </w:t>
      </w:r>
      <w:r w:rsidR="00C263BB">
        <w:t>55</w:t>
      </w:r>
      <w:r w:rsidR="001F67B5">
        <w:t> years</w:t>
      </w:r>
      <w:r w:rsidR="003C7A96">
        <w:t>,</w:t>
      </w:r>
      <w:r w:rsidR="00B22981">
        <w:t xml:space="preserve"> tapering off thereafter (figure </w:t>
      </w:r>
      <w:proofErr w:type="spellStart"/>
      <w:r w:rsidR="00481174">
        <w:t>B</w:t>
      </w:r>
      <w:r w:rsidR="00B22981">
        <w:t>.</w:t>
      </w:r>
      <w:r w:rsidR="000C775F">
        <w:t>3</w:t>
      </w:r>
      <w:proofErr w:type="spellEnd"/>
      <w:r w:rsidR="00B22981">
        <w:t xml:space="preserve">, </w:t>
      </w:r>
      <w:r w:rsidR="00C47B82">
        <w:t>panel </w:t>
      </w:r>
      <w:r w:rsidR="00B22981">
        <w:t xml:space="preserve">a). A </w:t>
      </w:r>
      <w:r w:rsidR="003C7A96">
        <w:t xml:space="preserve">large </w:t>
      </w:r>
      <w:r w:rsidR="00C47B82">
        <w:t>pro</w:t>
      </w:r>
      <w:r w:rsidR="00B22981">
        <w:t xml:space="preserve">portion of the </w:t>
      </w:r>
      <w:r w:rsidR="000F2538">
        <w:t>labour</w:t>
      </w:r>
      <w:r w:rsidR="00B22981">
        <w:t xml:space="preserve"> force is engaged in higher</w:t>
      </w:r>
      <w:r w:rsidR="00C47B82">
        <w:noBreakHyphen/>
      </w:r>
      <w:r w:rsidR="00B22981">
        <w:t xml:space="preserve">skilled, higher </w:t>
      </w:r>
      <w:r w:rsidR="00B217C6">
        <w:t xml:space="preserve">wage </w:t>
      </w:r>
      <w:r w:rsidR="00B22981">
        <w:t>occupations (figure</w:t>
      </w:r>
      <w:r w:rsidR="00D14769">
        <w:t> </w:t>
      </w:r>
      <w:proofErr w:type="spellStart"/>
      <w:r w:rsidR="00481174">
        <w:t>B</w:t>
      </w:r>
      <w:r w:rsidR="00B22981">
        <w:t>.</w:t>
      </w:r>
      <w:r w:rsidR="000C775F">
        <w:t>3</w:t>
      </w:r>
      <w:proofErr w:type="spellEnd"/>
      <w:r w:rsidR="001323BB">
        <w:t>,</w:t>
      </w:r>
      <w:r w:rsidR="00B22981">
        <w:t xml:space="preserve"> </w:t>
      </w:r>
      <w:r w:rsidR="00C47B82">
        <w:t>panels </w:t>
      </w:r>
      <w:r w:rsidR="00B22981">
        <w:t xml:space="preserve">b </w:t>
      </w:r>
      <w:r w:rsidR="00C47B82">
        <w:t>and </w:t>
      </w:r>
      <w:r w:rsidR="00B22981">
        <w:t>c). However, not all labour force participants are emp</w:t>
      </w:r>
      <w:r w:rsidR="005B727B">
        <w:t xml:space="preserve">loyed at any one time, with </w:t>
      </w:r>
      <w:r w:rsidR="00B22981">
        <w:t>higher unemployment rates experienced by the l</w:t>
      </w:r>
      <w:r w:rsidR="005B727B">
        <w:t xml:space="preserve">ower income occupations and </w:t>
      </w:r>
      <w:r w:rsidR="00B22981">
        <w:t>lower unemployment rates experienced by the higher income occupations (figure</w:t>
      </w:r>
      <w:r w:rsidR="00D14769">
        <w:t> </w:t>
      </w:r>
      <w:proofErr w:type="spellStart"/>
      <w:r w:rsidR="00481174">
        <w:t>B</w:t>
      </w:r>
      <w:r w:rsidR="00B22981">
        <w:t>.</w:t>
      </w:r>
      <w:r w:rsidR="000C775F">
        <w:t>3</w:t>
      </w:r>
      <w:proofErr w:type="spellEnd"/>
      <w:r w:rsidR="00B22981">
        <w:t>, panel</w:t>
      </w:r>
      <w:r w:rsidR="003C7A96">
        <w:t> </w:t>
      </w:r>
      <w:r w:rsidR="00B22981">
        <w:t xml:space="preserve">d). </w:t>
      </w:r>
    </w:p>
    <w:p w14:paraId="02844568" w14:textId="4803DB54" w:rsidR="00B22981" w:rsidRDefault="00B22981" w:rsidP="00B22981">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B22981" w14:paraId="0284456A" w14:textId="77777777" w:rsidTr="00DD0E03">
        <w:tc>
          <w:tcPr>
            <w:tcW w:w="8771" w:type="dxa"/>
            <w:tcBorders>
              <w:top w:val="single" w:sz="6" w:space="0" w:color="78A22F"/>
              <w:left w:val="nil"/>
              <w:bottom w:val="nil"/>
              <w:right w:val="nil"/>
            </w:tcBorders>
            <w:shd w:val="clear" w:color="auto" w:fill="auto"/>
          </w:tcPr>
          <w:p w14:paraId="02844569" w14:textId="34E07DD7" w:rsidR="00B22981" w:rsidRPr="00176D3F" w:rsidRDefault="00B22981" w:rsidP="00F15916">
            <w:pPr>
              <w:pStyle w:val="FigureTitle"/>
            </w:pPr>
            <w:r w:rsidRPr="00784A05">
              <w:rPr>
                <w:b w:val="0"/>
              </w:rPr>
              <w:t xml:space="preserve">Figure </w:t>
            </w:r>
            <w:proofErr w:type="spellStart"/>
            <w:r w:rsidR="000C775F">
              <w:rPr>
                <w:b w:val="0"/>
              </w:rPr>
              <w:t>B.</w:t>
            </w:r>
            <w:r w:rsidR="009015D8">
              <w:rPr>
                <w:b w:val="0"/>
                <w:noProof/>
              </w:rPr>
              <w:t>3</w:t>
            </w:r>
            <w:proofErr w:type="spellEnd"/>
            <w:r>
              <w:tab/>
              <w:t xml:space="preserve">Labour market characteristics of the Australian </w:t>
            </w:r>
            <w:r w:rsidR="000F2538">
              <w:t>labour</w:t>
            </w:r>
            <w:r>
              <w:t xml:space="preserve"> force, 2010</w:t>
            </w:r>
            <w:r w:rsidRPr="004756FD">
              <w:rPr>
                <w:rStyle w:val="NoteLabel"/>
                <w:b/>
              </w:rPr>
              <w:t>a</w:t>
            </w:r>
          </w:p>
        </w:tc>
      </w:tr>
      <w:tr w:rsidR="00B22981" w14:paraId="02844578" w14:textId="77777777" w:rsidTr="00DD0E03">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B22981" w14:paraId="0284456D" w14:textId="77777777" w:rsidTr="00DD0E03">
              <w:trPr>
                <w:trHeight w:val="99"/>
                <w:jc w:val="center"/>
              </w:trPr>
              <w:tc>
                <w:tcPr>
                  <w:tcW w:w="2500" w:type="pct"/>
                  <w:tcBorders>
                    <w:top w:val="nil"/>
                    <w:bottom w:val="nil"/>
                  </w:tcBorders>
                </w:tcPr>
                <w:p w14:paraId="0284456B" w14:textId="12A86713" w:rsidR="00B22981" w:rsidRPr="00B201AD" w:rsidRDefault="00D01F31" w:rsidP="004616EB">
                  <w:pPr>
                    <w:pStyle w:val="Figure"/>
                    <w:spacing w:before="60" w:after="60"/>
                    <w:rPr>
                      <w:rFonts w:ascii="Arial" w:hAnsi="Arial" w:cs="Arial"/>
                      <w:b/>
                      <w:sz w:val="18"/>
                      <w:szCs w:val="18"/>
                    </w:rPr>
                  </w:pPr>
                  <w:r>
                    <w:rPr>
                      <w:rFonts w:ascii="Arial" w:hAnsi="Arial" w:cs="Arial"/>
                      <w:b/>
                      <w:sz w:val="18"/>
                      <w:szCs w:val="18"/>
                    </w:rPr>
                    <w:t xml:space="preserve">a. </w:t>
                  </w:r>
                  <w:r w:rsidR="00B22981" w:rsidRPr="00B201AD">
                    <w:rPr>
                      <w:rFonts w:ascii="Arial" w:hAnsi="Arial" w:cs="Arial"/>
                      <w:b/>
                      <w:sz w:val="18"/>
                      <w:szCs w:val="18"/>
                    </w:rPr>
                    <w:t>Labour market participation</w:t>
                  </w:r>
                </w:p>
              </w:tc>
              <w:tc>
                <w:tcPr>
                  <w:tcW w:w="2500" w:type="pct"/>
                  <w:tcBorders>
                    <w:top w:val="nil"/>
                    <w:bottom w:val="nil"/>
                  </w:tcBorders>
                </w:tcPr>
                <w:p w14:paraId="0284456C" w14:textId="2F86D3E1" w:rsidR="00B22981" w:rsidRPr="00B201AD" w:rsidRDefault="00D01F31" w:rsidP="004616EB">
                  <w:pPr>
                    <w:pStyle w:val="Figure"/>
                    <w:spacing w:before="60" w:after="60"/>
                    <w:rPr>
                      <w:rFonts w:ascii="Arial" w:hAnsi="Arial" w:cs="Arial"/>
                      <w:b/>
                      <w:sz w:val="18"/>
                      <w:szCs w:val="18"/>
                    </w:rPr>
                  </w:pPr>
                  <w:r>
                    <w:rPr>
                      <w:rFonts w:ascii="Arial" w:hAnsi="Arial" w:cs="Arial"/>
                      <w:b/>
                      <w:sz w:val="18"/>
                      <w:szCs w:val="18"/>
                    </w:rPr>
                    <w:t xml:space="preserve">b. </w:t>
                  </w:r>
                  <w:r w:rsidR="00B22981" w:rsidRPr="00B201AD">
                    <w:rPr>
                      <w:rFonts w:ascii="Arial" w:hAnsi="Arial" w:cs="Arial"/>
                      <w:b/>
                      <w:sz w:val="18"/>
                      <w:szCs w:val="18"/>
                    </w:rPr>
                    <w:t>Occupational structure</w:t>
                  </w:r>
                </w:p>
              </w:tc>
            </w:tr>
            <w:tr w:rsidR="006D2DE5" w14:paraId="4C250018" w14:textId="77777777" w:rsidTr="00DD0F5D">
              <w:tblPrEx>
                <w:tblCellMar>
                  <w:left w:w="108" w:type="dxa"/>
                  <w:right w:w="108" w:type="dxa"/>
                </w:tblCellMar>
              </w:tblPrEx>
              <w:trPr>
                <w:trHeight w:val="97"/>
                <w:jc w:val="center"/>
              </w:trPr>
              <w:tc>
                <w:tcPr>
                  <w:tcW w:w="2500" w:type="pct"/>
                  <w:tcBorders>
                    <w:top w:val="nil"/>
                    <w:bottom w:val="nil"/>
                  </w:tcBorders>
                </w:tcPr>
                <w:p w14:paraId="24D045ED" w14:textId="2A036710" w:rsidR="006D2DE5" w:rsidRDefault="00243159" w:rsidP="00DD0E03">
                  <w:pPr>
                    <w:pStyle w:val="Figure"/>
                    <w:spacing w:before="60" w:after="60"/>
                  </w:pPr>
                  <w:r>
                    <w:rPr>
                      <w:noProof/>
                    </w:rPr>
                    <w:drawing>
                      <wp:inline distT="0" distB="0" distL="0" distR="0" wp14:anchorId="555B36BF" wp14:editId="407CB43F">
                        <wp:extent cx="2466975" cy="2691130"/>
                        <wp:effectExtent l="0" t="0" r="9525" b="0"/>
                        <wp:docPr id="10" name="Picture 10" descr="This figure shows labour market characteristics of the Australian workforce in 2010 in four panels. Panel a shows that males and females aged between 20 and 60 years have the highest rate of workforce participation, with participation rates tapering off thereaf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66975" cy="2691130"/>
                                </a:xfrm>
                                <a:prstGeom prst="rect">
                                  <a:avLst/>
                                </a:prstGeom>
                                <a:noFill/>
                                <a:ln>
                                  <a:noFill/>
                                </a:ln>
                              </pic:spPr>
                            </pic:pic>
                          </a:graphicData>
                        </a:graphic>
                      </wp:inline>
                    </w:drawing>
                  </w:r>
                </w:p>
              </w:tc>
              <w:tc>
                <w:tcPr>
                  <w:tcW w:w="2500" w:type="pct"/>
                  <w:tcBorders>
                    <w:top w:val="nil"/>
                    <w:bottom w:val="nil"/>
                  </w:tcBorders>
                </w:tcPr>
                <w:p w14:paraId="65175BAE" w14:textId="52F74D09" w:rsidR="006D2DE5" w:rsidRPr="00DD0F5D" w:rsidRDefault="00243159" w:rsidP="00DD0E03">
                  <w:pPr>
                    <w:pStyle w:val="Figure"/>
                    <w:spacing w:before="60" w:after="60"/>
                    <w:rPr>
                      <w:noProof/>
                    </w:rPr>
                  </w:pPr>
                  <w:r>
                    <w:rPr>
                      <w:noProof/>
                    </w:rPr>
                    <w:drawing>
                      <wp:inline distT="0" distB="0" distL="0" distR="0" wp14:anchorId="33CB4AFE" wp14:editId="3F83CD52">
                        <wp:extent cx="2466975" cy="2691130"/>
                        <wp:effectExtent l="0" t="0" r="9525" b="0"/>
                        <wp:docPr id="11" name="Picture 11" descr="Panel b shows that the occupational structure of the Australian workforce. According to the figures in this panel, a higher portion of the workforce participation is engaged in higher-skilled occupations than other occup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66975" cy="2691130"/>
                                </a:xfrm>
                                <a:prstGeom prst="rect">
                                  <a:avLst/>
                                </a:prstGeom>
                                <a:noFill/>
                                <a:ln>
                                  <a:noFill/>
                                </a:ln>
                              </pic:spPr>
                            </pic:pic>
                          </a:graphicData>
                        </a:graphic>
                      </wp:inline>
                    </w:drawing>
                  </w:r>
                </w:p>
              </w:tc>
            </w:tr>
            <w:tr w:rsidR="00B22981" w14:paraId="02844573" w14:textId="77777777" w:rsidTr="00DD0E03">
              <w:trPr>
                <w:trHeight w:val="97"/>
                <w:jc w:val="center"/>
              </w:trPr>
              <w:tc>
                <w:tcPr>
                  <w:tcW w:w="2500" w:type="pct"/>
                  <w:tcBorders>
                    <w:top w:val="nil"/>
                    <w:bottom w:val="nil"/>
                  </w:tcBorders>
                </w:tcPr>
                <w:p w14:paraId="02844571" w14:textId="3A1C933A" w:rsidR="00B22981" w:rsidRPr="00B201AD" w:rsidRDefault="00D01F31" w:rsidP="004616EB">
                  <w:pPr>
                    <w:pStyle w:val="Figure"/>
                    <w:spacing w:before="60" w:after="60"/>
                    <w:rPr>
                      <w:rFonts w:ascii="Arial" w:hAnsi="Arial" w:cs="Arial"/>
                      <w:b/>
                      <w:i/>
                      <w:sz w:val="18"/>
                      <w:szCs w:val="18"/>
                    </w:rPr>
                  </w:pPr>
                  <w:r>
                    <w:rPr>
                      <w:rFonts w:ascii="Arial" w:hAnsi="Arial" w:cs="Arial"/>
                      <w:b/>
                      <w:sz w:val="18"/>
                      <w:szCs w:val="18"/>
                    </w:rPr>
                    <w:t xml:space="preserve">c. </w:t>
                  </w:r>
                  <w:r w:rsidR="00B22981" w:rsidRPr="00B201AD">
                    <w:rPr>
                      <w:rFonts w:ascii="Arial" w:hAnsi="Arial" w:cs="Arial"/>
                      <w:b/>
                      <w:sz w:val="18"/>
                      <w:szCs w:val="18"/>
                    </w:rPr>
                    <w:t>Average weekly wages</w:t>
                  </w:r>
                </w:p>
              </w:tc>
              <w:tc>
                <w:tcPr>
                  <w:tcW w:w="2500" w:type="pct"/>
                  <w:tcBorders>
                    <w:top w:val="nil"/>
                    <w:bottom w:val="nil"/>
                  </w:tcBorders>
                </w:tcPr>
                <w:p w14:paraId="02844572" w14:textId="453B01D0" w:rsidR="00B22981" w:rsidRPr="00B201AD" w:rsidRDefault="00D01F31" w:rsidP="000C49E5">
                  <w:pPr>
                    <w:pStyle w:val="Figure"/>
                    <w:spacing w:before="60" w:after="60"/>
                    <w:rPr>
                      <w:rFonts w:ascii="Arial" w:hAnsi="Arial" w:cs="Arial"/>
                      <w:b/>
                      <w:sz w:val="18"/>
                      <w:szCs w:val="18"/>
                    </w:rPr>
                  </w:pPr>
                  <w:r>
                    <w:rPr>
                      <w:rFonts w:ascii="Arial" w:hAnsi="Arial" w:cs="Arial"/>
                      <w:b/>
                      <w:sz w:val="18"/>
                      <w:szCs w:val="18"/>
                    </w:rPr>
                    <w:t xml:space="preserve">d. </w:t>
                  </w:r>
                  <w:r w:rsidR="00B22981" w:rsidRPr="00B201AD">
                    <w:rPr>
                      <w:rFonts w:ascii="Arial" w:hAnsi="Arial" w:cs="Arial"/>
                      <w:b/>
                      <w:sz w:val="18"/>
                      <w:szCs w:val="18"/>
                    </w:rPr>
                    <w:t xml:space="preserve">Unemployment </w:t>
                  </w:r>
                  <w:r w:rsidR="00CA5937">
                    <w:rPr>
                      <w:rFonts w:ascii="Arial" w:hAnsi="Arial" w:cs="Arial"/>
                      <w:b/>
                      <w:sz w:val="18"/>
                      <w:szCs w:val="18"/>
                    </w:rPr>
                    <w:t>rate</w:t>
                  </w:r>
                  <w:r w:rsidR="00B8166A">
                    <w:rPr>
                      <w:rStyle w:val="NoteLabel"/>
                    </w:rPr>
                    <w:t>b</w:t>
                  </w:r>
                </w:p>
              </w:tc>
            </w:tr>
            <w:tr w:rsidR="00B22981" w14:paraId="02844576" w14:textId="77777777" w:rsidTr="00DD0F5D">
              <w:tblPrEx>
                <w:tblCellMar>
                  <w:left w:w="108" w:type="dxa"/>
                  <w:right w:w="108" w:type="dxa"/>
                </w:tblCellMar>
              </w:tblPrEx>
              <w:trPr>
                <w:trHeight w:val="97"/>
                <w:jc w:val="center"/>
              </w:trPr>
              <w:tc>
                <w:tcPr>
                  <w:tcW w:w="2500" w:type="pct"/>
                  <w:tcBorders>
                    <w:top w:val="nil"/>
                    <w:bottom w:val="nil"/>
                  </w:tcBorders>
                </w:tcPr>
                <w:p w14:paraId="02844574" w14:textId="3ADF656F" w:rsidR="00B22981" w:rsidRDefault="00243159" w:rsidP="00C81D3F">
                  <w:pPr>
                    <w:pStyle w:val="Figure"/>
                    <w:spacing w:before="60" w:after="60"/>
                  </w:pPr>
                  <w:r>
                    <w:rPr>
                      <w:noProof/>
                    </w:rPr>
                    <w:drawing>
                      <wp:inline distT="0" distB="0" distL="0" distR="0" wp14:anchorId="2CD3A00F" wp14:editId="4E843BB4">
                        <wp:extent cx="2466975" cy="2691130"/>
                        <wp:effectExtent l="0" t="0" r="9525" b="0"/>
                        <wp:docPr id="12" name="Picture 12" descr="Panel c presents average weekly wages by occupational groups. The figures in this panel suggest that a higher proportion of the workforce participation is engaged in higher income occupations than other occup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66975" cy="2691130"/>
                                </a:xfrm>
                                <a:prstGeom prst="rect">
                                  <a:avLst/>
                                </a:prstGeom>
                                <a:noFill/>
                                <a:ln>
                                  <a:noFill/>
                                </a:ln>
                              </pic:spPr>
                            </pic:pic>
                          </a:graphicData>
                        </a:graphic>
                      </wp:inline>
                    </w:drawing>
                  </w:r>
                </w:p>
              </w:tc>
              <w:tc>
                <w:tcPr>
                  <w:tcW w:w="2500" w:type="pct"/>
                  <w:tcBorders>
                    <w:top w:val="nil"/>
                    <w:bottom w:val="nil"/>
                  </w:tcBorders>
                </w:tcPr>
                <w:p w14:paraId="02844575" w14:textId="04531285" w:rsidR="00B22981" w:rsidRDefault="00243159" w:rsidP="00DD0E03">
                  <w:pPr>
                    <w:pStyle w:val="Figure"/>
                    <w:spacing w:before="60" w:after="60"/>
                  </w:pPr>
                  <w:r>
                    <w:rPr>
                      <w:noProof/>
                    </w:rPr>
                    <w:drawing>
                      <wp:inline distT="0" distB="0" distL="0" distR="0" wp14:anchorId="73201475" wp14:editId="2BF30699">
                        <wp:extent cx="2466975" cy="2700020"/>
                        <wp:effectExtent l="0" t="0" r="9525" b="5080"/>
                        <wp:docPr id="13" name="Picture 13" descr="Panel d shows unemployment by occupational groups. According to this panel, higher unemployment rates are experienced by the lower income occupations than by the higher income occup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66975" cy="2700020"/>
                                </a:xfrm>
                                <a:prstGeom prst="rect">
                                  <a:avLst/>
                                </a:prstGeom>
                                <a:noFill/>
                                <a:ln>
                                  <a:noFill/>
                                </a:ln>
                              </pic:spPr>
                            </pic:pic>
                          </a:graphicData>
                        </a:graphic>
                      </wp:inline>
                    </w:drawing>
                  </w:r>
                </w:p>
              </w:tc>
            </w:tr>
          </w:tbl>
          <w:p w14:paraId="02844577" w14:textId="77777777" w:rsidR="00B22981" w:rsidRDefault="00B22981" w:rsidP="00DD0E03">
            <w:pPr>
              <w:pStyle w:val="Figure"/>
            </w:pPr>
          </w:p>
        </w:tc>
      </w:tr>
      <w:tr w:rsidR="00B22981" w:rsidRPr="00176D3F" w14:paraId="0284457A" w14:textId="77777777" w:rsidTr="00DD0E03">
        <w:tc>
          <w:tcPr>
            <w:tcW w:w="8771" w:type="dxa"/>
            <w:tcBorders>
              <w:top w:val="nil"/>
              <w:left w:val="nil"/>
              <w:bottom w:val="nil"/>
              <w:right w:val="nil"/>
            </w:tcBorders>
            <w:shd w:val="clear" w:color="auto" w:fill="auto"/>
          </w:tcPr>
          <w:p w14:paraId="02844579" w14:textId="088EE0D4" w:rsidR="00B22981" w:rsidRPr="00176D3F" w:rsidRDefault="00B22981" w:rsidP="007075F4">
            <w:pPr>
              <w:pStyle w:val="Note"/>
            </w:pPr>
            <w:r>
              <w:rPr>
                <w:rStyle w:val="NoteLabel"/>
              </w:rPr>
              <w:t>a</w:t>
            </w:r>
            <w:r w:rsidR="007075F4">
              <w:t> </w:t>
            </w:r>
            <w:r>
              <w:t xml:space="preserve">2010 is the </w:t>
            </w:r>
            <w:r w:rsidR="0079176C">
              <w:t xml:space="preserve">initial </w:t>
            </w:r>
            <w:r>
              <w:t xml:space="preserve">year in the </w:t>
            </w:r>
            <w:proofErr w:type="spellStart"/>
            <w:r w:rsidR="00776C79">
              <w:t>VURM</w:t>
            </w:r>
            <w:proofErr w:type="spellEnd"/>
            <w:r>
              <w:t xml:space="preserve"> database</w:t>
            </w:r>
            <w:r w:rsidR="002462CF">
              <w:t>.</w:t>
            </w:r>
            <w:r>
              <w:t xml:space="preserve"> </w:t>
            </w:r>
            <w:r>
              <w:rPr>
                <w:rStyle w:val="NoteLabel"/>
              </w:rPr>
              <w:t>b</w:t>
            </w:r>
            <w:r w:rsidR="007075F4">
              <w:t> </w:t>
            </w:r>
            <w:r>
              <w:t xml:space="preserve">The figure is based on the distribution of persons unemployed who identify their occupations. This group accounted for </w:t>
            </w:r>
            <w:r w:rsidR="00C47B82">
              <w:t>64 </w:t>
            </w:r>
            <w:r>
              <w:t>per cent of the unemployed in 2010. The remaining 36  per cent of the unemployment are recorded as ‘unallocated’</w:t>
            </w:r>
            <w:r w:rsidR="003C7A96">
              <w:t xml:space="preserve"> and are not used to derive this distribution</w:t>
            </w:r>
            <w:r>
              <w:t xml:space="preserve">. </w:t>
            </w:r>
          </w:p>
        </w:tc>
      </w:tr>
      <w:tr w:rsidR="00B22981" w:rsidRPr="00176D3F" w14:paraId="0284457C" w14:textId="77777777" w:rsidTr="00DD0E03">
        <w:tc>
          <w:tcPr>
            <w:tcW w:w="8771" w:type="dxa"/>
            <w:tcBorders>
              <w:top w:val="nil"/>
              <w:left w:val="nil"/>
              <w:bottom w:val="nil"/>
              <w:right w:val="nil"/>
            </w:tcBorders>
            <w:shd w:val="clear" w:color="auto" w:fill="auto"/>
          </w:tcPr>
          <w:p w14:paraId="0284457B" w14:textId="3A5E0885" w:rsidR="00B22981" w:rsidRPr="00A94352" w:rsidRDefault="00B22981" w:rsidP="00DD0E03">
            <w:pPr>
              <w:pStyle w:val="Source"/>
            </w:pPr>
            <w:r>
              <w:rPr>
                <w:i/>
              </w:rPr>
              <w:t>S</w:t>
            </w:r>
            <w:r w:rsidRPr="00784A05">
              <w:rPr>
                <w:i/>
              </w:rPr>
              <w:t>ource</w:t>
            </w:r>
            <w:r w:rsidR="004D4E21">
              <w:rPr>
                <w:i/>
              </w:rPr>
              <w:t>s</w:t>
            </w:r>
            <w:r w:rsidRPr="00176D3F">
              <w:t xml:space="preserve">: </w:t>
            </w:r>
            <w:r w:rsidR="00BC1BB8">
              <w:t xml:space="preserve">Productivity Commission </w:t>
            </w:r>
            <w:r>
              <w:t xml:space="preserve">estimates based on </w:t>
            </w:r>
            <w:r w:rsidRPr="00AF7AE3">
              <w:t>ABS (</w:t>
            </w:r>
            <w:r w:rsidRPr="0037676B">
              <w:rPr>
                <w:i/>
              </w:rPr>
              <w:t>Labour Force, Australia, May 2015</w:t>
            </w:r>
            <w:r w:rsidRPr="00AF7AE3">
              <w:t xml:space="preserve">, </w:t>
            </w:r>
            <w:r>
              <w:t>c</w:t>
            </w:r>
            <w:r w:rsidRPr="00AF7AE3">
              <w:t>at. no. 6202.0)</w:t>
            </w:r>
            <w:r>
              <w:t xml:space="preserve"> and </w:t>
            </w:r>
            <w:r w:rsidRPr="00AF7AE3">
              <w:t>ABS (</w:t>
            </w:r>
            <w:r w:rsidRPr="0037676B">
              <w:rPr>
                <w:i/>
              </w:rPr>
              <w:t>Labour Force, Australia, Detailed, Quarterly, February 2015</w:t>
            </w:r>
            <w:r w:rsidRPr="00AF7AE3">
              <w:t xml:space="preserve">, </w:t>
            </w:r>
            <w:r>
              <w:t>c</w:t>
            </w:r>
            <w:r w:rsidRPr="00AF7AE3">
              <w:t>at. no. 6291.0.55.003)</w:t>
            </w:r>
            <w:r>
              <w:t>.</w:t>
            </w:r>
          </w:p>
        </w:tc>
      </w:tr>
      <w:tr w:rsidR="00B22981" w14:paraId="0284457E" w14:textId="77777777" w:rsidTr="00DD0E03">
        <w:tc>
          <w:tcPr>
            <w:tcW w:w="8771" w:type="dxa"/>
            <w:tcBorders>
              <w:top w:val="nil"/>
              <w:left w:val="nil"/>
              <w:bottom w:val="single" w:sz="6" w:space="0" w:color="78A22F"/>
              <w:right w:val="nil"/>
            </w:tcBorders>
            <w:shd w:val="clear" w:color="auto" w:fill="auto"/>
          </w:tcPr>
          <w:p w14:paraId="0284457D" w14:textId="77777777" w:rsidR="00B22981" w:rsidRDefault="00B22981" w:rsidP="00DD0E03">
            <w:pPr>
              <w:pStyle w:val="Figurespace"/>
            </w:pPr>
          </w:p>
        </w:tc>
      </w:tr>
      <w:tr w:rsidR="00B22981" w:rsidRPr="000863A5" w14:paraId="02844580" w14:textId="77777777" w:rsidTr="00DD0E03">
        <w:tc>
          <w:tcPr>
            <w:tcW w:w="8771" w:type="dxa"/>
            <w:tcBorders>
              <w:top w:val="single" w:sz="6" w:space="0" w:color="78A22F"/>
              <w:left w:val="nil"/>
              <w:bottom w:val="nil"/>
              <w:right w:val="nil"/>
            </w:tcBorders>
          </w:tcPr>
          <w:p w14:paraId="0284457F" w14:textId="734DAD78" w:rsidR="00B22981" w:rsidRPr="00626D32" w:rsidRDefault="00B22981" w:rsidP="00DD0E03">
            <w:pPr>
              <w:pStyle w:val="BoxSpaceBelow"/>
            </w:pPr>
          </w:p>
        </w:tc>
      </w:tr>
    </w:tbl>
    <w:p w14:paraId="02844581" w14:textId="339D0D09" w:rsidR="00AC5468" w:rsidRDefault="00AC5468" w:rsidP="00AC5468">
      <w:pPr>
        <w:pStyle w:val="Heading3"/>
      </w:pPr>
      <w:r>
        <w:lastRenderedPageBreak/>
        <w:t xml:space="preserve">Population and cohort effect of </w:t>
      </w:r>
      <w:r w:rsidR="00652B93">
        <w:t>NOM</w:t>
      </w:r>
      <w:r>
        <w:t xml:space="preserve"> </w:t>
      </w:r>
    </w:p>
    <w:p w14:paraId="02844582" w14:textId="56F32523" w:rsidR="00AC5468" w:rsidRDefault="0079647A" w:rsidP="008C6DAB">
      <w:pPr>
        <w:pStyle w:val="BodyText"/>
        <w:spacing w:before="200"/>
      </w:pPr>
      <w:r>
        <w:t xml:space="preserve">The </w:t>
      </w:r>
      <w:r w:rsidR="00970DE0">
        <w:t>business-as-usual scenario</w:t>
      </w:r>
      <w:r>
        <w:t xml:space="preserve"> </w:t>
      </w:r>
      <w:r w:rsidR="003C7A96">
        <w:t>project</w:t>
      </w:r>
      <w:r w:rsidR="001F67B5">
        <w:t>s</w:t>
      </w:r>
      <w:r w:rsidR="003C7A96">
        <w:t xml:space="preserve"> the</w:t>
      </w:r>
      <w:r>
        <w:t xml:space="preserve"> Australian population and economy </w:t>
      </w:r>
      <w:r w:rsidR="003C7A96">
        <w:t xml:space="preserve">based on a </w:t>
      </w:r>
      <w:r w:rsidR="00B76517">
        <w:t xml:space="preserve">NOM </w:t>
      </w:r>
      <w:r w:rsidR="00BE67C0">
        <w:t xml:space="preserve">rate </w:t>
      </w:r>
      <w:r w:rsidR="00B76517">
        <w:t>at the long</w:t>
      </w:r>
      <w:r w:rsidR="004D4E21">
        <w:noBreakHyphen/>
      </w:r>
      <w:r w:rsidR="00B76517">
        <w:t>term historical average rate of 0.6 per cent of the population.</w:t>
      </w:r>
      <w:r>
        <w:t xml:space="preserve"> </w:t>
      </w:r>
      <w:r w:rsidR="00B76517">
        <w:t xml:space="preserve">NOM is assumed to converge from the current high levels to the annual historical average of 0.6 per cent of the population by 2025. </w:t>
      </w:r>
      <w:r>
        <w:t xml:space="preserve">It </w:t>
      </w:r>
      <w:r w:rsidR="00786D0C">
        <w:t>is</w:t>
      </w:r>
      <w:r>
        <w:t xml:space="preserve"> also assume</w:t>
      </w:r>
      <w:r w:rsidR="00786D0C">
        <w:t>d</w:t>
      </w:r>
      <w:r>
        <w:t xml:space="preserve"> that future migrants (modelled as NOM) have the same age, gender and occupational profile as the current migrant intake. </w:t>
      </w:r>
    </w:p>
    <w:p w14:paraId="02844583" w14:textId="77777777" w:rsidR="0079647A" w:rsidRDefault="0079647A" w:rsidP="008C6DAB">
      <w:pPr>
        <w:pStyle w:val="BodyText"/>
        <w:spacing w:before="200"/>
      </w:pPr>
      <w:r>
        <w:t xml:space="preserve">This scenario is used as a reference against which to report on the </w:t>
      </w:r>
      <w:proofErr w:type="spellStart"/>
      <w:r>
        <w:t>economywide</w:t>
      </w:r>
      <w:proofErr w:type="spellEnd"/>
      <w:r>
        <w:t xml:space="preserve"> impacts of zero NOM and of </w:t>
      </w:r>
      <w:r w:rsidR="003D03F5">
        <w:t>alternative</w:t>
      </w:r>
      <w:r w:rsidR="00555ACC">
        <w:t xml:space="preserve"> migration </w:t>
      </w:r>
      <w:r w:rsidR="003D03F5">
        <w:t>scenarios</w:t>
      </w:r>
      <w:r>
        <w:t>.</w:t>
      </w:r>
    </w:p>
    <w:p w14:paraId="02844584" w14:textId="0952FD7B" w:rsidR="00432EB6" w:rsidRDefault="00432EB6" w:rsidP="008C6DAB">
      <w:pPr>
        <w:pStyle w:val="BodyText"/>
        <w:spacing w:before="200"/>
      </w:pPr>
      <w:r>
        <w:t xml:space="preserve">Over time, </w:t>
      </w:r>
      <w:r w:rsidR="009758D9">
        <w:t xml:space="preserve">continuing </w:t>
      </w:r>
      <w:r>
        <w:t xml:space="preserve">historical trends, labour force participation </w:t>
      </w:r>
      <w:r w:rsidR="009758D9">
        <w:t xml:space="preserve">is assumed to </w:t>
      </w:r>
      <w:r>
        <w:t>increase fractionally (mainly through increased participation by older people and females)</w:t>
      </w:r>
      <w:r w:rsidR="009758D9">
        <w:t>. W</w:t>
      </w:r>
      <w:r>
        <w:t>orkers move between occupations based on changes in after</w:t>
      </w:r>
      <w:r w:rsidR="004D4E21">
        <w:noBreakHyphen/>
      </w:r>
      <w:r>
        <w:t>tax real wage</w:t>
      </w:r>
      <w:r w:rsidR="009758D9">
        <w:t>s</w:t>
      </w:r>
      <w:r>
        <w:t>. The unemployment rate in each occupation by state is assumed to be fixed at 2014 levels over the projection period.</w:t>
      </w:r>
    </w:p>
    <w:p w14:paraId="02844585" w14:textId="77777777" w:rsidR="00AC5468" w:rsidRDefault="00AC5468" w:rsidP="008C6DAB">
      <w:pPr>
        <w:pStyle w:val="Heading4"/>
        <w:spacing w:before="240"/>
      </w:pPr>
      <w:r>
        <w:t xml:space="preserve">The </w:t>
      </w:r>
      <w:r w:rsidR="00096C42">
        <w:t>demographic</w:t>
      </w:r>
      <w:r w:rsidR="00527504">
        <w:t xml:space="preserve"> </w:t>
      </w:r>
      <w:r>
        <w:t>projection</w:t>
      </w:r>
    </w:p>
    <w:p w14:paraId="02844586" w14:textId="45722BBF" w:rsidR="00AC5468" w:rsidRDefault="00AC5468" w:rsidP="008C6DAB">
      <w:pPr>
        <w:pStyle w:val="BodyText"/>
        <w:spacing w:before="200"/>
      </w:pPr>
      <w:r>
        <w:t>NOM has varied substantially over time both in absolute terms and as a sha</w:t>
      </w:r>
      <w:r w:rsidR="00DA2978">
        <w:t>re of the population (figure</w:t>
      </w:r>
      <w:r w:rsidR="00D14769">
        <w:t> </w:t>
      </w:r>
      <w:proofErr w:type="spellStart"/>
      <w:r w:rsidR="00786D0C">
        <w:t>B</w:t>
      </w:r>
      <w:r w:rsidR="00DA2978">
        <w:t>.</w:t>
      </w:r>
      <w:r w:rsidR="00BA2FAA">
        <w:t>4</w:t>
      </w:r>
      <w:proofErr w:type="spellEnd"/>
      <w:r w:rsidR="00DA2978">
        <w:t xml:space="preserve">, </w:t>
      </w:r>
      <w:r>
        <w:t>panel</w:t>
      </w:r>
      <w:r w:rsidR="00DA2978">
        <w:t xml:space="preserve"> a</w:t>
      </w:r>
      <w:r>
        <w:t xml:space="preserve">). </w:t>
      </w:r>
      <w:r w:rsidR="009758D9">
        <w:t>F</w:t>
      </w:r>
      <w:r>
        <w:t>rom 192</w:t>
      </w:r>
      <w:r w:rsidR="009758D9">
        <w:t>1</w:t>
      </w:r>
      <w:r>
        <w:t xml:space="preserve"> to the present, NOM has averaged close to 0.6 per</w:t>
      </w:r>
      <w:r w:rsidR="00B9500A">
        <w:t> </w:t>
      </w:r>
      <w:r>
        <w:t>cent of the population</w:t>
      </w:r>
      <w:r w:rsidR="006A0BC9">
        <w:t xml:space="preserve">, </w:t>
      </w:r>
      <w:r w:rsidR="009758D9">
        <w:t xml:space="preserve">varying substantially </w:t>
      </w:r>
      <w:r w:rsidR="006A0BC9">
        <w:t xml:space="preserve">around this rate </w:t>
      </w:r>
      <w:r w:rsidR="009758D9">
        <w:t>in sub</w:t>
      </w:r>
      <w:r w:rsidR="004D4E21">
        <w:noBreakHyphen/>
      </w:r>
      <w:r w:rsidR="009758D9">
        <w:t xml:space="preserve">periods </w:t>
      </w:r>
      <w:r w:rsidR="00DA2978">
        <w:t>(figure </w:t>
      </w:r>
      <w:proofErr w:type="spellStart"/>
      <w:r w:rsidR="00786D0C">
        <w:t>B</w:t>
      </w:r>
      <w:r w:rsidR="00DA2978">
        <w:t>.</w:t>
      </w:r>
      <w:r w:rsidR="000C775F">
        <w:t>4</w:t>
      </w:r>
      <w:proofErr w:type="spellEnd"/>
      <w:r>
        <w:t>, panel</w:t>
      </w:r>
      <w:r w:rsidR="00DA2978">
        <w:t xml:space="preserve"> b</w:t>
      </w:r>
      <w:r>
        <w:t>)</w:t>
      </w:r>
      <w:r w:rsidR="00132B40">
        <w:t xml:space="preserve">, including </w:t>
      </w:r>
      <w:r w:rsidR="00263027">
        <w:t>over the past decade</w:t>
      </w:r>
      <w:r w:rsidR="009758D9">
        <w:t xml:space="preserve"> when </w:t>
      </w:r>
      <w:r w:rsidR="00E143B9">
        <w:t>NOM</w:t>
      </w:r>
      <w:r w:rsidR="00263027">
        <w:t xml:space="preserve"> averaged around</w:t>
      </w:r>
      <w:r w:rsidR="0032240F">
        <w:t xml:space="preserve"> </w:t>
      </w:r>
      <w:r w:rsidR="009758D9">
        <w:t>1</w:t>
      </w:r>
      <w:r w:rsidR="00F179DE">
        <w:t> </w:t>
      </w:r>
      <w:r w:rsidR="009758D9">
        <w:t>per</w:t>
      </w:r>
      <w:r w:rsidR="00E143B9">
        <w:t> </w:t>
      </w:r>
      <w:r w:rsidR="009758D9">
        <w:t>cent</w:t>
      </w:r>
      <w:r w:rsidR="00263027">
        <w:t xml:space="preserve"> annually</w:t>
      </w:r>
      <w:r>
        <w:t xml:space="preserve">. </w:t>
      </w:r>
    </w:p>
    <w:p w14:paraId="0C27670E" w14:textId="339D39EA" w:rsidR="002C4365" w:rsidRDefault="002C4365" w:rsidP="00D607D1">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2C4365" w14:paraId="164625AC" w14:textId="77777777" w:rsidTr="00D607D1">
        <w:tc>
          <w:tcPr>
            <w:tcW w:w="8771" w:type="dxa"/>
            <w:tcBorders>
              <w:top w:val="single" w:sz="6" w:space="0" w:color="78A22F"/>
              <w:left w:val="nil"/>
              <w:bottom w:val="nil"/>
              <w:right w:val="nil"/>
            </w:tcBorders>
            <w:shd w:val="clear" w:color="auto" w:fill="auto"/>
          </w:tcPr>
          <w:p w14:paraId="1C7D8438" w14:textId="3747C6C5" w:rsidR="002C4365" w:rsidRPr="00176D3F" w:rsidRDefault="002C4365" w:rsidP="00B9500A">
            <w:pPr>
              <w:pStyle w:val="FigureTitle"/>
            </w:pPr>
            <w:r w:rsidRPr="00784A05">
              <w:rPr>
                <w:b w:val="0"/>
              </w:rPr>
              <w:t xml:space="preserve">Figure </w:t>
            </w:r>
            <w:proofErr w:type="spellStart"/>
            <w:r w:rsidR="000C775F">
              <w:rPr>
                <w:b w:val="0"/>
              </w:rPr>
              <w:t>B.</w:t>
            </w:r>
            <w:r w:rsidR="009015D8">
              <w:rPr>
                <w:b w:val="0"/>
                <w:noProof/>
              </w:rPr>
              <w:t>4</w:t>
            </w:r>
            <w:proofErr w:type="spellEnd"/>
            <w:r>
              <w:tab/>
            </w:r>
            <w:r w:rsidR="00110375">
              <w:t>NOM has increased over time</w:t>
            </w:r>
          </w:p>
        </w:tc>
      </w:tr>
      <w:tr w:rsidR="002C4365" w14:paraId="0047B173" w14:textId="77777777" w:rsidTr="00D607D1">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2C4365" w14:paraId="1220930A" w14:textId="77777777" w:rsidTr="002C4365">
              <w:trPr>
                <w:trHeight w:val="183"/>
                <w:jc w:val="center"/>
              </w:trPr>
              <w:tc>
                <w:tcPr>
                  <w:tcW w:w="2500" w:type="pct"/>
                  <w:tcBorders>
                    <w:top w:val="nil"/>
                    <w:bottom w:val="nil"/>
                  </w:tcBorders>
                </w:tcPr>
                <w:p w14:paraId="69E2193B" w14:textId="298DA26B" w:rsidR="002C4365" w:rsidRDefault="002C4365" w:rsidP="000C2D0F">
                  <w:pPr>
                    <w:pStyle w:val="Figure"/>
                    <w:spacing w:before="0" w:after="0"/>
                  </w:pPr>
                  <w:r>
                    <w:rPr>
                      <w:rFonts w:ascii="Arial" w:hAnsi="Arial" w:cs="Arial"/>
                      <w:b/>
                      <w:sz w:val="18"/>
                      <w:szCs w:val="18"/>
                    </w:rPr>
                    <w:t xml:space="preserve">a. </w:t>
                  </w:r>
                  <w:r w:rsidR="00D73CF1">
                    <w:rPr>
                      <w:rFonts w:ascii="Arial" w:hAnsi="Arial" w:cs="Arial"/>
                      <w:b/>
                      <w:sz w:val="18"/>
                      <w:szCs w:val="18"/>
                    </w:rPr>
                    <w:t xml:space="preserve">The level of </w:t>
                  </w:r>
                  <w:r w:rsidRPr="00323ABD">
                    <w:rPr>
                      <w:rFonts w:ascii="Arial" w:hAnsi="Arial" w:cs="Arial"/>
                      <w:b/>
                      <w:sz w:val="18"/>
                      <w:szCs w:val="18"/>
                    </w:rPr>
                    <w:t>NOM</w:t>
                  </w:r>
                </w:p>
              </w:tc>
              <w:tc>
                <w:tcPr>
                  <w:tcW w:w="2500" w:type="pct"/>
                  <w:tcBorders>
                    <w:top w:val="nil"/>
                    <w:bottom w:val="nil"/>
                  </w:tcBorders>
                </w:tcPr>
                <w:p w14:paraId="1C1FFC59" w14:textId="490F57B3" w:rsidR="002C4365" w:rsidRDefault="002C4365" w:rsidP="000C2D0F">
                  <w:pPr>
                    <w:pStyle w:val="Figure"/>
                    <w:spacing w:before="0" w:after="0"/>
                  </w:pPr>
                  <w:r>
                    <w:rPr>
                      <w:rFonts w:ascii="Arial" w:hAnsi="Arial" w:cs="Arial"/>
                      <w:b/>
                      <w:sz w:val="18"/>
                      <w:szCs w:val="18"/>
                    </w:rPr>
                    <w:t xml:space="preserve">b. </w:t>
                  </w:r>
                  <w:r w:rsidR="00B5508D">
                    <w:rPr>
                      <w:rFonts w:ascii="Arial" w:hAnsi="Arial" w:cs="Arial"/>
                      <w:b/>
                      <w:sz w:val="18"/>
                      <w:szCs w:val="18"/>
                    </w:rPr>
                    <w:t xml:space="preserve">The rate of </w:t>
                  </w:r>
                  <w:r w:rsidR="00741085">
                    <w:rPr>
                      <w:rFonts w:ascii="Arial" w:hAnsi="Arial" w:cs="Arial"/>
                      <w:b/>
                      <w:sz w:val="18"/>
                      <w:szCs w:val="18"/>
                    </w:rPr>
                    <w:t>NOM</w:t>
                  </w:r>
                </w:p>
              </w:tc>
            </w:tr>
            <w:tr w:rsidR="002C4365" w14:paraId="439F1DA5" w14:textId="77777777" w:rsidTr="004A29C9">
              <w:tblPrEx>
                <w:tblCellMar>
                  <w:left w:w="108" w:type="dxa"/>
                  <w:right w:w="108" w:type="dxa"/>
                </w:tblCellMar>
              </w:tblPrEx>
              <w:trPr>
                <w:trHeight w:val="183"/>
                <w:jc w:val="center"/>
              </w:trPr>
              <w:tc>
                <w:tcPr>
                  <w:tcW w:w="2500" w:type="pct"/>
                  <w:tcBorders>
                    <w:top w:val="nil"/>
                    <w:bottom w:val="nil"/>
                  </w:tcBorders>
                </w:tcPr>
                <w:p w14:paraId="6F4017FF" w14:textId="5CCE6900" w:rsidR="002C4365" w:rsidRDefault="00243159" w:rsidP="000C2D0F">
                  <w:pPr>
                    <w:pStyle w:val="Figure"/>
                    <w:spacing w:before="0" w:after="0"/>
                  </w:pPr>
                  <w:r>
                    <w:rPr>
                      <w:noProof/>
                    </w:rPr>
                    <w:drawing>
                      <wp:inline distT="0" distB="0" distL="0" distR="0" wp14:anchorId="6C848B26" wp14:editId="0778B231">
                        <wp:extent cx="2527300" cy="2320290"/>
                        <wp:effectExtent l="0" t="0" r="6350" b="3810"/>
                        <wp:docPr id="14" name="Picture 14" descr="This figure shows NOM increasing over time in two panels. Panel a shows the annual variation in the number of net overseas migrants (in thousand persons) between 1920 and 2014 — with a notable spike in NOM over the last decade. Despite variation in the level of NOM over the period, the figure demonstrates that as a share of the population NOM has averaged at around 0.6 per cent since the 1920s (this is also plotted on the figure).&#10;Panel b tracks NOM.as a percentage share of the population between 1920 and 2014. The figure also reports the average rate of NOM for four different time periods. While the rate of NOM averaged 0.6 per cent between 1920 and 2014, , the rate of NOM varied considerably within that time: from an average of 0.9 per cent between 1949 and 1972; then falling to an average of 0.5 per cent between 1973 and 2006; before rising to an average of 1 per cent in the period 2007 to 20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27300" cy="2320290"/>
                                </a:xfrm>
                                <a:prstGeom prst="rect">
                                  <a:avLst/>
                                </a:prstGeom>
                                <a:noFill/>
                                <a:ln>
                                  <a:noFill/>
                                </a:ln>
                              </pic:spPr>
                            </pic:pic>
                          </a:graphicData>
                        </a:graphic>
                      </wp:inline>
                    </w:drawing>
                  </w:r>
                </w:p>
              </w:tc>
              <w:tc>
                <w:tcPr>
                  <w:tcW w:w="2500" w:type="pct"/>
                  <w:tcBorders>
                    <w:top w:val="nil"/>
                    <w:bottom w:val="nil"/>
                  </w:tcBorders>
                </w:tcPr>
                <w:p w14:paraId="0FD042CB" w14:textId="3C4B968D" w:rsidR="002C4365" w:rsidRDefault="00243159" w:rsidP="000C2D0F">
                  <w:pPr>
                    <w:pStyle w:val="Figure"/>
                    <w:spacing w:before="0" w:after="0"/>
                  </w:pPr>
                  <w:r>
                    <w:rPr>
                      <w:noProof/>
                    </w:rPr>
                    <w:drawing>
                      <wp:inline distT="0" distB="0" distL="0" distR="0" wp14:anchorId="44AFDD64" wp14:editId="7D1E1E2D">
                        <wp:extent cx="2527300" cy="2320290"/>
                        <wp:effectExtent l="0" t="0" r="6350" b="3810"/>
                        <wp:docPr id="15" name="Picture 15" descr="This figure shows NOM increasing over time in two panels. Panel a shows the annual variation in the number of net overseas migrants (in thousand persons) between 1920 and 2014 — with a notable spike in NOM over the last decade. Despite variation in the level of NOM over the period, the figure demonstrates that as a share of the population NOM has averaged at around 0.6 per cent since the 1920s (this is also plotted on the figure).&#10;Panel b tracks NOM.as a percentage share of the population between 1920 and 2014. The figure also reports the average rate of NOM for four different time periods. While the rate of NOM averaged 0.6 per cent between 1920 and 2014, , the rate of NOM varied considerably within that time: from an average of 0.9 per cent between 1949 and 1972; then falling to an average of 0.5 per cent between 1973 and 2006; before rising to an average of 1 per cent in the period 2007 to 20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27300" cy="2320290"/>
                                </a:xfrm>
                                <a:prstGeom prst="rect">
                                  <a:avLst/>
                                </a:prstGeom>
                                <a:noFill/>
                                <a:ln>
                                  <a:noFill/>
                                </a:ln>
                              </pic:spPr>
                            </pic:pic>
                          </a:graphicData>
                        </a:graphic>
                      </wp:inline>
                    </w:drawing>
                  </w:r>
                </w:p>
              </w:tc>
            </w:tr>
          </w:tbl>
          <w:p w14:paraId="06B59CA9" w14:textId="77777777" w:rsidR="002C4365" w:rsidRDefault="002C4365" w:rsidP="00D607D1">
            <w:pPr>
              <w:pStyle w:val="Figure"/>
            </w:pPr>
          </w:p>
        </w:tc>
      </w:tr>
      <w:tr w:rsidR="002C4365" w:rsidRPr="00176D3F" w14:paraId="6B6CFAEA" w14:textId="77777777" w:rsidTr="00D607D1">
        <w:tc>
          <w:tcPr>
            <w:tcW w:w="8771" w:type="dxa"/>
            <w:tcBorders>
              <w:top w:val="nil"/>
              <w:left w:val="nil"/>
              <w:bottom w:val="nil"/>
              <w:right w:val="nil"/>
            </w:tcBorders>
            <w:shd w:val="clear" w:color="auto" w:fill="auto"/>
          </w:tcPr>
          <w:p w14:paraId="7E750C7C" w14:textId="1A515CAD" w:rsidR="002C4365" w:rsidRPr="00176D3F" w:rsidRDefault="002C4365" w:rsidP="007F6D0C">
            <w:pPr>
              <w:pStyle w:val="Source"/>
            </w:pPr>
            <w:r>
              <w:rPr>
                <w:i/>
              </w:rPr>
              <w:t>S</w:t>
            </w:r>
            <w:r w:rsidRPr="00784A05">
              <w:rPr>
                <w:i/>
              </w:rPr>
              <w:t>ource</w:t>
            </w:r>
            <w:r>
              <w:rPr>
                <w:i/>
              </w:rPr>
              <w:t>s</w:t>
            </w:r>
            <w:r w:rsidRPr="00176D3F">
              <w:t xml:space="preserve">: </w:t>
            </w:r>
            <w:r>
              <w:t>Productivity Commission e</w:t>
            </w:r>
            <w:r w:rsidRPr="00AF7AE3">
              <w:t>stimates based on ABS (</w:t>
            </w:r>
            <w:r w:rsidRPr="0037676B">
              <w:rPr>
                <w:i/>
              </w:rPr>
              <w:t>Australian Historical Population Statistics, 2014</w:t>
            </w:r>
            <w:r w:rsidRPr="00AF7AE3">
              <w:t>, Cat. no. 3105.0.65.001); ABS (</w:t>
            </w:r>
            <w:r w:rsidRPr="0037676B">
              <w:rPr>
                <w:i/>
              </w:rPr>
              <w:t xml:space="preserve">Australian Demographic Statistics, </w:t>
            </w:r>
            <w:r>
              <w:rPr>
                <w:i/>
              </w:rPr>
              <w:t>December</w:t>
            </w:r>
            <w:r w:rsidRPr="0037676B">
              <w:rPr>
                <w:i/>
              </w:rPr>
              <w:t xml:space="preserve"> 2014</w:t>
            </w:r>
            <w:r w:rsidRPr="00AF7AE3">
              <w:t xml:space="preserve">, Cat. no. 3101.0); </w:t>
            </w:r>
            <w:r w:rsidR="007C4709" w:rsidRPr="00011FE9">
              <w:t xml:space="preserve">Phillips, </w:t>
            </w:r>
            <w:proofErr w:type="spellStart"/>
            <w:r w:rsidR="007C4709" w:rsidRPr="00011FE9">
              <w:t>Klapdor</w:t>
            </w:r>
            <w:proofErr w:type="spellEnd"/>
            <w:r w:rsidR="007C4709" w:rsidRPr="00011FE9">
              <w:t xml:space="preserve"> and Simon</w:t>
            </w:r>
            <w:r w:rsidR="004D4E21">
              <w:noBreakHyphen/>
            </w:r>
            <w:r w:rsidR="007C4709" w:rsidRPr="00011FE9">
              <w:t>Davies </w:t>
            </w:r>
            <w:r w:rsidR="00065829" w:rsidRPr="00065829">
              <w:rPr>
                <w:rFonts w:cs="Arial"/>
              </w:rPr>
              <w:t>(2010)</w:t>
            </w:r>
            <w:r w:rsidRPr="00011FE9">
              <w:t>.</w:t>
            </w:r>
            <w:r w:rsidRPr="00176D3F">
              <w:t xml:space="preserve"> </w:t>
            </w:r>
          </w:p>
        </w:tc>
      </w:tr>
      <w:tr w:rsidR="002C4365" w14:paraId="6CB59418" w14:textId="77777777" w:rsidTr="00D607D1">
        <w:tc>
          <w:tcPr>
            <w:tcW w:w="8771" w:type="dxa"/>
            <w:tcBorders>
              <w:top w:val="nil"/>
              <w:left w:val="nil"/>
              <w:bottom w:val="single" w:sz="6" w:space="0" w:color="78A22F"/>
              <w:right w:val="nil"/>
            </w:tcBorders>
            <w:shd w:val="clear" w:color="auto" w:fill="auto"/>
          </w:tcPr>
          <w:p w14:paraId="4EE2C53D" w14:textId="77777777" w:rsidR="002C4365" w:rsidRDefault="002C4365" w:rsidP="00D607D1">
            <w:pPr>
              <w:pStyle w:val="Figurespace"/>
            </w:pPr>
          </w:p>
        </w:tc>
      </w:tr>
    </w:tbl>
    <w:p w14:paraId="0F4EBD69" w14:textId="77777777" w:rsidR="008C6DAB" w:rsidRDefault="008C6DAB">
      <w:pPr>
        <w:rPr>
          <w:szCs w:val="20"/>
        </w:rPr>
      </w:pPr>
      <w:r>
        <w:br w:type="page"/>
      </w:r>
    </w:p>
    <w:p w14:paraId="3E7701B2" w14:textId="585350C7" w:rsidR="008C6DAB" w:rsidRDefault="008C6DAB" w:rsidP="008C6DAB">
      <w:pPr>
        <w:pStyle w:val="BodyText"/>
      </w:pPr>
      <w:r>
        <w:lastRenderedPageBreak/>
        <w:t xml:space="preserve">The demographic projections for the business-as-usual scenario are based on the assumption that NOM as a share of the population converges from current historically high levels to </w:t>
      </w:r>
      <w:r w:rsidRPr="006B79EA">
        <w:t xml:space="preserve">the </w:t>
      </w:r>
      <w:r>
        <w:t xml:space="preserve">annual </w:t>
      </w:r>
      <w:r w:rsidRPr="006B79EA">
        <w:t xml:space="preserve">historical average </w:t>
      </w:r>
      <w:r>
        <w:t xml:space="preserve">of </w:t>
      </w:r>
      <w:r w:rsidRPr="006B79EA">
        <w:t>0.6</w:t>
      </w:r>
      <w:r>
        <w:t> </w:t>
      </w:r>
      <w:r w:rsidRPr="006B79EA">
        <w:t>per</w:t>
      </w:r>
      <w:r>
        <w:t> </w:t>
      </w:r>
      <w:r w:rsidRPr="006B79EA">
        <w:t>cent</w:t>
      </w:r>
      <w:r>
        <w:t xml:space="preserve"> of the population</w:t>
      </w:r>
      <w:r w:rsidRPr="006B79EA">
        <w:t xml:space="preserve"> </w:t>
      </w:r>
      <w:r>
        <w:t>by 2025. From 2026 onwards, NOM is assumed to continue at a rate of 0.6 per cent of the population to 2060.</w:t>
      </w:r>
      <w:r w:rsidRPr="003D567A">
        <w:rPr>
          <w:rStyle w:val="FootnoteReference"/>
        </w:rPr>
        <w:footnoteReference w:id="7"/>
      </w:r>
      <w:r w:rsidDel="00E143B9">
        <w:rPr>
          <w:rStyle w:val="FootnoteReference"/>
        </w:rPr>
        <w:t xml:space="preserve"> </w:t>
      </w:r>
    </w:p>
    <w:p w14:paraId="7688E60C" w14:textId="77777777" w:rsidR="008C6DAB" w:rsidRDefault="008C6DAB" w:rsidP="008C6DAB">
      <w:pPr>
        <w:pStyle w:val="BodyText"/>
        <w:spacing w:before="200"/>
      </w:pPr>
      <w:r>
        <w:t>In the business-as-usual scenario, it is assumed</w:t>
      </w:r>
      <w:r w:rsidRPr="006B79EA">
        <w:t xml:space="preserve"> that </w:t>
      </w:r>
      <w:r>
        <w:t xml:space="preserve">over the projection period, the </w:t>
      </w:r>
      <w:r w:rsidRPr="006B79EA">
        <w:t xml:space="preserve">migrant </w:t>
      </w:r>
      <w:r>
        <w:t xml:space="preserve">intake </w:t>
      </w:r>
      <w:r w:rsidRPr="006B79EA">
        <w:t>ha</w:t>
      </w:r>
      <w:r>
        <w:t>s</w:t>
      </w:r>
      <w:r w:rsidRPr="006B79EA">
        <w:t xml:space="preserve"> the same demographic characteristics as the current intake. </w:t>
      </w:r>
      <w:r>
        <w:t>As a result, modelling of the future intake is heavily weighted towards the 20 to 40 year old age groups.</w:t>
      </w:r>
    </w:p>
    <w:p w14:paraId="7CEE5922" w14:textId="11116C40" w:rsidR="008C6DAB" w:rsidRDefault="000C775F" w:rsidP="008C6DAB">
      <w:pPr>
        <w:pStyle w:val="BodyText"/>
        <w:spacing w:before="200"/>
      </w:pPr>
      <w:r>
        <w:t>Figure </w:t>
      </w:r>
      <w:proofErr w:type="spellStart"/>
      <w:r>
        <w:t>B.5</w:t>
      </w:r>
      <w:proofErr w:type="spellEnd"/>
      <w:r w:rsidR="008C6DAB">
        <w:t xml:space="preserve"> shows that the age and gender structure of immigrants aligns closely with the age and gender structure of NOM. The Commission has projected the </w:t>
      </w:r>
      <w:proofErr w:type="spellStart"/>
      <w:r w:rsidR="008C6DAB">
        <w:t>economywide</w:t>
      </w:r>
      <w:proofErr w:type="spellEnd"/>
      <w:r w:rsidR="008C6DAB">
        <w:t xml:space="preserve"> impacts of Australia’s migrant intake by modelling changes in NOM rather than immigrants.</w:t>
      </w:r>
    </w:p>
    <w:p w14:paraId="14A9C4BE" w14:textId="77777777" w:rsidR="008C6DAB" w:rsidRDefault="008C6DAB" w:rsidP="008C6DAB">
      <w:pPr>
        <w:pStyle w:val="BoxSpaceAbove"/>
        <w:spacing w:before="240"/>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C6DAB" w14:paraId="608AA0F2" w14:textId="77777777" w:rsidTr="008C6DAB">
        <w:tc>
          <w:tcPr>
            <w:tcW w:w="8771" w:type="dxa"/>
            <w:tcBorders>
              <w:top w:val="single" w:sz="6" w:space="0" w:color="78A22F"/>
              <w:left w:val="nil"/>
              <w:bottom w:val="nil"/>
              <w:right w:val="nil"/>
            </w:tcBorders>
            <w:shd w:val="clear" w:color="auto" w:fill="auto"/>
          </w:tcPr>
          <w:p w14:paraId="4FED600D" w14:textId="0EEF776E" w:rsidR="008C6DAB" w:rsidRPr="00176D3F" w:rsidRDefault="008C6DAB" w:rsidP="008C6DAB">
            <w:pPr>
              <w:pStyle w:val="TableTitle"/>
            </w:pPr>
            <w:r w:rsidRPr="000C2D0F">
              <w:rPr>
                <w:b w:val="0"/>
              </w:rPr>
              <w:t xml:space="preserve">Figure </w:t>
            </w:r>
            <w:proofErr w:type="spellStart"/>
            <w:r w:rsidR="000C775F">
              <w:rPr>
                <w:b w:val="0"/>
              </w:rPr>
              <w:t>B.</w:t>
            </w:r>
            <w:r w:rsidR="009015D8">
              <w:rPr>
                <w:b w:val="0"/>
                <w:noProof/>
              </w:rPr>
              <w:t>5</w:t>
            </w:r>
            <w:proofErr w:type="spellEnd"/>
            <w:r>
              <w:tab/>
              <w:t>Immigrants, emigrants and NOM have similar age and gender profiles</w:t>
            </w:r>
            <w:r w:rsidR="00246FC2">
              <w:t>,</w:t>
            </w:r>
            <w:r w:rsidRPr="00BE2A76">
              <w:rPr>
                <w:rStyle w:val="NoteLabel"/>
                <w:b/>
              </w:rPr>
              <w:t>a</w:t>
            </w:r>
            <w:r>
              <w:t xml:space="preserve"> 2013</w:t>
            </w:r>
          </w:p>
        </w:tc>
      </w:tr>
      <w:tr w:rsidR="008C6DAB" w14:paraId="40B9DDF3" w14:textId="77777777" w:rsidTr="008C6DAB">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8C6DAB" w14:paraId="0B2E8AFD" w14:textId="77777777" w:rsidTr="008C6DAB">
              <w:trPr>
                <w:trHeight w:val="111"/>
                <w:jc w:val="center"/>
              </w:trPr>
              <w:tc>
                <w:tcPr>
                  <w:tcW w:w="2500" w:type="pct"/>
                  <w:tcBorders>
                    <w:top w:val="nil"/>
                    <w:bottom w:val="nil"/>
                  </w:tcBorders>
                </w:tcPr>
                <w:p w14:paraId="414D5608" w14:textId="77777777" w:rsidR="008C6DAB" w:rsidRPr="00323ABD" w:rsidRDefault="008C6DAB" w:rsidP="008C6DAB">
                  <w:pPr>
                    <w:pStyle w:val="Figure"/>
                    <w:spacing w:before="0" w:after="0"/>
                    <w:rPr>
                      <w:rFonts w:ascii="Arial" w:hAnsi="Arial" w:cs="Arial"/>
                      <w:b/>
                      <w:sz w:val="18"/>
                      <w:szCs w:val="18"/>
                    </w:rPr>
                  </w:pPr>
                  <w:r>
                    <w:rPr>
                      <w:rFonts w:ascii="Arial" w:hAnsi="Arial" w:cs="Arial"/>
                      <w:b/>
                      <w:sz w:val="18"/>
                      <w:szCs w:val="18"/>
                    </w:rPr>
                    <w:t xml:space="preserve">a. </w:t>
                  </w:r>
                  <w:r w:rsidRPr="00323ABD">
                    <w:rPr>
                      <w:rFonts w:ascii="Arial" w:hAnsi="Arial" w:cs="Arial"/>
                      <w:b/>
                      <w:sz w:val="18"/>
                      <w:szCs w:val="18"/>
                    </w:rPr>
                    <w:t xml:space="preserve">Immigrants and emigrants </w:t>
                  </w:r>
                </w:p>
              </w:tc>
              <w:tc>
                <w:tcPr>
                  <w:tcW w:w="2500" w:type="pct"/>
                  <w:tcBorders>
                    <w:top w:val="nil"/>
                    <w:bottom w:val="nil"/>
                  </w:tcBorders>
                </w:tcPr>
                <w:p w14:paraId="4EEA3CE2" w14:textId="77777777" w:rsidR="008C6DAB" w:rsidRPr="00323ABD" w:rsidRDefault="008C6DAB" w:rsidP="008C6DAB">
                  <w:pPr>
                    <w:pStyle w:val="Figure"/>
                    <w:spacing w:before="0" w:after="0"/>
                    <w:rPr>
                      <w:rFonts w:ascii="Arial" w:hAnsi="Arial" w:cs="Arial"/>
                      <w:b/>
                      <w:sz w:val="18"/>
                      <w:szCs w:val="18"/>
                    </w:rPr>
                  </w:pPr>
                  <w:r>
                    <w:rPr>
                      <w:rFonts w:ascii="Arial" w:hAnsi="Arial" w:cs="Arial"/>
                      <w:b/>
                      <w:sz w:val="18"/>
                      <w:szCs w:val="18"/>
                    </w:rPr>
                    <w:t xml:space="preserve">b. </w:t>
                  </w:r>
                  <w:r w:rsidRPr="00323ABD">
                    <w:rPr>
                      <w:rFonts w:ascii="Arial" w:hAnsi="Arial" w:cs="Arial"/>
                      <w:b/>
                      <w:sz w:val="18"/>
                      <w:szCs w:val="18"/>
                    </w:rPr>
                    <w:t>Immigrants and NOM</w:t>
                  </w:r>
                </w:p>
              </w:tc>
            </w:tr>
            <w:tr w:rsidR="008C6DAB" w14:paraId="26D28A5E" w14:textId="77777777" w:rsidTr="008C6DAB">
              <w:tblPrEx>
                <w:tblCellMar>
                  <w:left w:w="108" w:type="dxa"/>
                  <w:right w:w="108" w:type="dxa"/>
                </w:tblCellMar>
              </w:tblPrEx>
              <w:trPr>
                <w:trHeight w:val="108"/>
                <w:jc w:val="center"/>
              </w:trPr>
              <w:tc>
                <w:tcPr>
                  <w:tcW w:w="2500" w:type="pct"/>
                  <w:tcBorders>
                    <w:top w:val="nil"/>
                    <w:bottom w:val="nil"/>
                  </w:tcBorders>
                </w:tcPr>
                <w:p w14:paraId="1396BA12" w14:textId="7E8E243F" w:rsidR="008C6DAB" w:rsidRDefault="00243159" w:rsidP="008C6DAB">
                  <w:pPr>
                    <w:pStyle w:val="Figure"/>
                    <w:spacing w:before="0" w:after="0"/>
                  </w:pPr>
                  <w:r>
                    <w:rPr>
                      <w:noProof/>
                    </w:rPr>
                    <w:drawing>
                      <wp:inline distT="0" distB="0" distL="0" distR="0" wp14:anchorId="080E2323" wp14:editId="6B9EE89D">
                        <wp:extent cx="2466975" cy="2700020"/>
                        <wp:effectExtent l="0" t="0" r="9525" b="5080"/>
                        <wp:docPr id="16" name="Picture 16" descr="This figure contains pyramids by age and gender for the year 2013 in two panels. Panel a shows that the age and gender profile of immigrants closely aligns with that of emigrants. &#10;Panel b shows that the age and gender structure of immigrants closely aligns with the age and gender structure of NO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466975" cy="2700020"/>
                                </a:xfrm>
                                <a:prstGeom prst="rect">
                                  <a:avLst/>
                                </a:prstGeom>
                                <a:noFill/>
                                <a:ln>
                                  <a:noFill/>
                                </a:ln>
                              </pic:spPr>
                            </pic:pic>
                          </a:graphicData>
                        </a:graphic>
                      </wp:inline>
                    </w:drawing>
                  </w:r>
                </w:p>
              </w:tc>
              <w:tc>
                <w:tcPr>
                  <w:tcW w:w="2500" w:type="pct"/>
                  <w:tcBorders>
                    <w:top w:val="nil"/>
                    <w:bottom w:val="nil"/>
                  </w:tcBorders>
                </w:tcPr>
                <w:p w14:paraId="186CF3D2" w14:textId="254B60C7" w:rsidR="008C6DAB" w:rsidRDefault="00243159" w:rsidP="008C6DAB">
                  <w:pPr>
                    <w:pStyle w:val="Figure"/>
                    <w:spacing w:before="0" w:after="0"/>
                  </w:pPr>
                  <w:r>
                    <w:rPr>
                      <w:noProof/>
                    </w:rPr>
                    <w:drawing>
                      <wp:inline distT="0" distB="0" distL="0" distR="0" wp14:anchorId="0573AE19" wp14:editId="459E7943">
                        <wp:extent cx="2466975" cy="2700020"/>
                        <wp:effectExtent l="0" t="0" r="9525" b="5080"/>
                        <wp:docPr id="17" name="Picture 17" descr="This figure contains pyramids by age and gender for the year 2013 in two panels. Panel a shows that the age and gender profile of immigrants closely aligns with that of emigrants. &#10;Panel b shows that the age and gender structure of immigrants closely aligns with the age and gender structure of NO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66975" cy="2700020"/>
                                </a:xfrm>
                                <a:prstGeom prst="rect">
                                  <a:avLst/>
                                </a:prstGeom>
                                <a:noFill/>
                                <a:ln>
                                  <a:noFill/>
                                </a:ln>
                              </pic:spPr>
                            </pic:pic>
                          </a:graphicData>
                        </a:graphic>
                      </wp:inline>
                    </w:drawing>
                  </w:r>
                </w:p>
              </w:tc>
            </w:tr>
            <w:tr w:rsidR="008C6DAB" w14:paraId="54ABA853" w14:textId="77777777" w:rsidTr="008C6DAB">
              <w:tblPrEx>
                <w:tblCellMar>
                  <w:left w:w="108" w:type="dxa"/>
                  <w:right w:w="108" w:type="dxa"/>
                </w:tblCellMar>
              </w:tblPrEx>
              <w:trPr>
                <w:trHeight w:val="108"/>
                <w:jc w:val="center"/>
              </w:trPr>
              <w:tc>
                <w:tcPr>
                  <w:tcW w:w="5000" w:type="pct"/>
                  <w:gridSpan w:val="2"/>
                  <w:tcBorders>
                    <w:top w:val="nil"/>
                    <w:bottom w:val="nil"/>
                  </w:tcBorders>
                </w:tcPr>
                <w:p w14:paraId="76131222" w14:textId="10147F38" w:rsidR="008C6DAB" w:rsidRDefault="008C6DAB" w:rsidP="008C6DAB">
                  <w:pPr>
                    <w:pStyle w:val="Figure"/>
                    <w:spacing w:before="0" w:after="0"/>
                    <w:rPr>
                      <w:noProof/>
                    </w:rPr>
                  </w:pPr>
                  <w:r>
                    <w:rPr>
                      <w:noProof/>
                    </w:rPr>
                    <w:drawing>
                      <wp:inline distT="0" distB="0" distL="0" distR="0" wp14:anchorId="05FB4C46" wp14:editId="6EE2C4D2">
                        <wp:extent cx="5254625" cy="231775"/>
                        <wp:effectExtent l="0" t="0" r="3175" b="0"/>
                        <wp:docPr id="1" name="Picture 1" descr="This figure contains pyramids by age and gender for the year 2013 in two panels. Panel a shows that the age and gender profile of immigrants closely aligns with that of emigrants. &#10;Panel b shows that the age and gender structure of immigrants closely aligns with the age and gender structure of NO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254625" cy="231775"/>
                                </a:xfrm>
                                <a:prstGeom prst="rect">
                                  <a:avLst/>
                                </a:prstGeom>
                                <a:noFill/>
                                <a:ln>
                                  <a:noFill/>
                                </a:ln>
                              </pic:spPr>
                            </pic:pic>
                          </a:graphicData>
                        </a:graphic>
                      </wp:inline>
                    </w:drawing>
                  </w:r>
                </w:p>
              </w:tc>
            </w:tr>
          </w:tbl>
          <w:p w14:paraId="5865494C" w14:textId="77777777" w:rsidR="008C6DAB" w:rsidRDefault="008C6DAB" w:rsidP="008C6DAB">
            <w:pPr>
              <w:pStyle w:val="Figure"/>
            </w:pPr>
          </w:p>
        </w:tc>
      </w:tr>
      <w:tr w:rsidR="008C6DAB" w:rsidRPr="00176D3F" w14:paraId="35FBEE0B" w14:textId="77777777" w:rsidTr="008C6DAB">
        <w:tc>
          <w:tcPr>
            <w:tcW w:w="8771" w:type="dxa"/>
            <w:tcBorders>
              <w:top w:val="nil"/>
              <w:left w:val="nil"/>
              <w:bottom w:val="nil"/>
              <w:right w:val="nil"/>
            </w:tcBorders>
            <w:shd w:val="clear" w:color="auto" w:fill="auto"/>
          </w:tcPr>
          <w:p w14:paraId="358477FD" w14:textId="77777777" w:rsidR="008C6DAB" w:rsidRPr="00176D3F" w:rsidRDefault="008C6DAB" w:rsidP="008C6DAB">
            <w:pPr>
              <w:pStyle w:val="Note"/>
            </w:pPr>
            <w:r>
              <w:rPr>
                <w:rStyle w:val="NoteLabel"/>
              </w:rPr>
              <w:t>a</w:t>
            </w:r>
            <w:r>
              <w:t xml:space="preserve"> Five yearly NOM age group data from ABS are allocated to one year age cohorts on the basis of information about the age distribution of the population as a whole. </w:t>
            </w:r>
          </w:p>
        </w:tc>
      </w:tr>
      <w:tr w:rsidR="008C6DAB" w:rsidRPr="00176D3F" w14:paraId="05AD1403" w14:textId="77777777" w:rsidTr="008C6DAB">
        <w:tc>
          <w:tcPr>
            <w:tcW w:w="8771" w:type="dxa"/>
            <w:tcBorders>
              <w:top w:val="nil"/>
              <w:left w:val="nil"/>
              <w:bottom w:val="nil"/>
              <w:right w:val="nil"/>
            </w:tcBorders>
            <w:shd w:val="clear" w:color="auto" w:fill="auto"/>
          </w:tcPr>
          <w:p w14:paraId="1CE7DA44" w14:textId="77E163BE" w:rsidR="008C6DAB" w:rsidRPr="00D26588" w:rsidRDefault="008C6DAB" w:rsidP="008C6DAB">
            <w:pPr>
              <w:pStyle w:val="Source"/>
              <w:rPr>
                <w:szCs w:val="24"/>
              </w:rPr>
            </w:pPr>
            <w:r>
              <w:rPr>
                <w:i/>
              </w:rPr>
              <w:t>S</w:t>
            </w:r>
            <w:r w:rsidRPr="00784A05">
              <w:rPr>
                <w:i/>
              </w:rPr>
              <w:t>ource</w:t>
            </w:r>
            <w:r>
              <w:rPr>
                <w:i/>
              </w:rPr>
              <w:t>s</w:t>
            </w:r>
            <w:r w:rsidRPr="00176D3F">
              <w:t xml:space="preserve">: </w:t>
            </w:r>
            <w:r>
              <w:t>Productivity Commission e</w:t>
            </w:r>
            <w:r w:rsidRPr="004756FD">
              <w:t>stimates based on ABS (</w:t>
            </w:r>
            <w:r w:rsidRPr="0037676B">
              <w:rPr>
                <w:i/>
              </w:rPr>
              <w:t>Migration, Australia, 2012</w:t>
            </w:r>
            <w:r>
              <w:rPr>
                <w:i/>
              </w:rPr>
              <w:noBreakHyphen/>
            </w:r>
            <w:r w:rsidRPr="0037676B">
              <w:rPr>
                <w:i/>
              </w:rPr>
              <w:t>13</w:t>
            </w:r>
            <w:r w:rsidRPr="004756FD">
              <w:t>, Cat.</w:t>
            </w:r>
            <w:r>
              <w:t> </w:t>
            </w:r>
            <w:r w:rsidRPr="004756FD">
              <w:t>no.</w:t>
            </w:r>
            <w:r>
              <w:t> </w:t>
            </w:r>
            <w:r w:rsidRPr="00DA5B73">
              <w:t>3412.0</w:t>
            </w:r>
            <w:r w:rsidR="00990D3A">
              <w:t>)</w:t>
            </w:r>
            <w:r>
              <w:t>.</w:t>
            </w:r>
          </w:p>
        </w:tc>
      </w:tr>
      <w:tr w:rsidR="008C6DAB" w14:paraId="0872EE2A" w14:textId="77777777" w:rsidTr="008C6DAB">
        <w:tc>
          <w:tcPr>
            <w:tcW w:w="8771" w:type="dxa"/>
            <w:tcBorders>
              <w:top w:val="nil"/>
              <w:left w:val="nil"/>
              <w:bottom w:val="single" w:sz="6" w:space="0" w:color="78A22F"/>
              <w:right w:val="nil"/>
            </w:tcBorders>
            <w:shd w:val="clear" w:color="auto" w:fill="auto"/>
          </w:tcPr>
          <w:p w14:paraId="5BE55822" w14:textId="77777777" w:rsidR="008C6DAB" w:rsidRDefault="008C6DAB" w:rsidP="008C6DAB">
            <w:pPr>
              <w:pStyle w:val="Figurespace"/>
            </w:pPr>
          </w:p>
        </w:tc>
      </w:tr>
    </w:tbl>
    <w:p w14:paraId="17CA21D4" w14:textId="77777777" w:rsidR="00990D3A" w:rsidRDefault="00990D3A">
      <w:pPr>
        <w:rPr>
          <w:szCs w:val="20"/>
        </w:rPr>
      </w:pPr>
      <w:r>
        <w:br w:type="page"/>
      </w:r>
    </w:p>
    <w:p w14:paraId="0012A83D" w14:textId="7B58C6A8" w:rsidR="000C49E5" w:rsidRDefault="000C49E5" w:rsidP="000C49E5">
      <w:pPr>
        <w:pStyle w:val="BodyText"/>
      </w:pPr>
      <w:r>
        <w:lastRenderedPageBreak/>
        <w:t>The demographic modelling assumes that once immigrants have joined the pop</w:t>
      </w:r>
      <w:r w:rsidR="00246FC2">
        <w:t>ulation, they have the same age</w:t>
      </w:r>
      <w:r w:rsidR="00246FC2">
        <w:softHyphen/>
      </w:r>
      <w:r w:rsidR="00246FC2">
        <w:noBreakHyphen/>
      </w:r>
      <w:r>
        <w:t>specific fertility and mortality rates as the wider population. In this way, the modelling assumes that second</w:t>
      </w:r>
      <w:r>
        <w:noBreakHyphen/>
        <w:t>generation immigrants take on the characteristics of the wider population.</w:t>
      </w:r>
    </w:p>
    <w:p w14:paraId="028445B8" w14:textId="525FF35C" w:rsidR="004169A5" w:rsidRDefault="004169A5" w:rsidP="00AC5468">
      <w:pPr>
        <w:pStyle w:val="BodyText"/>
      </w:pPr>
      <w:r>
        <w:t xml:space="preserve">The variables shocked and the associated endogenous variable used in the dynamic modelling of NOM </w:t>
      </w:r>
      <w:r w:rsidR="00C90C62">
        <w:t>are</w:t>
      </w:r>
      <w:r>
        <w:t xml:space="preserve"> shown in table </w:t>
      </w:r>
      <w:proofErr w:type="spellStart"/>
      <w:r w:rsidR="00FA05AA">
        <w:t>B</w:t>
      </w:r>
      <w:r>
        <w:t>.</w:t>
      </w:r>
      <w:r w:rsidR="00555ACC">
        <w:t>2</w:t>
      </w:r>
      <w:proofErr w:type="spellEnd"/>
      <w:r>
        <w:t xml:space="preserve">. </w:t>
      </w:r>
    </w:p>
    <w:p w14:paraId="028445B9" w14:textId="0D95D3F6" w:rsidR="00555ACC" w:rsidRDefault="00555ACC" w:rsidP="00555ACC">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555ACC" w14:paraId="028445BB" w14:textId="77777777" w:rsidTr="00555ACC">
        <w:tc>
          <w:tcPr>
            <w:tcW w:w="8771" w:type="dxa"/>
            <w:tcBorders>
              <w:top w:val="single" w:sz="6" w:space="0" w:color="78A22F"/>
              <w:left w:val="nil"/>
              <w:bottom w:val="nil"/>
              <w:right w:val="nil"/>
            </w:tcBorders>
            <w:shd w:val="clear" w:color="auto" w:fill="auto"/>
          </w:tcPr>
          <w:p w14:paraId="028445BA" w14:textId="71174FFE" w:rsidR="00555ACC" w:rsidRPr="00784A05" w:rsidRDefault="00555ACC" w:rsidP="00107E25">
            <w:pPr>
              <w:pStyle w:val="TableTitle"/>
            </w:pPr>
            <w:r>
              <w:rPr>
                <w:b w:val="0"/>
              </w:rPr>
              <w:t xml:space="preserve">Table </w:t>
            </w:r>
            <w:proofErr w:type="spellStart"/>
            <w:r w:rsidR="000C775F">
              <w:rPr>
                <w:b w:val="0"/>
              </w:rPr>
              <w:t>B.</w:t>
            </w:r>
            <w:r w:rsidR="009015D8">
              <w:rPr>
                <w:b w:val="0"/>
                <w:noProof/>
              </w:rPr>
              <w:t>2</w:t>
            </w:r>
            <w:proofErr w:type="spellEnd"/>
            <w:r>
              <w:tab/>
            </w:r>
            <w:r w:rsidR="00432EB6">
              <w:t xml:space="preserve">Modelling of NOM </w:t>
            </w:r>
            <w:r w:rsidR="009F5CF6">
              <w:t>in the</w:t>
            </w:r>
            <w:r w:rsidR="00432EB6">
              <w:t xml:space="preserve"> </w:t>
            </w:r>
            <w:r w:rsidR="00970DE0">
              <w:t>business-as-usual scenario</w:t>
            </w:r>
          </w:p>
        </w:tc>
      </w:tr>
      <w:tr w:rsidR="00555ACC" w14:paraId="028445D2" w14:textId="77777777" w:rsidTr="00555ACC">
        <w:trPr>
          <w:cantSplit/>
        </w:trPr>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29"/>
              <w:gridCol w:w="2830"/>
              <w:gridCol w:w="2828"/>
            </w:tblGrid>
            <w:tr w:rsidR="00432EB6" w14:paraId="028445BF" w14:textId="77777777" w:rsidTr="00432EB6">
              <w:tc>
                <w:tcPr>
                  <w:tcW w:w="1667" w:type="pct"/>
                  <w:tcBorders>
                    <w:top w:val="single" w:sz="6" w:space="0" w:color="BFBFBF"/>
                    <w:bottom w:val="single" w:sz="6" w:space="0" w:color="BFBFBF"/>
                  </w:tcBorders>
                  <w:shd w:val="clear" w:color="auto" w:fill="auto"/>
                  <w:tcMar>
                    <w:top w:w="28" w:type="dxa"/>
                  </w:tcMar>
                </w:tcPr>
                <w:p w14:paraId="028445BC" w14:textId="77777777" w:rsidR="00432EB6" w:rsidRPr="00FD6F61" w:rsidRDefault="00432EB6" w:rsidP="00C66462">
                  <w:pPr>
                    <w:pStyle w:val="TableColumnHeading"/>
                    <w:jc w:val="left"/>
                  </w:pPr>
                  <w:r>
                    <w:t>Description</w:t>
                  </w:r>
                </w:p>
              </w:tc>
              <w:tc>
                <w:tcPr>
                  <w:tcW w:w="1667" w:type="pct"/>
                  <w:tcBorders>
                    <w:top w:val="single" w:sz="6" w:space="0" w:color="BFBFBF"/>
                    <w:bottom w:val="single" w:sz="6" w:space="0" w:color="BFBFBF"/>
                  </w:tcBorders>
                  <w:shd w:val="clear" w:color="auto" w:fill="auto"/>
                  <w:tcMar>
                    <w:top w:w="28" w:type="dxa"/>
                  </w:tcMar>
                </w:tcPr>
                <w:p w14:paraId="028445BD" w14:textId="4928AB7C" w:rsidR="00432EB6" w:rsidRPr="00FD6F61" w:rsidRDefault="00776C79" w:rsidP="00432EB6">
                  <w:pPr>
                    <w:pStyle w:val="TableColumnHeading"/>
                    <w:jc w:val="left"/>
                  </w:pPr>
                  <w:proofErr w:type="spellStart"/>
                  <w:r>
                    <w:t>VURM</w:t>
                  </w:r>
                  <w:proofErr w:type="spellEnd"/>
                  <w:r w:rsidR="004D4E21">
                    <w:noBreakHyphen/>
                  </w:r>
                  <w:r w:rsidR="00854787">
                    <w:t>MI</w:t>
                  </w:r>
                  <w:r w:rsidR="00432EB6" w:rsidRPr="00FD6F61">
                    <w:t xml:space="preserve"> exogenous variable</w:t>
                  </w:r>
                </w:p>
              </w:tc>
              <w:tc>
                <w:tcPr>
                  <w:tcW w:w="1666" w:type="pct"/>
                  <w:tcBorders>
                    <w:top w:val="single" w:sz="6" w:space="0" w:color="BFBFBF"/>
                    <w:bottom w:val="single" w:sz="6" w:space="0" w:color="BFBFBF"/>
                  </w:tcBorders>
                  <w:shd w:val="clear" w:color="auto" w:fill="auto"/>
                  <w:tcMar>
                    <w:top w:w="28" w:type="dxa"/>
                  </w:tcMar>
                </w:tcPr>
                <w:p w14:paraId="028445BE" w14:textId="581B3FE8" w:rsidR="00432EB6" w:rsidRPr="00FD6F61" w:rsidRDefault="00776C79" w:rsidP="00432EB6">
                  <w:pPr>
                    <w:pStyle w:val="TableColumnHeading"/>
                    <w:ind w:right="28"/>
                    <w:jc w:val="left"/>
                  </w:pPr>
                  <w:proofErr w:type="spellStart"/>
                  <w:r>
                    <w:t>VURM</w:t>
                  </w:r>
                  <w:proofErr w:type="spellEnd"/>
                  <w:r w:rsidR="004D4E21">
                    <w:noBreakHyphen/>
                  </w:r>
                  <w:r w:rsidR="00854787">
                    <w:t>MI</w:t>
                  </w:r>
                  <w:r w:rsidR="00432EB6" w:rsidRPr="00FD6F61">
                    <w:t xml:space="preserve"> endogenous variable</w:t>
                  </w:r>
                </w:p>
              </w:tc>
            </w:tr>
            <w:tr w:rsidR="00432EB6" w14:paraId="028445C8" w14:textId="77777777" w:rsidTr="00432EB6">
              <w:tc>
                <w:tcPr>
                  <w:tcW w:w="1667" w:type="pct"/>
                  <w:tcBorders>
                    <w:top w:val="single" w:sz="6" w:space="0" w:color="BFBFBF"/>
                  </w:tcBorders>
                </w:tcPr>
                <w:p w14:paraId="028445C0" w14:textId="6089B7D4" w:rsidR="00432EB6" w:rsidRPr="004756FD" w:rsidRDefault="00432EB6" w:rsidP="000C2D0F">
                  <w:pPr>
                    <w:pStyle w:val="TableBodyText"/>
                    <w:spacing w:after="60"/>
                    <w:jc w:val="left"/>
                  </w:pPr>
                  <w:r w:rsidRPr="004756FD">
                    <w:t xml:space="preserve">NOM by age, gender and </w:t>
                  </w:r>
                  <w:r w:rsidR="00C423DD">
                    <w:t>region</w:t>
                  </w:r>
                  <w:r w:rsidR="00C423DD" w:rsidRPr="004756FD">
                    <w:t xml:space="preserve"> </w:t>
                  </w:r>
                  <w:r w:rsidRPr="004756FD">
                    <w:t xml:space="preserve">of entry is introduced as a source of population change. </w:t>
                  </w:r>
                </w:p>
                <w:p w14:paraId="028445C1" w14:textId="1E5E26BF" w:rsidR="00432EB6" w:rsidRDefault="00432EB6" w:rsidP="000C2D0F">
                  <w:pPr>
                    <w:pStyle w:val="TableBodyText"/>
                    <w:spacing w:after="60"/>
                    <w:jc w:val="left"/>
                  </w:pPr>
                  <w:r w:rsidRPr="004756FD">
                    <w:t xml:space="preserve">The direct effect of NOM (model shock) is introduced as an increment in persons by age, gender and </w:t>
                  </w:r>
                  <w:r w:rsidR="00C423DD">
                    <w:t>region</w:t>
                  </w:r>
                  <w:r w:rsidRPr="004756FD">
                    <w:t>.</w:t>
                  </w:r>
                  <w:r>
                    <w:t xml:space="preserve"> </w:t>
                  </w:r>
                </w:p>
                <w:p w14:paraId="028445C2" w14:textId="6B73C6E4" w:rsidR="00432EB6" w:rsidRPr="00FD6F61" w:rsidRDefault="00432EB6" w:rsidP="000C2D0F">
                  <w:pPr>
                    <w:pStyle w:val="TableBodyText"/>
                    <w:spacing w:after="60"/>
                    <w:jc w:val="left"/>
                  </w:pPr>
                  <w:r>
                    <w:t>For this scenario, NOM projections transition from current levels to 0.6</w:t>
                  </w:r>
                  <w:r w:rsidR="005F6B5F">
                    <w:t>%</w:t>
                  </w:r>
                  <w:r>
                    <w:t xml:space="preserve"> of the population in 2</w:t>
                  </w:r>
                  <w:r w:rsidR="007F2960">
                    <w:t> </w:t>
                  </w:r>
                  <w:r>
                    <w:t>025 (and later years).</w:t>
                  </w:r>
                  <w:r w:rsidRPr="00FD6F61">
                    <w:t xml:space="preserve"> </w:t>
                  </w:r>
                </w:p>
              </w:tc>
              <w:tc>
                <w:tcPr>
                  <w:tcW w:w="1667" w:type="pct"/>
                  <w:tcBorders>
                    <w:top w:val="single" w:sz="6" w:space="0" w:color="BFBFBF"/>
                  </w:tcBorders>
                </w:tcPr>
                <w:p w14:paraId="028445C3" w14:textId="77777777" w:rsidR="00432EB6" w:rsidRDefault="009C6C5D" w:rsidP="000C2D0F">
                  <w:pPr>
                    <w:pStyle w:val="TableBodyText"/>
                    <w:spacing w:after="60"/>
                    <w:jc w:val="left"/>
                  </w:pPr>
                  <w:r>
                    <w:t>Percentage point change in NOM as a percentage share of the Australian population</w:t>
                  </w:r>
                  <w:r w:rsidR="00432EB6">
                    <w:t xml:space="preserve"> </w:t>
                  </w:r>
                </w:p>
                <w:p w14:paraId="028445C4" w14:textId="77777777" w:rsidR="00432EB6" w:rsidRDefault="00432EB6" w:rsidP="000C2D0F">
                  <w:pPr>
                    <w:pStyle w:val="TableBodyText"/>
                    <w:spacing w:after="60"/>
                    <w:jc w:val="left"/>
                  </w:pPr>
                  <w:r>
                    <w:t>(</w:t>
                  </w:r>
                  <w:proofErr w:type="spellStart"/>
                  <w:r w:rsidR="009C6C5D">
                    <w:t>d_nom2pop</w:t>
                  </w:r>
                  <w:proofErr w:type="spellEnd"/>
                  <w:r>
                    <w:t>)</w:t>
                  </w:r>
                </w:p>
                <w:p w14:paraId="028445C5" w14:textId="77777777" w:rsidR="00432EB6" w:rsidRPr="00FD6F61" w:rsidRDefault="00432EB6" w:rsidP="000C2D0F">
                  <w:pPr>
                    <w:pStyle w:val="TableBodyText"/>
                    <w:spacing w:after="60"/>
                    <w:jc w:val="left"/>
                  </w:pPr>
                </w:p>
              </w:tc>
              <w:tc>
                <w:tcPr>
                  <w:tcW w:w="1666" w:type="pct"/>
                  <w:tcBorders>
                    <w:top w:val="single" w:sz="6" w:space="0" w:color="BFBFBF"/>
                  </w:tcBorders>
                </w:tcPr>
                <w:p w14:paraId="028445C6" w14:textId="5CACB150" w:rsidR="00432EB6" w:rsidRPr="002D6820" w:rsidRDefault="00432EB6" w:rsidP="000C2D0F">
                  <w:pPr>
                    <w:pStyle w:val="TableBodyText"/>
                    <w:spacing w:after="60"/>
                    <w:jc w:val="left"/>
                  </w:pPr>
                  <w:r w:rsidRPr="00377205">
                    <w:t xml:space="preserve">National </w:t>
                  </w:r>
                  <w:r w:rsidR="005F6B5F">
                    <w:t>NOM</w:t>
                  </w:r>
                  <w:r w:rsidRPr="00377205">
                    <w:t xml:space="preserve"> in projection period (000)</w:t>
                  </w:r>
                </w:p>
                <w:p w14:paraId="028445C7" w14:textId="77777777" w:rsidR="00432EB6" w:rsidRPr="00FD6F61" w:rsidRDefault="00432EB6" w:rsidP="000C2D0F">
                  <w:pPr>
                    <w:pStyle w:val="TableBodyText"/>
                    <w:spacing w:after="60"/>
                    <w:jc w:val="left"/>
                  </w:pPr>
                  <w:r>
                    <w:t>(</w:t>
                  </w:r>
                  <w:proofErr w:type="spellStart"/>
                  <w:r>
                    <w:t>projectnom</w:t>
                  </w:r>
                  <w:proofErr w:type="spellEnd"/>
                  <w:r>
                    <w:t>)</w:t>
                  </w:r>
                </w:p>
              </w:tc>
            </w:tr>
            <w:tr w:rsidR="00432EB6" w14:paraId="028445CC" w14:textId="77777777" w:rsidTr="000C2D0F">
              <w:tc>
                <w:tcPr>
                  <w:tcW w:w="1667" w:type="pct"/>
                  <w:shd w:val="clear" w:color="auto" w:fill="D9D9D9" w:themeFill="background1" w:themeFillShade="D9"/>
                </w:tcPr>
                <w:p w14:paraId="028445C9" w14:textId="77777777" w:rsidR="00432EB6" w:rsidRPr="004756FD" w:rsidRDefault="00432EB6" w:rsidP="00990D3A">
                  <w:pPr>
                    <w:pStyle w:val="TableBodyText"/>
                    <w:spacing w:before="120" w:after="120"/>
                    <w:jc w:val="left"/>
                  </w:pPr>
                  <w:r>
                    <w:t>Use age and gender profiles of current migrant intake for NOM.</w:t>
                  </w:r>
                </w:p>
              </w:tc>
              <w:tc>
                <w:tcPr>
                  <w:tcW w:w="1667" w:type="pct"/>
                  <w:shd w:val="clear" w:color="auto" w:fill="D9D9D9" w:themeFill="background1" w:themeFillShade="D9"/>
                </w:tcPr>
                <w:p w14:paraId="028445CA" w14:textId="77777777" w:rsidR="00432EB6" w:rsidRPr="00377205" w:rsidRDefault="00432EB6" w:rsidP="00990D3A">
                  <w:pPr>
                    <w:pStyle w:val="TableBodyText"/>
                    <w:spacing w:before="120" w:after="120"/>
                    <w:jc w:val="left"/>
                  </w:pPr>
                  <w:r>
                    <w:t>Switches on the use of the age and gender profiles of current migrant intake for NOM when it is exogenous</w:t>
                  </w:r>
                  <w:r>
                    <w:br/>
                    <w:t>(</w:t>
                  </w:r>
                  <w:proofErr w:type="spellStart"/>
                  <w:r>
                    <w:t>f_om1</w:t>
                  </w:r>
                  <w:proofErr w:type="spellEnd"/>
                  <w:r>
                    <w:t xml:space="preserve">) </w:t>
                  </w:r>
                </w:p>
              </w:tc>
              <w:tc>
                <w:tcPr>
                  <w:tcW w:w="1666" w:type="pct"/>
                  <w:shd w:val="clear" w:color="auto" w:fill="D9D9D9" w:themeFill="background1" w:themeFillShade="D9"/>
                </w:tcPr>
                <w:p w14:paraId="028445CB" w14:textId="77777777" w:rsidR="00432EB6" w:rsidRDefault="00432EB6" w:rsidP="00990D3A">
                  <w:pPr>
                    <w:pStyle w:val="TableBodyText"/>
                    <w:spacing w:before="120" w:after="120"/>
                    <w:jc w:val="left"/>
                  </w:pPr>
                  <w:r>
                    <w:t xml:space="preserve">Switches on </w:t>
                  </w:r>
                  <w:r w:rsidR="00C930D0">
                    <w:t xml:space="preserve">the use of the </w:t>
                  </w:r>
                  <w:r>
                    <w:t xml:space="preserve">age and gender profiles </w:t>
                  </w:r>
                  <w:r w:rsidR="00C930D0">
                    <w:t xml:space="preserve">of the current Australian population </w:t>
                  </w:r>
                  <w:r>
                    <w:t>for NOM when it is exogenous</w:t>
                  </w:r>
                  <w:r>
                    <w:br/>
                    <w:t>(</w:t>
                  </w:r>
                  <w:proofErr w:type="spellStart"/>
                  <w:r>
                    <w:t>f_om2</w:t>
                  </w:r>
                  <w:proofErr w:type="spellEnd"/>
                  <w:r>
                    <w:t>)</w:t>
                  </w:r>
                </w:p>
              </w:tc>
            </w:tr>
            <w:tr w:rsidR="001E6AAF" w14:paraId="028445D0" w14:textId="77777777" w:rsidTr="00432EB6">
              <w:tc>
                <w:tcPr>
                  <w:tcW w:w="1667" w:type="pct"/>
                  <w:tcBorders>
                    <w:bottom w:val="single" w:sz="6" w:space="0" w:color="BFBFBF"/>
                  </w:tcBorders>
                  <w:shd w:val="clear" w:color="auto" w:fill="auto"/>
                </w:tcPr>
                <w:p w14:paraId="028445CD" w14:textId="77777777" w:rsidR="001E6AAF" w:rsidRDefault="001E6AAF" w:rsidP="000C2D0F">
                  <w:pPr>
                    <w:pStyle w:val="TableBodyText"/>
                    <w:spacing w:after="60"/>
                    <w:jc w:val="left"/>
                  </w:pPr>
                  <w:r>
                    <w:t xml:space="preserve">Represent occupational profile of current migrant intake for NOM. </w:t>
                  </w:r>
                </w:p>
              </w:tc>
              <w:tc>
                <w:tcPr>
                  <w:tcW w:w="1667" w:type="pct"/>
                  <w:tcBorders>
                    <w:bottom w:val="single" w:sz="6" w:space="0" w:color="BFBFBF"/>
                  </w:tcBorders>
                  <w:shd w:val="clear" w:color="auto" w:fill="auto"/>
                </w:tcPr>
                <w:p w14:paraId="028445CE" w14:textId="77777777" w:rsidR="001E6AAF" w:rsidRDefault="001E6AAF" w:rsidP="000C2D0F">
                  <w:pPr>
                    <w:pStyle w:val="TableBodyText"/>
                    <w:spacing w:after="60"/>
                    <w:jc w:val="left"/>
                  </w:pPr>
                  <w:r>
                    <w:t xml:space="preserve">Modifies the occupational mix of the labour force </w:t>
                  </w:r>
                  <w:r>
                    <w:br/>
                    <w:t>(</w:t>
                  </w:r>
                  <w:proofErr w:type="spellStart"/>
                  <w:r>
                    <w:t>occtwist</w:t>
                  </w:r>
                  <w:proofErr w:type="spellEnd"/>
                  <w:r>
                    <w:t>)</w:t>
                  </w:r>
                </w:p>
              </w:tc>
              <w:tc>
                <w:tcPr>
                  <w:tcW w:w="1666" w:type="pct"/>
                  <w:tcBorders>
                    <w:bottom w:val="single" w:sz="6" w:space="0" w:color="BFBFBF"/>
                  </w:tcBorders>
                  <w:shd w:val="clear" w:color="auto" w:fill="auto"/>
                </w:tcPr>
                <w:p w14:paraId="028445CF" w14:textId="77777777" w:rsidR="001E6AAF" w:rsidRDefault="001E6AAF" w:rsidP="000C2D0F">
                  <w:pPr>
                    <w:pStyle w:val="TableBodyText"/>
                    <w:spacing w:after="60"/>
                    <w:jc w:val="left"/>
                  </w:pPr>
                  <w:r>
                    <w:t>National labour supply by occupation</w:t>
                  </w:r>
                  <w:r>
                    <w:br/>
                    <w:t>(</w:t>
                  </w:r>
                  <w:proofErr w:type="spellStart"/>
                  <w:r>
                    <w:t>natlab</w:t>
                  </w:r>
                  <w:proofErr w:type="spellEnd"/>
                  <w:r>
                    <w:t>)</w:t>
                  </w:r>
                </w:p>
              </w:tc>
            </w:tr>
          </w:tbl>
          <w:p w14:paraId="028445D1" w14:textId="77777777" w:rsidR="00555ACC" w:rsidRDefault="00555ACC" w:rsidP="00555ACC">
            <w:pPr>
              <w:pStyle w:val="Box"/>
            </w:pPr>
          </w:p>
        </w:tc>
      </w:tr>
      <w:tr w:rsidR="00555ACC" w14:paraId="028445D4" w14:textId="77777777" w:rsidTr="00555ACC">
        <w:trPr>
          <w:cantSplit/>
        </w:trPr>
        <w:tc>
          <w:tcPr>
            <w:tcW w:w="8771" w:type="dxa"/>
            <w:tcBorders>
              <w:top w:val="nil"/>
              <w:left w:val="nil"/>
              <w:bottom w:val="single" w:sz="6" w:space="0" w:color="78A22F"/>
              <w:right w:val="nil"/>
            </w:tcBorders>
            <w:shd w:val="clear" w:color="auto" w:fill="auto"/>
          </w:tcPr>
          <w:p w14:paraId="028445D3" w14:textId="77777777" w:rsidR="00555ACC" w:rsidRDefault="00555ACC" w:rsidP="00555ACC">
            <w:pPr>
              <w:pStyle w:val="Box"/>
              <w:spacing w:before="0" w:line="120" w:lineRule="exact"/>
            </w:pPr>
          </w:p>
        </w:tc>
      </w:tr>
      <w:tr w:rsidR="00555ACC" w:rsidRPr="000863A5" w14:paraId="028445D6" w14:textId="77777777" w:rsidTr="00555ACC">
        <w:tc>
          <w:tcPr>
            <w:tcW w:w="8771" w:type="dxa"/>
            <w:tcBorders>
              <w:top w:val="single" w:sz="6" w:space="0" w:color="78A22F"/>
              <w:left w:val="nil"/>
              <w:bottom w:val="nil"/>
              <w:right w:val="nil"/>
            </w:tcBorders>
          </w:tcPr>
          <w:p w14:paraId="028445D5" w14:textId="3F1367FA" w:rsidR="00555ACC" w:rsidRPr="00626D32" w:rsidRDefault="00555ACC" w:rsidP="00555ACC">
            <w:pPr>
              <w:pStyle w:val="BoxSpaceBelow"/>
            </w:pPr>
          </w:p>
        </w:tc>
      </w:tr>
    </w:tbl>
    <w:p w14:paraId="028445D7" w14:textId="77777777" w:rsidR="00AC5468" w:rsidRDefault="00AC5468" w:rsidP="00AC5468">
      <w:pPr>
        <w:pStyle w:val="Heading4"/>
      </w:pPr>
      <w:r>
        <w:t>Labour force participation</w:t>
      </w:r>
    </w:p>
    <w:p w14:paraId="642AA5EC" w14:textId="0621DC47" w:rsidR="00CC3D2A" w:rsidRDefault="00AC5468" w:rsidP="00AC5468">
      <w:pPr>
        <w:pStyle w:val="BodyText"/>
      </w:pPr>
      <w:r>
        <w:t>NOM is concentrated in the 20 to 40 year old age groups</w:t>
      </w:r>
      <w:r w:rsidR="00ED4F2A">
        <w:t>, with the majority of NOM in those age groups</w:t>
      </w:r>
      <w:r w:rsidR="00CC3D2A">
        <w:t xml:space="preserve"> (figure </w:t>
      </w:r>
      <w:proofErr w:type="spellStart"/>
      <w:r w:rsidR="00CC3D2A">
        <w:t>B.</w:t>
      </w:r>
      <w:r w:rsidR="000C775F">
        <w:t>6</w:t>
      </w:r>
      <w:proofErr w:type="spellEnd"/>
      <w:r w:rsidR="00CC3D2A">
        <w:t>, panel a). However</w:t>
      </w:r>
      <w:r w:rsidR="003548BA">
        <w:t xml:space="preserve">, </w:t>
      </w:r>
      <w:r>
        <w:t xml:space="preserve">the </w:t>
      </w:r>
      <w:r w:rsidR="0028317B">
        <w:t xml:space="preserve">Australian </w:t>
      </w:r>
      <w:r>
        <w:t>population as a whole is older</w:t>
      </w:r>
      <w:r w:rsidR="00CC3D2A">
        <w:t xml:space="preserve"> (figure </w:t>
      </w:r>
      <w:proofErr w:type="spellStart"/>
      <w:r w:rsidR="00CC3D2A">
        <w:t>B.6</w:t>
      </w:r>
      <w:proofErr w:type="spellEnd"/>
      <w:r w:rsidR="00CC3D2A">
        <w:t>, panel </w:t>
      </w:r>
      <w:r w:rsidR="00A543F2">
        <w:t>b</w:t>
      </w:r>
      <w:r w:rsidR="00CC3D2A">
        <w:t>)</w:t>
      </w:r>
      <w:r w:rsidR="003548BA">
        <w:t xml:space="preserve">. </w:t>
      </w:r>
      <w:r w:rsidR="00CC3D2A">
        <w:t xml:space="preserve">Because migrants are on average younger than the </w:t>
      </w:r>
      <w:r w:rsidR="006B3B1B">
        <w:t>Australian</w:t>
      </w:r>
      <w:r w:rsidR="00CC3D2A">
        <w:t xml:space="preserve"> population, NOM is likely to boost the proportion of the population in the workforce and, thereby, reduce the impact of population ageing.</w:t>
      </w:r>
      <w:r w:rsidR="004D4E21">
        <w:t xml:space="preserve"> </w:t>
      </w:r>
    </w:p>
    <w:p w14:paraId="5B7F99C4" w14:textId="6805ACA8" w:rsidR="00AC5468" w:rsidRDefault="000B7EC1" w:rsidP="00AC5468">
      <w:pPr>
        <w:pStyle w:val="BodyText"/>
      </w:pPr>
      <w:r>
        <w:t>L</w:t>
      </w:r>
      <w:r w:rsidR="00AB5F53">
        <w:t xml:space="preserve">imited </w:t>
      </w:r>
      <w:r w:rsidR="00AC5468">
        <w:t>information on</w:t>
      </w:r>
      <w:r w:rsidR="00C263BB">
        <w:t xml:space="preserve"> the</w:t>
      </w:r>
      <w:r w:rsidR="00AC5468">
        <w:t xml:space="preserve"> </w:t>
      </w:r>
      <w:r w:rsidR="000F2538">
        <w:t>labour</w:t>
      </w:r>
      <w:r w:rsidR="002029F5">
        <w:t xml:space="preserve"> force</w:t>
      </w:r>
      <w:r w:rsidR="00AC5468">
        <w:t xml:space="preserve"> participation of permanent and temporary migrants indicates that migrants have similar participation rates to the </w:t>
      </w:r>
      <w:r w:rsidR="000F2538">
        <w:t>labour</w:t>
      </w:r>
      <w:r w:rsidR="002029F5">
        <w:t xml:space="preserve"> force</w:t>
      </w:r>
      <w:r w:rsidR="00AC5468">
        <w:t xml:space="preserve"> in the </w:t>
      </w:r>
      <w:r w:rsidR="00C423DD">
        <w:t xml:space="preserve">region </w:t>
      </w:r>
      <w:r w:rsidR="00AC5468">
        <w:t>of employment.</w:t>
      </w:r>
      <w:r w:rsidR="00CC3D2A" w:rsidRPr="003D567A">
        <w:rPr>
          <w:rStyle w:val="FootnoteReference"/>
        </w:rPr>
        <w:footnoteReference w:id="8"/>
      </w:r>
      <w:r w:rsidR="00AC5468">
        <w:t xml:space="preserve"> </w:t>
      </w:r>
      <w:r w:rsidR="00DB1327">
        <w:t xml:space="preserve">The </w:t>
      </w:r>
      <w:r w:rsidR="00BE67C0">
        <w:t>modelling</w:t>
      </w:r>
      <w:r w:rsidR="00DB1327">
        <w:t xml:space="preserve"> is based on the assumption </w:t>
      </w:r>
      <w:r w:rsidR="00AC5468">
        <w:t xml:space="preserve">that labour force </w:t>
      </w:r>
      <w:r w:rsidR="00AC5468">
        <w:lastRenderedPageBreak/>
        <w:t xml:space="preserve">participation rates </w:t>
      </w:r>
      <w:r w:rsidR="00FB5A9A">
        <w:t xml:space="preserve">of the </w:t>
      </w:r>
      <w:r w:rsidR="00E84B3C">
        <w:t xml:space="preserve">Australian </w:t>
      </w:r>
      <w:r w:rsidR="00FB5A9A">
        <w:t xml:space="preserve">population </w:t>
      </w:r>
      <w:r w:rsidR="00AC5468">
        <w:t xml:space="preserve">by age and gender are representative of </w:t>
      </w:r>
      <w:r w:rsidR="00C90C62">
        <w:t>the participation rates</w:t>
      </w:r>
      <w:r w:rsidR="00AC5468">
        <w:t xml:space="preserve"> of </w:t>
      </w:r>
      <w:r w:rsidR="00E84B3C">
        <w:t>NOM</w:t>
      </w:r>
      <w:r w:rsidR="00AC5468">
        <w:t xml:space="preserve">. </w:t>
      </w:r>
    </w:p>
    <w:p w14:paraId="7585E188" w14:textId="352DD11A" w:rsidR="00A543F2" w:rsidRDefault="00A543F2" w:rsidP="00A0523E">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A543F2" w14:paraId="3370BAE1" w14:textId="77777777" w:rsidTr="00A0523E">
        <w:tc>
          <w:tcPr>
            <w:tcW w:w="8771" w:type="dxa"/>
            <w:tcBorders>
              <w:top w:val="single" w:sz="6" w:space="0" w:color="78A22F"/>
              <w:left w:val="nil"/>
              <w:bottom w:val="nil"/>
              <w:right w:val="nil"/>
            </w:tcBorders>
            <w:shd w:val="clear" w:color="auto" w:fill="auto"/>
          </w:tcPr>
          <w:p w14:paraId="2C2A0FC6" w14:textId="1BA3ECD1" w:rsidR="00A543F2" w:rsidRDefault="00A543F2" w:rsidP="00A0523E">
            <w:pPr>
              <w:pStyle w:val="FigureTitle"/>
            </w:pPr>
            <w:r w:rsidRPr="00784A05">
              <w:rPr>
                <w:b w:val="0"/>
              </w:rPr>
              <w:t xml:space="preserve">Figure </w:t>
            </w:r>
            <w:proofErr w:type="spellStart"/>
            <w:r w:rsidR="000C775F">
              <w:rPr>
                <w:b w:val="0"/>
              </w:rPr>
              <w:t>B.</w:t>
            </w:r>
            <w:r w:rsidR="009015D8">
              <w:rPr>
                <w:b w:val="0"/>
                <w:noProof/>
              </w:rPr>
              <w:t>6</w:t>
            </w:r>
            <w:proofErr w:type="spellEnd"/>
            <w:r>
              <w:tab/>
            </w:r>
            <w:r w:rsidR="008E3A10">
              <w:t>Imm</w:t>
            </w:r>
            <w:r>
              <w:t>igrants have a younger age distribution compared to the Australian population</w:t>
            </w:r>
          </w:p>
          <w:p w14:paraId="64ABF206" w14:textId="04835B73" w:rsidR="00A543F2" w:rsidRPr="00176D3F" w:rsidRDefault="00810293" w:rsidP="00810293">
            <w:pPr>
              <w:pStyle w:val="Subtitle"/>
            </w:pPr>
            <w:r>
              <w:t>2014</w:t>
            </w:r>
          </w:p>
        </w:tc>
      </w:tr>
      <w:tr w:rsidR="00A543F2" w14:paraId="023469CF" w14:textId="77777777" w:rsidTr="00A0523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8504"/>
            </w:tblGrid>
            <w:tr w:rsidR="00A543F2" w14:paraId="456DCD33" w14:textId="77777777" w:rsidTr="00A0523E">
              <w:trPr>
                <w:jc w:val="center"/>
              </w:trPr>
              <w:tc>
                <w:tcPr>
                  <w:tcW w:w="5000" w:type="pct"/>
                  <w:tcBorders>
                    <w:top w:val="nil"/>
                    <w:bottom w:val="nil"/>
                  </w:tcBorders>
                </w:tcPr>
                <w:tbl>
                  <w:tblPr>
                    <w:tblW w:w="8505" w:type="dxa"/>
                    <w:jc w:val="center"/>
                    <w:tblBorders>
                      <w:top w:val="single" w:sz="6" w:space="0" w:color="F2F2F2" w:themeColor="accent4"/>
                      <w:bottom w:val="single" w:sz="6" w:space="0" w:color="F2F2F2" w:themeColor="accent4"/>
                    </w:tblBorders>
                    <w:tblLayout w:type="fixed"/>
                    <w:tblCellMar>
                      <w:top w:w="28" w:type="dxa"/>
                    </w:tblCellMar>
                    <w:tblLook w:val="04A0" w:firstRow="1" w:lastRow="0" w:firstColumn="1" w:lastColumn="0" w:noHBand="0" w:noVBand="1"/>
                  </w:tblPr>
                  <w:tblGrid>
                    <w:gridCol w:w="4259"/>
                    <w:gridCol w:w="4246"/>
                  </w:tblGrid>
                  <w:tr w:rsidR="00A543F2" w14:paraId="598E582C" w14:textId="77777777" w:rsidTr="00A543F2">
                    <w:trPr>
                      <w:trHeight w:val="170"/>
                      <w:jc w:val="center"/>
                    </w:trPr>
                    <w:tc>
                      <w:tcPr>
                        <w:tcW w:w="2504" w:type="pct"/>
                        <w:tcBorders>
                          <w:top w:val="nil"/>
                          <w:left w:val="nil"/>
                          <w:bottom w:val="nil"/>
                          <w:right w:val="nil"/>
                        </w:tcBorders>
                        <w:hideMark/>
                      </w:tcPr>
                      <w:p w14:paraId="6C72EEDB" w14:textId="77777777" w:rsidR="00A543F2" w:rsidRDefault="00A543F2">
                        <w:pPr>
                          <w:pStyle w:val="Figure"/>
                          <w:spacing w:before="60" w:after="60"/>
                          <w:rPr>
                            <w:noProof/>
                          </w:rPr>
                        </w:pPr>
                        <w:r>
                          <w:rPr>
                            <w:rFonts w:asciiTheme="majorHAnsi" w:hAnsiTheme="majorHAnsi" w:cstheme="majorHAnsi"/>
                            <w:b/>
                            <w:sz w:val="18"/>
                            <w:szCs w:val="18"/>
                          </w:rPr>
                          <w:t xml:space="preserve">a. </w:t>
                        </w:r>
                        <w:r>
                          <w:rPr>
                            <w:rFonts w:asciiTheme="majorHAnsi" w:hAnsiTheme="majorHAnsi"/>
                            <w:b/>
                            <w:sz w:val="18"/>
                          </w:rPr>
                          <w:t>Current age structure of NOM</w:t>
                        </w:r>
                      </w:p>
                    </w:tc>
                    <w:tc>
                      <w:tcPr>
                        <w:tcW w:w="2496" w:type="pct"/>
                        <w:tcBorders>
                          <w:top w:val="nil"/>
                          <w:left w:val="nil"/>
                          <w:bottom w:val="nil"/>
                          <w:right w:val="nil"/>
                        </w:tcBorders>
                        <w:hideMark/>
                      </w:tcPr>
                      <w:p w14:paraId="10424644" w14:textId="77777777" w:rsidR="00A543F2" w:rsidRDefault="00A543F2">
                        <w:pPr>
                          <w:pStyle w:val="Figure"/>
                          <w:spacing w:before="60" w:after="60"/>
                          <w:rPr>
                            <w:noProof/>
                          </w:rPr>
                        </w:pPr>
                        <w:r>
                          <w:rPr>
                            <w:rFonts w:asciiTheme="majorHAnsi" w:hAnsiTheme="majorHAnsi" w:cstheme="majorHAnsi"/>
                            <w:b/>
                            <w:sz w:val="18"/>
                            <w:szCs w:val="18"/>
                          </w:rPr>
                          <w:t xml:space="preserve">b. </w:t>
                        </w:r>
                        <w:r>
                          <w:rPr>
                            <w:rFonts w:asciiTheme="majorHAnsi" w:hAnsiTheme="majorHAnsi"/>
                            <w:b/>
                            <w:sz w:val="18"/>
                          </w:rPr>
                          <w:t>Current age structure of the population</w:t>
                        </w:r>
                      </w:p>
                    </w:tc>
                  </w:tr>
                  <w:tr w:rsidR="00A543F2" w14:paraId="31EBD6B9" w14:textId="77777777" w:rsidTr="00A543F2">
                    <w:trPr>
                      <w:trHeight w:val="170"/>
                      <w:jc w:val="center"/>
                    </w:trPr>
                    <w:tc>
                      <w:tcPr>
                        <w:tcW w:w="2504" w:type="pct"/>
                        <w:tcBorders>
                          <w:top w:val="nil"/>
                          <w:left w:val="nil"/>
                          <w:bottom w:val="nil"/>
                          <w:right w:val="nil"/>
                        </w:tcBorders>
                        <w:hideMark/>
                      </w:tcPr>
                      <w:p w14:paraId="44D97609" w14:textId="740F3E8F" w:rsidR="00A543F2" w:rsidRDefault="00243159">
                        <w:pPr>
                          <w:pStyle w:val="Figure"/>
                          <w:spacing w:before="60" w:after="60"/>
                        </w:pPr>
                        <w:r>
                          <w:rPr>
                            <w:noProof/>
                          </w:rPr>
                          <w:drawing>
                            <wp:inline distT="0" distB="0" distL="0" distR="0" wp14:anchorId="48926D44" wp14:editId="240B1389">
                              <wp:extent cx="2527300" cy="2527300"/>
                              <wp:effectExtent l="0" t="0" r="6350" b="6350"/>
                              <wp:docPr id="18" name="Picture 18" descr="This figure compares the age distribution of immigrants and the Australian population in two panels. Panel a shows the age structure  of NOM in 2014 (in thousands of people by gender and single-year age group). The majority of immigrants are concentrated in the prime working ages of 20 to 40 years. &#10;Panel b shows the age structure of the Australian population in 2014. In contrast to NOM, the age-structure of the Australian population is more evenly distributed across the age group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27300" cy="2527300"/>
                                      </a:xfrm>
                                      <a:prstGeom prst="rect">
                                        <a:avLst/>
                                      </a:prstGeom>
                                      <a:noFill/>
                                      <a:ln>
                                        <a:noFill/>
                                      </a:ln>
                                    </pic:spPr>
                                  </pic:pic>
                                </a:graphicData>
                              </a:graphic>
                            </wp:inline>
                          </w:drawing>
                        </w:r>
                      </w:p>
                    </w:tc>
                    <w:tc>
                      <w:tcPr>
                        <w:tcW w:w="2496" w:type="pct"/>
                        <w:tcBorders>
                          <w:top w:val="nil"/>
                          <w:left w:val="nil"/>
                          <w:bottom w:val="nil"/>
                          <w:right w:val="nil"/>
                        </w:tcBorders>
                        <w:hideMark/>
                      </w:tcPr>
                      <w:p w14:paraId="6592203E" w14:textId="27A8A6F4" w:rsidR="00A543F2" w:rsidRDefault="00243159">
                        <w:pPr>
                          <w:pStyle w:val="Figure"/>
                          <w:spacing w:before="60" w:after="60"/>
                        </w:pPr>
                        <w:r>
                          <w:rPr>
                            <w:noProof/>
                          </w:rPr>
                          <w:drawing>
                            <wp:inline distT="0" distB="0" distL="0" distR="0" wp14:anchorId="18B1327E" wp14:editId="57F93487">
                              <wp:extent cx="2527300" cy="2527300"/>
                              <wp:effectExtent l="0" t="0" r="6350" b="6350"/>
                              <wp:docPr id="19" name="Picture 19" descr="This figure compares the age distribution of immigrants and the Australian population in two panels. Panel a shows the age structure  of NOM in 2014 (in thousands of people by gender and single-year age group). The majority of immigrants are concentrated in the prime working ages of 20 to 40 years. &#10;Panel b shows the age structure of the Australian population in 2014. In contrast to NOM, the age-structure of the Australian population is more evenly distributed across the age group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27300" cy="2527300"/>
                                      </a:xfrm>
                                      <a:prstGeom prst="rect">
                                        <a:avLst/>
                                      </a:prstGeom>
                                      <a:noFill/>
                                      <a:ln>
                                        <a:noFill/>
                                      </a:ln>
                                    </pic:spPr>
                                  </pic:pic>
                                </a:graphicData>
                              </a:graphic>
                            </wp:inline>
                          </w:drawing>
                        </w:r>
                      </w:p>
                    </w:tc>
                  </w:tr>
                </w:tbl>
                <w:p w14:paraId="06BE1665" w14:textId="77777777" w:rsidR="00A543F2" w:rsidRDefault="00A543F2" w:rsidP="00A0523E">
                  <w:pPr>
                    <w:pStyle w:val="Figure"/>
                    <w:spacing w:before="60" w:after="60"/>
                  </w:pPr>
                </w:p>
              </w:tc>
            </w:tr>
          </w:tbl>
          <w:p w14:paraId="2065F353" w14:textId="77777777" w:rsidR="00A543F2" w:rsidRDefault="00A543F2" w:rsidP="00A0523E">
            <w:pPr>
              <w:pStyle w:val="Figure"/>
            </w:pPr>
          </w:p>
        </w:tc>
      </w:tr>
      <w:tr w:rsidR="00A543F2" w:rsidRPr="00176D3F" w14:paraId="7B2F5A60" w14:textId="77777777" w:rsidTr="00A0523E">
        <w:tc>
          <w:tcPr>
            <w:tcW w:w="8771" w:type="dxa"/>
            <w:tcBorders>
              <w:top w:val="nil"/>
              <w:left w:val="nil"/>
              <w:bottom w:val="nil"/>
              <w:right w:val="nil"/>
            </w:tcBorders>
            <w:shd w:val="clear" w:color="auto" w:fill="auto"/>
          </w:tcPr>
          <w:p w14:paraId="1EECBD85" w14:textId="3BA1F157" w:rsidR="00A543F2" w:rsidRPr="00176D3F" w:rsidRDefault="00A543F2" w:rsidP="00A0523E">
            <w:pPr>
              <w:pStyle w:val="Source"/>
            </w:pPr>
            <w:r>
              <w:rPr>
                <w:i/>
              </w:rPr>
              <w:t>S</w:t>
            </w:r>
            <w:r w:rsidRPr="00784A05">
              <w:rPr>
                <w:i/>
              </w:rPr>
              <w:t>ource</w:t>
            </w:r>
            <w:r w:rsidRPr="00176D3F">
              <w:t xml:space="preserve">: </w:t>
            </w:r>
            <w:r>
              <w:t>ABS (</w:t>
            </w:r>
            <w:r>
              <w:rPr>
                <w:i/>
              </w:rPr>
              <w:t>Migration, Australia, 2013</w:t>
            </w:r>
            <w:r>
              <w:rPr>
                <w:i/>
              </w:rPr>
              <w:noBreakHyphen/>
              <w:t>14</w:t>
            </w:r>
            <w:r>
              <w:t>, Cat. no. 3412.0).</w:t>
            </w:r>
          </w:p>
        </w:tc>
      </w:tr>
      <w:tr w:rsidR="00A543F2" w14:paraId="55D92E84" w14:textId="77777777" w:rsidTr="00A0523E">
        <w:tc>
          <w:tcPr>
            <w:tcW w:w="8771" w:type="dxa"/>
            <w:tcBorders>
              <w:top w:val="nil"/>
              <w:left w:val="nil"/>
              <w:bottom w:val="single" w:sz="6" w:space="0" w:color="78A22F"/>
              <w:right w:val="nil"/>
            </w:tcBorders>
            <w:shd w:val="clear" w:color="auto" w:fill="auto"/>
          </w:tcPr>
          <w:p w14:paraId="62AB0484" w14:textId="77777777" w:rsidR="00A543F2" w:rsidRDefault="00A543F2" w:rsidP="00A0523E">
            <w:pPr>
              <w:pStyle w:val="Figurespace"/>
            </w:pPr>
          </w:p>
        </w:tc>
      </w:tr>
      <w:tr w:rsidR="00A543F2" w:rsidRPr="000863A5" w14:paraId="6297082D" w14:textId="77777777" w:rsidTr="00A0523E">
        <w:tc>
          <w:tcPr>
            <w:tcW w:w="8771" w:type="dxa"/>
            <w:tcBorders>
              <w:top w:val="single" w:sz="6" w:space="0" w:color="78A22F"/>
              <w:left w:val="nil"/>
              <w:bottom w:val="nil"/>
              <w:right w:val="nil"/>
            </w:tcBorders>
          </w:tcPr>
          <w:p w14:paraId="07DA73BF" w14:textId="672997CB" w:rsidR="00A543F2" w:rsidRPr="00626D32" w:rsidRDefault="00A543F2" w:rsidP="00A0523E">
            <w:pPr>
              <w:pStyle w:val="BoxSpaceBelow"/>
            </w:pPr>
          </w:p>
        </w:tc>
      </w:tr>
    </w:tbl>
    <w:p w14:paraId="028445EE" w14:textId="614E93B7" w:rsidR="00AC5468" w:rsidRDefault="00AC5468" w:rsidP="00AC5468">
      <w:pPr>
        <w:pStyle w:val="BodyText"/>
      </w:pPr>
      <w:r>
        <w:t xml:space="preserve">NOM labour market participants are introduced into the </w:t>
      </w:r>
      <w:r w:rsidR="000F2538">
        <w:t>labour</w:t>
      </w:r>
      <w:r w:rsidR="002029F5">
        <w:t xml:space="preserve"> force</w:t>
      </w:r>
      <w:r>
        <w:t xml:space="preserve"> by occupation and </w:t>
      </w:r>
      <w:r w:rsidR="00186808">
        <w:t xml:space="preserve">region </w:t>
      </w:r>
      <w:r w:rsidR="000203BF">
        <w:t xml:space="preserve">in </w:t>
      </w:r>
      <w:proofErr w:type="spellStart"/>
      <w:r w:rsidR="00776C79">
        <w:t>VURM</w:t>
      </w:r>
      <w:proofErr w:type="spellEnd"/>
      <w:r w:rsidR="007464B0">
        <w:noBreakHyphen/>
        <w:t>MI</w:t>
      </w:r>
      <w:r>
        <w:t xml:space="preserve">. The allocation of migrants to a particular </w:t>
      </w:r>
      <w:r w:rsidR="00186808">
        <w:t xml:space="preserve">region </w:t>
      </w:r>
      <w:r>
        <w:t xml:space="preserve">is based on the recorded entry point </w:t>
      </w:r>
      <w:r w:rsidR="009E5E0E">
        <w:t>of the migrant intake</w:t>
      </w:r>
      <w:r>
        <w:t xml:space="preserve"> in 2014. </w:t>
      </w:r>
      <w:r w:rsidR="000203BF">
        <w:t xml:space="preserve">The process used to derive the estimates of </w:t>
      </w:r>
      <w:r w:rsidR="000F2538">
        <w:t>labour</w:t>
      </w:r>
      <w:r w:rsidR="002029F5">
        <w:t xml:space="preserve"> force</w:t>
      </w:r>
      <w:r w:rsidR="000203BF">
        <w:t xml:space="preserve"> participation by occupation and state is described in </w:t>
      </w:r>
      <w:r>
        <w:t>box</w:t>
      </w:r>
      <w:r w:rsidR="00C22E69">
        <w:t> </w:t>
      </w:r>
      <w:proofErr w:type="spellStart"/>
      <w:r w:rsidR="007464B0">
        <w:t>B</w:t>
      </w:r>
      <w:r>
        <w:t>.</w:t>
      </w:r>
      <w:r w:rsidR="006B0202">
        <w:t>2</w:t>
      </w:r>
      <w:proofErr w:type="spellEnd"/>
      <w:r>
        <w:t xml:space="preserve">. </w:t>
      </w:r>
    </w:p>
    <w:p w14:paraId="00AC16C6" w14:textId="1C1D56D3" w:rsidR="000C2D0F" w:rsidRDefault="000C2D0F" w:rsidP="000C2D0F">
      <w:pPr>
        <w:pStyle w:val="BodyText"/>
      </w:pPr>
      <w:r>
        <w:t xml:space="preserve">The occupational composition of NOM entrants and the Australian labour force appear to both be concentrated in professional occupations (figure </w:t>
      </w:r>
      <w:proofErr w:type="spellStart"/>
      <w:r>
        <w:t>B.</w:t>
      </w:r>
      <w:r w:rsidR="000C775F">
        <w:t>7</w:t>
      </w:r>
      <w:proofErr w:type="spellEnd"/>
      <w:r>
        <w:t>). Beyond that, NOM tends to be more concentrated in the community service and labouring occupations and less concentrated in the occupations of managers, clerical and administrative and machinery operators and drivers compared with the Australian labour force more broadly.</w:t>
      </w:r>
    </w:p>
    <w:p w14:paraId="146C533B" w14:textId="77777777" w:rsidR="000C2D0F" w:rsidRDefault="000C2D0F" w:rsidP="00AC5468">
      <w:pPr>
        <w:pStyle w:val="BodyText"/>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93BD8" w14:paraId="028445F1" w14:textId="77777777" w:rsidTr="00E36FBE">
        <w:tc>
          <w:tcPr>
            <w:tcW w:w="8771" w:type="dxa"/>
            <w:tcBorders>
              <w:top w:val="single" w:sz="6" w:space="0" w:color="78A22F"/>
              <w:left w:val="nil"/>
              <w:bottom w:val="nil"/>
              <w:right w:val="nil"/>
            </w:tcBorders>
            <w:shd w:val="clear" w:color="auto" w:fill="F2F2F2"/>
          </w:tcPr>
          <w:p w14:paraId="028445F0" w14:textId="00D74A90" w:rsidR="00F93BD8" w:rsidRDefault="00F93BD8" w:rsidP="00186808">
            <w:pPr>
              <w:pStyle w:val="BoxTitle"/>
              <w:rPr>
                <w:i/>
              </w:rPr>
            </w:pPr>
            <w:r>
              <w:rPr>
                <w:b w:val="0"/>
              </w:rPr>
              <w:lastRenderedPageBreak/>
              <w:t xml:space="preserve">Box </w:t>
            </w:r>
            <w:proofErr w:type="spellStart"/>
            <w:r w:rsidR="000C775F">
              <w:rPr>
                <w:b w:val="0"/>
              </w:rPr>
              <w:t>B.</w:t>
            </w:r>
            <w:r w:rsidR="009015D8">
              <w:rPr>
                <w:b w:val="0"/>
                <w:noProof/>
              </w:rPr>
              <w:t>2</w:t>
            </w:r>
            <w:proofErr w:type="spellEnd"/>
            <w:r>
              <w:tab/>
              <w:t xml:space="preserve">Estimating the occupational group of NOM labour force participants by </w:t>
            </w:r>
            <w:r w:rsidR="00186808">
              <w:t>region</w:t>
            </w:r>
          </w:p>
        </w:tc>
      </w:tr>
      <w:tr w:rsidR="00F93BD8" w14:paraId="028445F8" w14:textId="77777777" w:rsidTr="00E36FBE">
        <w:trPr>
          <w:cantSplit/>
        </w:trPr>
        <w:tc>
          <w:tcPr>
            <w:tcW w:w="8771" w:type="dxa"/>
            <w:tcBorders>
              <w:top w:val="nil"/>
              <w:left w:val="nil"/>
              <w:bottom w:val="nil"/>
              <w:right w:val="nil"/>
            </w:tcBorders>
            <w:shd w:val="clear" w:color="auto" w:fill="F2F2F2"/>
          </w:tcPr>
          <w:p w14:paraId="028445F2" w14:textId="77777777" w:rsidR="00F93BD8" w:rsidRDefault="00F93BD8" w:rsidP="009015D8">
            <w:pPr>
              <w:pStyle w:val="Box"/>
              <w:spacing w:before="100" w:line="257" w:lineRule="atLeast"/>
            </w:pPr>
            <w:r>
              <w:t>Estimation of the occupational composition of NOM labour force participants is undertaken in two steps.</w:t>
            </w:r>
          </w:p>
          <w:p w14:paraId="028445F3" w14:textId="6450BA6C" w:rsidR="00F93BD8" w:rsidRDefault="00F93BD8" w:rsidP="009015D8">
            <w:pPr>
              <w:pStyle w:val="Box"/>
              <w:spacing w:before="100" w:line="257" w:lineRule="atLeast"/>
            </w:pPr>
            <w:r>
              <w:t xml:space="preserve">First, a matrix of the distribution of immigrants by occupation and </w:t>
            </w:r>
            <w:r w:rsidR="00186808">
              <w:t xml:space="preserve">region </w:t>
            </w:r>
            <w:r>
              <w:t>is compiled.</w:t>
            </w:r>
          </w:p>
          <w:p w14:paraId="028445F4" w14:textId="30BFE85E" w:rsidR="00F93BD8" w:rsidRDefault="00F93BD8" w:rsidP="009015D8">
            <w:pPr>
              <w:pStyle w:val="BoxListBullet"/>
              <w:spacing w:before="80"/>
            </w:pPr>
            <w:r>
              <w:t xml:space="preserve">Permanent migrants are distributed across </w:t>
            </w:r>
            <w:r w:rsidR="002130B9">
              <w:t>four</w:t>
            </w:r>
            <w:r>
              <w:t xml:space="preserve"> visa categories (</w:t>
            </w:r>
            <w:r w:rsidR="002130B9">
              <w:t>skilled, family, humanitarian and other</w:t>
            </w:r>
            <w:r>
              <w:t xml:space="preserve">), </w:t>
            </w:r>
            <w:r w:rsidR="00411D60">
              <w:t xml:space="preserve">region </w:t>
            </w:r>
            <w:r>
              <w:t>of arrival and</w:t>
            </w:r>
            <w:r w:rsidR="004D4E21">
              <w:t xml:space="preserve"> </w:t>
            </w:r>
            <w:r>
              <w:t>occupation categories according to three years (2009</w:t>
            </w:r>
            <w:r w:rsidR="004D4E21">
              <w:t>–</w:t>
            </w:r>
            <w:r>
              <w:t xml:space="preserve">2011) </w:t>
            </w:r>
            <w:r w:rsidR="00F423D4">
              <w:t>of data from the</w:t>
            </w:r>
            <w:r w:rsidR="00990D3A" w:rsidRPr="0037676B">
              <w:rPr>
                <w:i/>
              </w:rPr>
              <w:t xml:space="preserve"> </w:t>
            </w:r>
            <w:proofErr w:type="spellStart"/>
            <w:r>
              <w:t>ACMID</w:t>
            </w:r>
            <w:proofErr w:type="spellEnd"/>
            <w:r>
              <w:t xml:space="preserve">. </w:t>
            </w:r>
          </w:p>
          <w:p w14:paraId="028445F5" w14:textId="5E8B78A3" w:rsidR="00F93BD8" w:rsidRDefault="00F93BD8" w:rsidP="009015D8">
            <w:pPr>
              <w:pStyle w:val="BoxListBullet"/>
              <w:spacing w:before="80"/>
            </w:pPr>
            <w:r>
              <w:t xml:space="preserve">Temporary migrants are distributed across </w:t>
            </w:r>
            <w:r w:rsidR="00411D60">
              <w:t xml:space="preserve">region </w:t>
            </w:r>
            <w:r>
              <w:t>of arrival and occupation categories according to three years (2010</w:t>
            </w:r>
            <w:r w:rsidR="005F551A">
              <w:t xml:space="preserve"> to </w:t>
            </w:r>
            <w:r>
              <w:t>2013) of</w:t>
            </w:r>
            <w:r w:rsidR="00F423D4">
              <w:t xml:space="preserve"> data from the </w:t>
            </w:r>
            <w:r w:rsidR="00990D3A">
              <w:rPr>
                <w:i/>
              </w:rPr>
              <w:t>(</w:t>
            </w:r>
            <w:r>
              <w:t>CORMS</w:t>
            </w:r>
            <w:r w:rsidR="00990D3A">
              <w:t>)</w:t>
            </w:r>
            <w:r w:rsidR="00F423D4">
              <w:t>.</w:t>
            </w:r>
            <w:r>
              <w:t xml:space="preserve"> </w:t>
            </w:r>
          </w:p>
          <w:p w14:paraId="028445F6" w14:textId="77777777" w:rsidR="00F93BD8" w:rsidRDefault="00F93BD8" w:rsidP="00E36FBE">
            <w:pPr>
              <w:pStyle w:val="BoxListBullet2"/>
            </w:pPr>
            <w:r>
              <w:t xml:space="preserve">Due to this limited sample size, CORMS data does not support a characterisation of the category ‘other’. The occupational distribution of the labour force for the Australian population in 2014 is used as a proxy for this category. </w:t>
            </w:r>
          </w:p>
          <w:p w14:paraId="028445F7" w14:textId="30BE2376" w:rsidR="00F93BD8" w:rsidRDefault="00F93BD8" w:rsidP="009015D8">
            <w:pPr>
              <w:pStyle w:val="Box"/>
              <w:spacing w:before="100" w:line="257" w:lineRule="atLeast"/>
            </w:pPr>
            <w:r>
              <w:t>Second,</w:t>
            </w:r>
            <w:r w:rsidR="00DC6C97">
              <w:t xml:space="preserve"> under the assumption that</w:t>
            </w:r>
            <w:r>
              <w:t xml:space="preserve"> the occupational structure of</w:t>
            </w:r>
            <w:r w:rsidR="00DC6C97">
              <w:t xml:space="preserve"> immigrants by visa category is reflective of the occupations structure of</w:t>
            </w:r>
            <w:r>
              <w:t xml:space="preserve"> emigrants for the same category, the distribution of immigrants by occupation and </w:t>
            </w:r>
            <w:r w:rsidR="00411D60">
              <w:t>regi</w:t>
            </w:r>
            <w:r w:rsidR="00480CAF">
              <w:t>o</w:t>
            </w:r>
            <w:r w:rsidR="00411D60">
              <w:t xml:space="preserve">n </w:t>
            </w:r>
            <w:r>
              <w:t xml:space="preserve">is scaled to the level of NOM for 2014 by visa category as reported by </w:t>
            </w:r>
            <w:r w:rsidR="009015D8">
              <w:t>Department of Immigration and Border Protection (</w:t>
            </w:r>
            <w:proofErr w:type="spellStart"/>
            <w:r w:rsidR="009015D8">
              <w:t>DIBP</w:t>
            </w:r>
            <w:proofErr w:type="spellEnd"/>
            <w:r w:rsidR="009015D8">
              <w:t>)</w:t>
            </w:r>
            <w:r w:rsidR="00480CAF">
              <w:rPr>
                <w:i/>
              </w:rPr>
              <w:t> </w:t>
            </w:r>
            <w:r w:rsidR="00BB6CF3" w:rsidRPr="00BB6CF3">
              <w:rPr>
                <w:rFonts w:cs="Arial"/>
              </w:rPr>
              <w:t>(2014)</w:t>
            </w:r>
            <w:r>
              <w:t xml:space="preserve">. The information is aggregated across visa categories to provide a measure of migrants’ labour force participation by occupation and </w:t>
            </w:r>
            <w:r w:rsidR="00411D60">
              <w:t>region</w:t>
            </w:r>
            <w:r>
              <w:t>.</w:t>
            </w:r>
          </w:p>
        </w:tc>
      </w:tr>
      <w:tr w:rsidR="00F93BD8" w14:paraId="028445FA" w14:textId="77777777" w:rsidTr="00E36FBE">
        <w:trPr>
          <w:cantSplit/>
        </w:trPr>
        <w:tc>
          <w:tcPr>
            <w:tcW w:w="8771" w:type="dxa"/>
            <w:tcBorders>
              <w:top w:val="nil"/>
              <w:left w:val="nil"/>
              <w:bottom w:val="nil"/>
              <w:right w:val="nil"/>
            </w:tcBorders>
            <w:shd w:val="clear" w:color="auto" w:fill="F2F2F2"/>
          </w:tcPr>
          <w:p w14:paraId="028445F9" w14:textId="57770B73" w:rsidR="00F93BD8" w:rsidRDefault="00F93BD8" w:rsidP="009015D8">
            <w:pPr>
              <w:pStyle w:val="BoxSource"/>
              <w:spacing w:before="100"/>
            </w:pPr>
            <w:r>
              <w:rPr>
                <w:i/>
              </w:rPr>
              <w:t>S</w:t>
            </w:r>
            <w:r w:rsidRPr="00784A05">
              <w:rPr>
                <w:i/>
              </w:rPr>
              <w:t>ource</w:t>
            </w:r>
            <w:r>
              <w:rPr>
                <w:i/>
              </w:rPr>
              <w:t>s</w:t>
            </w:r>
            <w:r w:rsidRPr="00176D3F">
              <w:t xml:space="preserve">: </w:t>
            </w:r>
            <w:r w:rsidRPr="00A23AC2">
              <w:t xml:space="preserve">ABS </w:t>
            </w:r>
            <w:proofErr w:type="spellStart"/>
            <w:r w:rsidRPr="00A23AC2">
              <w:t>ACMID</w:t>
            </w:r>
            <w:proofErr w:type="spellEnd"/>
            <w:r w:rsidRPr="00A23AC2">
              <w:t>, unpublished</w:t>
            </w:r>
            <w:r>
              <w:t>; ABS CORMS</w:t>
            </w:r>
            <w:r w:rsidRPr="00DD44D1">
              <w:t>, unpublished data</w:t>
            </w:r>
            <w:r>
              <w:t xml:space="preserve">; </w:t>
            </w:r>
            <w:proofErr w:type="spellStart"/>
            <w:r w:rsidR="007C4709" w:rsidRPr="00383FB5">
              <w:t>DIBP</w:t>
            </w:r>
            <w:proofErr w:type="spellEnd"/>
            <w:r w:rsidR="007C4709">
              <w:t> </w:t>
            </w:r>
            <w:r w:rsidR="00065829" w:rsidRPr="00065829">
              <w:rPr>
                <w:rFonts w:cs="Arial"/>
              </w:rPr>
              <w:t>(2014)</w:t>
            </w:r>
            <w:r>
              <w:t>.</w:t>
            </w:r>
          </w:p>
        </w:tc>
      </w:tr>
      <w:tr w:rsidR="00F93BD8" w14:paraId="028445FC" w14:textId="77777777" w:rsidTr="00E36FBE">
        <w:trPr>
          <w:cantSplit/>
        </w:trPr>
        <w:tc>
          <w:tcPr>
            <w:tcW w:w="8771" w:type="dxa"/>
            <w:tcBorders>
              <w:top w:val="nil"/>
              <w:left w:val="nil"/>
              <w:bottom w:val="single" w:sz="6" w:space="0" w:color="78A22F"/>
              <w:right w:val="nil"/>
            </w:tcBorders>
            <w:shd w:val="clear" w:color="auto" w:fill="F2F2F2"/>
          </w:tcPr>
          <w:p w14:paraId="028445FB" w14:textId="77777777" w:rsidR="00F93BD8" w:rsidRDefault="00F93BD8" w:rsidP="00E36FBE">
            <w:pPr>
              <w:pStyle w:val="Box"/>
              <w:spacing w:before="0" w:line="120" w:lineRule="exact"/>
            </w:pPr>
          </w:p>
        </w:tc>
      </w:tr>
    </w:tbl>
    <w:p w14:paraId="02844600" w14:textId="3B6D8521" w:rsidR="00F93BD8" w:rsidRDefault="00F93BD8" w:rsidP="00F93BD8">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F93BD8" w14:paraId="02844602" w14:textId="77777777" w:rsidTr="00E36FBE">
        <w:tc>
          <w:tcPr>
            <w:tcW w:w="8771" w:type="dxa"/>
            <w:tcBorders>
              <w:top w:val="single" w:sz="6" w:space="0" w:color="78A22F"/>
              <w:left w:val="nil"/>
              <w:bottom w:val="nil"/>
              <w:right w:val="nil"/>
            </w:tcBorders>
            <w:shd w:val="clear" w:color="auto" w:fill="auto"/>
          </w:tcPr>
          <w:p w14:paraId="02844601" w14:textId="2D8755AF" w:rsidR="009D6BFF" w:rsidRPr="009D6BFF" w:rsidRDefault="00F93BD8" w:rsidP="009015D8">
            <w:pPr>
              <w:pStyle w:val="FigureTitle"/>
              <w:spacing w:before="80"/>
            </w:pPr>
            <w:r w:rsidRPr="00784A05">
              <w:rPr>
                <w:b w:val="0"/>
              </w:rPr>
              <w:t xml:space="preserve">Figure </w:t>
            </w:r>
            <w:proofErr w:type="spellStart"/>
            <w:r w:rsidR="000C775F">
              <w:rPr>
                <w:b w:val="0"/>
              </w:rPr>
              <w:t>B.</w:t>
            </w:r>
            <w:r w:rsidR="009015D8">
              <w:rPr>
                <w:b w:val="0"/>
                <w:noProof/>
              </w:rPr>
              <w:t>7</w:t>
            </w:r>
            <w:proofErr w:type="spellEnd"/>
            <w:r>
              <w:tab/>
              <w:t xml:space="preserve">The </w:t>
            </w:r>
            <w:r w:rsidR="00B45E53">
              <w:t xml:space="preserve">occupational profile of the </w:t>
            </w:r>
            <w:r>
              <w:t xml:space="preserve">Australian </w:t>
            </w:r>
            <w:r w:rsidR="00B45E53">
              <w:t xml:space="preserve">and NOM </w:t>
            </w:r>
            <w:r>
              <w:t>labour force</w:t>
            </w:r>
            <w:r w:rsidR="00B8265C">
              <w:t>, 2014</w:t>
            </w:r>
            <w:r w:rsidRPr="00283762">
              <w:rPr>
                <w:rStyle w:val="NoteLabel"/>
                <w:b/>
              </w:rPr>
              <w:t>a</w:t>
            </w:r>
            <w:r>
              <w:t xml:space="preserve"> </w:t>
            </w:r>
          </w:p>
        </w:tc>
      </w:tr>
      <w:tr w:rsidR="00F93BD8" w14:paraId="02844606" w14:textId="77777777" w:rsidTr="00E36FB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990D3A" w14:paraId="2B9AFDEA" w14:textId="77777777" w:rsidTr="002F4FF3">
              <w:trPr>
                <w:trHeight w:val="108"/>
                <w:jc w:val="center"/>
              </w:trPr>
              <w:tc>
                <w:tcPr>
                  <w:tcW w:w="8504" w:type="dxa"/>
                  <w:tcBorders>
                    <w:top w:val="nil"/>
                    <w:bottom w:val="nil"/>
                  </w:tcBorders>
                </w:tcPr>
                <w:p w14:paraId="4C246747" w14:textId="08D9F4D7" w:rsidR="00990D3A" w:rsidRDefault="00243159" w:rsidP="009015D8">
                  <w:pPr>
                    <w:pStyle w:val="Figure"/>
                    <w:spacing w:before="0" w:after="0" w:line="220" w:lineRule="atLeast"/>
                  </w:pPr>
                  <w:r>
                    <w:rPr>
                      <w:noProof/>
                    </w:rPr>
                    <w:drawing>
                      <wp:inline distT="0" distB="0" distL="0" distR="0" wp14:anchorId="502DE32A" wp14:editId="272E1C99">
                        <wp:extent cx="5253355" cy="2700020"/>
                        <wp:effectExtent l="0" t="0" r="4445" b="5080"/>
                        <wp:docPr id="20" name="Picture 20" descr="This figure shows the occupational profile of the Australian workforce and of NOM estimated for 2014. The figure indicates that both the Australian workforce and NOM are concentrated in professional occupations. Beyond the professional occupations, NOM workforce participants tend to be more concentrated in the community service and labouring occupations and less concentrated in the managers and clerical and administrative occupations compared with the Australian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53355" cy="2700020"/>
                                </a:xfrm>
                                <a:prstGeom prst="rect">
                                  <a:avLst/>
                                </a:prstGeom>
                                <a:noFill/>
                                <a:ln>
                                  <a:noFill/>
                                </a:ln>
                              </pic:spPr>
                            </pic:pic>
                          </a:graphicData>
                        </a:graphic>
                      </wp:inline>
                    </w:drawing>
                  </w:r>
                </w:p>
              </w:tc>
            </w:tr>
          </w:tbl>
          <w:p w14:paraId="02844605" w14:textId="77777777" w:rsidR="00F93BD8" w:rsidRDefault="00F93BD8" w:rsidP="00E36FBE">
            <w:pPr>
              <w:pStyle w:val="Figure"/>
            </w:pPr>
          </w:p>
        </w:tc>
      </w:tr>
      <w:tr w:rsidR="00F93BD8" w:rsidRPr="00176D3F" w14:paraId="02844608" w14:textId="77777777" w:rsidTr="009015D8">
        <w:tc>
          <w:tcPr>
            <w:tcW w:w="8771" w:type="dxa"/>
            <w:tcBorders>
              <w:top w:val="nil"/>
              <w:left w:val="nil"/>
              <w:bottom w:val="nil"/>
              <w:right w:val="nil"/>
            </w:tcBorders>
            <w:shd w:val="clear" w:color="auto" w:fill="auto"/>
          </w:tcPr>
          <w:p w14:paraId="02844607" w14:textId="5916E890" w:rsidR="00F93BD8" w:rsidRPr="00176D3F" w:rsidRDefault="00F93BD8" w:rsidP="007075F4">
            <w:pPr>
              <w:pStyle w:val="Note"/>
            </w:pPr>
            <w:proofErr w:type="spellStart"/>
            <w:r>
              <w:rPr>
                <w:rStyle w:val="NoteLabel"/>
              </w:rPr>
              <w:t>a</w:t>
            </w:r>
            <w:proofErr w:type="spellEnd"/>
            <w:r w:rsidR="007075F4">
              <w:t> </w:t>
            </w:r>
            <w:r>
              <w:t>Estimates reported for the Australian labour force are for the year 2014. Estimates of occupational distribution are based on average data between 2009 and 2011 for permanent NOM workers and average data for 2010 and 2013 for temporary NOM workers. The occupational distributions were then adjusted to the level of NOM for 2014 (box</w:t>
            </w:r>
            <w:r w:rsidR="007075F4">
              <w:t> </w:t>
            </w:r>
            <w:proofErr w:type="spellStart"/>
            <w:r w:rsidR="00FD5C4F">
              <w:t>B</w:t>
            </w:r>
            <w:r>
              <w:t>.2</w:t>
            </w:r>
            <w:proofErr w:type="spellEnd"/>
            <w:r>
              <w:t>).</w:t>
            </w:r>
          </w:p>
        </w:tc>
      </w:tr>
      <w:tr w:rsidR="00F93BD8" w:rsidRPr="00176D3F" w14:paraId="0284460A" w14:textId="77777777" w:rsidTr="009015D8">
        <w:tc>
          <w:tcPr>
            <w:tcW w:w="8771" w:type="dxa"/>
            <w:tcBorders>
              <w:top w:val="nil"/>
              <w:left w:val="nil"/>
              <w:bottom w:val="single" w:sz="4" w:space="0" w:color="78A22F"/>
              <w:right w:val="nil"/>
            </w:tcBorders>
            <w:shd w:val="clear" w:color="auto" w:fill="auto"/>
          </w:tcPr>
          <w:p w14:paraId="02844609" w14:textId="7F004DF0" w:rsidR="00F93BD8" w:rsidRPr="00D26588" w:rsidRDefault="00F93BD8" w:rsidP="009015D8">
            <w:pPr>
              <w:pStyle w:val="Source"/>
              <w:spacing w:after="40"/>
            </w:pPr>
            <w:r>
              <w:rPr>
                <w:i/>
              </w:rPr>
              <w:t>S</w:t>
            </w:r>
            <w:r w:rsidRPr="00784A05">
              <w:rPr>
                <w:i/>
              </w:rPr>
              <w:t>ource</w:t>
            </w:r>
            <w:r>
              <w:rPr>
                <w:i/>
              </w:rPr>
              <w:t>s</w:t>
            </w:r>
            <w:r w:rsidRPr="00176D3F">
              <w:t xml:space="preserve">: </w:t>
            </w:r>
            <w:r>
              <w:t xml:space="preserve">Productivity Commission estimates based on </w:t>
            </w:r>
            <w:r w:rsidRPr="00122698">
              <w:t>ABS (</w:t>
            </w:r>
            <w:r w:rsidRPr="0037676B">
              <w:rPr>
                <w:i/>
              </w:rPr>
              <w:t>Labour Force, Australia, May 2015</w:t>
            </w:r>
            <w:r w:rsidRPr="00122698">
              <w:t>, Cat. no. 6202.0); ABS (</w:t>
            </w:r>
            <w:r w:rsidRPr="0037676B">
              <w:rPr>
                <w:i/>
              </w:rPr>
              <w:t>Labour Force, Australia, Detailed, Quarterly, February 2015</w:t>
            </w:r>
            <w:r w:rsidRPr="00122698">
              <w:t>, Cat. no. 6291.0.55.003)</w:t>
            </w:r>
            <w:r>
              <w:t xml:space="preserve">; </w:t>
            </w:r>
            <w:r w:rsidRPr="00122698">
              <w:t xml:space="preserve">ABS </w:t>
            </w:r>
            <w:proofErr w:type="spellStart"/>
            <w:r w:rsidR="009015D8">
              <w:t>ACMID</w:t>
            </w:r>
            <w:proofErr w:type="spellEnd"/>
            <w:r w:rsidRPr="00122698">
              <w:t xml:space="preserve">, unpublished data and, for the temporary migrants, from the ABS </w:t>
            </w:r>
            <w:r>
              <w:t>CORMS</w:t>
            </w:r>
            <w:r w:rsidRPr="00122698">
              <w:t>, unpublished data</w:t>
            </w:r>
            <w:r>
              <w:t xml:space="preserve">; </w:t>
            </w:r>
            <w:proofErr w:type="spellStart"/>
            <w:r w:rsidR="002E4194" w:rsidRPr="00383FB5">
              <w:t>DIBP</w:t>
            </w:r>
            <w:proofErr w:type="spellEnd"/>
            <w:r w:rsidR="002E4194">
              <w:t> </w:t>
            </w:r>
            <w:r w:rsidR="00BB6CF3" w:rsidRPr="00BB6CF3">
              <w:rPr>
                <w:rFonts w:cs="Arial"/>
              </w:rPr>
              <w:t>(2014)</w:t>
            </w:r>
            <w:r w:rsidR="002E4194">
              <w:t>.</w:t>
            </w:r>
            <w:r>
              <w:t xml:space="preserve"> </w:t>
            </w:r>
          </w:p>
        </w:tc>
      </w:tr>
    </w:tbl>
    <w:p w14:paraId="0284462C" w14:textId="76119599" w:rsidR="00F93BD8" w:rsidRDefault="003C0C52" w:rsidP="00F93BD8">
      <w:pPr>
        <w:pStyle w:val="Heading2"/>
      </w:pPr>
      <w:proofErr w:type="spellStart"/>
      <w:r>
        <w:lastRenderedPageBreak/>
        <w:t>B</w:t>
      </w:r>
      <w:r w:rsidR="00F93BD8">
        <w:t>.</w:t>
      </w:r>
      <w:r w:rsidR="00612FEF">
        <w:rPr>
          <w:noProof/>
        </w:rPr>
        <w:t>2</w:t>
      </w:r>
      <w:proofErr w:type="spellEnd"/>
      <w:r w:rsidR="00F93BD8">
        <w:tab/>
      </w:r>
      <w:proofErr w:type="spellStart"/>
      <w:r w:rsidR="00F93BD8">
        <w:t>Economywide</w:t>
      </w:r>
      <w:proofErr w:type="spellEnd"/>
      <w:r w:rsidR="00F93BD8">
        <w:t xml:space="preserve"> projections</w:t>
      </w:r>
    </w:p>
    <w:p w14:paraId="0284462D" w14:textId="77777777" w:rsidR="00F93BD8" w:rsidRDefault="00F93BD8" w:rsidP="00F93BD8">
      <w:pPr>
        <w:pStyle w:val="Heading3"/>
      </w:pPr>
      <w:r>
        <w:t>Macroeconomic effects</w:t>
      </w:r>
    </w:p>
    <w:p w14:paraId="588562ED" w14:textId="5825AC53" w:rsidR="001C2CFA" w:rsidRDefault="001C2CFA" w:rsidP="001C2CFA">
      <w:pPr>
        <w:pStyle w:val="BodyText"/>
      </w:pPr>
      <w:r>
        <w:t xml:space="preserve">Immigration (modelled as NOM) has a number of </w:t>
      </w:r>
      <w:r w:rsidR="00B53409">
        <w:t>impacts on</w:t>
      </w:r>
      <w:r>
        <w:t xml:space="preserve"> economic outcomes, including the </w:t>
      </w:r>
      <w:proofErr w:type="spellStart"/>
      <w:r>
        <w:t>economywide</w:t>
      </w:r>
      <w:proofErr w:type="spellEnd"/>
      <w:r>
        <w:t xml:space="preserve"> level of activity measured as real GDP. Immigration contributes to national production and income through labour supply and productivity. </w:t>
      </w:r>
    </w:p>
    <w:p w14:paraId="1030FED5" w14:textId="2BE572F0" w:rsidR="001C2CFA" w:rsidRDefault="001C2CFA" w:rsidP="001C2CFA">
      <w:pPr>
        <w:pStyle w:val="BodyText"/>
      </w:pPr>
      <w:r>
        <w:t xml:space="preserve">The increase in Australia’s labour supply from NOM is largely driven by the fact that a larger population augments the supply of labour (a </w:t>
      </w:r>
      <w:r>
        <w:rPr>
          <w:i/>
        </w:rPr>
        <w:t xml:space="preserve">population </w:t>
      </w:r>
      <w:r>
        <w:t xml:space="preserve">or scale effect). </w:t>
      </w:r>
      <w:r w:rsidR="00E6613D">
        <w:t>A</w:t>
      </w:r>
      <w:r>
        <w:t xml:space="preserve">s the age profile of NOM is relatively concentrated in prime working age groups, NOM </w:t>
      </w:r>
      <w:r w:rsidR="00E6613D">
        <w:t>also</w:t>
      </w:r>
      <w:r>
        <w:t xml:space="preserve"> increase</w:t>
      </w:r>
      <w:r w:rsidR="00E6613D">
        <w:t>s</w:t>
      </w:r>
      <w:r>
        <w:t xml:space="preserve"> the overall employment to population ratio (a </w:t>
      </w:r>
      <w:r w:rsidR="00FD5C4F" w:rsidRPr="00635C51">
        <w:rPr>
          <w:i/>
        </w:rPr>
        <w:t>participation</w:t>
      </w:r>
      <w:r w:rsidR="00FD5C4F">
        <w:t xml:space="preserve"> </w:t>
      </w:r>
      <w:r>
        <w:t>effect).</w:t>
      </w:r>
    </w:p>
    <w:p w14:paraId="42ACF7F6" w14:textId="191EB245" w:rsidR="001C2CFA" w:rsidRDefault="001C2CFA" w:rsidP="001C2CFA">
      <w:pPr>
        <w:pStyle w:val="BodyText"/>
      </w:pPr>
      <w:r>
        <w:t xml:space="preserve">Beyond </w:t>
      </w:r>
      <w:r>
        <w:rPr>
          <w:i/>
        </w:rPr>
        <w:t xml:space="preserve">population </w:t>
      </w:r>
      <w:r>
        <w:t xml:space="preserve">and </w:t>
      </w:r>
      <w:r w:rsidR="00AF2909">
        <w:rPr>
          <w:i/>
        </w:rPr>
        <w:t xml:space="preserve">participation </w:t>
      </w:r>
      <w:r>
        <w:t xml:space="preserve">effects, NOM may also affect activity levels in the economy through </w:t>
      </w:r>
      <w:r>
        <w:rPr>
          <w:i/>
        </w:rPr>
        <w:t xml:space="preserve">productivity </w:t>
      </w:r>
      <w:r>
        <w:t xml:space="preserve">effects. That is, to the extent that immigrants have a different level of </w:t>
      </w:r>
      <w:r>
        <w:rPr>
          <w:i/>
        </w:rPr>
        <w:t xml:space="preserve">labour productivity </w:t>
      </w:r>
      <w:r>
        <w:t xml:space="preserve">compared to the Australian </w:t>
      </w:r>
      <w:r w:rsidR="00FD5C4F">
        <w:t>labour force more generally</w:t>
      </w:r>
      <w:r>
        <w:t xml:space="preserve">, immigrants affect the </w:t>
      </w:r>
      <w:r w:rsidR="00FD5C4F">
        <w:t>average labour productivity</w:t>
      </w:r>
      <w:r>
        <w:t>.</w:t>
      </w:r>
      <w:r w:rsidRPr="003D567A">
        <w:rPr>
          <w:rStyle w:val="FootnoteReference"/>
        </w:rPr>
        <w:footnoteReference w:id="9"/>
      </w:r>
      <w:r>
        <w:t xml:space="preserve"> </w:t>
      </w:r>
    </w:p>
    <w:p w14:paraId="4DB8679D" w14:textId="1B67537D" w:rsidR="006A72DB" w:rsidRDefault="001C2CFA" w:rsidP="00F93BD8">
      <w:pPr>
        <w:pStyle w:val="BodyText"/>
      </w:pPr>
      <w:r>
        <w:t>The magnitudes of the effects depend on the magnitudes of the shocks and their interactions with the structure of the model and values of the parameters assumed. This is explored in the remainder of th</w:t>
      </w:r>
      <w:r w:rsidR="00972651">
        <w:t>is technical supplement</w:t>
      </w:r>
      <w:r>
        <w:t>.</w:t>
      </w:r>
    </w:p>
    <w:p w14:paraId="43A8BA6F" w14:textId="07F85CC7" w:rsidR="001C2CFA" w:rsidRDefault="00574431" w:rsidP="00F93BD8">
      <w:pPr>
        <w:pStyle w:val="BodyText"/>
      </w:pPr>
      <w:r>
        <w:t xml:space="preserve">The modelling results presented in this </w:t>
      </w:r>
      <w:r w:rsidR="00972651">
        <w:t xml:space="preserve">supplement </w:t>
      </w:r>
      <w:r>
        <w:t xml:space="preserve">for the alternative NOM scenarios are compared to the </w:t>
      </w:r>
      <w:r w:rsidR="00EF58F8">
        <w:t>business-as-usual</w:t>
      </w:r>
      <w:r>
        <w:t xml:space="preserve"> scenario. This is a common way to explain how a policy will influence the economy in isolation from other events. </w:t>
      </w:r>
    </w:p>
    <w:p w14:paraId="0284462E" w14:textId="1E2F443E" w:rsidR="00F93BD8" w:rsidRDefault="00F93BD8" w:rsidP="00F93BD8">
      <w:pPr>
        <w:pStyle w:val="BodyText"/>
      </w:pPr>
      <w:r>
        <w:t>Table </w:t>
      </w:r>
      <w:proofErr w:type="spellStart"/>
      <w:r w:rsidR="003C0C52">
        <w:t>B</w:t>
      </w:r>
      <w:r>
        <w:t>.</w:t>
      </w:r>
      <w:r w:rsidR="00FD5C4F">
        <w:t>3</w:t>
      </w:r>
      <w:proofErr w:type="spellEnd"/>
      <w:r>
        <w:t xml:space="preserve"> presents a summary of the projections of key macroeconomic variables for the period from 2014 to 2060 under the </w:t>
      </w:r>
      <w:r w:rsidR="00FD5C4F">
        <w:t xml:space="preserve">four main </w:t>
      </w:r>
      <w:r>
        <w:t>scenarios considered in this technical supplement. Table </w:t>
      </w:r>
      <w:proofErr w:type="spellStart"/>
      <w:r w:rsidR="003C0C52">
        <w:t>B</w:t>
      </w:r>
      <w:r>
        <w:t>.</w:t>
      </w:r>
      <w:r w:rsidR="00FD5C4F">
        <w:t>4</w:t>
      </w:r>
      <w:proofErr w:type="spellEnd"/>
      <w:r>
        <w:t xml:space="preserve"> presents percentage deviations of </w:t>
      </w:r>
      <w:r w:rsidR="00FD5C4F">
        <w:t xml:space="preserve">the alternative scenarios </w:t>
      </w:r>
      <w:r>
        <w:t xml:space="preserve">from the hypothetical business-as-usual scenario. </w:t>
      </w:r>
    </w:p>
    <w:p w14:paraId="0284462F" w14:textId="58D8B4E1" w:rsidR="00F93BD8" w:rsidRDefault="00F93BD8" w:rsidP="00F93BD8">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F93BD8" w14:paraId="02844632" w14:textId="77777777" w:rsidTr="00E36FBE">
        <w:tc>
          <w:tcPr>
            <w:tcW w:w="8771" w:type="dxa"/>
            <w:tcBorders>
              <w:top w:val="single" w:sz="6" w:space="0" w:color="78A22F"/>
              <w:left w:val="nil"/>
              <w:bottom w:val="nil"/>
              <w:right w:val="nil"/>
            </w:tcBorders>
            <w:shd w:val="clear" w:color="auto" w:fill="auto"/>
          </w:tcPr>
          <w:p w14:paraId="02844630" w14:textId="38F15596" w:rsidR="00F93BD8" w:rsidRDefault="00F93BD8" w:rsidP="00E36FBE">
            <w:pPr>
              <w:pStyle w:val="TableTitle"/>
            </w:pPr>
            <w:r>
              <w:rPr>
                <w:b w:val="0"/>
              </w:rPr>
              <w:t xml:space="preserve">Table </w:t>
            </w:r>
            <w:proofErr w:type="spellStart"/>
            <w:r w:rsidR="000C775F">
              <w:rPr>
                <w:b w:val="0"/>
              </w:rPr>
              <w:t>B.</w:t>
            </w:r>
            <w:r w:rsidR="009015D8">
              <w:rPr>
                <w:b w:val="0"/>
                <w:noProof/>
              </w:rPr>
              <w:t>3</w:t>
            </w:r>
            <w:proofErr w:type="spellEnd"/>
            <w:r>
              <w:tab/>
              <w:t>Projections of national effects of NOM in 2060</w:t>
            </w:r>
          </w:p>
          <w:p w14:paraId="02844631" w14:textId="67373A5F" w:rsidR="00F93BD8" w:rsidRPr="00784A05" w:rsidRDefault="00F93BD8" w:rsidP="00E36FBE">
            <w:pPr>
              <w:pStyle w:val="Subtitle"/>
            </w:pPr>
            <w:r>
              <w:t xml:space="preserve">Index </w:t>
            </w:r>
            <w:r w:rsidR="00E124E8">
              <w:t>(</w:t>
            </w:r>
            <w:r>
              <w:t>2014 = 100</w:t>
            </w:r>
            <w:r w:rsidR="00E124E8">
              <w:t>)</w:t>
            </w:r>
            <w:r w:rsidR="00E124E8">
              <w:rPr>
                <w:rStyle w:val="NoteLabel"/>
              </w:rPr>
              <w:t>a</w:t>
            </w:r>
          </w:p>
        </w:tc>
      </w:tr>
      <w:tr w:rsidR="00F93BD8" w14:paraId="028446BD" w14:textId="77777777" w:rsidTr="00E36FBE">
        <w:trPr>
          <w:cantSplit/>
        </w:trPr>
        <w:tc>
          <w:tcPr>
            <w:tcW w:w="8771" w:type="dxa"/>
            <w:tcBorders>
              <w:top w:val="nil"/>
              <w:left w:val="nil"/>
              <w:bottom w:val="nil"/>
              <w:right w:val="nil"/>
            </w:tcBorders>
            <w:shd w:val="clear" w:color="auto" w:fill="auto"/>
          </w:tcPr>
          <w:tbl>
            <w:tblPr>
              <w:tblW w:w="4881" w:type="pct"/>
              <w:tblCellMar>
                <w:top w:w="28" w:type="dxa"/>
                <w:left w:w="0" w:type="dxa"/>
                <w:right w:w="0" w:type="dxa"/>
              </w:tblCellMar>
              <w:tblLook w:val="0000" w:firstRow="0" w:lastRow="0" w:firstColumn="0" w:lastColumn="0" w:noHBand="0" w:noVBand="0"/>
            </w:tblPr>
            <w:tblGrid>
              <w:gridCol w:w="3202"/>
              <w:gridCol w:w="8"/>
              <w:gridCol w:w="1195"/>
              <w:gridCol w:w="1296"/>
              <w:gridCol w:w="1292"/>
              <w:gridCol w:w="1292"/>
            </w:tblGrid>
            <w:tr w:rsidR="00D656AB" w14:paraId="0284463D" w14:textId="77777777" w:rsidTr="00BF16A9">
              <w:tc>
                <w:tcPr>
                  <w:tcW w:w="1932" w:type="pct"/>
                  <w:tcBorders>
                    <w:top w:val="single" w:sz="6" w:space="0" w:color="BFBFBF"/>
                    <w:bottom w:val="single" w:sz="6" w:space="0" w:color="BFBFBF"/>
                  </w:tcBorders>
                  <w:shd w:val="clear" w:color="auto" w:fill="auto"/>
                  <w:tcMar>
                    <w:top w:w="28" w:type="dxa"/>
                  </w:tcMar>
                </w:tcPr>
                <w:p w14:paraId="02844633" w14:textId="77777777" w:rsidR="00D656AB" w:rsidRDefault="00D656AB" w:rsidP="00BF16A9">
                  <w:pPr>
                    <w:pStyle w:val="TableColumnHeading"/>
                    <w:jc w:val="left"/>
                  </w:pPr>
                  <w:r>
                    <w:t>Variable</w:t>
                  </w:r>
                </w:p>
              </w:tc>
              <w:tc>
                <w:tcPr>
                  <w:tcW w:w="5" w:type="pct"/>
                  <w:tcBorders>
                    <w:top w:val="single" w:sz="6" w:space="0" w:color="BFBFBF"/>
                    <w:bottom w:val="single" w:sz="6" w:space="0" w:color="BFBFBF"/>
                  </w:tcBorders>
                  <w:shd w:val="clear" w:color="auto" w:fill="auto"/>
                </w:tcPr>
                <w:p w14:paraId="02844636" w14:textId="77777777" w:rsidR="00D656AB" w:rsidRDefault="00D656AB" w:rsidP="00BF16A9">
                  <w:pPr>
                    <w:pStyle w:val="TableColumnHeading"/>
                  </w:pPr>
                </w:p>
              </w:tc>
              <w:tc>
                <w:tcPr>
                  <w:tcW w:w="721" w:type="pct"/>
                  <w:tcBorders>
                    <w:top w:val="single" w:sz="6" w:space="0" w:color="BFBFBF"/>
                    <w:bottom w:val="single" w:sz="6" w:space="0" w:color="BFBFBF"/>
                  </w:tcBorders>
                  <w:shd w:val="clear" w:color="auto" w:fill="auto"/>
                  <w:tcMar>
                    <w:top w:w="28" w:type="dxa"/>
                  </w:tcMar>
                </w:tcPr>
                <w:p w14:paraId="02844638" w14:textId="0D65341B" w:rsidR="00D656AB" w:rsidRDefault="00D656AB" w:rsidP="00BF16A9">
                  <w:pPr>
                    <w:pStyle w:val="TableColumnHeading"/>
                  </w:pPr>
                  <w:r>
                    <w:t>Zero NOM</w:t>
                  </w:r>
                </w:p>
              </w:tc>
              <w:tc>
                <w:tcPr>
                  <w:tcW w:w="782" w:type="pct"/>
                  <w:tcBorders>
                    <w:top w:val="single" w:sz="6" w:space="0" w:color="BFBFBF"/>
                    <w:bottom w:val="single" w:sz="6" w:space="0" w:color="BFBFBF"/>
                  </w:tcBorders>
                  <w:shd w:val="clear" w:color="auto" w:fill="auto"/>
                </w:tcPr>
                <w:p w14:paraId="0284463A" w14:textId="2B07AEB5" w:rsidR="00D656AB" w:rsidRDefault="00D656AB" w:rsidP="00BF16A9">
                  <w:pPr>
                    <w:pStyle w:val="TableColumnHeading"/>
                  </w:pPr>
                  <w:r>
                    <w:t xml:space="preserve">0.3% NOM </w:t>
                  </w:r>
                  <w:r w:rsidR="00BF16A9">
                    <w:br/>
                  </w:r>
                  <w:r>
                    <w:t>to population</w:t>
                  </w:r>
                </w:p>
              </w:tc>
              <w:tc>
                <w:tcPr>
                  <w:tcW w:w="780" w:type="pct"/>
                  <w:tcBorders>
                    <w:top w:val="single" w:sz="6" w:space="0" w:color="BFBFBF"/>
                    <w:bottom w:val="single" w:sz="6" w:space="0" w:color="BFBFBF"/>
                  </w:tcBorders>
                  <w:shd w:val="clear" w:color="auto" w:fill="D9D9D9" w:themeFill="background1" w:themeFillShade="D9"/>
                </w:tcPr>
                <w:p w14:paraId="0A13F54E" w14:textId="60C62A6C" w:rsidR="00D656AB" w:rsidRDefault="00D656AB" w:rsidP="00BF16A9">
                  <w:pPr>
                    <w:pStyle w:val="TableColumnHeading"/>
                  </w:pPr>
                  <w:r>
                    <w:t xml:space="preserve">0.6% NOM </w:t>
                  </w:r>
                  <w:r w:rsidR="00BF16A9">
                    <w:br/>
                  </w:r>
                  <w:r>
                    <w:t>to population</w:t>
                  </w:r>
                  <w:r w:rsidR="00A446EA">
                    <w:br/>
                  </w:r>
                  <w:r>
                    <w:t>(</w:t>
                  </w:r>
                  <w:r w:rsidR="00523784">
                    <w:t>b</w:t>
                  </w:r>
                  <w:r>
                    <w:t>usiness-</w:t>
                  </w:r>
                  <w:r w:rsidR="00BF16A9">
                    <w:br/>
                  </w:r>
                  <w:r>
                    <w:t>as-usual)</w:t>
                  </w:r>
                </w:p>
              </w:tc>
              <w:tc>
                <w:tcPr>
                  <w:tcW w:w="780" w:type="pct"/>
                  <w:tcBorders>
                    <w:top w:val="single" w:sz="6" w:space="0" w:color="BFBFBF"/>
                    <w:bottom w:val="single" w:sz="6" w:space="0" w:color="BFBFBF"/>
                  </w:tcBorders>
                </w:tcPr>
                <w:p w14:paraId="0284463C" w14:textId="2D5654D1" w:rsidR="00D656AB" w:rsidDel="00006863" w:rsidRDefault="00D656AB" w:rsidP="00BF16A9">
                  <w:pPr>
                    <w:pStyle w:val="TableColumnHeading"/>
                  </w:pPr>
                  <w:r>
                    <w:t xml:space="preserve">1.0% NOM </w:t>
                  </w:r>
                  <w:r w:rsidR="00BF16A9">
                    <w:br/>
                  </w:r>
                  <w:r>
                    <w:t>to population</w:t>
                  </w:r>
                </w:p>
              </w:tc>
            </w:tr>
            <w:tr w:rsidR="00D656AB" w14:paraId="02844644" w14:textId="77777777" w:rsidTr="00BF16A9">
              <w:tc>
                <w:tcPr>
                  <w:tcW w:w="1932" w:type="pct"/>
                  <w:tcBorders>
                    <w:top w:val="single" w:sz="6" w:space="0" w:color="BFBFBF"/>
                  </w:tcBorders>
                </w:tcPr>
                <w:p w14:paraId="0284463E" w14:textId="77777777" w:rsidR="00D656AB" w:rsidRDefault="00D656AB" w:rsidP="00E36FBE">
                  <w:pPr>
                    <w:pStyle w:val="TableBodyText"/>
                    <w:jc w:val="left"/>
                  </w:pPr>
                  <w:r>
                    <w:t>Population</w:t>
                  </w:r>
                </w:p>
              </w:tc>
              <w:tc>
                <w:tcPr>
                  <w:tcW w:w="5" w:type="pct"/>
                  <w:tcBorders>
                    <w:top w:val="single" w:sz="6" w:space="0" w:color="BFBFBF"/>
                  </w:tcBorders>
                </w:tcPr>
                <w:p w14:paraId="02844640" w14:textId="77777777" w:rsidR="00D656AB" w:rsidRDefault="00D656AB" w:rsidP="00E36FBE">
                  <w:pPr>
                    <w:pStyle w:val="TableBodyText"/>
                  </w:pPr>
                </w:p>
              </w:tc>
              <w:tc>
                <w:tcPr>
                  <w:tcW w:w="721" w:type="pct"/>
                  <w:tcBorders>
                    <w:top w:val="single" w:sz="6" w:space="0" w:color="BFBFBF"/>
                  </w:tcBorders>
                </w:tcPr>
                <w:p w14:paraId="02844641" w14:textId="77777777" w:rsidR="00D656AB" w:rsidRDefault="00D656AB" w:rsidP="00E36FBE">
                  <w:pPr>
                    <w:pStyle w:val="TableBodyText"/>
                  </w:pPr>
                  <w:r>
                    <w:t>117</w:t>
                  </w:r>
                </w:p>
              </w:tc>
              <w:tc>
                <w:tcPr>
                  <w:tcW w:w="782" w:type="pct"/>
                  <w:tcBorders>
                    <w:top w:val="single" w:sz="6" w:space="0" w:color="BFBFBF"/>
                  </w:tcBorders>
                </w:tcPr>
                <w:p w14:paraId="02844642" w14:textId="77777777" w:rsidR="00D656AB" w:rsidRDefault="00D656AB" w:rsidP="00E36FBE">
                  <w:pPr>
                    <w:pStyle w:val="TableBodyText"/>
                  </w:pPr>
                  <w:r>
                    <w:t>148</w:t>
                  </w:r>
                </w:p>
              </w:tc>
              <w:tc>
                <w:tcPr>
                  <w:tcW w:w="780" w:type="pct"/>
                  <w:tcBorders>
                    <w:top w:val="single" w:sz="6" w:space="0" w:color="BFBFBF"/>
                  </w:tcBorders>
                  <w:shd w:val="clear" w:color="auto" w:fill="D9D9D9" w:themeFill="background1" w:themeFillShade="D9"/>
                </w:tcPr>
                <w:p w14:paraId="25CF3137" w14:textId="11B57A23" w:rsidR="00D656AB" w:rsidRDefault="00D656AB" w:rsidP="00E36FBE">
                  <w:pPr>
                    <w:pStyle w:val="TableBodyText"/>
                  </w:pPr>
                  <w:r>
                    <w:t>173</w:t>
                  </w:r>
                </w:p>
              </w:tc>
              <w:tc>
                <w:tcPr>
                  <w:tcW w:w="780" w:type="pct"/>
                  <w:tcBorders>
                    <w:top w:val="single" w:sz="6" w:space="0" w:color="BFBFBF"/>
                  </w:tcBorders>
                </w:tcPr>
                <w:p w14:paraId="02844643" w14:textId="2B9FA023" w:rsidR="00D656AB" w:rsidRDefault="00D656AB" w:rsidP="00E36FBE">
                  <w:pPr>
                    <w:pStyle w:val="TableBodyText"/>
                  </w:pPr>
                  <w:r>
                    <w:t>215</w:t>
                  </w:r>
                </w:p>
              </w:tc>
            </w:tr>
            <w:tr w:rsidR="00D656AB" w14:paraId="0284464B" w14:textId="77777777" w:rsidTr="00BF16A9">
              <w:tc>
                <w:tcPr>
                  <w:tcW w:w="1932" w:type="pct"/>
                </w:tcPr>
                <w:p w14:paraId="02844645" w14:textId="77777777" w:rsidR="00D656AB" w:rsidRDefault="00D656AB" w:rsidP="00E36FBE">
                  <w:pPr>
                    <w:pStyle w:val="TableBodyText"/>
                    <w:jc w:val="left"/>
                  </w:pPr>
                  <w:r>
                    <w:t>Labour supply (persons)</w:t>
                  </w:r>
                </w:p>
              </w:tc>
              <w:tc>
                <w:tcPr>
                  <w:tcW w:w="5" w:type="pct"/>
                </w:tcPr>
                <w:p w14:paraId="02844647" w14:textId="77777777" w:rsidR="00D656AB" w:rsidRDefault="00D656AB" w:rsidP="00E36FBE">
                  <w:pPr>
                    <w:pStyle w:val="TableBodyText"/>
                  </w:pPr>
                </w:p>
              </w:tc>
              <w:tc>
                <w:tcPr>
                  <w:tcW w:w="721" w:type="pct"/>
                </w:tcPr>
                <w:p w14:paraId="02844648" w14:textId="093EA19E" w:rsidR="00D656AB" w:rsidRDefault="00D656AB" w:rsidP="00E36FBE">
                  <w:pPr>
                    <w:pStyle w:val="TableBodyText"/>
                  </w:pPr>
                  <w:r>
                    <w:t>99</w:t>
                  </w:r>
                </w:p>
              </w:tc>
              <w:tc>
                <w:tcPr>
                  <w:tcW w:w="782" w:type="pct"/>
                </w:tcPr>
                <w:p w14:paraId="02844649" w14:textId="4EF016F4" w:rsidR="00D656AB" w:rsidRDefault="00D656AB" w:rsidP="00E36FBE">
                  <w:pPr>
                    <w:pStyle w:val="TableBodyText"/>
                  </w:pPr>
                  <w:r>
                    <w:t>133</w:t>
                  </w:r>
                </w:p>
              </w:tc>
              <w:tc>
                <w:tcPr>
                  <w:tcW w:w="780" w:type="pct"/>
                  <w:shd w:val="clear" w:color="auto" w:fill="D9D9D9" w:themeFill="background1" w:themeFillShade="D9"/>
                </w:tcPr>
                <w:p w14:paraId="37B241A1" w14:textId="7DBA1765" w:rsidR="00D656AB" w:rsidRDefault="00D656AB" w:rsidP="00E36FBE">
                  <w:pPr>
                    <w:pStyle w:val="TableBodyText"/>
                  </w:pPr>
                  <w:r>
                    <w:t>160</w:t>
                  </w:r>
                </w:p>
              </w:tc>
              <w:tc>
                <w:tcPr>
                  <w:tcW w:w="780" w:type="pct"/>
                </w:tcPr>
                <w:p w14:paraId="0284464A" w14:textId="3435D0C2" w:rsidR="00D656AB" w:rsidRDefault="00D656AB" w:rsidP="00E36FBE">
                  <w:pPr>
                    <w:pStyle w:val="TableBodyText"/>
                  </w:pPr>
                  <w:r>
                    <w:t>204</w:t>
                  </w:r>
                </w:p>
              </w:tc>
            </w:tr>
            <w:tr w:rsidR="00D656AB" w14:paraId="535D56F3" w14:textId="77777777" w:rsidTr="008C34B7">
              <w:tc>
                <w:tcPr>
                  <w:tcW w:w="1932" w:type="pct"/>
                </w:tcPr>
                <w:p w14:paraId="17B304EB" w14:textId="320DEAF6" w:rsidR="00D656AB" w:rsidRDefault="00D656AB" w:rsidP="00E36FBE">
                  <w:pPr>
                    <w:pStyle w:val="TableBodyText"/>
                    <w:jc w:val="left"/>
                  </w:pPr>
                  <w:r>
                    <w:t>Employment (hours)</w:t>
                  </w:r>
                </w:p>
              </w:tc>
              <w:tc>
                <w:tcPr>
                  <w:tcW w:w="4" w:type="pct"/>
                </w:tcPr>
                <w:p w14:paraId="5AC7D183" w14:textId="77777777" w:rsidR="00D656AB" w:rsidRDefault="00D656AB" w:rsidP="00E36FBE">
                  <w:pPr>
                    <w:pStyle w:val="TableBodyText"/>
                  </w:pPr>
                </w:p>
              </w:tc>
              <w:tc>
                <w:tcPr>
                  <w:tcW w:w="721" w:type="pct"/>
                </w:tcPr>
                <w:p w14:paraId="3EBD62F6" w14:textId="737B5EE3" w:rsidR="00D656AB" w:rsidRDefault="00D656AB" w:rsidP="00E36FBE">
                  <w:pPr>
                    <w:pStyle w:val="TableBodyText"/>
                  </w:pPr>
                  <w:r>
                    <w:t>88</w:t>
                  </w:r>
                </w:p>
              </w:tc>
              <w:tc>
                <w:tcPr>
                  <w:tcW w:w="782" w:type="pct"/>
                </w:tcPr>
                <w:p w14:paraId="028A3F14" w14:textId="5EF431DC" w:rsidR="00D656AB" w:rsidRDefault="00D656AB" w:rsidP="00E36FBE">
                  <w:pPr>
                    <w:pStyle w:val="TableBodyText"/>
                  </w:pPr>
                  <w:r>
                    <w:t>118</w:t>
                  </w:r>
                </w:p>
              </w:tc>
              <w:tc>
                <w:tcPr>
                  <w:tcW w:w="780" w:type="pct"/>
                  <w:shd w:val="clear" w:color="auto" w:fill="D9D9D9" w:themeFill="background1" w:themeFillShade="D9"/>
                </w:tcPr>
                <w:p w14:paraId="5A19C8EC" w14:textId="043070AC" w:rsidR="00D656AB" w:rsidRDefault="00D656AB" w:rsidP="00E36FBE">
                  <w:pPr>
                    <w:pStyle w:val="TableBodyText"/>
                  </w:pPr>
                  <w:r>
                    <w:t>144</w:t>
                  </w:r>
                </w:p>
              </w:tc>
              <w:tc>
                <w:tcPr>
                  <w:tcW w:w="780" w:type="pct"/>
                </w:tcPr>
                <w:p w14:paraId="0CA28F3A" w14:textId="3DFAD067" w:rsidR="00D656AB" w:rsidRDefault="00D656AB" w:rsidP="00E36FBE">
                  <w:pPr>
                    <w:pStyle w:val="TableBodyText"/>
                  </w:pPr>
                  <w:r>
                    <w:t>185</w:t>
                  </w:r>
                </w:p>
              </w:tc>
            </w:tr>
            <w:tr w:rsidR="00D656AB" w14:paraId="0CAC505D" w14:textId="77777777" w:rsidTr="008C34B7">
              <w:tc>
                <w:tcPr>
                  <w:tcW w:w="1932" w:type="pct"/>
                </w:tcPr>
                <w:p w14:paraId="21F2BB7C" w14:textId="33E2FC9D" w:rsidR="00D656AB" w:rsidRDefault="00D656AB" w:rsidP="00E36FBE">
                  <w:pPr>
                    <w:pStyle w:val="TableBodyText"/>
                    <w:jc w:val="left"/>
                  </w:pPr>
                  <w:r>
                    <w:t xml:space="preserve">Labour </w:t>
                  </w:r>
                  <w:r w:rsidR="00E124E8">
                    <w:t>productivity</w:t>
                  </w:r>
                  <w:r w:rsidR="00E124E8">
                    <w:rPr>
                      <w:rStyle w:val="NoteLabel"/>
                    </w:rPr>
                    <w:t>b</w:t>
                  </w:r>
                </w:p>
              </w:tc>
              <w:tc>
                <w:tcPr>
                  <w:tcW w:w="4" w:type="pct"/>
                </w:tcPr>
                <w:p w14:paraId="7CEE4909" w14:textId="77777777" w:rsidR="00D656AB" w:rsidRDefault="00D656AB" w:rsidP="00E36FBE">
                  <w:pPr>
                    <w:pStyle w:val="TableBodyText"/>
                  </w:pPr>
                </w:p>
              </w:tc>
              <w:tc>
                <w:tcPr>
                  <w:tcW w:w="721" w:type="pct"/>
                </w:tcPr>
                <w:p w14:paraId="5C74D687" w14:textId="7CF9DDBC" w:rsidR="00D656AB" w:rsidRDefault="00D656AB" w:rsidP="00E36FBE">
                  <w:pPr>
                    <w:pStyle w:val="TableBodyText"/>
                  </w:pPr>
                  <w:r>
                    <w:t>189</w:t>
                  </w:r>
                </w:p>
              </w:tc>
              <w:tc>
                <w:tcPr>
                  <w:tcW w:w="782" w:type="pct"/>
                </w:tcPr>
                <w:p w14:paraId="0956E76A" w14:textId="18BC79FF" w:rsidR="00D656AB" w:rsidRDefault="00D656AB" w:rsidP="00E36FBE">
                  <w:pPr>
                    <w:pStyle w:val="TableBodyText"/>
                  </w:pPr>
                  <w:r>
                    <w:t>187</w:t>
                  </w:r>
                </w:p>
              </w:tc>
              <w:tc>
                <w:tcPr>
                  <w:tcW w:w="780" w:type="pct"/>
                  <w:shd w:val="clear" w:color="auto" w:fill="D9D9D9" w:themeFill="background1" w:themeFillShade="D9"/>
                </w:tcPr>
                <w:p w14:paraId="6A20D523" w14:textId="515F3799" w:rsidR="00D656AB" w:rsidRDefault="00D656AB" w:rsidP="00E36FBE">
                  <w:pPr>
                    <w:pStyle w:val="TableBodyText"/>
                  </w:pPr>
                  <w:r>
                    <w:t>186</w:t>
                  </w:r>
                </w:p>
              </w:tc>
              <w:tc>
                <w:tcPr>
                  <w:tcW w:w="780" w:type="pct"/>
                </w:tcPr>
                <w:p w14:paraId="65F89656" w14:textId="24D3BDB0" w:rsidR="00D656AB" w:rsidRDefault="00D656AB" w:rsidP="00E36FBE">
                  <w:pPr>
                    <w:pStyle w:val="TableBodyText"/>
                  </w:pPr>
                  <w:r>
                    <w:t>184</w:t>
                  </w:r>
                </w:p>
              </w:tc>
            </w:tr>
            <w:tr w:rsidR="00D656AB" w14:paraId="02844652" w14:textId="77777777" w:rsidTr="008C34B7">
              <w:tc>
                <w:tcPr>
                  <w:tcW w:w="1932" w:type="pct"/>
                </w:tcPr>
                <w:p w14:paraId="0284464C" w14:textId="77777777" w:rsidR="00D656AB" w:rsidRDefault="00D656AB" w:rsidP="00BF16A9">
                  <w:pPr>
                    <w:pStyle w:val="TableBodyText"/>
                    <w:spacing w:before="160"/>
                    <w:jc w:val="left"/>
                  </w:pPr>
                  <w:r>
                    <w:t>Real GDP</w:t>
                  </w:r>
                </w:p>
              </w:tc>
              <w:tc>
                <w:tcPr>
                  <w:tcW w:w="4" w:type="pct"/>
                </w:tcPr>
                <w:p w14:paraId="0284464E" w14:textId="77777777" w:rsidR="00D656AB" w:rsidRDefault="00D656AB" w:rsidP="00BF16A9">
                  <w:pPr>
                    <w:pStyle w:val="TableBodyText"/>
                    <w:spacing w:before="160"/>
                  </w:pPr>
                </w:p>
              </w:tc>
              <w:tc>
                <w:tcPr>
                  <w:tcW w:w="721" w:type="pct"/>
                </w:tcPr>
                <w:p w14:paraId="0284464F" w14:textId="77777777" w:rsidR="00D656AB" w:rsidRDefault="00D656AB" w:rsidP="00BF16A9">
                  <w:pPr>
                    <w:pStyle w:val="TableBodyText"/>
                    <w:spacing w:before="160"/>
                  </w:pPr>
                  <w:r>
                    <w:t>165</w:t>
                  </w:r>
                </w:p>
              </w:tc>
              <w:tc>
                <w:tcPr>
                  <w:tcW w:w="782" w:type="pct"/>
                </w:tcPr>
                <w:p w14:paraId="02844650" w14:textId="77777777" w:rsidR="00D656AB" w:rsidRDefault="00D656AB" w:rsidP="00BF16A9">
                  <w:pPr>
                    <w:pStyle w:val="TableBodyText"/>
                    <w:spacing w:before="160"/>
                  </w:pPr>
                  <w:r>
                    <w:t>219</w:t>
                  </w:r>
                </w:p>
              </w:tc>
              <w:tc>
                <w:tcPr>
                  <w:tcW w:w="780" w:type="pct"/>
                  <w:shd w:val="clear" w:color="auto" w:fill="D9D9D9" w:themeFill="background1" w:themeFillShade="D9"/>
                </w:tcPr>
                <w:p w14:paraId="0D813C94" w14:textId="4CE4BC80" w:rsidR="00D656AB" w:rsidRDefault="00D656AB" w:rsidP="00BF16A9">
                  <w:pPr>
                    <w:pStyle w:val="TableBodyText"/>
                    <w:spacing w:before="160"/>
                  </w:pPr>
                  <w:r>
                    <w:t>264</w:t>
                  </w:r>
                </w:p>
              </w:tc>
              <w:tc>
                <w:tcPr>
                  <w:tcW w:w="780" w:type="pct"/>
                </w:tcPr>
                <w:p w14:paraId="02844651" w14:textId="083FAA9F" w:rsidR="00D656AB" w:rsidRDefault="00D656AB" w:rsidP="00BF16A9">
                  <w:pPr>
                    <w:pStyle w:val="TableBodyText"/>
                    <w:spacing w:before="160"/>
                  </w:pPr>
                  <w:r>
                    <w:t>337</w:t>
                  </w:r>
                </w:p>
              </w:tc>
            </w:tr>
            <w:tr w:rsidR="00D656AB" w14:paraId="02844659" w14:textId="77777777" w:rsidTr="00BF16A9">
              <w:tc>
                <w:tcPr>
                  <w:tcW w:w="1932" w:type="pct"/>
                </w:tcPr>
                <w:p w14:paraId="02844653" w14:textId="77777777" w:rsidR="00D656AB" w:rsidRDefault="00D656AB" w:rsidP="00E36FBE">
                  <w:pPr>
                    <w:pStyle w:val="TableBodyText"/>
                    <w:jc w:val="left"/>
                  </w:pPr>
                  <w:r>
                    <w:t xml:space="preserve">Real </w:t>
                  </w:r>
                  <w:proofErr w:type="spellStart"/>
                  <w:r>
                    <w:t>GNE</w:t>
                  </w:r>
                  <w:proofErr w:type="spellEnd"/>
                </w:p>
              </w:tc>
              <w:tc>
                <w:tcPr>
                  <w:tcW w:w="5" w:type="pct"/>
                </w:tcPr>
                <w:p w14:paraId="02844655" w14:textId="77777777" w:rsidR="00D656AB" w:rsidRDefault="00D656AB" w:rsidP="00E36FBE">
                  <w:pPr>
                    <w:pStyle w:val="TableBodyText"/>
                  </w:pPr>
                </w:p>
              </w:tc>
              <w:tc>
                <w:tcPr>
                  <w:tcW w:w="721" w:type="pct"/>
                </w:tcPr>
                <w:p w14:paraId="02844656" w14:textId="77777777" w:rsidR="00D656AB" w:rsidRDefault="00D656AB" w:rsidP="00E36FBE">
                  <w:pPr>
                    <w:pStyle w:val="TableBodyText"/>
                  </w:pPr>
                  <w:r>
                    <w:t>153</w:t>
                  </w:r>
                </w:p>
              </w:tc>
              <w:tc>
                <w:tcPr>
                  <w:tcW w:w="782" w:type="pct"/>
                </w:tcPr>
                <w:p w14:paraId="02844657" w14:textId="77777777" w:rsidR="00D656AB" w:rsidRDefault="00D656AB" w:rsidP="00E36FBE">
                  <w:pPr>
                    <w:pStyle w:val="TableBodyText"/>
                  </w:pPr>
                  <w:r>
                    <w:t>202</w:t>
                  </w:r>
                </w:p>
              </w:tc>
              <w:tc>
                <w:tcPr>
                  <w:tcW w:w="780" w:type="pct"/>
                  <w:shd w:val="clear" w:color="auto" w:fill="D9D9D9" w:themeFill="background1" w:themeFillShade="D9"/>
                </w:tcPr>
                <w:p w14:paraId="494A7737" w14:textId="7E20651F" w:rsidR="00D656AB" w:rsidRDefault="00D656AB" w:rsidP="00E36FBE">
                  <w:pPr>
                    <w:pStyle w:val="TableBodyText"/>
                  </w:pPr>
                  <w:r>
                    <w:t>242</w:t>
                  </w:r>
                </w:p>
              </w:tc>
              <w:tc>
                <w:tcPr>
                  <w:tcW w:w="780" w:type="pct"/>
                </w:tcPr>
                <w:p w14:paraId="02844658" w14:textId="26D15F87" w:rsidR="00D656AB" w:rsidRDefault="00D656AB" w:rsidP="00E36FBE">
                  <w:pPr>
                    <w:pStyle w:val="TableBodyText"/>
                  </w:pPr>
                  <w:r>
                    <w:t>308</w:t>
                  </w:r>
                </w:p>
              </w:tc>
            </w:tr>
            <w:tr w:rsidR="00D656AB" w14:paraId="02844660" w14:textId="77777777" w:rsidTr="00BF16A9">
              <w:tc>
                <w:tcPr>
                  <w:tcW w:w="1932" w:type="pct"/>
                </w:tcPr>
                <w:p w14:paraId="0284465A" w14:textId="77777777" w:rsidR="00D656AB" w:rsidRPr="007F7498" w:rsidRDefault="00D656AB" w:rsidP="00E36FBE">
                  <w:pPr>
                    <w:pStyle w:val="TableBodyText"/>
                    <w:jc w:val="left"/>
                    <w:rPr>
                      <w:i/>
                    </w:rPr>
                  </w:pPr>
                  <w:r w:rsidRPr="007F7498">
                    <w:rPr>
                      <w:i/>
                    </w:rPr>
                    <w:t>of which</w:t>
                  </w:r>
                </w:p>
              </w:tc>
              <w:tc>
                <w:tcPr>
                  <w:tcW w:w="5" w:type="pct"/>
                </w:tcPr>
                <w:p w14:paraId="0284465C" w14:textId="77777777" w:rsidR="00D656AB" w:rsidRDefault="00D656AB" w:rsidP="00E36FBE">
                  <w:pPr>
                    <w:pStyle w:val="TableBodyText"/>
                  </w:pPr>
                </w:p>
              </w:tc>
              <w:tc>
                <w:tcPr>
                  <w:tcW w:w="721" w:type="pct"/>
                </w:tcPr>
                <w:p w14:paraId="0284465D" w14:textId="77777777" w:rsidR="00D656AB" w:rsidRDefault="00D656AB" w:rsidP="00E36FBE">
                  <w:pPr>
                    <w:pStyle w:val="TableBodyText"/>
                  </w:pPr>
                </w:p>
              </w:tc>
              <w:tc>
                <w:tcPr>
                  <w:tcW w:w="782" w:type="pct"/>
                </w:tcPr>
                <w:p w14:paraId="0284465E" w14:textId="77777777" w:rsidR="00D656AB" w:rsidRDefault="00D656AB" w:rsidP="00E36FBE">
                  <w:pPr>
                    <w:pStyle w:val="TableBodyText"/>
                  </w:pPr>
                </w:p>
              </w:tc>
              <w:tc>
                <w:tcPr>
                  <w:tcW w:w="780" w:type="pct"/>
                  <w:shd w:val="clear" w:color="auto" w:fill="D9D9D9" w:themeFill="background1" w:themeFillShade="D9"/>
                </w:tcPr>
                <w:p w14:paraId="4CA76F53" w14:textId="77777777" w:rsidR="00D656AB" w:rsidRDefault="00D656AB" w:rsidP="00E36FBE">
                  <w:pPr>
                    <w:pStyle w:val="TableBodyText"/>
                  </w:pPr>
                </w:p>
              </w:tc>
              <w:tc>
                <w:tcPr>
                  <w:tcW w:w="780" w:type="pct"/>
                </w:tcPr>
                <w:p w14:paraId="0284465F" w14:textId="34982A9C" w:rsidR="00D656AB" w:rsidRDefault="00D656AB" w:rsidP="00E36FBE">
                  <w:pPr>
                    <w:pStyle w:val="TableBodyText"/>
                  </w:pPr>
                </w:p>
              </w:tc>
            </w:tr>
            <w:tr w:rsidR="00D656AB" w14:paraId="02844667" w14:textId="77777777" w:rsidTr="00BF16A9">
              <w:tc>
                <w:tcPr>
                  <w:tcW w:w="1932" w:type="pct"/>
                </w:tcPr>
                <w:p w14:paraId="02844661" w14:textId="748263A9" w:rsidR="00D656AB" w:rsidRDefault="007F2960" w:rsidP="00E36FBE">
                  <w:pPr>
                    <w:pStyle w:val="TableBodyText"/>
                    <w:jc w:val="left"/>
                  </w:pPr>
                  <w:r>
                    <w:t xml:space="preserve"> </w:t>
                  </w:r>
                  <w:r w:rsidR="00D656AB">
                    <w:t>Real household consumption</w:t>
                  </w:r>
                </w:p>
              </w:tc>
              <w:tc>
                <w:tcPr>
                  <w:tcW w:w="5" w:type="pct"/>
                </w:tcPr>
                <w:p w14:paraId="02844663" w14:textId="77777777" w:rsidR="00D656AB" w:rsidRDefault="00D656AB" w:rsidP="00E36FBE">
                  <w:pPr>
                    <w:pStyle w:val="TableBodyText"/>
                  </w:pPr>
                </w:p>
              </w:tc>
              <w:tc>
                <w:tcPr>
                  <w:tcW w:w="721" w:type="pct"/>
                </w:tcPr>
                <w:p w14:paraId="02844664" w14:textId="77777777" w:rsidR="00D656AB" w:rsidRDefault="00D656AB" w:rsidP="00E36FBE">
                  <w:pPr>
                    <w:pStyle w:val="TableBodyText"/>
                  </w:pPr>
                  <w:r>
                    <w:t>158</w:t>
                  </w:r>
                </w:p>
              </w:tc>
              <w:tc>
                <w:tcPr>
                  <w:tcW w:w="782" w:type="pct"/>
                </w:tcPr>
                <w:p w14:paraId="02844665" w14:textId="77777777" w:rsidR="00D656AB" w:rsidRDefault="00D656AB" w:rsidP="00E36FBE">
                  <w:pPr>
                    <w:pStyle w:val="TableBodyText"/>
                  </w:pPr>
                  <w:r>
                    <w:t>212</w:t>
                  </w:r>
                </w:p>
              </w:tc>
              <w:tc>
                <w:tcPr>
                  <w:tcW w:w="780" w:type="pct"/>
                  <w:shd w:val="clear" w:color="auto" w:fill="D9D9D9" w:themeFill="background1" w:themeFillShade="D9"/>
                </w:tcPr>
                <w:p w14:paraId="237599B5" w14:textId="3BD4424F" w:rsidR="00D656AB" w:rsidRDefault="00D656AB" w:rsidP="00E36FBE">
                  <w:pPr>
                    <w:pStyle w:val="TableBodyText"/>
                  </w:pPr>
                  <w:r>
                    <w:t>257</w:t>
                  </w:r>
                </w:p>
              </w:tc>
              <w:tc>
                <w:tcPr>
                  <w:tcW w:w="780" w:type="pct"/>
                </w:tcPr>
                <w:p w14:paraId="02844666" w14:textId="2E3ADE79" w:rsidR="00D656AB" w:rsidRDefault="00D656AB" w:rsidP="00E36FBE">
                  <w:pPr>
                    <w:pStyle w:val="TableBodyText"/>
                  </w:pPr>
                  <w:r>
                    <w:t>328</w:t>
                  </w:r>
                </w:p>
              </w:tc>
            </w:tr>
            <w:tr w:rsidR="00D656AB" w14:paraId="0284466E" w14:textId="77777777" w:rsidTr="00BF16A9">
              <w:tc>
                <w:tcPr>
                  <w:tcW w:w="1932" w:type="pct"/>
                </w:tcPr>
                <w:p w14:paraId="02844668" w14:textId="3F8D71E4" w:rsidR="00D656AB" w:rsidRDefault="007F2960" w:rsidP="00E36FBE">
                  <w:pPr>
                    <w:pStyle w:val="TableBodyText"/>
                    <w:jc w:val="left"/>
                  </w:pPr>
                  <w:r>
                    <w:t xml:space="preserve"> </w:t>
                  </w:r>
                  <w:r w:rsidR="00D656AB">
                    <w:t>Real government consumption</w:t>
                  </w:r>
                </w:p>
              </w:tc>
              <w:tc>
                <w:tcPr>
                  <w:tcW w:w="5" w:type="pct"/>
                </w:tcPr>
                <w:p w14:paraId="0284466A" w14:textId="77777777" w:rsidR="00D656AB" w:rsidRDefault="00D656AB" w:rsidP="00E36FBE">
                  <w:pPr>
                    <w:pStyle w:val="TableBodyText"/>
                  </w:pPr>
                </w:p>
              </w:tc>
              <w:tc>
                <w:tcPr>
                  <w:tcW w:w="721" w:type="pct"/>
                </w:tcPr>
                <w:p w14:paraId="0284466B" w14:textId="77777777" w:rsidR="00D656AB" w:rsidRDefault="00D656AB" w:rsidP="00E36FBE">
                  <w:pPr>
                    <w:pStyle w:val="TableBodyText"/>
                  </w:pPr>
                  <w:r>
                    <w:t>201</w:t>
                  </w:r>
                </w:p>
              </w:tc>
              <w:tc>
                <w:tcPr>
                  <w:tcW w:w="782" w:type="pct"/>
                </w:tcPr>
                <w:p w14:paraId="0284466C" w14:textId="77777777" w:rsidR="00D656AB" w:rsidRDefault="00D656AB" w:rsidP="00E36FBE">
                  <w:pPr>
                    <w:pStyle w:val="TableBodyText"/>
                  </w:pPr>
                  <w:r>
                    <w:t>251</w:t>
                  </w:r>
                </w:p>
              </w:tc>
              <w:tc>
                <w:tcPr>
                  <w:tcW w:w="780" w:type="pct"/>
                  <w:shd w:val="clear" w:color="auto" w:fill="D9D9D9" w:themeFill="background1" w:themeFillShade="D9"/>
                </w:tcPr>
                <w:p w14:paraId="5B1E7E43" w14:textId="5900A7B1" w:rsidR="00D656AB" w:rsidRDefault="00D656AB" w:rsidP="00E36FBE">
                  <w:pPr>
                    <w:pStyle w:val="TableBodyText"/>
                  </w:pPr>
                  <w:r>
                    <w:t>291</w:t>
                  </w:r>
                </w:p>
              </w:tc>
              <w:tc>
                <w:tcPr>
                  <w:tcW w:w="780" w:type="pct"/>
                </w:tcPr>
                <w:p w14:paraId="0284466D" w14:textId="74D2EEC2" w:rsidR="00D656AB" w:rsidRDefault="00D656AB" w:rsidP="00E36FBE">
                  <w:pPr>
                    <w:pStyle w:val="TableBodyText"/>
                  </w:pPr>
                  <w:r>
                    <w:t>355</w:t>
                  </w:r>
                </w:p>
              </w:tc>
            </w:tr>
            <w:tr w:rsidR="00D656AB" w14:paraId="02844675" w14:textId="77777777" w:rsidTr="00BF16A9">
              <w:tc>
                <w:tcPr>
                  <w:tcW w:w="1932" w:type="pct"/>
                  <w:shd w:val="clear" w:color="auto" w:fill="auto"/>
                </w:tcPr>
                <w:p w14:paraId="0284466F" w14:textId="5AB73C20" w:rsidR="00D656AB" w:rsidRDefault="008809C8" w:rsidP="00E36FBE">
                  <w:pPr>
                    <w:pStyle w:val="TableBodyText"/>
                    <w:jc w:val="left"/>
                  </w:pPr>
                  <w:r>
                    <w:t xml:space="preserve"> </w:t>
                  </w:r>
                  <w:r w:rsidR="00D656AB">
                    <w:t>Real investment</w:t>
                  </w:r>
                </w:p>
              </w:tc>
              <w:tc>
                <w:tcPr>
                  <w:tcW w:w="5" w:type="pct"/>
                  <w:shd w:val="clear" w:color="auto" w:fill="auto"/>
                </w:tcPr>
                <w:p w14:paraId="02844671" w14:textId="77777777" w:rsidR="00D656AB" w:rsidRDefault="00D656AB" w:rsidP="00E36FBE">
                  <w:pPr>
                    <w:pStyle w:val="TableBodyText"/>
                  </w:pPr>
                </w:p>
              </w:tc>
              <w:tc>
                <w:tcPr>
                  <w:tcW w:w="721" w:type="pct"/>
                  <w:shd w:val="clear" w:color="auto" w:fill="auto"/>
                </w:tcPr>
                <w:p w14:paraId="02844672" w14:textId="77777777" w:rsidR="00D656AB" w:rsidRDefault="00D656AB" w:rsidP="00E36FBE">
                  <w:pPr>
                    <w:pStyle w:val="TableBodyText"/>
                  </w:pPr>
                  <w:r>
                    <w:t>89</w:t>
                  </w:r>
                </w:p>
              </w:tc>
              <w:tc>
                <w:tcPr>
                  <w:tcW w:w="782" w:type="pct"/>
                  <w:shd w:val="clear" w:color="auto" w:fill="auto"/>
                </w:tcPr>
                <w:p w14:paraId="02844673" w14:textId="77777777" w:rsidR="00D656AB" w:rsidRDefault="00D656AB" w:rsidP="00E36FBE">
                  <w:pPr>
                    <w:pStyle w:val="TableBodyText"/>
                  </w:pPr>
                  <w:r>
                    <w:t>126</w:t>
                  </w:r>
                </w:p>
              </w:tc>
              <w:tc>
                <w:tcPr>
                  <w:tcW w:w="780" w:type="pct"/>
                  <w:shd w:val="clear" w:color="auto" w:fill="D9D9D9" w:themeFill="background1" w:themeFillShade="D9"/>
                </w:tcPr>
                <w:p w14:paraId="70AAF689" w14:textId="092E06B9" w:rsidR="00D656AB" w:rsidRDefault="00D656AB" w:rsidP="00E36FBE">
                  <w:pPr>
                    <w:pStyle w:val="TableBodyText"/>
                  </w:pPr>
                  <w:r>
                    <w:t>161</w:t>
                  </w:r>
                </w:p>
              </w:tc>
              <w:tc>
                <w:tcPr>
                  <w:tcW w:w="780" w:type="pct"/>
                </w:tcPr>
                <w:p w14:paraId="02844674" w14:textId="7D884AD0" w:rsidR="00D656AB" w:rsidRDefault="00D656AB" w:rsidP="00E36FBE">
                  <w:pPr>
                    <w:pStyle w:val="TableBodyText"/>
                  </w:pPr>
                  <w:r>
                    <w:t>218</w:t>
                  </w:r>
                </w:p>
              </w:tc>
            </w:tr>
            <w:tr w:rsidR="00D656AB" w14:paraId="0284467C" w14:textId="77777777" w:rsidTr="00BF16A9">
              <w:tc>
                <w:tcPr>
                  <w:tcW w:w="1932" w:type="pct"/>
                  <w:shd w:val="clear" w:color="auto" w:fill="auto"/>
                </w:tcPr>
                <w:p w14:paraId="02844676" w14:textId="77777777" w:rsidR="00D656AB" w:rsidRDefault="00D656AB" w:rsidP="00E36FBE">
                  <w:pPr>
                    <w:pStyle w:val="TableBodyText"/>
                    <w:jc w:val="left"/>
                  </w:pPr>
                  <w:r>
                    <w:t>Export volumes</w:t>
                  </w:r>
                </w:p>
              </w:tc>
              <w:tc>
                <w:tcPr>
                  <w:tcW w:w="5" w:type="pct"/>
                  <w:shd w:val="clear" w:color="auto" w:fill="auto"/>
                </w:tcPr>
                <w:p w14:paraId="02844678" w14:textId="77777777" w:rsidR="00D656AB" w:rsidRDefault="00D656AB" w:rsidP="00E36FBE">
                  <w:pPr>
                    <w:pStyle w:val="TableBodyText"/>
                  </w:pPr>
                </w:p>
              </w:tc>
              <w:tc>
                <w:tcPr>
                  <w:tcW w:w="721" w:type="pct"/>
                  <w:shd w:val="clear" w:color="auto" w:fill="auto"/>
                </w:tcPr>
                <w:p w14:paraId="02844679" w14:textId="77777777" w:rsidR="00D656AB" w:rsidRDefault="00D656AB" w:rsidP="00E36FBE">
                  <w:pPr>
                    <w:pStyle w:val="TableBodyText"/>
                  </w:pPr>
                  <w:r>
                    <w:t>242</w:t>
                  </w:r>
                </w:p>
              </w:tc>
              <w:tc>
                <w:tcPr>
                  <w:tcW w:w="782" w:type="pct"/>
                  <w:shd w:val="clear" w:color="auto" w:fill="auto"/>
                </w:tcPr>
                <w:p w14:paraId="0284467A" w14:textId="77777777" w:rsidR="00D656AB" w:rsidRDefault="00D656AB" w:rsidP="00E36FBE">
                  <w:pPr>
                    <w:pStyle w:val="TableBodyText"/>
                  </w:pPr>
                  <w:r>
                    <w:t>329</w:t>
                  </w:r>
                </w:p>
              </w:tc>
              <w:tc>
                <w:tcPr>
                  <w:tcW w:w="780" w:type="pct"/>
                  <w:shd w:val="clear" w:color="auto" w:fill="D9D9D9" w:themeFill="background1" w:themeFillShade="D9"/>
                </w:tcPr>
                <w:p w14:paraId="53D2556B" w14:textId="45C49D61" w:rsidR="00D656AB" w:rsidRDefault="00D656AB" w:rsidP="00E36FBE">
                  <w:pPr>
                    <w:pStyle w:val="TableBodyText"/>
                  </w:pPr>
                  <w:r>
                    <w:t>401</w:t>
                  </w:r>
                </w:p>
              </w:tc>
              <w:tc>
                <w:tcPr>
                  <w:tcW w:w="780" w:type="pct"/>
                </w:tcPr>
                <w:p w14:paraId="0284467B" w14:textId="24B1CB56" w:rsidR="00D656AB" w:rsidRDefault="00D656AB" w:rsidP="00E36FBE">
                  <w:pPr>
                    <w:pStyle w:val="TableBodyText"/>
                  </w:pPr>
                  <w:r>
                    <w:t>515</w:t>
                  </w:r>
                </w:p>
              </w:tc>
            </w:tr>
            <w:tr w:rsidR="00D656AB" w14:paraId="02844683" w14:textId="77777777" w:rsidTr="00BF16A9">
              <w:tc>
                <w:tcPr>
                  <w:tcW w:w="1932" w:type="pct"/>
                  <w:shd w:val="clear" w:color="auto" w:fill="auto"/>
                </w:tcPr>
                <w:p w14:paraId="0284467D" w14:textId="77777777" w:rsidR="00D656AB" w:rsidRDefault="00D656AB" w:rsidP="00E36FBE">
                  <w:pPr>
                    <w:pStyle w:val="TableBodyText"/>
                    <w:jc w:val="left"/>
                  </w:pPr>
                  <w:r>
                    <w:t>Import volumes</w:t>
                  </w:r>
                </w:p>
              </w:tc>
              <w:tc>
                <w:tcPr>
                  <w:tcW w:w="5" w:type="pct"/>
                  <w:shd w:val="clear" w:color="auto" w:fill="auto"/>
                </w:tcPr>
                <w:p w14:paraId="0284467F" w14:textId="77777777" w:rsidR="00D656AB" w:rsidRDefault="00D656AB" w:rsidP="00E36FBE">
                  <w:pPr>
                    <w:pStyle w:val="TableBodyText"/>
                  </w:pPr>
                </w:p>
              </w:tc>
              <w:tc>
                <w:tcPr>
                  <w:tcW w:w="721" w:type="pct"/>
                  <w:shd w:val="clear" w:color="auto" w:fill="auto"/>
                </w:tcPr>
                <w:p w14:paraId="02844680" w14:textId="77777777" w:rsidR="00D656AB" w:rsidRDefault="00D656AB" w:rsidP="00E36FBE">
                  <w:pPr>
                    <w:pStyle w:val="TableBodyText"/>
                  </w:pPr>
                  <w:r>
                    <w:t>172</w:t>
                  </w:r>
                </w:p>
              </w:tc>
              <w:tc>
                <w:tcPr>
                  <w:tcW w:w="782" w:type="pct"/>
                  <w:shd w:val="clear" w:color="auto" w:fill="auto"/>
                </w:tcPr>
                <w:p w14:paraId="02844681" w14:textId="77777777" w:rsidR="00D656AB" w:rsidRDefault="00D656AB" w:rsidP="00E36FBE">
                  <w:pPr>
                    <w:pStyle w:val="TableBodyText"/>
                  </w:pPr>
                  <w:r>
                    <w:t>224</w:t>
                  </w:r>
                </w:p>
              </w:tc>
              <w:tc>
                <w:tcPr>
                  <w:tcW w:w="780" w:type="pct"/>
                  <w:shd w:val="clear" w:color="auto" w:fill="D9D9D9" w:themeFill="background1" w:themeFillShade="D9"/>
                </w:tcPr>
                <w:p w14:paraId="6805F470" w14:textId="22D67898" w:rsidR="00D656AB" w:rsidRDefault="00D656AB" w:rsidP="00E36FBE">
                  <w:pPr>
                    <w:pStyle w:val="TableBodyText"/>
                  </w:pPr>
                  <w:r>
                    <w:t>266</w:t>
                  </w:r>
                </w:p>
              </w:tc>
              <w:tc>
                <w:tcPr>
                  <w:tcW w:w="780" w:type="pct"/>
                </w:tcPr>
                <w:p w14:paraId="02844682" w14:textId="05B76763" w:rsidR="00D656AB" w:rsidRDefault="00D656AB" w:rsidP="00E36FBE">
                  <w:pPr>
                    <w:pStyle w:val="TableBodyText"/>
                  </w:pPr>
                  <w:r>
                    <w:t>330</w:t>
                  </w:r>
                </w:p>
              </w:tc>
            </w:tr>
            <w:tr w:rsidR="00D656AB" w14:paraId="02844691" w14:textId="77777777" w:rsidTr="00BF16A9">
              <w:tc>
                <w:tcPr>
                  <w:tcW w:w="1932" w:type="pct"/>
                  <w:shd w:val="clear" w:color="auto" w:fill="auto"/>
                </w:tcPr>
                <w:p w14:paraId="0284468B" w14:textId="77777777" w:rsidR="00D656AB" w:rsidRDefault="00D656AB" w:rsidP="00BF16A9">
                  <w:pPr>
                    <w:pStyle w:val="TableBodyText"/>
                    <w:spacing w:before="160"/>
                    <w:jc w:val="left"/>
                  </w:pPr>
                  <w:r>
                    <w:t>Real consumer wage</w:t>
                  </w:r>
                </w:p>
              </w:tc>
              <w:tc>
                <w:tcPr>
                  <w:tcW w:w="5" w:type="pct"/>
                  <w:shd w:val="clear" w:color="auto" w:fill="auto"/>
                </w:tcPr>
                <w:p w14:paraId="0284468D" w14:textId="77777777" w:rsidR="00D656AB" w:rsidRDefault="00D656AB" w:rsidP="00BF16A9">
                  <w:pPr>
                    <w:pStyle w:val="TableBodyText"/>
                    <w:spacing w:before="160"/>
                  </w:pPr>
                </w:p>
              </w:tc>
              <w:tc>
                <w:tcPr>
                  <w:tcW w:w="721" w:type="pct"/>
                  <w:shd w:val="clear" w:color="auto" w:fill="auto"/>
                </w:tcPr>
                <w:p w14:paraId="0284468E" w14:textId="77777777" w:rsidR="00D656AB" w:rsidRDefault="00D656AB" w:rsidP="00BF16A9">
                  <w:pPr>
                    <w:pStyle w:val="TableBodyText"/>
                    <w:spacing w:before="160"/>
                  </w:pPr>
                  <w:r>
                    <w:t>322</w:t>
                  </w:r>
                </w:p>
              </w:tc>
              <w:tc>
                <w:tcPr>
                  <w:tcW w:w="782" w:type="pct"/>
                  <w:shd w:val="clear" w:color="auto" w:fill="auto"/>
                </w:tcPr>
                <w:p w14:paraId="0284468F" w14:textId="77777777" w:rsidR="00D656AB" w:rsidRDefault="00D656AB" w:rsidP="00BF16A9">
                  <w:pPr>
                    <w:pStyle w:val="TableBodyText"/>
                    <w:spacing w:before="160"/>
                  </w:pPr>
                  <w:r>
                    <w:t>297</w:t>
                  </w:r>
                </w:p>
              </w:tc>
              <w:tc>
                <w:tcPr>
                  <w:tcW w:w="780" w:type="pct"/>
                  <w:shd w:val="clear" w:color="auto" w:fill="D9D9D9" w:themeFill="background1" w:themeFillShade="D9"/>
                </w:tcPr>
                <w:p w14:paraId="0A51D77F" w14:textId="18DD1758" w:rsidR="00D656AB" w:rsidRDefault="00D656AB" w:rsidP="00BF16A9">
                  <w:pPr>
                    <w:pStyle w:val="TableBodyText"/>
                    <w:spacing w:before="160"/>
                  </w:pPr>
                  <w:r>
                    <w:t>280</w:t>
                  </w:r>
                </w:p>
              </w:tc>
              <w:tc>
                <w:tcPr>
                  <w:tcW w:w="780" w:type="pct"/>
                </w:tcPr>
                <w:p w14:paraId="02844690" w14:textId="0A5C19AE" w:rsidR="00D656AB" w:rsidRDefault="00D656AB" w:rsidP="00BF16A9">
                  <w:pPr>
                    <w:pStyle w:val="TableBodyText"/>
                    <w:spacing w:before="160"/>
                  </w:pPr>
                  <w:r>
                    <w:t>261</w:t>
                  </w:r>
                </w:p>
              </w:tc>
            </w:tr>
            <w:tr w:rsidR="00D656AB" w14:paraId="02844698" w14:textId="77777777" w:rsidTr="00BF16A9">
              <w:tc>
                <w:tcPr>
                  <w:tcW w:w="1932" w:type="pct"/>
                  <w:shd w:val="clear" w:color="auto" w:fill="auto"/>
                </w:tcPr>
                <w:p w14:paraId="02844692" w14:textId="77777777" w:rsidR="00D656AB" w:rsidRDefault="00D656AB" w:rsidP="00E36FBE">
                  <w:pPr>
                    <w:pStyle w:val="TableBodyText"/>
                    <w:jc w:val="left"/>
                  </w:pPr>
                  <w:r>
                    <w:t>Real producer wage (unit labour costs)</w:t>
                  </w:r>
                </w:p>
              </w:tc>
              <w:tc>
                <w:tcPr>
                  <w:tcW w:w="5" w:type="pct"/>
                  <w:shd w:val="clear" w:color="auto" w:fill="auto"/>
                </w:tcPr>
                <w:p w14:paraId="02844694" w14:textId="77777777" w:rsidR="00D656AB" w:rsidRDefault="00D656AB" w:rsidP="00E36FBE">
                  <w:pPr>
                    <w:pStyle w:val="TableBodyText"/>
                  </w:pPr>
                </w:p>
              </w:tc>
              <w:tc>
                <w:tcPr>
                  <w:tcW w:w="721" w:type="pct"/>
                  <w:shd w:val="clear" w:color="auto" w:fill="auto"/>
                </w:tcPr>
                <w:p w14:paraId="02844695" w14:textId="77777777" w:rsidR="00D656AB" w:rsidRDefault="00D656AB" w:rsidP="00E36FBE">
                  <w:pPr>
                    <w:pStyle w:val="TableBodyText"/>
                  </w:pPr>
                  <w:r>
                    <w:t>257</w:t>
                  </w:r>
                </w:p>
              </w:tc>
              <w:tc>
                <w:tcPr>
                  <w:tcW w:w="782" w:type="pct"/>
                  <w:shd w:val="clear" w:color="auto" w:fill="auto"/>
                </w:tcPr>
                <w:p w14:paraId="02844696" w14:textId="77777777" w:rsidR="00D656AB" w:rsidRDefault="00D656AB" w:rsidP="00E36FBE">
                  <w:pPr>
                    <w:pStyle w:val="TableBodyText"/>
                  </w:pPr>
                  <w:r>
                    <w:t>249</w:t>
                  </w:r>
                </w:p>
              </w:tc>
              <w:tc>
                <w:tcPr>
                  <w:tcW w:w="780" w:type="pct"/>
                  <w:shd w:val="clear" w:color="auto" w:fill="D9D9D9" w:themeFill="background1" w:themeFillShade="D9"/>
                </w:tcPr>
                <w:p w14:paraId="575D6839" w14:textId="74D54051" w:rsidR="00D656AB" w:rsidRDefault="00D656AB" w:rsidP="00E36FBE">
                  <w:pPr>
                    <w:pStyle w:val="TableBodyText"/>
                  </w:pPr>
                  <w:r>
                    <w:t>241</w:t>
                  </w:r>
                </w:p>
              </w:tc>
              <w:tc>
                <w:tcPr>
                  <w:tcW w:w="780" w:type="pct"/>
                </w:tcPr>
                <w:p w14:paraId="02844697" w14:textId="16C67AB0" w:rsidR="00D656AB" w:rsidRDefault="00D656AB" w:rsidP="00E36FBE">
                  <w:pPr>
                    <w:pStyle w:val="TableBodyText"/>
                  </w:pPr>
                  <w:r>
                    <w:t>233</w:t>
                  </w:r>
                </w:p>
              </w:tc>
            </w:tr>
            <w:tr w:rsidR="00D656AB" w14:paraId="028446AD" w14:textId="77777777" w:rsidTr="00BF16A9">
              <w:tc>
                <w:tcPr>
                  <w:tcW w:w="1932" w:type="pct"/>
                  <w:shd w:val="clear" w:color="auto" w:fill="auto"/>
                </w:tcPr>
                <w:p w14:paraId="028446A7" w14:textId="77777777" w:rsidR="00D656AB" w:rsidRDefault="00D656AB" w:rsidP="00BF16A9">
                  <w:pPr>
                    <w:pStyle w:val="TableBodyText"/>
                    <w:spacing w:before="160"/>
                    <w:jc w:val="left"/>
                  </w:pPr>
                  <w:r>
                    <w:t>GDP per person</w:t>
                  </w:r>
                </w:p>
              </w:tc>
              <w:tc>
                <w:tcPr>
                  <w:tcW w:w="5" w:type="pct"/>
                  <w:shd w:val="clear" w:color="auto" w:fill="auto"/>
                </w:tcPr>
                <w:p w14:paraId="028446A9" w14:textId="77777777" w:rsidR="00D656AB" w:rsidRDefault="00D656AB" w:rsidP="00BF16A9">
                  <w:pPr>
                    <w:pStyle w:val="TableBodyText"/>
                    <w:spacing w:before="160"/>
                  </w:pPr>
                </w:p>
              </w:tc>
              <w:tc>
                <w:tcPr>
                  <w:tcW w:w="721" w:type="pct"/>
                  <w:shd w:val="clear" w:color="auto" w:fill="auto"/>
                </w:tcPr>
                <w:p w14:paraId="028446AA" w14:textId="77777777" w:rsidR="00D656AB" w:rsidRDefault="00D656AB" w:rsidP="00BF16A9">
                  <w:pPr>
                    <w:pStyle w:val="TableBodyText"/>
                    <w:spacing w:before="160"/>
                  </w:pPr>
                  <w:r>
                    <w:t>141</w:t>
                  </w:r>
                </w:p>
              </w:tc>
              <w:tc>
                <w:tcPr>
                  <w:tcW w:w="782" w:type="pct"/>
                  <w:shd w:val="clear" w:color="auto" w:fill="auto"/>
                </w:tcPr>
                <w:p w14:paraId="028446AB" w14:textId="77777777" w:rsidR="00D656AB" w:rsidRDefault="00D656AB" w:rsidP="00BF16A9">
                  <w:pPr>
                    <w:pStyle w:val="TableBodyText"/>
                    <w:spacing w:before="160"/>
                  </w:pPr>
                  <w:r>
                    <w:t>148</w:t>
                  </w:r>
                </w:p>
              </w:tc>
              <w:tc>
                <w:tcPr>
                  <w:tcW w:w="780" w:type="pct"/>
                  <w:shd w:val="clear" w:color="auto" w:fill="D9D9D9" w:themeFill="background1" w:themeFillShade="D9"/>
                </w:tcPr>
                <w:p w14:paraId="14590596" w14:textId="341149DB" w:rsidR="00D656AB" w:rsidRDefault="00D656AB" w:rsidP="00BF16A9">
                  <w:pPr>
                    <w:pStyle w:val="TableBodyText"/>
                    <w:spacing w:before="160"/>
                  </w:pPr>
                  <w:r>
                    <w:t>152</w:t>
                  </w:r>
                </w:p>
              </w:tc>
              <w:tc>
                <w:tcPr>
                  <w:tcW w:w="780" w:type="pct"/>
                </w:tcPr>
                <w:p w14:paraId="028446AC" w14:textId="68E42B2B" w:rsidR="00D656AB" w:rsidRDefault="00D656AB" w:rsidP="00BF16A9">
                  <w:pPr>
                    <w:pStyle w:val="TableBodyText"/>
                    <w:spacing w:before="160"/>
                  </w:pPr>
                  <w:r>
                    <w:t>157</w:t>
                  </w:r>
                </w:p>
              </w:tc>
            </w:tr>
            <w:tr w:rsidR="00D656AB" w14:paraId="028446B4" w14:textId="77777777" w:rsidTr="00BF16A9">
              <w:tc>
                <w:tcPr>
                  <w:tcW w:w="1932" w:type="pct"/>
                  <w:shd w:val="clear" w:color="auto" w:fill="auto"/>
                </w:tcPr>
                <w:p w14:paraId="028446AE" w14:textId="77777777" w:rsidR="00D656AB" w:rsidRDefault="00D656AB" w:rsidP="00E36FBE">
                  <w:pPr>
                    <w:pStyle w:val="TableBodyText"/>
                    <w:jc w:val="left"/>
                  </w:pPr>
                  <w:r>
                    <w:t>Household consumption per person</w:t>
                  </w:r>
                </w:p>
              </w:tc>
              <w:tc>
                <w:tcPr>
                  <w:tcW w:w="5" w:type="pct"/>
                  <w:shd w:val="clear" w:color="auto" w:fill="auto"/>
                </w:tcPr>
                <w:p w14:paraId="028446B0" w14:textId="77777777" w:rsidR="00D656AB" w:rsidRDefault="00D656AB" w:rsidP="00E36FBE">
                  <w:pPr>
                    <w:pStyle w:val="TableBodyText"/>
                  </w:pPr>
                </w:p>
              </w:tc>
              <w:tc>
                <w:tcPr>
                  <w:tcW w:w="721" w:type="pct"/>
                  <w:shd w:val="clear" w:color="auto" w:fill="auto"/>
                </w:tcPr>
                <w:p w14:paraId="028446B1" w14:textId="77777777" w:rsidR="00D656AB" w:rsidRDefault="00D656AB" w:rsidP="00E36FBE">
                  <w:pPr>
                    <w:pStyle w:val="TableBodyText"/>
                  </w:pPr>
                  <w:r>
                    <w:t>135</w:t>
                  </w:r>
                </w:p>
              </w:tc>
              <w:tc>
                <w:tcPr>
                  <w:tcW w:w="782" w:type="pct"/>
                  <w:shd w:val="clear" w:color="auto" w:fill="auto"/>
                </w:tcPr>
                <w:p w14:paraId="028446B2" w14:textId="77777777" w:rsidR="00D656AB" w:rsidRDefault="00D656AB" w:rsidP="00E36FBE">
                  <w:pPr>
                    <w:pStyle w:val="TableBodyText"/>
                  </w:pPr>
                  <w:r>
                    <w:t>143</w:t>
                  </w:r>
                </w:p>
              </w:tc>
              <w:tc>
                <w:tcPr>
                  <w:tcW w:w="780" w:type="pct"/>
                  <w:shd w:val="clear" w:color="auto" w:fill="D9D9D9" w:themeFill="background1" w:themeFillShade="D9"/>
                </w:tcPr>
                <w:p w14:paraId="7C71BE9B" w14:textId="164B15BA" w:rsidR="00D656AB" w:rsidRDefault="00D656AB" w:rsidP="00E36FBE">
                  <w:pPr>
                    <w:pStyle w:val="TableBodyText"/>
                  </w:pPr>
                  <w:r>
                    <w:t>148</w:t>
                  </w:r>
                </w:p>
              </w:tc>
              <w:tc>
                <w:tcPr>
                  <w:tcW w:w="780" w:type="pct"/>
                </w:tcPr>
                <w:p w14:paraId="028446B3" w14:textId="2441694F" w:rsidR="00D656AB" w:rsidRDefault="00D656AB" w:rsidP="00E36FBE">
                  <w:pPr>
                    <w:pStyle w:val="TableBodyText"/>
                  </w:pPr>
                  <w:r>
                    <w:t>152</w:t>
                  </w:r>
                </w:p>
              </w:tc>
            </w:tr>
            <w:tr w:rsidR="00D656AB" w14:paraId="028446BB" w14:textId="77777777" w:rsidTr="00BF16A9">
              <w:tc>
                <w:tcPr>
                  <w:tcW w:w="1932" w:type="pct"/>
                  <w:tcBorders>
                    <w:bottom w:val="single" w:sz="6" w:space="0" w:color="BFBFBF"/>
                  </w:tcBorders>
                  <w:shd w:val="clear" w:color="auto" w:fill="auto"/>
                </w:tcPr>
                <w:p w14:paraId="028446B5" w14:textId="77777777" w:rsidR="00D656AB" w:rsidRDefault="00D656AB" w:rsidP="00E36FBE">
                  <w:pPr>
                    <w:pStyle w:val="TableBodyText"/>
                    <w:jc w:val="left"/>
                  </w:pPr>
                  <w:proofErr w:type="spellStart"/>
                  <w:r>
                    <w:t>GNE</w:t>
                  </w:r>
                  <w:proofErr w:type="spellEnd"/>
                  <w:r>
                    <w:t xml:space="preserve"> per person</w:t>
                  </w:r>
                </w:p>
              </w:tc>
              <w:tc>
                <w:tcPr>
                  <w:tcW w:w="5" w:type="pct"/>
                  <w:tcBorders>
                    <w:bottom w:val="single" w:sz="6" w:space="0" w:color="BFBFBF"/>
                  </w:tcBorders>
                  <w:shd w:val="clear" w:color="auto" w:fill="auto"/>
                </w:tcPr>
                <w:p w14:paraId="028446B7" w14:textId="77777777" w:rsidR="00D656AB" w:rsidRDefault="00D656AB" w:rsidP="00E36FBE">
                  <w:pPr>
                    <w:pStyle w:val="TableBodyText"/>
                  </w:pPr>
                </w:p>
              </w:tc>
              <w:tc>
                <w:tcPr>
                  <w:tcW w:w="721" w:type="pct"/>
                  <w:tcBorders>
                    <w:bottom w:val="single" w:sz="6" w:space="0" w:color="BFBFBF"/>
                  </w:tcBorders>
                  <w:shd w:val="clear" w:color="auto" w:fill="auto"/>
                </w:tcPr>
                <w:p w14:paraId="028446B8" w14:textId="77777777" w:rsidR="00D656AB" w:rsidRDefault="00D656AB" w:rsidP="00E36FBE">
                  <w:pPr>
                    <w:pStyle w:val="TableBodyText"/>
                  </w:pPr>
                  <w:r>
                    <w:t>131</w:t>
                  </w:r>
                </w:p>
              </w:tc>
              <w:tc>
                <w:tcPr>
                  <w:tcW w:w="782" w:type="pct"/>
                  <w:tcBorders>
                    <w:bottom w:val="single" w:sz="6" w:space="0" w:color="BFBFBF"/>
                  </w:tcBorders>
                  <w:shd w:val="clear" w:color="auto" w:fill="auto"/>
                </w:tcPr>
                <w:p w14:paraId="028446B9" w14:textId="77777777" w:rsidR="00D656AB" w:rsidRDefault="00D656AB" w:rsidP="00E36FBE">
                  <w:pPr>
                    <w:pStyle w:val="TableBodyText"/>
                  </w:pPr>
                  <w:r>
                    <w:t>136</w:t>
                  </w:r>
                </w:p>
              </w:tc>
              <w:tc>
                <w:tcPr>
                  <w:tcW w:w="780" w:type="pct"/>
                  <w:tcBorders>
                    <w:bottom w:val="single" w:sz="6" w:space="0" w:color="BFBFBF"/>
                  </w:tcBorders>
                  <w:shd w:val="clear" w:color="auto" w:fill="D9D9D9" w:themeFill="background1" w:themeFillShade="D9"/>
                </w:tcPr>
                <w:p w14:paraId="002CBB74" w14:textId="598D38C4" w:rsidR="00D656AB" w:rsidRDefault="00D656AB" w:rsidP="00E36FBE">
                  <w:pPr>
                    <w:pStyle w:val="TableBodyText"/>
                  </w:pPr>
                  <w:r>
                    <w:t>140</w:t>
                  </w:r>
                </w:p>
              </w:tc>
              <w:tc>
                <w:tcPr>
                  <w:tcW w:w="780" w:type="pct"/>
                  <w:tcBorders>
                    <w:bottom w:val="single" w:sz="6" w:space="0" w:color="BFBFBF"/>
                  </w:tcBorders>
                </w:tcPr>
                <w:p w14:paraId="028446BA" w14:textId="3AC05940" w:rsidR="00D656AB" w:rsidRDefault="00D656AB" w:rsidP="00E36FBE">
                  <w:pPr>
                    <w:pStyle w:val="TableBodyText"/>
                  </w:pPr>
                  <w:r>
                    <w:t>143</w:t>
                  </w:r>
                </w:p>
              </w:tc>
            </w:tr>
          </w:tbl>
          <w:p w14:paraId="028446BC" w14:textId="77777777" w:rsidR="00F93BD8" w:rsidRDefault="00F93BD8" w:rsidP="00E36FBE">
            <w:pPr>
              <w:pStyle w:val="Box"/>
            </w:pPr>
          </w:p>
        </w:tc>
      </w:tr>
      <w:tr w:rsidR="00F93BD8" w14:paraId="028446BF" w14:textId="77777777" w:rsidTr="00E36FBE">
        <w:trPr>
          <w:cantSplit/>
        </w:trPr>
        <w:tc>
          <w:tcPr>
            <w:tcW w:w="8771" w:type="dxa"/>
            <w:tcBorders>
              <w:top w:val="nil"/>
              <w:left w:val="nil"/>
              <w:bottom w:val="nil"/>
              <w:right w:val="nil"/>
            </w:tcBorders>
            <w:shd w:val="clear" w:color="auto" w:fill="auto"/>
          </w:tcPr>
          <w:p w14:paraId="028446BE" w14:textId="56D11886" w:rsidR="00F93BD8" w:rsidRDefault="00F93BD8" w:rsidP="002B6AEE">
            <w:pPr>
              <w:pStyle w:val="Note"/>
              <w:rPr>
                <w:i/>
              </w:rPr>
            </w:pPr>
            <w:proofErr w:type="spellStart"/>
            <w:r>
              <w:rPr>
                <w:rStyle w:val="NoteLabel"/>
              </w:rPr>
              <w:t>a</w:t>
            </w:r>
            <w:proofErr w:type="spellEnd"/>
            <w:r>
              <w:rPr>
                <w:rStyle w:val="NoteLabel"/>
              </w:rPr>
              <w:t> </w:t>
            </w:r>
            <w:r w:rsidR="00E124E8">
              <w:t xml:space="preserve">The index </w:t>
            </w:r>
            <w:r w:rsidR="002B6AEE">
              <w:t xml:space="preserve">numbers </w:t>
            </w:r>
            <w:r w:rsidR="00E124E8">
              <w:t>represent growth from 2014 to 2060. For example, an index of 117 for population in the zero NOM scenario means population grew by 17 per cent between 2014 and 2060 (117 minus 100).</w:t>
            </w:r>
            <w:r>
              <w:t xml:space="preserve"> </w:t>
            </w:r>
            <w:r w:rsidR="00E124E8">
              <w:rPr>
                <w:rStyle w:val="NoteLabel"/>
              </w:rPr>
              <w:t>b </w:t>
            </w:r>
            <w:r w:rsidR="00E124E8">
              <w:t xml:space="preserve">Real </w:t>
            </w:r>
            <w:r w:rsidR="00E55063">
              <w:t xml:space="preserve">gross value added </w:t>
            </w:r>
            <w:r w:rsidR="00E124E8">
              <w:t>(</w:t>
            </w:r>
            <w:proofErr w:type="spellStart"/>
            <w:r w:rsidR="00E124E8">
              <w:t>GVA</w:t>
            </w:r>
            <w:proofErr w:type="spellEnd"/>
            <w:r w:rsidR="00E124E8">
              <w:t>) per hour worked</w:t>
            </w:r>
            <w:r>
              <w:t>.</w:t>
            </w:r>
          </w:p>
        </w:tc>
      </w:tr>
      <w:tr w:rsidR="00F93BD8" w14:paraId="028446C1" w14:textId="77777777" w:rsidTr="00E36FBE">
        <w:trPr>
          <w:cantSplit/>
        </w:trPr>
        <w:tc>
          <w:tcPr>
            <w:tcW w:w="8771" w:type="dxa"/>
            <w:tcBorders>
              <w:top w:val="nil"/>
              <w:left w:val="nil"/>
              <w:bottom w:val="nil"/>
              <w:right w:val="nil"/>
            </w:tcBorders>
            <w:shd w:val="clear" w:color="auto" w:fill="auto"/>
          </w:tcPr>
          <w:p w14:paraId="028446C0" w14:textId="25AC8665" w:rsidR="00F93BD8" w:rsidRDefault="00F93BD8" w:rsidP="00E36FBE">
            <w:pPr>
              <w:pStyle w:val="Source"/>
            </w:pPr>
            <w:r>
              <w:rPr>
                <w:i/>
              </w:rPr>
              <w:t>Source</w:t>
            </w:r>
            <w:r w:rsidRPr="00167F06">
              <w:t xml:space="preserve">: </w:t>
            </w:r>
            <w:r>
              <w:t xml:space="preserve">Productivity Commission </w:t>
            </w:r>
            <w:r w:rsidR="006A3E61">
              <w:t xml:space="preserve">projections </w:t>
            </w:r>
            <w:r>
              <w:t xml:space="preserve">based on </w:t>
            </w:r>
            <w:proofErr w:type="spellStart"/>
            <w:r>
              <w:t>VURM</w:t>
            </w:r>
            <w:proofErr w:type="spellEnd"/>
            <w:r>
              <w:noBreakHyphen/>
              <w:t>MI.</w:t>
            </w:r>
          </w:p>
        </w:tc>
      </w:tr>
      <w:tr w:rsidR="00F93BD8" w14:paraId="028446C3" w14:textId="77777777" w:rsidTr="00E36FBE">
        <w:trPr>
          <w:cantSplit/>
        </w:trPr>
        <w:tc>
          <w:tcPr>
            <w:tcW w:w="8771" w:type="dxa"/>
            <w:tcBorders>
              <w:top w:val="nil"/>
              <w:left w:val="nil"/>
              <w:bottom w:val="single" w:sz="6" w:space="0" w:color="78A22F"/>
              <w:right w:val="nil"/>
            </w:tcBorders>
            <w:shd w:val="clear" w:color="auto" w:fill="auto"/>
          </w:tcPr>
          <w:p w14:paraId="028446C2" w14:textId="77777777" w:rsidR="00F93BD8" w:rsidRDefault="00F93BD8" w:rsidP="00E36FBE">
            <w:pPr>
              <w:pStyle w:val="Box"/>
              <w:spacing w:before="0" w:line="120" w:lineRule="exact"/>
            </w:pPr>
          </w:p>
        </w:tc>
      </w:tr>
      <w:tr w:rsidR="00F93BD8" w:rsidRPr="000863A5" w14:paraId="028446C5" w14:textId="77777777" w:rsidTr="00E36FBE">
        <w:tc>
          <w:tcPr>
            <w:tcW w:w="8771" w:type="dxa"/>
            <w:tcBorders>
              <w:top w:val="single" w:sz="6" w:space="0" w:color="78A22F"/>
              <w:left w:val="nil"/>
              <w:bottom w:val="nil"/>
              <w:right w:val="nil"/>
            </w:tcBorders>
          </w:tcPr>
          <w:p w14:paraId="028446C4" w14:textId="1081C99E" w:rsidR="00F93BD8" w:rsidRPr="00626D32" w:rsidRDefault="00F93BD8" w:rsidP="00E36FBE">
            <w:pPr>
              <w:pStyle w:val="BoxSpaceBelow"/>
            </w:pPr>
          </w:p>
        </w:tc>
      </w:tr>
    </w:tbl>
    <w:p w14:paraId="028446C7" w14:textId="33015A4F" w:rsidR="00F93BD8" w:rsidRDefault="00F93BD8" w:rsidP="00F93BD8">
      <w:pPr>
        <w:pStyle w:val="Heading4"/>
      </w:pPr>
      <w:r>
        <w:t>The broader economic picture under the business-as-usual scenario</w:t>
      </w:r>
    </w:p>
    <w:p w14:paraId="242B4958" w14:textId="39022B4D" w:rsidR="006A281E" w:rsidRDefault="006A281E" w:rsidP="00F93BD8">
      <w:pPr>
        <w:pStyle w:val="BodyText"/>
      </w:pPr>
      <w:r>
        <w:t>Economic growth can be considered in terms of population growth, participation of the population in employment and the productivity of employed persons</w:t>
      </w:r>
      <w:r w:rsidR="00DF74AB">
        <w:t xml:space="preserve"> (box</w:t>
      </w:r>
      <w:r w:rsidR="00F9510C">
        <w:t> </w:t>
      </w:r>
      <w:proofErr w:type="spellStart"/>
      <w:r w:rsidR="00F9510C">
        <w:t>B.3</w:t>
      </w:r>
      <w:proofErr w:type="spellEnd"/>
      <w:r w:rsidR="00F9510C">
        <w:t>)</w:t>
      </w:r>
      <w:r>
        <w:t xml:space="preserve">. </w:t>
      </w:r>
      <w:r w:rsidR="00F93BD8">
        <w:t>Under the business-as-usual scenario (</w:t>
      </w:r>
      <w:r w:rsidR="00E24E8E">
        <w:t xml:space="preserve">0.6% </w:t>
      </w:r>
      <w:r w:rsidR="00F93BD8">
        <w:t xml:space="preserve">NOM), </w:t>
      </w:r>
      <w:r>
        <w:t>national population is projected to increase by 73 per</w:t>
      </w:r>
      <w:r w:rsidR="00944968">
        <w:t> </w:t>
      </w:r>
      <w:r>
        <w:t>cent from 2014 to 2060 (that is, from an index of 100 in 2014 to 173 in 2060, table </w:t>
      </w:r>
      <w:proofErr w:type="spellStart"/>
      <w:r>
        <w:t>B.</w:t>
      </w:r>
      <w:r w:rsidR="00E24E8E">
        <w:t>3</w:t>
      </w:r>
      <w:proofErr w:type="spellEnd"/>
      <w:r>
        <w:t xml:space="preserve">). In other words, Australia’s population is projected to increase </w:t>
      </w:r>
      <w:r w:rsidR="00C535DC">
        <w:t>o</w:t>
      </w:r>
      <w:r w:rsidR="00E24E8E">
        <w:t xml:space="preserve">n average </w:t>
      </w:r>
      <w:r w:rsidR="00C535DC">
        <w:t>by</w:t>
      </w:r>
      <w:r>
        <w:t xml:space="preserve"> 1.2 per cent</w:t>
      </w:r>
      <w:r w:rsidR="00C535DC">
        <w:t xml:space="preserve"> per year</w:t>
      </w:r>
      <w:r>
        <w:t xml:space="preserve"> (figure</w:t>
      </w:r>
      <w:r w:rsidR="001154E8">
        <w:t> </w:t>
      </w:r>
      <w:proofErr w:type="spellStart"/>
      <w:r w:rsidR="001154E8">
        <w:t>B.8</w:t>
      </w:r>
      <w:proofErr w:type="spellEnd"/>
      <w:r w:rsidR="001154E8">
        <w:t>)</w:t>
      </w:r>
      <w:r>
        <w:t xml:space="preserve">. </w:t>
      </w:r>
    </w:p>
    <w:p w14:paraId="3C913EF0" w14:textId="3033343F" w:rsidR="00451169" w:rsidRDefault="0045116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451169" w14:paraId="43AE2F97" w14:textId="77777777" w:rsidTr="00A0523E">
        <w:tc>
          <w:tcPr>
            <w:tcW w:w="8771" w:type="dxa"/>
            <w:tcBorders>
              <w:top w:val="single" w:sz="6" w:space="0" w:color="78A22F"/>
              <w:left w:val="nil"/>
              <w:bottom w:val="nil"/>
              <w:right w:val="nil"/>
            </w:tcBorders>
            <w:shd w:val="clear" w:color="auto" w:fill="F2F2F2"/>
          </w:tcPr>
          <w:p w14:paraId="2B284A11" w14:textId="2DDDB0A3" w:rsidR="00451169" w:rsidRDefault="00451169" w:rsidP="00451169">
            <w:pPr>
              <w:pStyle w:val="BoxTitle"/>
            </w:pPr>
            <w:r>
              <w:rPr>
                <w:b w:val="0"/>
              </w:rPr>
              <w:t xml:space="preserve">Box </w:t>
            </w:r>
            <w:proofErr w:type="spellStart"/>
            <w:r w:rsidR="000C775F">
              <w:rPr>
                <w:b w:val="0"/>
              </w:rPr>
              <w:t>B.</w:t>
            </w:r>
            <w:r w:rsidR="009015D8">
              <w:rPr>
                <w:b w:val="0"/>
                <w:noProof/>
              </w:rPr>
              <w:t>3</w:t>
            </w:r>
            <w:proofErr w:type="spellEnd"/>
            <w:r>
              <w:tab/>
              <w:t>The population</w:t>
            </w:r>
            <w:r w:rsidR="004D4E21">
              <w:noBreakHyphen/>
            </w:r>
            <w:r>
              <w:t>participation</w:t>
            </w:r>
            <w:r w:rsidR="004D4E21">
              <w:noBreakHyphen/>
            </w:r>
            <w:r>
              <w:t>productivity decomposition of the growth in real GDP</w:t>
            </w:r>
          </w:p>
        </w:tc>
      </w:tr>
      <w:tr w:rsidR="00451169" w14:paraId="062733AA" w14:textId="77777777" w:rsidTr="00A0523E">
        <w:trPr>
          <w:cantSplit/>
        </w:trPr>
        <w:tc>
          <w:tcPr>
            <w:tcW w:w="8771" w:type="dxa"/>
            <w:tcBorders>
              <w:top w:val="nil"/>
              <w:left w:val="nil"/>
              <w:bottom w:val="nil"/>
              <w:right w:val="nil"/>
            </w:tcBorders>
            <w:shd w:val="clear" w:color="auto" w:fill="F2F2F2"/>
          </w:tcPr>
          <w:p w14:paraId="6756F65E" w14:textId="665FEF30" w:rsidR="00451169" w:rsidRDefault="00451169" w:rsidP="00451169">
            <w:pPr>
              <w:pStyle w:val="Box"/>
            </w:pPr>
            <w:r>
              <w:t>The growth in real gross domestic product</w:t>
            </w:r>
            <w:r w:rsidR="00985276">
              <w:t xml:space="preserve"> (GDP)</w:t>
            </w:r>
            <w:r>
              <w:t xml:space="preserve"> can be decomposed into population growth, the growth in the participation of the population in employment and the growth in the productivity of employed persons. </w:t>
            </w:r>
          </w:p>
          <w:p w14:paraId="0E3662F9" w14:textId="77777777" w:rsidR="00451169" w:rsidRDefault="00451169" w:rsidP="00451169">
            <w:pPr>
              <w:pStyle w:val="Box"/>
            </w:pPr>
            <w:r>
              <w:t>The growth in the participation of the population in employment is comprised of:</w:t>
            </w:r>
          </w:p>
          <w:p w14:paraId="577F905F" w14:textId="705942DB" w:rsidR="00451169" w:rsidRDefault="00E55063" w:rsidP="00451169">
            <w:pPr>
              <w:pStyle w:val="BoxListBullet"/>
            </w:pPr>
            <w:r>
              <w:t>t</w:t>
            </w:r>
            <w:r w:rsidR="00451169">
              <w:t>he adult share of the population</w:t>
            </w:r>
            <w:r>
              <w:t xml:space="preserve"> —</w:t>
            </w:r>
            <w:r w:rsidR="00451169">
              <w:t xml:space="preserve"> the proportion of the population who are at least fifteen years old. </w:t>
            </w:r>
          </w:p>
          <w:p w14:paraId="53D262E7" w14:textId="21D4A751" w:rsidR="00451169" w:rsidRDefault="00E55063" w:rsidP="00451169">
            <w:pPr>
              <w:pStyle w:val="BoxListBullet"/>
            </w:pPr>
            <w:r>
              <w:t>t</w:t>
            </w:r>
            <w:r w:rsidR="00451169">
              <w:t>he labour market participation rate</w:t>
            </w:r>
            <w:r>
              <w:t xml:space="preserve"> —</w:t>
            </w:r>
            <w:r w:rsidR="00451169">
              <w:t xml:space="preserve"> the proportion of the adult population who are able and willing to participate in the labour market. </w:t>
            </w:r>
          </w:p>
          <w:p w14:paraId="49292251" w14:textId="4C29E1DB" w:rsidR="00451169" w:rsidRDefault="00E55063" w:rsidP="00451169">
            <w:pPr>
              <w:pStyle w:val="BoxListBullet"/>
            </w:pPr>
            <w:r>
              <w:t>t</w:t>
            </w:r>
            <w:r w:rsidR="00451169">
              <w:t>he employment rate</w:t>
            </w:r>
            <w:r>
              <w:t xml:space="preserve"> —</w:t>
            </w:r>
            <w:r w:rsidR="00451169">
              <w:t xml:space="preserve"> the proportion of those in the labour market who are in employment. </w:t>
            </w:r>
          </w:p>
          <w:p w14:paraId="4A165491" w14:textId="15AC98E5" w:rsidR="00451169" w:rsidRDefault="00E55063" w:rsidP="00451169">
            <w:pPr>
              <w:pStyle w:val="BoxListBullet"/>
            </w:pPr>
            <w:r>
              <w:t>a</w:t>
            </w:r>
            <w:r w:rsidR="00451169">
              <w:t>verage hours worked per employed person</w:t>
            </w:r>
            <w:r>
              <w:t xml:space="preserve"> —</w:t>
            </w:r>
            <w:r w:rsidR="00451169">
              <w:t xml:space="preserve"> </w:t>
            </w:r>
            <w:r>
              <w:t>t</w:t>
            </w:r>
            <w:r w:rsidR="00451169">
              <w:t>his allows the change in labour inputs to be expressed in terms of hours worked.</w:t>
            </w:r>
          </w:p>
          <w:p w14:paraId="55B72208" w14:textId="20FCFC48" w:rsidR="00451169" w:rsidRDefault="00451169" w:rsidP="00451169">
            <w:pPr>
              <w:pStyle w:val="Box"/>
            </w:pPr>
            <w:r>
              <w:t xml:space="preserve">Labour productivity is measured as </w:t>
            </w:r>
            <w:r w:rsidR="002924F1">
              <w:t xml:space="preserve">real </w:t>
            </w:r>
            <w:r w:rsidR="00BB2DE7">
              <w:t xml:space="preserve">gross </w:t>
            </w:r>
            <w:r>
              <w:t xml:space="preserve">value added per hour worked. </w:t>
            </w:r>
          </w:p>
          <w:p w14:paraId="6DA16133" w14:textId="1D4C54D3" w:rsidR="00451169" w:rsidRDefault="00451169" w:rsidP="00451169">
            <w:pPr>
              <w:pStyle w:val="Box"/>
            </w:pPr>
            <w:r>
              <w:t xml:space="preserve">Combining the growth of population, participation in employment and productivity gives growth in real gross value added. This is equivalent to growth in real </w:t>
            </w:r>
            <w:r w:rsidR="005353C0">
              <w:t>GDP</w:t>
            </w:r>
            <w:r>
              <w:t xml:space="preserve"> after allowing for any changes in taxes less subsidies on products.</w:t>
            </w:r>
          </w:p>
          <w:p w14:paraId="0C647D4A" w14:textId="712FB922" w:rsidR="00451169" w:rsidRDefault="00451169" w:rsidP="004736DA">
            <w:pPr>
              <w:pStyle w:val="Box"/>
            </w:pPr>
            <w:r>
              <w:t>Further, the growth in real GDP per person is given by combining the growth of participation in employment and of labour productivity.</w:t>
            </w:r>
            <w:r w:rsidR="004736DA">
              <w:t xml:space="preserve"> Therefore, a change in NOM or in migration policy will only improve real GDP per person to the extent that it raises the participation of the population in employment and labour productivity.</w:t>
            </w:r>
          </w:p>
        </w:tc>
      </w:tr>
      <w:tr w:rsidR="00451169" w14:paraId="40029E49" w14:textId="77777777" w:rsidTr="00A0523E">
        <w:trPr>
          <w:cantSplit/>
        </w:trPr>
        <w:tc>
          <w:tcPr>
            <w:tcW w:w="8771" w:type="dxa"/>
            <w:tcBorders>
              <w:top w:val="nil"/>
              <w:left w:val="nil"/>
              <w:bottom w:val="single" w:sz="6" w:space="0" w:color="78A22F"/>
              <w:right w:val="nil"/>
            </w:tcBorders>
            <w:shd w:val="clear" w:color="auto" w:fill="F2F2F2"/>
          </w:tcPr>
          <w:p w14:paraId="47165D35" w14:textId="77777777" w:rsidR="00451169" w:rsidRDefault="00451169">
            <w:pPr>
              <w:pStyle w:val="Box"/>
              <w:spacing w:before="0" w:line="120" w:lineRule="exact"/>
            </w:pPr>
          </w:p>
        </w:tc>
      </w:tr>
      <w:tr w:rsidR="00451169" w:rsidRPr="000863A5" w14:paraId="0A80CCDA" w14:textId="77777777" w:rsidTr="00A0523E">
        <w:tc>
          <w:tcPr>
            <w:tcW w:w="8771" w:type="dxa"/>
            <w:tcBorders>
              <w:top w:val="single" w:sz="6" w:space="0" w:color="78A22F"/>
              <w:left w:val="nil"/>
              <w:bottom w:val="nil"/>
              <w:right w:val="nil"/>
            </w:tcBorders>
          </w:tcPr>
          <w:p w14:paraId="3F7F1CCD" w14:textId="1972388C" w:rsidR="00451169" w:rsidRPr="007F2960" w:rsidRDefault="00451169" w:rsidP="00A0523E">
            <w:pPr>
              <w:pStyle w:val="BoxSpaceBelow"/>
            </w:pPr>
          </w:p>
        </w:tc>
      </w:tr>
    </w:tbl>
    <w:p w14:paraId="4566D6FF" w14:textId="12EF27D8" w:rsidR="008C34B7" w:rsidRDefault="008C34B7" w:rsidP="008C34B7">
      <w:pPr>
        <w:pStyle w:val="BodyText"/>
      </w:pPr>
      <w:r>
        <w:t>Labour supply grows by less than national population because of a projected decline in participation associated with ageing. Over the projection period, the average age of the Australian population increases from 38 years in 2014 to 43 years by 2060 and the age dependency ratio (measured as the population aged over 65 years as a percentage of the population aged between 15 and 65 years) is projected to almost double from 20 per cent in 2014 to 39 per cent by 2060. An older population is assumed to be less fertile. Ageing is therefore projected to result in the proportion of children declining as reflected in the slight rise in the adult share of the population b</w:t>
      </w:r>
      <w:r w:rsidR="000C775F">
        <w:t>etween 2014 and 2060 (figure </w:t>
      </w:r>
      <w:proofErr w:type="spellStart"/>
      <w:r w:rsidR="000C775F">
        <w:t>B.8</w:t>
      </w:r>
      <w:proofErr w:type="spellEnd"/>
      <w:r>
        <w:t xml:space="preserve">). An older population is also assumed to participate less in the labour market. Ageing is therefore projected to result in a decline in the labour </w:t>
      </w:r>
      <w:r w:rsidR="008809C8">
        <w:t>market</w:t>
      </w:r>
      <w:r>
        <w:t xml:space="preserve"> participation rate. The net effect of ageing is that national labour supply grows by less than population. Labour supply is projected to grow by 60 per cent from 2014 to 2060 (table </w:t>
      </w:r>
      <w:proofErr w:type="spellStart"/>
      <w:r>
        <w:t>B.3</w:t>
      </w:r>
      <w:proofErr w:type="spellEnd"/>
      <w:r>
        <w:t>).</w:t>
      </w:r>
    </w:p>
    <w:p w14:paraId="1144C66A" w14:textId="1F40E648" w:rsidR="00DF74AB" w:rsidRDefault="00CA394E" w:rsidP="008C34B7">
      <w:pPr>
        <w:pStyle w:val="BodyText"/>
      </w:pPr>
      <w:r>
        <w:t xml:space="preserve">It is assumed that the employment rate is fixed over </w:t>
      </w:r>
      <w:r w:rsidR="007439CB">
        <w:t>the projection period</w:t>
      </w:r>
      <w:r>
        <w:t xml:space="preserve"> and that average hours worked declines by 0.2 per cent a year.</w:t>
      </w:r>
      <w:r w:rsidR="00204B7E">
        <w:t xml:space="preserve"> </w:t>
      </w:r>
      <w:r w:rsidR="007439CB">
        <w:t>Consequentially</w:t>
      </w:r>
      <w:r w:rsidR="003A60E4">
        <w:t>, e</w:t>
      </w:r>
      <w:r w:rsidR="00204B7E">
        <w:t>mployment</w:t>
      </w:r>
      <w:r>
        <w:t xml:space="preserve"> </w:t>
      </w:r>
      <w:r w:rsidR="003A60E4">
        <w:t>(</w:t>
      </w:r>
      <w:r>
        <w:t>measured in hours worked</w:t>
      </w:r>
      <w:r w:rsidR="003A60E4">
        <w:t>) is projected to</w:t>
      </w:r>
      <w:r>
        <w:t xml:space="preserve"> increase by an average of 0.8 per cent a year</w:t>
      </w:r>
      <w:r w:rsidR="002B1CE2">
        <w:t>.</w:t>
      </w:r>
      <w:r w:rsidR="00204B7E" w:rsidRPr="003D567A">
        <w:rPr>
          <w:rStyle w:val="FootnoteReference"/>
        </w:rPr>
        <w:footnoteReference w:id="10"/>
      </w:r>
      <w:r w:rsidR="002B1CE2">
        <w:t xml:space="preserve"> </w:t>
      </w:r>
      <w:r w:rsidR="008F15DE">
        <w:t>This is equivalent to a 44 per cent increase in employment between 2014 and 2060 (table </w:t>
      </w:r>
      <w:proofErr w:type="spellStart"/>
      <w:r w:rsidR="008F15DE">
        <w:t>B.</w:t>
      </w:r>
      <w:r w:rsidR="003A60E4">
        <w:t>3</w:t>
      </w:r>
      <w:proofErr w:type="spellEnd"/>
      <w:r w:rsidR="008F15DE">
        <w:t>).</w:t>
      </w:r>
    </w:p>
    <w:p w14:paraId="197AE739" w14:textId="77777777" w:rsidR="00307939" w:rsidRDefault="00307939" w:rsidP="00307939">
      <w:pPr>
        <w:pStyle w:val="BodyText"/>
      </w:pPr>
      <w:r>
        <w:lastRenderedPageBreak/>
        <w:t>The growth in national labour productivity averages 1.4 per cent a year between 2014 and 2060 (figure </w:t>
      </w:r>
      <w:proofErr w:type="spellStart"/>
      <w:r>
        <w:t>B.8</w:t>
      </w:r>
      <w:proofErr w:type="spellEnd"/>
      <w:r>
        <w:t>), reflecting the industry specific labour productivity assumptions outlined earlier in the supplement. Over the entire projection period to 2060, labour productivity grows by 86 per cent (table </w:t>
      </w:r>
      <w:proofErr w:type="spellStart"/>
      <w:r>
        <w:t>B.3</w:t>
      </w:r>
      <w:proofErr w:type="spellEnd"/>
      <w:r>
        <w:t>).</w:t>
      </w:r>
    </w:p>
    <w:p w14:paraId="5F8C2A55" w14:textId="77777777" w:rsidR="008C34B7" w:rsidRDefault="008C34B7" w:rsidP="008C34B7">
      <w:pPr>
        <w:pStyle w:val="BodyText"/>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1154E8" w14:paraId="778AA1F2" w14:textId="77777777" w:rsidTr="00AA688F">
        <w:trPr>
          <w:tblHeader/>
        </w:trPr>
        <w:tc>
          <w:tcPr>
            <w:tcW w:w="8771" w:type="dxa"/>
            <w:tcBorders>
              <w:top w:val="single" w:sz="6" w:space="0" w:color="78A22F"/>
              <w:left w:val="nil"/>
              <w:bottom w:val="nil"/>
              <w:right w:val="nil"/>
            </w:tcBorders>
            <w:shd w:val="clear" w:color="auto" w:fill="auto"/>
          </w:tcPr>
          <w:p w14:paraId="73E3719E" w14:textId="178F0F6D" w:rsidR="001154E8" w:rsidRPr="00176D3F" w:rsidRDefault="001154E8" w:rsidP="00D733F9">
            <w:pPr>
              <w:pStyle w:val="FigureTitle"/>
            </w:pPr>
            <w:r w:rsidRPr="00784A05">
              <w:rPr>
                <w:b w:val="0"/>
              </w:rPr>
              <w:t xml:space="preserve">Figure </w:t>
            </w:r>
            <w:proofErr w:type="spellStart"/>
            <w:r w:rsidR="000C775F">
              <w:rPr>
                <w:b w:val="0"/>
              </w:rPr>
              <w:t>B.</w:t>
            </w:r>
            <w:r w:rsidR="009015D8">
              <w:rPr>
                <w:b w:val="0"/>
                <w:noProof/>
              </w:rPr>
              <w:t>8</w:t>
            </w:r>
            <w:proofErr w:type="spellEnd"/>
            <w:r>
              <w:tab/>
              <w:t xml:space="preserve">Contributions to the growth in real </w:t>
            </w:r>
            <w:r w:rsidR="00987C4D">
              <w:t>GDP</w:t>
            </w:r>
            <w:r>
              <w:t xml:space="preserve"> in the business</w:t>
            </w:r>
            <w:r w:rsidR="00300F88">
              <w:t>-</w:t>
            </w:r>
            <w:r>
              <w:t>as</w:t>
            </w:r>
            <w:r w:rsidR="00300F88">
              <w:t>-</w:t>
            </w:r>
            <w:r>
              <w:t xml:space="preserve">usual scenario, 2014 to </w:t>
            </w:r>
            <w:proofErr w:type="spellStart"/>
            <w:r>
              <w:t>2060</w:t>
            </w:r>
            <w:r w:rsidR="00784D15" w:rsidRPr="00307939">
              <w:rPr>
                <w:vertAlign w:val="superscript"/>
              </w:rPr>
              <w:t>a</w:t>
            </w:r>
            <w:proofErr w:type="spellEnd"/>
          </w:p>
        </w:tc>
      </w:tr>
      <w:tr w:rsidR="001154E8" w14:paraId="037C3DEB" w14:textId="77777777" w:rsidTr="00AA688F">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Description w:val="Nested table used for design layout."/>
            </w:tblPr>
            <w:tblGrid>
              <w:gridCol w:w="8504"/>
            </w:tblGrid>
            <w:tr w:rsidR="001154E8" w14:paraId="1FECABD6" w14:textId="77777777" w:rsidTr="00AF29F5">
              <w:trPr>
                <w:tblHeader/>
                <w:jc w:val="center"/>
              </w:trPr>
              <w:tc>
                <w:tcPr>
                  <w:tcW w:w="8504" w:type="dxa"/>
                  <w:tcBorders>
                    <w:top w:val="nil"/>
                    <w:bottom w:val="nil"/>
                  </w:tcBorders>
                </w:tcPr>
                <w:p w14:paraId="1C73C22B" w14:textId="2810FBA2" w:rsidR="001154E8" w:rsidRDefault="00243159" w:rsidP="00AA688F">
                  <w:pPr>
                    <w:pStyle w:val="Figure"/>
                    <w:spacing w:before="60" w:after="60"/>
                  </w:pPr>
                  <w:r>
                    <w:rPr>
                      <w:noProof/>
                    </w:rPr>
                    <w:drawing>
                      <wp:inline distT="0" distB="0" distL="0" distR="0" wp14:anchorId="269F747F" wp14:editId="7B321657">
                        <wp:extent cx="5236210" cy="4097655"/>
                        <wp:effectExtent l="0" t="0" r="2540" b="0"/>
                        <wp:docPr id="21" name="Picture 21" descr="This figure shows the contribution of population, participation in employment and productivity to the average annual growth in real GDP in the business-as-usual scenario over the period 2014 to 2060. Average annual growth rates are shown on the chart for population (1.2 per cent); participation in employment (-0.4 per cent) and labour productivity (1.4 per cent), summing to growth in real gross value added (2.2 per cent), plus a small reduction in taxes less subsidies (-0.1 per cent) to give the growth in GDP (2.1 per cent). The chart also shows that participation in employment consists of the annual average growth of four components, the adult share of the population (0 per cent); labour market participation (-0.2 per cent); employment share (0 per cent) and average hours worked per person (-0.2 per 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236210" cy="4097655"/>
                                </a:xfrm>
                                <a:prstGeom prst="rect">
                                  <a:avLst/>
                                </a:prstGeom>
                                <a:noFill/>
                                <a:ln>
                                  <a:noFill/>
                                </a:ln>
                              </pic:spPr>
                            </pic:pic>
                          </a:graphicData>
                        </a:graphic>
                      </wp:inline>
                    </w:drawing>
                  </w:r>
                </w:p>
              </w:tc>
            </w:tr>
          </w:tbl>
          <w:p w14:paraId="5588FDC4" w14:textId="77777777" w:rsidR="001154E8" w:rsidRDefault="001154E8" w:rsidP="00AA688F">
            <w:pPr>
              <w:pStyle w:val="Figure"/>
            </w:pPr>
          </w:p>
        </w:tc>
      </w:tr>
      <w:tr w:rsidR="001154E8" w:rsidRPr="00176D3F" w14:paraId="12F445D7" w14:textId="77777777" w:rsidTr="00AA688F">
        <w:tc>
          <w:tcPr>
            <w:tcW w:w="8771" w:type="dxa"/>
            <w:tcBorders>
              <w:top w:val="nil"/>
              <w:left w:val="nil"/>
              <w:bottom w:val="nil"/>
              <w:right w:val="nil"/>
            </w:tcBorders>
            <w:shd w:val="clear" w:color="auto" w:fill="auto"/>
          </w:tcPr>
          <w:p w14:paraId="5060218F" w14:textId="0B51781F" w:rsidR="001154E8" w:rsidRPr="00176D3F" w:rsidRDefault="001154E8" w:rsidP="007075F4">
            <w:pPr>
              <w:pStyle w:val="Note"/>
            </w:pPr>
            <w:r>
              <w:rPr>
                <w:rStyle w:val="NoteLabel"/>
              </w:rPr>
              <w:t>a</w:t>
            </w:r>
            <w:r w:rsidR="007075F4">
              <w:t> </w:t>
            </w:r>
            <w:r w:rsidR="00AF29F5">
              <w:t>‘</w:t>
            </w:r>
            <w:r w:rsidR="00784D15">
              <w:t>Other</w:t>
            </w:r>
            <w:r w:rsidR="00AF29F5">
              <w:t>’</w:t>
            </w:r>
            <w:r w:rsidR="00784D15">
              <w:t xml:space="preserve"> consists of changes in taxes less subsidies on products</w:t>
            </w:r>
            <w:r>
              <w:t xml:space="preserve">. </w:t>
            </w:r>
          </w:p>
        </w:tc>
      </w:tr>
      <w:tr w:rsidR="001154E8" w:rsidRPr="00176D3F" w14:paraId="5AF77BF1" w14:textId="77777777" w:rsidTr="00AA688F">
        <w:tc>
          <w:tcPr>
            <w:tcW w:w="8771" w:type="dxa"/>
            <w:tcBorders>
              <w:top w:val="nil"/>
              <w:left w:val="nil"/>
              <w:bottom w:val="nil"/>
              <w:right w:val="nil"/>
            </w:tcBorders>
            <w:shd w:val="clear" w:color="auto" w:fill="auto"/>
          </w:tcPr>
          <w:p w14:paraId="4028093F" w14:textId="3C374324" w:rsidR="001154E8" w:rsidRPr="00176D3F" w:rsidRDefault="00784D15" w:rsidP="00AA688F">
            <w:pPr>
              <w:pStyle w:val="Source"/>
            </w:pPr>
            <w:r>
              <w:rPr>
                <w:i/>
              </w:rPr>
              <w:t>S</w:t>
            </w:r>
            <w:r w:rsidR="001154E8" w:rsidRPr="00784A05">
              <w:rPr>
                <w:i/>
              </w:rPr>
              <w:t>ource</w:t>
            </w:r>
            <w:r w:rsidR="001154E8" w:rsidRPr="00176D3F">
              <w:t xml:space="preserve">: </w:t>
            </w:r>
            <w:r>
              <w:t xml:space="preserve">Productivity Commission </w:t>
            </w:r>
            <w:r w:rsidR="00570B9C">
              <w:t>projections</w:t>
            </w:r>
            <w:r w:rsidR="006A3E61">
              <w:t xml:space="preserve"> based on </w:t>
            </w:r>
            <w:proofErr w:type="spellStart"/>
            <w:r w:rsidR="006A3E61">
              <w:t>VURM</w:t>
            </w:r>
            <w:proofErr w:type="spellEnd"/>
            <w:r w:rsidR="006A3E61">
              <w:noBreakHyphen/>
              <w:t>MI</w:t>
            </w:r>
            <w:r>
              <w:t>.</w:t>
            </w:r>
          </w:p>
        </w:tc>
      </w:tr>
      <w:tr w:rsidR="001154E8" w14:paraId="2C7984C8" w14:textId="77777777" w:rsidTr="00AA688F">
        <w:tc>
          <w:tcPr>
            <w:tcW w:w="8771" w:type="dxa"/>
            <w:tcBorders>
              <w:top w:val="nil"/>
              <w:left w:val="nil"/>
              <w:bottom w:val="single" w:sz="6" w:space="0" w:color="78A22F"/>
              <w:right w:val="nil"/>
            </w:tcBorders>
            <w:shd w:val="clear" w:color="auto" w:fill="auto"/>
          </w:tcPr>
          <w:p w14:paraId="635AC662" w14:textId="77777777" w:rsidR="001154E8" w:rsidRDefault="001154E8" w:rsidP="00AA688F">
            <w:pPr>
              <w:pStyle w:val="Figurespace"/>
            </w:pPr>
          </w:p>
        </w:tc>
      </w:tr>
      <w:tr w:rsidR="001154E8" w:rsidRPr="000863A5" w14:paraId="6DA66222" w14:textId="77777777" w:rsidTr="00AA688F">
        <w:tc>
          <w:tcPr>
            <w:tcW w:w="8771" w:type="dxa"/>
            <w:tcBorders>
              <w:top w:val="single" w:sz="6" w:space="0" w:color="78A22F"/>
              <w:left w:val="nil"/>
              <w:bottom w:val="nil"/>
              <w:right w:val="nil"/>
            </w:tcBorders>
          </w:tcPr>
          <w:p w14:paraId="4CE7A4B4" w14:textId="4411AE5D" w:rsidR="001154E8" w:rsidRPr="00626D32" w:rsidRDefault="001154E8" w:rsidP="00AA688F">
            <w:pPr>
              <w:pStyle w:val="BoxSpaceBelow"/>
            </w:pPr>
          </w:p>
        </w:tc>
      </w:tr>
    </w:tbl>
    <w:p w14:paraId="00A7FA7E" w14:textId="673CCD1F" w:rsidR="00AF1CFC" w:rsidRDefault="00AF1CFC" w:rsidP="00F93BD8">
      <w:pPr>
        <w:pStyle w:val="BodyText"/>
      </w:pPr>
      <w:r>
        <w:t>As a result, t</w:t>
      </w:r>
      <w:r w:rsidR="00F93BD8">
        <w:t>he size of the economy</w:t>
      </w:r>
      <w:r>
        <w:t xml:space="preserve"> </w:t>
      </w:r>
      <w:r w:rsidR="006B4D9C">
        <w:t>(</w:t>
      </w:r>
      <w:r>
        <w:t>as</w:t>
      </w:r>
      <w:r w:rsidR="00F93BD8">
        <w:t xml:space="preserve"> measured by real GDP</w:t>
      </w:r>
      <w:r w:rsidR="006B4D9C">
        <w:t>)</w:t>
      </w:r>
      <w:r w:rsidR="00F93BD8">
        <w:t xml:space="preserve"> is projected to </w:t>
      </w:r>
      <w:r>
        <w:t>grow</w:t>
      </w:r>
      <w:r w:rsidR="00CB6336">
        <w:t xml:space="preserve"> on average</w:t>
      </w:r>
      <w:r>
        <w:t xml:space="preserve"> by 2.1 per cent a year</w:t>
      </w:r>
      <w:r w:rsidR="00F93BD8">
        <w:t xml:space="preserve"> (</w:t>
      </w:r>
      <w:r w:rsidR="00BE36D1">
        <w:t>figure </w:t>
      </w:r>
      <w:proofErr w:type="spellStart"/>
      <w:r w:rsidR="00BE36D1">
        <w:t>B.8</w:t>
      </w:r>
      <w:proofErr w:type="spellEnd"/>
      <w:r w:rsidR="00BE36D1">
        <w:t>). This amounts to an</w:t>
      </w:r>
      <w:r w:rsidR="00F93BD8">
        <w:t xml:space="preserve"> </w:t>
      </w:r>
      <w:r w:rsidR="00BE36D1">
        <w:t xml:space="preserve">increase of 164 per cent from 2014 levels </w:t>
      </w:r>
      <w:r w:rsidR="006B4D9C">
        <w:t xml:space="preserve">by 2060 </w:t>
      </w:r>
      <w:r w:rsidR="00F93BD8">
        <w:t>(</w:t>
      </w:r>
      <w:r w:rsidR="006F0840">
        <w:t>table </w:t>
      </w:r>
      <w:proofErr w:type="spellStart"/>
      <w:r w:rsidR="006F0840">
        <w:t>B.3</w:t>
      </w:r>
      <w:proofErr w:type="spellEnd"/>
      <w:r w:rsidR="00F93BD8">
        <w:t xml:space="preserve">). </w:t>
      </w:r>
      <w:r w:rsidR="005352FD">
        <w:t>Accounting for population growth, real GDP in per person terms is projected to be around 52 per cent above 2014 levels by 2060, implying growth in real GDP per person of 0.9 per cent per year</w:t>
      </w:r>
      <w:r w:rsidR="00CB6336">
        <w:t xml:space="preserve"> on average</w:t>
      </w:r>
      <w:r w:rsidR="005352FD">
        <w:t xml:space="preserve"> over the projection period.</w:t>
      </w:r>
    </w:p>
    <w:p w14:paraId="028446C9" w14:textId="5CA61D91" w:rsidR="00F93BD8" w:rsidRDefault="00F93BD8" w:rsidP="00F93BD8">
      <w:pPr>
        <w:pStyle w:val="BodyText"/>
      </w:pPr>
      <w:r>
        <w:t>With a larger economy, real consumption of both the household and government sectors is projected to increase by 157 and 191 per</w:t>
      </w:r>
      <w:r w:rsidR="00EF64D7">
        <w:t> </w:t>
      </w:r>
      <w:r>
        <w:t>cent</w:t>
      </w:r>
      <w:r w:rsidR="00753F16">
        <w:t xml:space="preserve"> </w:t>
      </w:r>
      <w:r w:rsidR="004736DA">
        <w:t xml:space="preserve">respectively </w:t>
      </w:r>
      <w:r w:rsidR="00753F16">
        <w:t>by 2060</w:t>
      </w:r>
      <w:r>
        <w:t xml:space="preserve"> </w:t>
      </w:r>
      <w:r w:rsidR="00753F16">
        <w:t>(table </w:t>
      </w:r>
      <w:proofErr w:type="spellStart"/>
      <w:r w:rsidR="00753F16">
        <w:t>B.3</w:t>
      </w:r>
      <w:proofErr w:type="spellEnd"/>
      <w:r w:rsidR="00753F16">
        <w:t>)</w:t>
      </w:r>
      <w:r>
        <w:t xml:space="preserve">. Household consumption is projected to increase with the growth in real household disposable incomes. The average propensity to consume (and save) is assumed to remain constant. </w:t>
      </w:r>
      <w:r w:rsidR="007772EF">
        <w:t xml:space="preserve">A </w:t>
      </w:r>
      <w:r w:rsidR="007772EF">
        <w:lastRenderedPageBreak/>
        <w:t>net lump sum tax on households is assumed to adjust to hold the government budget deficit fixed as a share of GDP (or GSP for state budgets).</w:t>
      </w:r>
      <w:r>
        <w:t xml:space="preserve"> </w:t>
      </w:r>
      <w:r w:rsidR="00355D17">
        <w:t xml:space="preserve">The lump sum tax on households is projected to rise as a share of GDP over the projection period as a result of the growing </w:t>
      </w:r>
      <w:r w:rsidR="004736DA">
        <w:t xml:space="preserve">share of </w:t>
      </w:r>
      <w:r w:rsidR="00355D17">
        <w:t>public expenditure on health and aged care services associated with an ageing population. Household consumption therefore increases at a slower rate than GDP. For the same reason, g</w:t>
      </w:r>
      <w:r>
        <w:t xml:space="preserve">overnment real consumption is projected to increase ahead of household consumption. </w:t>
      </w:r>
    </w:p>
    <w:p w14:paraId="47330A12" w14:textId="77777777" w:rsidR="0016771D" w:rsidRDefault="009F299E" w:rsidP="00F93BD8">
      <w:pPr>
        <w:pStyle w:val="BodyText"/>
      </w:pPr>
      <w:r>
        <w:t xml:space="preserve">Real investment expenditure expands </w:t>
      </w:r>
      <w:r w:rsidR="009A2183">
        <w:t xml:space="preserve">with the economy, at a rate </w:t>
      </w:r>
      <w:r w:rsidR="006F0840">
        <w:t>comparable to that of</w:t>
      </w:r>
      <w:r w:rsidR="009A2183">
        <w:t xml:space="preserve"> the</w:t>
      </w:r>
      <w:r>
        <w:t xml:space="preserve"> expansion in the labour force</w:t>
      </w:r>
      <w:r w:rsidR="009A2183">
        <w:t xml:space="preserve">. The ageing of the population and </w:t>
      </w:r>
      <w:r w:rsidR="00BC6CAF">
        <w:t>low</w:t>
      </w:r>
      <w:r w:rsidR="009A2183">
        <w:t xml:space="preserve"> growth in labour productivity in the non</w:t>
      </w:r>
      <w:r w:rsidR="009A2183">
        <w:noBreakHyphen/>
        <w:t>tradable</w:t>
      </w:r>
      <w:r w:rsidR="002E554F">
        <w:t>, labour</w:t>
      </w:r>
      <w:r w:rsidR="002E554F">
        <w:noBreakHyphen/>
        <w:t>intensive</w:t>
      </w:r>
      <w:r w:rsidR="009A2183">
        <w:t xml:space="preserve"> sector </w:t>
      </w:r>
      <w:r w:rsidR="002E554F">
        <w:t>of</w:t>
      </w:r>
      <w:r w:rsidR="009A2183">
        <w:t xml:space="preserve"> the economy contributes to higher</w:t>
      </w:r>
      <w:r w:rsidR="00F93BD8">
        <w:t xml:space="preserve"> wage</w:t>
      </w:r>
      <w:r w:rsidR="009A2183">
        <w:t xml:space="preserve"> growth</w:t>
      </w:r>
      <w:r w:rsidR="00BC6CAF">
        <w:t>, constraining the rate of return and thereby limiting investment growth</w:t>
      </w:r>
      <w:r w:rsidR="002E554F">
        <w:t>.</w:t>
      </w:r>
      <w:r w:rsidR="00F93BD8">
        <w:t xml:space="preserve"> </w:t>
      </w:r>
      <w:r w:rsidR="00273B02">
        <w:t>At the same time, the extent to which wage growth exceeds the cost of capital contributes to industries substituting towards the use of capital and away from labour, resulting in investment growth being projected to be somewhat higher than employment growth.</w:t>
      </w:r>
    </w:p>
    <w:p w14:paraId="028446CC" w14:textId="5A1958CF" w:rsidR="00F93BD8" w:rsidRDefault="00F93BD8" w:rsidP="00F93BD8">
      <w:pPr>
        <w:pStyle w:val="BodyText"/>
      </w:pPr>
      <w:r>
        <w:t xml:space="preserve">Exports and imports are projected to increase at different rates — rising </w:t>
      </w:r>
      <w:r w:rsidR="004736DA">
        <w:t>between 2014</w:t>
      </w:r>
      <w:r>
        <w:t xml:space="preserve"> </w:t>
      </w:r>
      <w:r w:rsidR="004736DA">
        <w:t xml:space="preserve">and </w:t>
      </w:r>
      <w:r>
        <w:t xml:space="preserve">2060 by 301 and 166 per cent, respectively. The difference reflects the </w:t>
      </w:r>
      <w:r w:rsidR="0072639A">
        <w:t xml:space="preserve">assumed </w:t>
      </w:r>
      <w:r>
        <w:t xml:space="preserve">unwinding of the terms of trade and the associated mining investment boom. </w:t>
      </w:r>
      <w:r w:rsidR="005C126E">
        <w:t>T</w:t>
      </w:r>
      <w:r>
        <w:t>he terms of trade</w:t>
      </w:r>
      <w:r w:rsidR="005C126E">
        <w:t xml:space="preserve"> is assumed to</w:t>
      </w:r>
      <w:r>
        <w:t xml:space="preserve"> return to</w:t>
      </w:r>
      <w:r w:rsidR="005C126E">
        <w:t xml:space="preserve"> its</w:t>
      </w:r>
      <w:r>
        <w:t xml:space="preserve"> historical average levels by 2018</w:t>
      </w:r>
      <w:r w:rsidR="004736DA">
        <w:t>. It is otherwise assumed</w:t>
      </w:r>
      <w:r>
        <w:t xml:space="preserve"> that the mining industry progressively deploys previous investment to increase output, mainly directed to exporting. With the declining terms of trade, the costs of imports are projected to rise relative to the prices of local goods and services</w:t>
      </w:r>
      <w:r w:rsidR="005C126E">
        <w:t>,</w:t>
      </w:r>
      <w:r>
        <w:t xml:space="preserve"> slowing the growth of imports relative to that of domestic activity. After a period of adjustment, and without further terms of trade changes, import and export volumes are projected to increase broadly in line with national activity levels. </w:t>
      </w:r>
    </w:p>
    <w:p w14:paraId="028446CE" w14:textId="37E7099F" w:rsidR="00C42113" w:rsidRDefault="00F93BD8" w:rsidP="0085564B">
      <w:pPr>
        <w:pStyle w:val="BodyText"/>
      </w:pPr>
      <w:r>
        <w:t xml:space="preserve">By 2060, the real wage </w:t>
      </w:r>
      <w:r w:rsidR="001B5759">
        <w:t>(</w:t>
      </w:r>
      <w:r w:rsidR="008D6172">
        <w:t xml:space="preserve">an index of </w:t>
      </w:r>
      <w:r w:rsidR="00273B02">
        <w:t xml:space="preserve">the </w:t>
      </w:r>
      <w:r w:rsidR="008D6172">
        <w:t>purchasing power</w:t>
      </w:r>
      <w:r w:rsidR="00273B02">
        <w:t xml:space="preserve"> of consumers)</w:t>
      </w:r>
      <w:r w:rsidR="008D6172">
        <w:t xml:space="preserve"> </w:t>
      </w:r>
      <w:r>
        <w:t xml:space="preserve">is projected to be 180 per cent above </w:t>
      </w:r>
      <w:r w:rsidR="004736DA">
        <w:t xml:space="preserve">2014 </w:t>
      </w:r>
      <w:r>
        <w:t xml:space="preserve">levels in the business-as-usual scenario, while </w:t>
      </w:r>
      <w:r w:rsidR="001B5759">
        <w:t xml:space="preserve">the real </w:t>
      </w:r>
      <w:r>
        <w:t>labour cost (</w:t>
      </w:r>
      <w:r w:rsidR="008D6172">
        <w:t>an index of the labour costs faced by producers</w:t>
      </w:r>
      <w:r w:rsidR="00273B02">
        <w:t>)</w:t>
      </w:r>
      <w:r w:rsidR="008D6172">
        <w:t xml:space="preserve"> </w:t>
      </w:r>
      <w:r w:rsidR="00500ED2">
        <w:t>is</w:t>
      </w:r>
      <w:r>
        <w:t xml:space="preserve"> projected to be 141 per cent above </w:t>
      </w:r>
      <w:r w:rsidR="004736DA">
        <w:t xml:space="preserve">2014 </w:t>
      </w:r>
      <w:r>
        <w:t>levels</w:t>
      </w:r>
      <w:r w:rsidR="00C57D2E">
        <w:t xml:space="preserve"> (table </w:t>
      </w:r>
      <w:proofErr w:type="spellStart"/>
      <w:r w:rsidR="00C57D2E">
        <w:t>B.3</w:t>
      </w:r>
      <w:proofErr w:type="spellEnd"/>
      <w:r w:rsidR="00C57D2E">
        <w:t>)</w:t>
      </w:r>
      <w:r>
        <w:t>.</w:t>
      </w:r>
      <w:r w:rsidR="00273B02" w:rsidRPr="003D567A">
        <w:rPr>
          <w:rStyle w:val="FootnoteReference"/>
        </w:rPr>
        <w:footnoteReference w:id="11"/>
      </w:r>
      <w:r>
        <w:t xml:space="preserve"> </w:t>
      </w:r>
      <w:r w:rsidR="008D6172">
        <w:t xml:space="preserve">The main source </w:t>
      </w:r>
      <w:r w:rsidR="007A3466">
        <w:t>of difference between the two wage measures i</w:t>
      </w:r>
      <w:r w:rsidR="00DA1928">
        <w:t>s</w:t>
      </w:r>
      <w:r w:rsidR="007A3466">
        <w:t xml:space="preserve"> the composition of the goods and services purchased by consumers and </w:t>
      </w:r>
      <w:r w:rsidR="00F407ED">
        <w:t>producers</w:t>
      </w:r>
      <w:r w:rsidR="007A3466">
        <w:t xml:space="preserve">, as reflected in the respective price deflators. In </w:t>
      </w:r>
      <w:r w:rsidR="00123500">
        <w:t>particular, the goods and services for producers include</w:t>
      </w:r>
      <w:r w:rsidR="0098422D">
        <w:t xml:space="preserve"> inputs associated with capital investment and government expenditures. With the price</w:t>
      </w:r>
      <w:r w:rsidR="00123500">
        <w:t>s</w:t>
      </w:r>
      <w:r w:rsidR="0098422D">
        <w:t xml:space="preserve"> of inputs to production </w:t>
      </w:r>
      <w:r w:rsidR="00ED4FFD">
        <w:t>being</w:t>
      </w:r>
      <w:r w:rsidR="0098422D">
        <w:t xml:space="preserve"> projected to rise faster than consumer product prices</w:t>
      </w:r>
      <w:r w:rsidR="00123500">
        <w:t xml:space="preserve">, growth </w:t>
      </w:r>
      <w:r w:rsidR="00132B40">
        <w:t>in the</w:t>
      </w:r>
      <w:r w:rsidR="00123500">
        <w:t xml:space="preserve"> real purchasing power of producers is expected to be lower than that of consumers</w:t>
      </w:r>
      <w:r w:rsidR="00CC1977">
        <w:t>.</w:t>
      </w:r>
      <w:r w:rsidR="00541168">
        <w:t xml:space="preserve"> </w:t>
      </w:r>
    </w:p>
    <w:p w14:paraId="028446CF" w14:textId="77777777" w:rsidR="00541168" w:rsidRDefault="00541168" w:rsidP="00EF0E48">
      <w:pPr>
        <w:pStyle w:val="Heading4"/>
      </w:pPr>
      <w:r>
        <w:lastRenderedPageBreak/>
        <w:t xml:space="preserve">The </w:t>
      </w:r>
      <w:proofErr w:type="spellStart"/>
      <w:r>
        <w:t>economywide</w:t>
      </w:r>
      <w:proofErr w:type="spellEnd"/>
      <w:r>
        <w:t xml:space="preserve"> impact of</w:t>
      </w:r>
      <w:r w:rsidR="00EB2198">
        <w:t xml:space="preserve"> alternative</w:t>
      </w:r>
      <w:r>
        <w:t xml:space="preserve"> NOM</w:t>
      </w:r>
      <w:r w:rsidR="00EB2198">
        <w:t xml:space="preserve"> scenarios</w:t>
      </w:r>
    </w:p>
    <w:p w14:paraId="5E979EFC" w14:textId="605B36BA" w:rsidR="0033540B" w:rsidRDefault="00573127" w:rsidP="00E36FBE">
      <w:pPr>
        <w:pStyle w:val="BodyText"/>
      </w:pPr>
      <w:r>
        <w:t xml:space="preserve">Alternative NOM scenarios have implications for economic growth through their impact on population growth, participation and labour productivity. </w:t>
      </w:r>
      <w:r w:rsidR="00E36FBE">
        <w:t>Table </w:t>
      </w:r>
      <w:proofErr w:type="spellStart"/>
      <w:r w:rsidR="003C0C52">
        <w:t>B</w:t>
      </w:r>
      <w:r w:rsidR="00E36FBE">
        <w:t>.</w:t>
      </w:r>
      <w:r w:rsidR="00DA1928">
        <w:t>4</w:t>
      </w:r>
      <w:proofErr w:type="spellEnd"/>
      <w:r w:rsidR="00E36FBE">
        <w:t xml:space="preserve"> presents deviations of the alternative NOM scenarios from the business-as-usual scenario. </w:t>
      </w:r>
    </w:p>
    <w:p w14:paraId="7C4F82B5" w14:textId="5E69A9B5" w:rsidR="00E36FBE" w:rsidRDefault="00E36FBE" w:rsidP="00E36FB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4"/>
        <w:gridCol w:w="125"/>
      </w:tblGrid>
      <w:tr w:rsidR="00E36FBE" w14:paraId="028446D4" w14:textId="77777777" w:rsidTr="00E36FBE">
        <w:tc>
          <w:tcPr>
            <w:tcW w:w="8909" w:type="dxa"/>
            <w:gridSpan w:val="2"/>
            <w:tcBorders>
              <w:top w:val="single" w:sz="6" w:space="0" w:color="78A22F"/>
              <w:left w:val="nil"/>
              <w:bottom w:val="nil"/>
              <w:right w:val="nil"/>
            </w:tcBorders>
            <w:shd w:val="clear" w:color="auto" w:fill="auto"/>
          </w:tcPr>
          <w:p w14:paraId="028446D2" w14:textId="05BBAD4F" w:rsidR="00E36FBE" w:rsidRDefault="00E36FBE" w:rsidP="00E36FBE">
            <w:pPr>
              <w:pStyle w:val="TableTitle"/>
            </w:pPr>
            <w:r>
              <w:rPr>
                <w:b w:val="0"/>
              </w:rPr>
              <w:t xml:space="preserve">Table </w:t>
            </w:r>
            <w:proofErr w:type="spellStart"/>
            <w:r w:rsidR="000C775F">
              <w:rPr>
                <w:b w:val="0"/>
              </w:rPr>
              <w:t>B.</w:t>
            </w:r>
            <w:r w:rsidR="009015D8">
              <w:rPr>
                <w:b w:val="0"/>
                <w:noProof/>
              </w:rPr>
              <w:t>4</w:t>
            </w:r>
            <w:proofErr w:type="spellEnd"/>
            <w:r>
              <w:tab/>
              <w:t>Marginal effects of alternative scenarios compared with the business-as-usual scenario in 2060</w:t>
            </w:r>
          </w:p>
          <w:p w14:paraId="028446D3" w14:textId="77777777" w:rsidR="00E36FBE" w:rsidRPr="00784A05" w:rsidRDefault="00E36FBE" w:rsidP="00A446EA">
            <w:pPr>
              <w:pStyle w:val="Subtitle"/>
            </w:pPr>
            <w:r>
              <w:t>Per cent deviation from business-as-usual scenario</w:t>
            </w:r>
          </w:p>
        </w:tc>
      </w:tr>
      <w:tr w:rsidR="00E36FBE" w14:paraId="02844742" w14:textId="77777777" w:rsidTr="00E36FBE">
        <w:trPr>
          <w:cantSplit/>
        </w:trPr>
        <w:tc>
          <w:tcPr>
            <w:tcW w:w="8909" w:type="dxa"/>
            <w:gridSpan w:val="2"/>
            <w:tcBorders>
              <w:top w:val="nil"/>
              <w:left w:val="nil"/>
              <w:bottom w:val="nil"/>
              <w:right w:val="nil"/>
            </w:tcBorders>
            <w:shd w:val="clear" w:color="auto" w:fill="auto"/>
          </w:tcPr>
          <w:tbl>
            <w:tblPr>
              <w:tblW w:w="8638" w:type="dxa"/>
              <w:tblCellMar>
                <w:top w:w="28" w:type="dxa"/>
                <w:left w:w="0" w:type="dxa"/>
                <w:right w:w="0" w:type="dxa"/>
              </w:tblCellMar>
              <w:tblLook w:val="0000" w:firstRow="0" w:lastRow="0" w:firstColumn="0" w:lastColumn="0" w:noHBand="0" w:noVBand="0"/>
            </w:tblPr>
            <w:tblGrid>
              <w:gridCol w:w="4043"/>
              <w:gridCol w:w="1512"/>
              <w:gridCol w:w="21"/>
              <w:gridCol w:w="1519"/>
              <w:gridCol w:w="14"/>
              <w:gridCol w:w="1517"/>
              <w:gridCol w:w="12"/>
            </w:tblGrid>
            <w:tr w:rsidR="00E36FBE" w14:paraId="028446DA" w14:textId="77777777" w:rsidTr="00BF16A9">
              <w:tc>
                <w:tcPr>
                  <w:tcW w:w="2340" w:type="pct"/>
                  <w:tcBorders>
                    <w:top w:val="single" w:sz="6" w:space="0" w:color="BFBFBF"/>
                    <w:bottom w:val="single" w:sz="6" w:space="0" w:color="BFBFBF"/>
                  </w:tcBorders>
                  <w:shd w:val="clear" w:color="auto" w:fill="auto"/>
                  <w:tcMar>
                    <w:top w:w="28" w:type="dxa"/>
                  </w:tcMar>
                </w:tcPr>
                <w:p w14:paraId="028446D5" w14:textId="77777777" w:rsidR="00E36FBE" w:rsidRDefault="00E36FBE" w:rsidP="00BF16A9">
                  <w:pPr>
                    <w:pStyle w:val="TableColumnHeading"/>
                    <w:jc w:val="left"/>
                  </w:pPr>
                  <w:r>
                    <w:t>Variable</w:t>
                  </w:r>
                </w:p>
              </w:tc>
              <w:tc>
                <w:tcPr>
                  <w:tcW w:w="875" w:type="pct"/>
                  <w:tcBorders>
                    <w:top w:val="single" w:sz="6" w:space="0" w:color="BFBFBF"/>
                    <w:bottom w:val="single" w:sz="6" w:space="0" w:color="BFBFBF"/>
                  </w:tcBorders>
                </w:tcPr>
                <w:p w14:paraId="028446D6" w14:textId="7944EE75" w:rsidR="00E36FBE" w:rsidRDefault="00BF16A9" w:rsidP="00BF16A9">
                  <w:pPr>
                    <w:pStyle w:val="TableColumnHeading"/>
                  </w:pPr>
                  <w:r>
                    <w:t>Zero NOM</w:t>
                  </w:r>
                </w:p>
              </w:tc>
              <w:tc>
                <w:tcPr>
                  <w:tcW w:w="12" w:type="pct"/>
                  <w:tcBorders>
                    <w:top w:val="single" w:sz="6" w:space="0" w:color="BFBFBF"/>
                    <w:bottom w:val="single" w:sz="6" w:space="0" w:color="BFBFBF"/>
                  </w:tcBorders>
                  <w:shd w:val="clear" w:color="auto" w:fill="auto"/>
                  <w:tcMar>
                    <w:top w:w="28" w:type="dxa"/>
                  </w:tcMar>
                </w:tcPr>
                <w:p w14:paraId="028446D7" w14:textId="77777777" w:rsidR="00E36FBE" w:rsidRDefault="00E36FBE" w:rsidP="00BF16A9">
                  <w:pPr>
                    <w:pStyle w:val="TableColumnHeading"/>
                  </w:pPr>
                </w:p>
              </w:tc>
              <w:tc>
                <w:tcPr>
                  <w:tcW w:w="887" w:type="pct"/>
                  <w:gridSpan w:val="2"/>
                  <w:tcBorders>
                    <w:top w:val="single" w:sz="6" w:space="0" w:color="BFBFBF"/>
                    <w:bottom w:val="single" w:sz="6" w:space="0" w:color="BFBFBF"/>
                  </w:tcBorders>
                  <w:shd w:val="clear" w:color="auto" w:fill="auto"/>
                  <w:tcMar>
                    <w:top w:w="28" w:type="dxa"/>
                  </w:tcMar>
                </w:tcPr>
                <w:p w14:paraId="028446D8" w14:textId="647D03CD" w:rsidR="00E36FBE" w:rsidRDefault="00E36FBE" w:rsidP="00BF16A9">
                  <w:pPr>
                    <w:pStyle w:val="TableColumnHeading"/>
                    <w:ind w:right="28"/>
                  </w:pPr>
                  <w:r>
                    <w:t xml:space="preserve">0.3% NOM </w:t>
                  </w:r>
                  <w:r w:rsidR="00BF16A9">
                    <w:br/>
                  </w:r>
                  <w:r>
                    <w:t>to population</w:t>
                  </w:r>
                </w:p>
              </w:tc>
              <w:tc>
                <w:tcPr>
                  <w:tcW w:w="885" w:type="pct"/>
                  <w:gridSpan w:val="2"/>
                  <w:tcBorders>
                    <w:top w:val="single" w:sz="6" w:space="0" w:color="BFBFBF"/>
                    <w:bottom w:val="single" w:sz="6" w:space="0" w:color="BFBFBF"/>
                  </w:tcBorders>
                </w:tcPr>
                <w:p w14:paraId="028446D9" w14:textId="3B0CD1FB" w:rsidR="00E36FBE" w:rsidDel="00766248" w:rsidRDefault="00E36FBE" w:rsidP="00BF16A9">
                  <w:pPr>
                    <w:pStyle w:val="TableColumnHeading"/>
                    <w:ind w:right="28"/>
                  </w:pPr>
                  <w:r>
                    <w:t>1% NOM</w:t>
                  </w:r>
                  <w:r>
                    <w:br/>
                    <w:t>to population</w:t>
                  </w:r>
                </w:p>
              </w:tc>
            </w:tr>
            <w:tr w:rsidR="00E36FBE" w14:paraId="028446E0" w14:textId="77777777" w:rsidTr="00BF16A9">
              <w:trPr>
                <w:trHeight w:val="369"/>
              </w:trPr>
              <w:tc>
                <w:tcPr>
                  <w:tcW w:w="2340" w:type="pct"/>
                </w:tcPr>
                <w:p w14:paraId="028446DB" w14:textId="77777777" w:rsidR="00E36FBE" w:rsidRDefault="00E36FBE" w:rsidP="006D7F12">
                  <w:pPr>
                    <w:pStyle w:val="TableBodyText"/>
                    <w:jc w:val="left"/>
                  </w:pPr>
                  <w:r>
                    <w:t>Population</w:t>
                  </w:r>
                </w:p>
              </w:tc>
              <w:tc>
                <w:tcPr>
                  <w:tcW w:w="875" w:type="pct"/>
                </w:tcPr>
                <w:p w14:paraId="028446DC" w14:textId="3087F692" w:rsidR="00E36FBE" w:rsidRDefault="004D4E21" w:rsidP="006D7F12">
                  <w:pPr>
                    <w:pStyle w:val="TableBodyText"/>
                  </w:pPr>
                  <w:r>
                    <w:noBreakHyphen/>
                  </w:r>
                  <w:r w:rsidR="00E36FBE">
                    <w:t>33</w:t>
                  </w:r>
                </w:p>
              </w:tc>
              <w:tc>
                <w:tcPr>
                  <w:tcW w:w="12" w:type="pct"/>
                </w:tcPr>
                <w:p w14:paraId="028446DD" w14:textId="77777777" w:rsidR="00E36FBE" w:rsidRDefault="00E36FBE" w:rsidP="006D7F12">
                  <w:pPr>
                    <w:pStyle w:val="TableBodyText"/>
                  </w:pPr>
                </w:p>
              </w:tc>
              <w:tc>
                <w:tcPr>
                  <w:tcW w:w="887" w:type="pct"/>
                  <w:gridSpan w:val="2"/>
                </w:tcPr>
                <w:p w14:paraId="028446DE" w14:textId="647C749A" w:rsidR="00E36FBE" w:rsidRDefault="004D4E21" w:rsidP="006D7F12">
                  <w:pPr>
                    <w:pStyle w:val="TableBodyText"/>
                  </w:pPr>
                  <w:r>
                    <w:noBreakHyphen/>
                  </w:r>
                  <w:r w:rsidR="00E36FBE">
                    <w:t>15</w:t>
                  </w:r>
                </w:p>
              </w:tc>
              <w:tc>
                <w:tcPr>
                  <w:tcW w:w="885" w:type="pct"/>
                  <w:gridSpan w:val="2"/>
                </w:tcPr>
                <w:p w14:paraId="028446DF" w14:textId="77777777" w:rsidR="00E36FBE" w:rsidRDefault="00E36FBE" w:rsidP="006D7F12">
                  <w:pPr>
                    <w:pStyle w:val="TableBodyText"/>
                  </w:pPr>
                  <w:r>
                    <w:t>24</w:t>
                  </w:r>
                </w:p>
              </w:tc>
            </w:tr>
            <w:tr w:rsidR="00E36FBE" w14:paraId="028446E6" w14:textId="77777777" w:rsidTr="00BF16A9">
              <w:tc>
                <w:tcPr>
                  <w:tcW w:w="2340" w:type="pct"/>
                </w:tcPr>
                <w:p w14:paraId="028446E1" w14:textId="77777777" w:rsidR="00E36FBE" w:rsidRDefault="00E36FBE" w:rsidP="006D7F12">
                  <w:pPr>
                    <w:pStyle w:val="TableBodyText"/>
                    <w:jc w:val="left"/>
                  </w:pPr>
                  <w:r>
                    <w:t>Labour supply (persons)</w:t>
                  </w:r>
                </w:p>
              </w:tc>
              <w:tc>
                <w:tcPr>
                  <w:tcW w:w="875" w:type="pct"/>
                </w:tcPr>
                <w:p w14:paraId="028446E2" w14:textId="48EC1952" w:rsidR="00E36FBE" w:rsidRDefault="004D4E21" w:rsidP="006D7F12">
                  <w:pPr>
                    <w:pStyle w:val="TableBodyText"/>
                  </w:pPr>
                  <w:r>
                    <w:noBreakHyphen/>
                  </w:r>
                  <w:r w:rsidR="00E36FBE">
                    <w:t>3</w:t>
                  </w:r>
                  <w:r w:rsidR="00DF0C72">
                    <w:t>8</w:t>
                  </w:r>
                </w:p>
              </w:tc>
              <w:tc>
                <w:tcPr>
                  <w:tcW w:w="12" w:type="pct"/>
                </w:tcPr>
                <w:p w14:paraId="028446E3" w14:textId="77777777" w:rsidR="00E36FBE" w:rsidRDefault="00E36FBE" w:rsidP="006D7F12">
                  <w:pPr>
                    <w:pStyle w:val="TableBodyText"/>
                  </w:pPr>
                </w:p>
              </w:tc>
              <w:tc>
                <w:tcPr>
                  <w:tcW w:w="887" w:type="pct"/>
                  <w:gridSpan w:val="2"/>
                </w:tcPr>
                <w:p w14:paraId="028446E4" w14:textId="6A9A94F9" w:rsidR="00E36FBE" w:rsidRDefault="004D4E21" w:rsidP="006D7F12">
                  <w:pPr>
                    <w:pStyle w:val="TableBodyText"/>
                  </w:pPr>
                  <w:r>
                    <w:noBreakHyphen/>
                  </w:r>
                  <w:r w:rsidR="00E36FBE">
                    <w:t>17</w:t>
                  </w:r>
                </w:p>
              </w:tc>
              <w:tc>
                <w:tcPr>
                  <w:tcW w:w="885" w:type="pct"/>
                  <w:gridSpan w:val="2"/>
                </w:tcPr>
                <w:p w14:paraId="028446E5" w14:textId="77777777" w:rsidR="00E36FBE" w:rsidRDefault="00E36FBE" w:rsidP="006D7F12">
                  <w:pPr>
                    <w:pStyle w:val="TableBodyText"/>
                  </w:pPr>
                  <w:r>
                    <w:t>28</w:t>
                  </w:r>
                </w:p>
              </w:tc>
            </w:tr>
            <w:tr w:rsidR="00014BAC" w14:paraId="596DD8FA" w14:textId="77777777" w:rsidTr="00BF16A9">
              <w:tc>
                <w:tcPr>
                  <w:tcW w:w="2341" w:type="pct"/>
                </w:tcPr>
                <w:p w14:paraId="557DDDE7" w14:textId="2878D016" w:rsidR="00014BAC" w:rsidRDefault="00014BAC" w:rsidP="006D7F12">
                  <w:pPr>
                    <w:pStyle w:val="TableBodyText"/>
                    <w:jc w:val="left"/>
                  </w:pPr>
                  <w:r>
                    <w:t>Labour productivity</w:t>
                  </w:r>
                  <w:r>
                    <w:rPr>
                      <w:rStyle w:val="NoteLabel"/>
                    </w:rPr>
                    <w:t>a</w:t>
                  </w:r>
                </w:p>
              </w:tc>
              <w:tc>
                <w:tcPr>
                  <w:tcW w:w="875" w:type="pct"/>
                </w:tcPr>
                <w:p w14:paraId="58B6DC8E" w14:textId="7913E234" w:rsidR="00014BAC" w:rsidRDefault="00014BAC" w:rsidP="006D7F12">
                  <w:pPr>
                    <w:pStyle w:val="TableBodyText"/>
                  </w:pPr>
                  <w:r>
                    <w:t>2</w:t>
                  </w:r>
                </w:p>
              </w:tc>
              <w:tc>
                <w:tcPr>
                  <w:tcW w:w="12" w:type="pct"/>
                </w:tcPr>
                <w:p w14:paraId="7A38142A" w14:textId="77777777" w:rsidR="00014BAC" w:rsidRDefault="00014BAC" w:rsidP="006D7F12">
                  <w:pPr>
                    <w:pStyle w:val="TableBodyText"/>
                  </w:pPr>
                </w:p>
              </w:tc>
              <w:tc>
                <w:tcPr>
                  <w:tcW w:w="887" w:type="pct"/>
                  <w:gridSpan w:val="2"/>
                </w:tcPr>
                <w:p w14:paraId="546A94A1" w14:textId="0AD9ECF7" w:rsidR="00014BAC" w:rsidRDefault="00014BAC" w:rsidP="006D7F12">
                  <w:pPr>
                    <w:pStyle w:val="TableBodyText"/>
                  </w:pPr>
                  <w:r>
                    <w:t>1</w:t>
                  </w:r>
                </w:p>
              </w:tc>
              <w:tc>
                <w:tcPr>
                  <w:tcW w:w="886" w:type="pct"/>
                  <w:gridSpan w:val="2"/>
                </w:tcPr>
                <w:p w14:paraId="17D4CA9E" w14:textId="4A755B74" w:rsidR="00014BAC" w:rsidRDefault="004D4E21" w:rsidP="006D7F12">
                  <w:pPr>
                    <w:pStyle w:val="TableBodyText"/>
                  </w:pPr>
                  <w:r>
                    <w:noBreakHyphen/>
                  </w:r>
                  <w:r w:rsidR="00014BAC">
                    <w:t>1</w:t>
                  </w:r>
                </w:p>
              </w:tc>
            </w:tr>
            <w:tr w:rsidR="00014BAC" w14:paraId="028446EC" w14:textId="77777777" w:rsidTr="00BF16A9">
              <w:tc>
                <w:tcPr>
                  <w:tcW w:w="2341" w:type="pct"/>
                </w:tcPr>
                <w:p w14:paraId="028446E7" w14:textId="77777777" w:rsidR="00014BAC" w:rsidRDefault="00014BAC" w:rsidP="00BF16A9">
                  <w:pPr>
                    <w:pStyle w:val="TableBodyText"/>
                    <w:spacing w:before="160"/>
                    <w:jc w:val="left"/>
                  </w:pPr>
                  <w:r>
                    <w:t>Real GDP</w:t>
                  </w:r>
                </w:p>
              </w:tc>
              <w:tc>
                <w:tcPr>
                  <w:tcW w:w="875" w:type="pct"/>
                </w:tcPr>
                <w:p w14:paraId="028446E8" w14:textId="5137F656" w:rsidR="00014BAC" w:rsidRDefault="004D4E21" w:rsidP="00BF16A9">
                  <w:pPr>
                    <w:pStyle w:val="TableBodyText"/>
                    <w:spacing w:before="160"/>
                  </w:pPr>
                  <w:r>
                    <w:noBreakHyphen/>
                  </w:r>
                  <w:r w:rsidR="00014BAC">
                    <w:t>37</w:t>
                  </w:r>
                </w:p>
              </w:tc>
              <w:tc>
                <w:tcPr>
                  <w:tcW w:w="12" w:type="pct"/>
                </w:tcPr>
                <w:p w14:paraId="028446E9" w14:textId="77777777" w:rsidR="00014BAC" w:rsidRDefault="00014BAC" w:rsidP="00BF16A9">
                  <w:pPr>
                    <w:pStyle w:val="TableBodyText"/>
                    <w:spacing w:before="160"/>
                  </w:pPr>
                </w:p>
              </w:tc>
              <w:tc>
                <w:tcPr>
                  <w:tcW w:w="887" w:type="pct"/>
                  <w:gridSpan w:val="2"/>
                </w:tcPr>
                <w:p w14:paraId="028446EA" w14:textId="1C34ADC7" w:rsidR="00014BAC" w:rsidRDefault="004D4E21" w:rsidP="00BF16A9">
                  <w:pPr>
                    <w:pStyle w:val="TableBodyText"/>
                    <w:spacing w:before="160"/>
                  </w:pPr>
                  <w:r>
                    <w:noBreakHyphen/>
                  </w:r>
                  <w:r w:rsidR="00014BAC">
                    <w:t>17</w:t>
                  </w:r>
                </w:p>
              </w:tc>
              <w:tc>
                <w:tcPr>
                  <w:tcW w:w="886" w:type="pct"/>
                  <w:gridSpan w:val="2"/>
                </w:tcPr>
                <w:p w14:paraId="028446EB" w14:textId="77777777" w:rsidR="00014BAC" w:rsidRDefault="00014BAC" w:rsidP="00BF16A9">
                  <w:pPr>
                    <w:pStyle w:val="TableBodyText"/>
                    <w:spacing w:before="160"/>
                  </w:pPr>
                  <w:r>
                    <w:t>28</w:t>
                  </w:r>
                </w:p>
              </w:tc>
            </w:tr>
            <w:tr w:rsidR="00014BAC" w14:paraId="028446F2" w14:textId="77777777" w:rsidTr="00BF16A9">
              <w:tc>
                <w:tcPr>
                  <w:tcW w:w="2340" w:type="pct"/>
                </w:tcPr>
                <w:p w14:paraId="028446ED" w14:textId="77777777" w:rsidR="00014BAC" w:rsidRDefault="00014BAC" w:rsidP="006D7F12">
                  <w:pPr>
                    <w:pStyle w:val="TableBodyText"/>
                    <w:jc w:val="left"/>
                  </w:pPr>
                  <w:r>
                    <w:t xml:space="preserve">Real </w:t>
                  </w:r>
                  <w:proofErr w:type="spellStart"/>
                  <w:r>
                    <w:t>GNE</w:t>
                  </w:r>
                  <w:proofErr w:type="spellEnd"/>
                </w:p>
              </w:tc>
              <w:tc>
                <w:tcPr>
                  <w:tcW w:w="875" w:type="pct"/>
                </w:tcPr>
                <w:p w14:paraId="028446EE" w14:textId="1E6CAFBC" w:rsidR="00014BAC" w:rsidRDefault="004D4E21" w:rsidP="006D7F12">
                  <w:pPr>
                    <w:pStyle w:val="TableBodyText"/>
                  </w:pPr>
                  <w:r>
                    <w:noBreakHyphen/>
                  </w:r>
                  <w:r w:rsidR="00014BAC">
                    <w:t>37</w:t>
                  </w:r>
                </w:p>
              </w:tc>
              <w:tc>
                <w:tcPr>
                  <w:tcW w:w="12" w:type="pct"/>
                </w:tcPr>
                <w:p w14:paraId="028446EF" w14:textId="77777777" w:rsidR="00014BAC" w:rsidRDefault="00014BAC" w:rsidP="006D7F12">
                  <w:pPr>
                    <w:pStyle w:val="TableBodyText"/>
                  </w:pPr>
                </w:p>
              </w:tc>
              <w:tc>
                <w:tcPr>
                  <w:tcW w:w="887" w:type="pct"/>
                  <w:gridSpan w:val="2"/>
                </w:tcPr>
                <w:p w14:paraId="028446F0" w14:textId="2E7D437F" w:rsidR="00014BAC" w:rsidRDefault="004D4E21" w:rsidP="006D7F12">
                  <w:pPr>
                    <w:pStyle w:val="TableBodyText"/>
                  </w:pPr>
                  <w:r>
                    <w:noBreakHyphen/>
                  </w:r>
                  <w:r w:rsidR="00014BAC">
                    <w:t>17</w:t>
                  </w:r>
                </w:p>
              </w:tc>
              <w:tc>
                <w:tcPr>
                  <w:tcW w:w="885" w:type="pct"/>
                  <w:gridSpan w:val="2"/>
                </w:tcPr>
                <w:p w14:paraId="028446F1" w14:textId="77777777" w:rsidR="00014BAC" w:rsidRDefault="00014BAC" w:rsidP="006D7F12">
                  <w:pPr>
                    <w:pStyle w:val="TableBodyText"/>
                  </w:pPr>
                  <w:r>
                    <w:t>27</w:t>
                  </w:r>
                </w:p>
              </w:tc>
            </w:tr>
            <w:tr w:rsidR="00014BAC" w14:paraId="028446F8" w14:textId="77777777" w:rsidTr="00BF16A9">
              <w:tc>
                <w:tcPr>
                  <w:tcW w:w="2340" w:type="pct"/>
                </w:tcPr>
                <w:p w14:paraId="028446F3" w14:textId="77777777" w:rsidR="00014BAC" w:rsidRDefault="00014BAC" w:rsidP="006D7F12">
                  <w:pPr>
                    <w:pStyle w:val="TableBodyText"/>
                    <w:jc w:val="left"/>
                  </w:pPr>
                  <w:r w:rsidRPr="007F7498">
                    <w:rPr>
                      <w:i/>
                    </w:rPr>
                    <w:t>of which</w:t>
                  </w:r>
                </w:p>
              </w:tc>
              <w:tc>
                <w:tcPr>
                  <w:tcW w:w="875" w:type="pct"/>
                </w:tcPr>
                <w:p w14:paraId="028446F4" w14:textId="77777777" w:rsidR="00014BAC" w:rsidRDefault="00014BAC" w:rsidP="006D7F12">
                  <w:pPr>
                    <w:pStyle w:val="TableBodyText"/>
                  </w:pPr>
                </w:p>
              </w:tc>
              <w:tc>
                <w:tcPr>
                  <w:tcW w:w="12" w:type="pct"/>
                </w:tcPr>
                <w:p w14:paraId="028446F5" w14:textId="77777777" w:rsidR="00014BAC" w:rsidRDefault="00014BAC" w:rsidP="006D7F12">
                  <w:pPr>
                    <w:pStyle w:val="TableBodyText"/>
                  </w:pPr>
                </w:p>
              </w:tc>
              <w:tc>
                <w:tcPr>
                  <w:tcW w:w="887" w:type="pct"/>
                  <w:gridSpan w:val="2"/>
                </w:tcPr>
                <w:p w14:paraId="028446F6" w14:textId="77777777" w:rsidR="00014BAC" w:rsidRDefault="00014BAC" w:rsidP="006D7F12">
                  <w:pPr>
                    <w:pStyle w:val="TableBodyText"/>
                  </w:pPr>
                </w:p>
              </w:tc>
              <w:tc>
                <w:tcPr>
                  <w:tcW w:w="885" w:type="pct"/>
                  <w:gridSpan w:val="2"/>
                </w:tcPr>
                <w:p w14:paraId="028446F7" w14:textId="77777777" w:rsidR="00014BAC" w:rsidRDefault="00014BAC" w:rsidP="006D7F12">
                  <w:pPr>
                    <w:pStyle w:val="TableBodyText"/>
                  </w:pPr>
                </w:p>
              </w:tc>
            </w:tr>
            <w:tr w:rsidR="00014BAC" w14:paraId="028446FE" w14:textId="77777777" w:rsidTr="00BF16A9">
              <w:tc>
                <w:tcPr>
                  <w:tcW w:w="2340" w:type="pct"/>
                </w:tcPr>
                <w:p w14:paraId="028446F9" w14:textId="77777777" w:rsidR="00014BAC" w:rsidRDefault="00014BAC" w:rsidP="006D7F12">
                  <w:pPr>
                    <w:pStyle w:val="TableBodyText"/>
                    <w:jc w:val="left"/>
                  </w:pPr>
                  <w:r>
                    <w:t>  Real household consumption</w:t>
                  </w:r>
                </w:p>
              </w:tc>
              <w:tc>
                <w:tcPr>
                  <w:tcW w:w="875" w:type="pct"/>
                </w:tcPr>
                <w:p w14:paraId="028446FA" w14:textId="268A9B82" w:rsidR="00014BAC" w:rsidRDefault="004D4E21" w:rsidP="006D7F12">
                  <w:pPr>
                    <w:pStyle w:val="TableBodyText"/>
                  </w:pPr>
                  <w:r>
                    <w:noBreakHyphen/>
                  </w:r>
                  <w:r w:rsidR="00014BAC">
                    <w:t>39</w:t>
                  </w:r>
                </w:p>
              </w:tc>
              <w:tc>
                <w:tcPr>
                  <w:tcW w:w="12" w:type="pct"/>
                </w:tcPr>
                <w:p w14:paraId="028446FB" w14:textId="77777777" w:rsidR="00014BAC" w:rsidRDefault="00014BAC" w:rsidP="006D7F12">
                  <w:pPr>
                    <w:pStyle w:val="TableBodyText"/>
                  </w:pPr>
                </w:p>
              </w:tc>
              <w:tc>
                <w:tcPr>
                  <w:tcW w:w="887" w:type="pct"/>
                  <w:gridSpan w:val="2"/>
                </w:tcPr>
                <w:p w14:paraId="028446FC" w14:textId="65ADC4E8" w:rsidR="00014BAC" w:rsidRDefault="004D4E21" w:rsidP="006D7F12">
                  <w:pPr>
                    <w:pStyle w:val="TableBodyText"/>
                  </w:pPr>
                  <w:r>
                    <w:noBreakHyphen/>
                  </w:r>
                  <w:r w:rsidR="00014BAC">
                    <w:t>17</w:t>
                  </w:r>
                </w:p>
              </w:tc>
              <w:tc>
                <w:tcPr>
                  <w:tcW w:w="885" w:type="pct"/>
                  <w:gridSpan w:val="2"/>
                </w:tcPr>
                <w:p w14:paraId="028446FD" w14:textId="77777777" w:rsidR="00014BAC" w:rsidRDefault="00014BAC" w:rsidP="006D7F12">
                  <w:pPr>
                    <w:pStyle w:val="TableBodyText"/>
                  </w:pPr>
                  <w:r>
                    <w:t>28</w:t>
                  </w:r>
                </w:p>
              </w:tc>
            </w:tr>
            <w:tr w:rsidR="00014BAC" w14:paraId="02844704" w14:textId="77777777" w:rsidTr="00BF16A9">
              <w:tc>
                <w:tcPr>
                  <w:tcW w:w="2340" w:type="pct"/>
                </w:tcPr>
                <w:p w14:paraId="028446FF" w14:textId="77777777" w:rsidR="00014BAC" w:rsidRDefault="00014BAC" w:rsidP="006D7F12">
                  <w:pPr>
                    <w:pStyle w:val="TableBodyText"/>
                    <w:jc w:val="left"/>
                  </w:pPr>
                  <w:r>
                    <w:t>  Real government consumption</w:t>
                  </w:r>
                </w:p>
              </w:tc>
              <w:tc>
                <w:tcPr>
                  <w:tcW w:w="875" w:type="pct"/>
                </w:tcPr>
                <w:p w14:paraId="02844700" w14:textId="057D808D" w:rsidR="00014BAC" w:rsidRDefault="004D4E21" w:rsidP="006D7F12">
                  <w:pPr>
                    <w:pStyle w:val="TableBodyText"/>
                  </w:pPr>
                  <w:r>
                    <w:noBreakHyphen/>
                  </w:r>
                  <w:r w:rsidR="00014BAC">
                    <w:t>31</w:t>
                  </w:r>
                </w:p>
              </w:tc>
              <w:tc>
                <w:tcPr>
                  <w:tcW w:w="12" w:type="pct"/>
                </w:tcPr>
                <w:p w14:paraId="02844701" w14:textId="77777777" w:rsidR="00014BAC" w:rsidRDefault="00014BAC" w:rsidP="006D7F12">
                  <w:pPr>
                    <w:pStyle w:val="TableBodyText"/>
                  </w:pPr>
                </w:p>
              </w:tc>
              <w:tc>
                <w:tcPr>
                  <w:tcW w:w="887" w:type="pct"/>
                  <w:gridSpan w:val="2"/>
                </w:tcPr>
                <w:p w14:paraId="02844702" w14:textId="357E96A8" w:rsidR="00014BAC" w:rsidRDefault="004D4E21" w:rsidP="006D7F12">
                  <w:pPr>
                    <w:pStyle w:val="TableBodyText"/>
                  </w:pPr>
                  <w:r>
                    <w:noBreakHyphen/>
                  </w:r>
                  <w:r w:rsidR="00014BAC">
                    <w:t>14</w:t>
                  </w:r>
                </w:p>
              </w:tc>
              <w:tc>
                <w:tcPr>
                  <w:tcW w:w="885" w:type="pct"/>
                  <w:gridSpan w:val="2"/>
                </w:tcPr>
                <w:p w14:paraId="02844703" w14:textId="77777777" w:rsidR="00014BAC" w:rsidRDefault="00014BAC" w:rsidP="006D7F12">
                  <w:pPr>
                    <w:pStyle w:val="TableBodyText"/>
                  </w:pPr>
                  <w:r>
                    <w:t>22</w:t>
                  </w:r>
                </w:p>
              </w:tc>
            </w:tr>
            <w:tr w:rsidR="00014BAC" w14:paraId="0284470A" w14:textId="77777777" w:rsidTr="00BF16A9">
              <w:tc>
                <w:tcPr>
                  <w:tcW w:w="2340" w:type="pct"/>
                </w:tcPr>
                <w:p w14:paraId="02844705" w14:textId="77777777" w:rsidR="00014BAC" w:rsidRDefault="00014BAC" w:rsidP="006D7F12">
                  <w:pPr>
                    <w:pStyle w:val="TableBodyText"/>
                    <w:jc w:val="left"/>
                  </w:pPr>
                  <w:r>
                    <w:t>  Real investment</w:t>
                  </w:r>
                </w:p>
              </w:tc>
              <w:tc>
                <w:tcPr>
                  <w:tcW w:w="875" w:type="pct"/>
                </w:tcPr>
                <w:p w14:paraId="02844706" w14:textId="55B5DA37" w:rsidR="00014BAC" w:rsidRDefault="004D4E21" w:rsidP="006D7F12">
                  <w:pPr>
                    <w:pStyle w:val="TableBodyText"/>
                  </w:pPr>
                  <w:r>
                    <w:noBreakHyphen/>
                  </w:r>
                  <w:r w:rsidR="00014BAC">
                    <w:t>45</w:t>
                  </w:r>
                </w:p>
              </w:tc>
              <w:tc>
                <w:tcPr>
                  <w:tcW w:w="12" w:type="pct"/>
                </w:tcPr>
                <w:p w14:paraId="02844707" w14:textId="77777777" w:rsidR="00014BAC" w:rsidRDefault="00014BAC" w:rsidP="006D7F12">
                  <w:pPr>
                    <w:pStyle w:val="TableBodyText"/>
                  </w:pPr>
                </w:p>
              </w:tc>
              <w:tc>
                <w:tcPr>
                  <w:tcW w:w="887" w:type="pct"/>
                  <w:gridSpan w:val="2"/>
                </w:tcPr>
                <w:p w14:paraId="02844708" w14:textId="2C90CC18" w:rsidR="00014BAC" w:rsidRDefault="004D4E21" w:rsidP="006D7F12">
                  <w:pPr>
                    <w:pStyle w:val="TableBodyText"/>
                  </w:pPr>
                  <w:r>
                    <w:noBreakHyphen/>
                  </w:r>
                  <w:r w:rsidR="00014BAC">
                    <w:t>22</w:t>
                  </w:r>
                </w:p>
              </w:tc>
              <w:tc>
                <w:tcPr>
                  <w:tcW w:w="885" w:type="pct"/>
                  <w:gridSpan w:val="2"/>
                </w:tcPr>
                <w:p w14:paraId="02844709" w14:textId="77777777" w:rsidR="00014BAC" w:rsidRDefault="00014BAC" w:rsidP="006D7F12">
                  <w:pPr>
                    <w:pStyle w:val="TableBodyText"/>
                  </w:pPr>
                  <w:r>
                    <w:t>36</w:t>
                  </w:r>
                </w:p>
              </w:tc>
            </w:tr>
            <w:tr w:rsidR="00014BAC" w14:paraId="02844710" w14:textId="77777777" w:rsidTr="00BF16A9">
              <w:tc>
                <w:tcPr>
                  <w:tcW w:w="2340" w:type="pct"/>
                </w:tcPr>
                <w:p w14:paraId="0284470B" w14:textId="77777777" w:rsidR="00014BAC" w:rsidRDefault="00014BAC" w:rsidP="006D7F12">
                  <w:pPr>
                    <w:pStyle w:val="TableBodyText"/>
                    <w:jc w:val="left"/>
                  </w:pPr>
                  <w:r>
                    <w:t>Export volumes</w:t>
                  </w:r>
                </w:p>
              </w:tc>
              <w:tc>
                <w:tcPr>
                  <w:tcW w:w="875" w:type="pct"/>
                </w:tcPr>
                <w:p w14:paraId="0284470C" w14:textId="602402DD" w:rsidR="00014BAC" w:rsidRDefault="004D4E21" w:rsidP="006D7F12">
                  <w:pPr>
                    <w:pStyle w:val="TableBodyText"/>
                  </w:pPr>
                  <w:r>
                    <w:noBreakHyphen/>
                  </w:r>
                  <w:r w:rsidR="00014BAC">
                    <w:t>40</w:t>
                  </w:r>
                </w:p>
              </w:tc>
              <w:tc>
                <w:tcPr>
                  <w:tcW w:w="12" w:type="pct"/>
                </w:tcPr>
                <w:p w14:paraId="0284470D" w14:textId="77777777" w:rsidR="00014BAC" w:rsidRDefault="00014BAC" w:rsidP="006D7F12">
                  <w:pPr>
                    <w:pStyle w:val="TableBodyText"/>
                  </w:pPr>
                </w:p>
              </w:tc>
              <w:tc>
                <w:tcPr>
                  <w:tcW w:w="887" w:type="pct"/>
                  <w:gridSpan w:val="2"/>
                </w:tcPr>
                <w:p w14:paraId="0284470E" w14:textId="2B7340C1" w:rsidR="00014BAC" w:rsidRDefault="004D4E21" w:rsidP="006D7F12">
                  <w:pPr>
                    <w:pStyle w:val="TableBodyText"/>
                  </w:pPr>
                  <w:r>
                    <w:noBreakHyphen/>
                  </w:r>
                  <w:r w:rsidR="00014BAC">
                    <w:t>18</w:t>
                  </w:r>
                </w:p>
              </w:tc>
              <w:tc>
                <w:tcPr>
                  <w:tcW w:w="885" w:type="pct"/>
                  <w:gridSpan w:val="2"/>
                </w:tcPr>
                <w:p w14:paraId="0284470F" w14:textId="77777777" w:rsidR="00014BAC" w:rsidRDefault="00014BAC" w:rsidP="006D7F12">
                  <w:pPr>
                    <w:pStyle w:val="TableBodyText"/>
                  </w:pPr>
                  <w:r>
                    <w:t>28</w:t>
                  </w:r>
                </w:p>
              </w:tc>
            </w:tr>
            <w:tr w:rsidR="00014BAC" w14:paraId="02844716" w14:textId="77777777" w:rsidTr="00BF16A9">
              <w:tc>
                <w:tcPr>
                  <w:tcW w:w="2340" w:type="pct"/>
                </w:tcPr>
                <w:p w14:paraId="02844711" w14:textId="77777777" w:rsidR="00014BAC" w:rsidRDefault="00014BAC" w:rsidP="006D7F12">
                  <w:pPr>
                    <w:pStyle w:val="TableBodyText"/>
                    <w:jc w:val="left"/>
                  </w:pPr>
                  <w:r>
                    <w:t>Import volumes</w:t>
                  </w:r>
                </w:p>
              </w:tc>
              <w:tc>
                <w:tcPr>
                  <w:tcW w:w="875" w:type="pct"/>
                </w:tcPr>
                <w:p w14:paraId="02844712" w14:textId="13F84CFB" w:rsidR="00014BAC" w:rsidRDefault="004D4E21" w:rsidP="006D7F12">
                  <w:pPr>
                    <w:pStyle w:val="TableBodyText"/>
                  </w:pPr>
                  <w:r>
                    <w:noBreakHyphen/>
                  </w:r>
                  <w:r w:rsidR="00014BAC">
                    <w:t>35</w:t>
                  </w:r>
                </w:p>
              </w:tc>
              <w:tc>
                <w:tcPr>
                  <w:tcW w:w="12" w:type="pct"/>
                </w:tcPr>
                <w:p w14:paraId="02844713" w14:textId="77777777" w:rsidR="00014BAC" w:rsidRDefault="00014BAC" w:rsidP="006D7F12">
                  <w:pPr>
                    <w:pStyle w:val="TableBodyText"/>
                  </w:pPr>
                </w:p>
              </w:tc>
              <w:tc>
                <w:tcPr>
                  <w:tcW w:w="887" w:type="pct"/>
                  <w:gridSpan w:val="2"/>
                </w:tcPr>
                <w:p w14:paraId="02844714" w14:textId="3778E151" w:rsidR="00014BAC" w:rsidRDefault="004D4E21" w:rsidP="006D7F12">
                  <w:pPr>
                    <w:pStyle w:val="TableBodyText"/>
                  </w:pPr>
                  <w:r>
                    <w:noBreakHyphen/>
                  </w:r>
                  <w:r w:rsidR="00014BAC">
                    <w:t>16</w:t>
                  </w:r>
                </w:p>
              </w:tc>
              <w:tc>
                <w:tcPr>
                  <w:tcW w:w="885" w:type="pct"/>
                  <w:gridSpan w:val="2"/>
                </w:tcPr>
                <w:p w14:paraId="02844715" w14:textId="77777777" w:rsidR="00014BAC" w:rsidRDefault="00014BAC" w:rsidP="006D7F12">
                  <w:pPr>
                    <w:pStyle w:val="TableBodyText"/>
                  </w:pPr>
                  <w:r>
                    <w:t>24</w:t>
                  </w:r>
                </w:p>
              </w:tc>
            </w:tr>
            <w:tr w:rsidR="00014BAC" w14:paraId="0284471C" w14:textId="77777777" w:rsidTr="00BF16A9">
              <w:tc>
                <w:tcPr>
                  <w:tcW w:w="2340" w:type="pct"/>
                </w:tcPr>
                <w:p w14:paraId="02844717" w14:textId="77777777" w:rsidR="00014BAC" w:rsidRDefault="00014BAC" w:rsidP="00BF16A9">
                  <w:pPr>
                    <w:pStyle w:val="TableBodyText"/>
                    <w:spacing w:before="160"/>
                    <w:jc w:val="left"/>
                  </w:pPr>
                  <w:r>
                    <w:t>Real consumer wage</w:t>
                  </w:r>
                </w:p>
              </w:tc>
              <w:tc>
                <w:tcPr>
                  <w:tcW w:w="875" w:type="pct"/>
                </w:tcPr>
                <w:p w14:paraId="02844718" w14:textId="77777777" w:rsidR="00014BAC" w:rsidRDefault="00014BAC" w:rsidP="00BF16A9">
                  <w:pPr>
                    <w:pStyle w:val="TableBodyText"/>
                    <w:spacing w:before="160"/>
                  </w:pPr>
                  <w:r>
                    <w:t>15</w:t>
                  </w:r>
                </w:p>
              </w:tc>
              <w:tc>
                <w:tcPr>
                  <w:tcW w:w="12" w:type="pct"/>
                </w:tcPr>
                <w:p w14:paraId="02844719" w14:textId="77777777" w:rsidR="00014BAC" w:rsidRDefault="00014BAC" w:rsidP="00BF16A9">
                  <w:pPr>
                    <w:pStyle w:val="TableBodyText"/>
                    <w:spacing w:before="160"/>
                  </w:pPr>
                </w:p>
              </w:tc>
              <w:tc>
                <w:tcPr>
                  <w:tcW w:w="887" w:type="pct"/>
                  <w:gridSpan w:val="2"/>
                </w:tcPr>
                <w:p w14:paraId="0284471A" w14:textId="77777777" w:rsidR="00014BAC" w:rsidRDefault="00014BAC" w:rsidP="00BF16A9">
                  <w:pPr>
                    <w:pStyle w:val="TableBodyText"/>
                    <w:spacing w:before="160"/>
                  </w:pPr>
                  <w:r>
                    <w:t>6</w:t>
                  </w:r>
                </w:p>
              </w:tc>
              <w:tc>
                <w:tcPr>
                  <w:tcW w:w="885" w:type="pct"/>
                  <w:gridSpan w:val="2"/>
                </w:tcPr>
                <w:p w14:paraId="0284471B" w14:textId="77EC10BB" w:rsidR="00014BAC" w:rsidRDefault="004D4E21" w:rsidP="00BF16A9">
                  <w:pPr>
                    <w:pStyle w:val="TableBodyText"/>
                    <w:spacing w:before="160"/>
                  </w:pPr>
                  <w:r>
                    <w:noBreakHyphen/>
                  </w:r>
                  <w:r w:rsidR="00014BAC">
                    <w:t>7</w:t>
                  </w:r>
                </w:p>
              </w:tc>
            </w:tr>
            <w:tr w:rsidR="00014BAC" w14:paraId="02844722" w14:textId="77777777" w:rsidTr="00BF16A9">
              <w:tc>
                <w:tcPr>
                  <w:tcW w:w="2340" w:type="pct"/>
                </w:tcPr>
                <w:p w14:paraId="0284471D" w14:textId="77777777" w:rsidR="00014BAC" w:rsidRDefault="00014BAC" w:rsidP="006D7F12">
                  <w:pPr>
                    <w:pStyle w:val="TableBodyText"/>
                    <w:jc w:val="left"/>
                  </w:pPr>
                  <w:r>
                    <w:t>Real producer wage (unit labour costs)</w:t>
                  </w:r>
                </w:p>
              </w:tc>
              <w:tc>
                <w:tcPr>
                  <w:tcW w:w="875" w:type="pct"/>
                </w:tcPr>
                <w:p w14:paraId="0284471E" w14:textId="77777777" w:rsidR="00014BAC" w:rsidRDefault="00014BAC" w:rsidP="006D7F12">
                  <w:pPr>
                    <w:pStyle w:val="TableBodyText"/>
                  </w:pPr>
                  <w:r>
                    <w:t>7</w:t>
                  </w:r>
                </w:p>
              </w:tc>
              <w:tc>
                <w:tcPr>
                  <w:tcW w:w="12" w:type="pct"/>
                </w:tcPr>
                <w:p w14:paraId="0284471F" w14:textId="77777777" w:rsidR="00014BAC" w:rsidRDefault="00014BAC" w:rsidP="006D7F12">
                  <w:pPr>
                    <w:pStyle w:val="TableBodyText"/>
                  </w:pPr>
                </w:p>
              </w:tc>
              <w:tc>
                <w:tcPr>
                  <w:tcW w:w="887" w:type="pct"/>
                  <w:gridSpan w:val="2"/>
                </w:tcPr>
                <w:p w14:paraId="02844720" w14:textId="77777777" w:rsidR="00014BAC" w:rsidRDefault="00014BAC" w:rsidP="006D7F12">
                  <w:pPr>
                    <w:pStyle w:val="TableBodyText"/>
                  </w:pPr>
                  <w:r>
                    <w:t>3</w:t>
                  </w:r>
                </w:p>
              </w:tc>
              <w:tc>
                <w:tcPr>
                  <w:tcW w:w="885" w:type="pct"/>
                  <w:gridSpan w:val="2"/>
                </w:tcPr>
                <w:p w14:paraId="02844721" w14:textId="50FF9242" w:rsidR="00014BAC" w:rsidRDefault="004D4E21" w:rsidP="006D7F12">
                  <w:pPr>
                    <w:pStyle w:val="TableBodyText"/>
                  </w:pPr>
                  <w:r>
                    <w:noBreakHyphen/>
                  </w:r>
                  <w:r w:rsidR="00014BAC">
                    <w:t>4</w:t>
                  </w:r>
                </w:p>
              </w:tc>
            </w:tr>
            <w:tr w:rsidR="00014BAC" w14:paraId="0284472E" w14:textId="77777777" w:rsidTr="00BF16A9">
              <w:tc>
                <w:tcPr>
                  <w:tcW w:w="2340" w:type="pct"/>
                </w:tcPr>
                <w:p w14:paraId="02844729" w14:textId="77777777" w:rsidR="00014BAC" w:rsidRDefault="00014BAC" w:rsidP="00BF16A9">
                  <w:pPr>
                    <w:pStyle w:val="TableBodyText"/>
                    <w:spacing w:before="160"/>
                    <w:jc w:val="left"/>
                  </w:pPr>
                  <w:r>
                    <w:t>GDP per person</w:t>
                  </w:r>
                </w:p>
              </w:tc>
              <w:tc>
                <w:tcPr>
                  <w:tcW w:w="875" w:type="pct"/>
                </w:tcPr>
                <w:p w14:paraId="0284472A" w14:textId="59966EFE" w:rsidR="00014BAC" w:rsidRDefault="004D4E21" w:rsidP="00BF16A9">
                  <w:pPr>
                    <w:pStyle w:val="TableBodyText"/>
                    <w:spacing w:before="160"/>
                  </w:pPr>
                  <w:r>
                    <w:noBreakHyphen/>
                  </w:r>
                  <w:r w:rsidR="00014BAC">
                    <w:t>7</w:t>
                  </w:r>
                </w:p>
              </w:tc>
              <w:tc>
                <w:tcPr>
                  <w:tcW w:w="12" w:type="pct"/>
                </w:tcPr>
                <w:p w14:paraId="0284472B" w14:textId="77777777" w:rsidR="00014BAC" w:rsidRDefault="00014BAC" w:rsidP="00BF16A9">
                  <w:pPr>
                    <w:pStyle w:val="TableBodyText"/>
                    <w:spacing w:before="160"/>
                  </w:pPr>
                </w:p>
              </w:tc>
              <w:tc>
                <w:tcPr>
                  <w:tcW w:w="887" w:type="pct"/>
                  <w:gridSpan w:val="2"/>
                </w:tcPr>
                <w:p w14:paraId="0284472C" w14:textId="60B4D2D7" w:rsidR="00014BAC" w:rsidRDefault="004D4E21" w:rsidP="00BF16A9">
                  <w:pPr>
                    <w:pStyle w:val="TableBodyText"/>
                    <w:spacing w:before="160"/>
                  </w:pPr>
                  <w:r>
                    <w:noBreakHyphen/>
                  </w:r>
                  <w:r w:rsidR="00014BAC">
                    <w:t>3</w:t>
                  </w:r>
                </w:p>
              </w:tc>
              <w:tc>
                <w:tcPr>
                  <w:tcW w:w="885" w:type="pct"/>
                  <w:gridSpan w:val="2"/>
                </w:tcPr>
                <w:p w14:paraId="0284472D" w14:textId="77777777" w:rsidR="00014BAC" w:rsidRDefault="00014BAC" w:rsidP="00BF16A9">
                  <w:pPr>
                    <w:pStyle w:val="TableBodyText"/>
                    <w:spacing w:before="160"/>
                  </w:pPr>
                  <w:r>
                    <w:t>3</w:t>
                  </w:r>
                </w:p>
              </w:tc>
            </w:tr>
            <w:tr w:rsidR="00014BAC" w14:paraId="02844734" w14:textId="77777777" w:rsidTr="00BF16A9">
              <w:tc>
                <w:tcPr>
                  <w:tcW w:w="2340" w:type="pct"/>
                  <w:shd w:val="clear" w:color="auto" w:fill="auto"/>
                </w:tcPr>
                <w:p w14:paraId="0284472F" w14:textId="77777777" w:rsidR="00014BAC" w:rsidRDefault="00014BAC" w:rsidP="006D7F12">
                  <w:pPr>
                    <w:pStyle w:val="TableBodyText"/>
                    <w:jc w:val="left"/>
                  </w:pPr>
                  <w:r>
                    <w:t>Household consumption per person</w:t>
                  </w:r>
                </w:p>
              </w:tc>
              <w:tc>
                <w:tcPr>
                  <w:tcW w:w="875" w:type="pct"/>
                </w:tcPr>
                <w:p w14:paraId="02844730" w14:textId="450998F3" w:rsidR="00014BAC" w:rsidRDefault="004D4E21" w:rsidP="006D7F12">
                  <w:pPr>
                    <w:pStyle w:val="TableBodyText"/>
                  </w:pPr>
                  <w:r>
                    <w:noBreakHyphen/>
                  </w:r>
                  <w:r w:rsidR="00014BAC">
                    <w:t>9</w:t>
                  </w:r>
                </w:p>
              </w:tc>
              <w:tc>
                <w:tcPr>
                  <w:tcW w:w="12" w:type="pct"/>
                  <w:shd w:val="clear" w:color="auto" w:fill="auto"/>
                </w:tcPr>
                <w:p w14:paraId="02844731" w14:textId="77777777" w:rsidR="00014BAC" w:rsidRDefault="00014BAC" w:rsidP="006D7F12">
                  <w:pPr>
                    <w:pStyle w:val="TableBodyText"/>
                  </w:pPr>
                </w:p>
              </w:tc>
              <w:tc>
                <w:tcPr>
                  <w:tcW w:w="887" w:type="pct"/>
                  <w:gridSpan w:val="2"/>
                  <w:shd w:val="clear" w:color="auto" w:fill="auto"/>
                </w:tcPr>
                <w:p w14:paraId="02844732" w14:textId="7591CDB7" w:rsidR="00014BAC" w:rsidRDefault="004D4E21" w:rsidP="006D7F12">
                  <w:pPr>
                    <w:pStyle w:val="TableBodyText"/>
                  </w:pPr>
                  <w:r>
                    <w:noBreakHyphen/>
                  </w:r>
                  <w:r w:rsidR="00014BAC">
                    <w:t>3</w:t>
                  </w:r>
                </w:p>
              </w:tc>
              <w:tc>
                <w:tcPr>
                  <w:tcW w:w="885" w:type="pct"/>
                  <w:gridSpan w:val="2"/>
                </w:tcPr>
                <w:p w14:paraId="02844733" w14:textId="77777777" w:rsidR="00014BAC" w:rsidRDefault="00014BAC" w:rsidP="006D7F12">
                  <w:pPr>
                    <w:pStyle w:val="TableBodyText"/>
                  </w:pPr>
                  <w:r>
                    <w:t>3</w:t>
                  </w:r>
                </w:p>
              </w:tc>
            </w:tr>
            <w:tr w:rsidR="00014BAC" w14:paraId="0284473A" w14:textId="77777777" w:rsidTr="00BF16A9">
              <w:tc>
                <w:tcPr>
                  <w:tcW w:w="2340" w:type="pct"/>
                  <w:tcBorders>
                    <w:bottom w:val="single" w:sz="6" w:space="0" w:color="BFBFBF"/>
                  </w:tcBorders>
                  <w:shd w:val="clear" w:color="auto" w:fill="auto"/>
                </w:tcPr>
                <w:p w14:paraId="02844735" w14:textId="77777777" w:rsidR="00014BAC" w:rsidRDefault="00014BAC" w:rsidP="006D7F12">
                  <w:pPr>
                    <w:pStyle w:val="TableBodyText"/>
                    <w:jc w:val="left"/>
                  </w:pPr>
                  <w:proofErr w:type="spellStart"/>
                  <w:r>
                    <w:t>GNE</w:t>
                  </w:r>
                  <w:proofErr w:type="spellEnd"/>
                  <w:r>
                    <w:t xml:space="preserve"> per person</w:t>
                  </w:r>
                </w:p>
              </w:tc>
              <w:tc>
                <w:tcPr>
                  <w:tcW w:w="875" w:type="pct"/>
                  <w:tcBorders>
                    <w:bottom w:val="single" w:sz="6" w:space="0" w:color="BFBFBF"/>
                  </w:tcBorders>
                </w:tcPr>
                <w:p w14:paraId="02844736" w14:textId="48BD351B" w:rsidR="00014BAC" w:rsidRDefault="004D4E21" w:rsidP="006D7F12">
                  <w:pPr>
                    <w:pStyle w:val="TableBodyText"/>
                  </w:pPr>
                  <w:r>
                    <w:noBreakHyphen/>
                  </w:r>
                  <w:r w:rsidR="00014BAC">
                    <w:t>6</w:t>
                  </w:r>
                </w:p>
              </w:tc>
              <w:tc>
                <w:tcPr>
                  <w:tcW w:w="12" w:type="pct"/>
                  <w:tcBorders>
                    <w:bottom w:val="single" w:sz="6" w:space="0" w:color="BFBFBF"/>
                  </w:tcBorders>
                  <w:shd w:val="clear" w:color="auto" w:fill="auto"/>
                </w:tcPr>
                <w:p w14:paraId="02844737" w14:textId="77777777" w:rsidR="00014BAC" w:rsidRDefault="00014BAC" w:rsidP="006D7F12">
                  <w:pPr>
                    <w:pStyle w:val="TableBodyText"/>
                  </w:pPr>
                </w:p>
              </w:tc>
              <w:tc>
                <w:tcPr>
                  <w:tcW w:w="887" w:type="pct"/>
                  <w:gridSpan w:val="2"/>
                  <w:tcBorders>
                    <w:bottom w:val="single" w:sz="6" w:space="0" w:color="BFBFBF"/>
                  </w:tcBorders>
                  <w:shd w:val="clear" w:color="auto" w:fill="auto"/>
                </w:tcPr>
                <w:p w14:paraId="02844738" w14:textId="116FC1E5" w:rsidR="00014BAC" w:rsidRDefault="004D4E21" w:rsidP="006D7F12">
                  <w:pPr>
                    <w:pStyle w:val="TableBodyText"/>
                  </w:pPr>
                  <w:r>
                    <w:noBreakHyphen/>
                  </w:r>
                  <w:r w:rsidR="00014BAC">
                    <w:t>2</w:t>
                  </w:r>
                </w:p>
              </w:tc>
              <w:tc>
                <w:tcPr>
                  <w:tcW w:w="885" w:type="pct"/>
                  <w:gridSpan w:val="2"/>
                  <w:tcBorders>
                    <w:bottom w:val="single" w:sz="6" w:space="0" w:color="BFBFBF"/>
                  </w:tcBorders>
                </w:tcPr>
                <w:p w14:paraId="02844739" w14:textId="77777777" w:rsidR="00014BAC" w:rsidRDefault="00014BAC" w:rsidP="006D7F12">
                  <w:pPr>
                    <w:pStyle w:val="TableBodyText"/>
                  </w:pPr>
                  <w:r>
                    <w:t>2</w:t>
                  </w:r>
                </w:p>
              </w:tc>
            </w:tr>
            <w:tr w:rsidR="00014BAC" w14:paraId="0284473D" w14:textId="77777777" w:rsidTr="00BF16A9">
              <w:trPr>
                <w:gridAfter w:val="1"/>
                <w:wAfter w:w="7" w:type="pct"/>
              </w:trPr>
              <w:tc>
                <w:tcPr>
                  <w:tcW w:w="4107" w:type="pct"/>
                  <w:gridSpan w:val="4"/>
                  <w:shd w:val="clear" w:color="auto" w:fill="auto"/>
                </w:tcPr>
                <w:p w14:paraId="0284473B" w14:textId="034EB098" w:rsidR="00014BAC" w:rsidRDefault="00014BAC" w:rsidP="00F423D4">
                  <w:pPr>
                    <w:pStyle w:val="TableBodyText"/>
                    <w:jc w:val="left"/>
                    <w:rPr>
                      <w:i/>
                    </w:rPr>
                  </w:pPr>
                  <w:r>
                    <w:rPr>
                      <w:rStyle w:val="NoteLabel"/>
                    </w:rPr>
                    <w:t>a </w:t>
                  </w:r>
                  <w:r>
                    <w:t xml:space="preserve">Real </w:t>
                  </w:r>
                  <w:r w:rsidR="00E55063">
                    <w:t xml:space="preserve">gross value added </w:t>
                  </w:r>
                  <w:r>
                    <w:t>per hour worked.</w:t>
                  </w:r>
                </w:p>
              </w:tc>
              <w:tc>
                <w:tcPr>
                  <w:tcW w:w="886" w:type="pct"/>
                  <w:gridSpan w:val="2"/>
                </w:tcPr>
                <w:p w14:paraId="0284473C" w14:textId="77777777" w:rsidR="00014BAC" w:rsidRDefault="00014BAC" w:rsidP="00E36FBE">
                  <w:pPr>
                    <w:pStyle w:val="TableBodyText"/>
                    <w:jc w:val="left"/>
                    <w:rPr>
                      <w:rStyle w:val="NoteLabel"/>
                    </w:rPr>
                  </w:pPr>
                </w:p>
              </w:tc>
            </w:tr>
            <w:tr w:rsidR="00014BAC" w14:paraId="02844740" w14:textId="77777777" w:rsidTr="00BF16A9">
              <w:trPr>
                <w:gridAfter w:val="1"/>
                <w:wAfter w:w="7" w:type="pct"/>
              </w:trPr>
              <w:tc>
                <w:tcPr>
                  <w:tcW w:w="4107" w:type="pct"/>
                  <w:gridSpan w:val="4"/>
                  <w:shd w:val="clear" w:color="auto" w:fill="auto"/>
                </w:tcPr>
                <w:p w14:paraId="0284473E" w14:textId="0425D945" w:rsidR="00014BAC" w:rsidRDefault="00014BAC" w:rsidP="00E36FBE">
                  <w:pPr>
                    <w:pStyle w:val="Source"/>
                    <w:rPr>
                      <w:i/>
                    </w:rPr>
                  </w:pPr>
                  <w:r>
                    <w:rPr>
                      <w:i/>
                    </w:rPr>
                    <w:t>Source</w:t>
                  </w:r>
                  <w:r w:rsidRPr="00167F06">
                    <w:t xml:space="preserve">: </w:t>
                  </w:r>
                  <w:r>
                    <w:t xml:space="preserve">Productivity Commission projections based on </w:t>
                  </w:r>
                  <w:proofErr w:type="spellStart"/>
                  <w:r>
                    <w:t>VURM</w:t>
                  </w:r>
                  <w:proofErr w:type="spellEnd"/>
                  <w:r>
                    <w:noBreakHyphen/>
                    <w:t>MI.</w:t>
                  </w:r>
                </w:p>
              </w:tc>
              <w:tc>
                <w:tcPr>
                  <w:tcW w:w="886" w:type="pct"/>
                  <w:gridSpan w:val="2"/>
                </w:tcPr>
                <w:p w14:paraId="0284473F" w14:textId="77777777" w:rsidR="00014BAC" w:rsidRDefault="00014BAC" w:rsidP="00E36FBE">
                  <w:pPr>
                    <w:pStyle w:val="Source"/>
                    <w:rPr>
                      <w:i/>
                    </w:rPr>
                  </w:pPr>
                </w:p>
              </w:tc>
            </w:tr>
          </w:tbl>
          <w:p w14:paraId="02844741" w14:textId="77777777" w:rsidR="00E36FBE" w:rsidRDefault="00E36FBE" w:rsidP="00E36FBE">
            <w:pPr>
              <w:pStyle w:val="Box"/>
            </w:pPr>
          </w:p>
        </w:tc>
      </w:tr>
      <w:tr w:rsidR="00E36FBE" w:rsidRPr="000863A5" w14:paraId="02844744" w14:textId="77777777" w:rsidTr="00E36FBE">
        <w:trPr>
          <w:gridAfter w:val="1"/>
          <w:wAfter w:w="138" w:type="dxa"/>
        </w:trPr>
        <w:tc>
          <w:tcPr>
            <w:tcW w:w="8771" w:type="dxa"/>
            <w:tcBorders>
              <w:top w:val="single" w:sz="6" w:space="0" w:color="78A22F"/>
              <w:left w:val="nil"/>
              <w:bottom w:val="nil"/>
              <w:right w:val="nil"/>
            </w:tcBorders>
          </w:tcPr>
          <w:p w14:paraId="02844743" w14:textId="3E04AE45" w:rsidR="00E36FBE" w:rsidRPr="00626D32" w:rsidRDefault="00E36FBE" w:rsidP="00E36FBE">
            <w:pPr>
              <w:pStyle w:val="BoxSpaceBelow"/>
            </w:pPr>
          </w:p>
        </w:tc>
      </w:tr>
    </w:tbl>
    <w:p w14:paraId="5E58491F" w14:textId="51C0E0D5" w:rsidR="009015D8" w:rsidRDefault="009015D8" w:rsidP="009015D8">
      <w:pPr>
        <w:pStyle w:val="BodyText"/>
      </w:pPr>
      <w:r>
        <w:t>With zero NOM, the size of the Australian population is projected to be 33 per cent lower than in the business-as-usual scenario. Furthermore, the average age is projected to be higher. In the zero NOM scenario, the average age is 47 by 2060, compared with 43 in the business-as-usual scenario (figure </w:t>
      </w:r>
      <w:proofErr w:type="spellStart"/>
      <w:r>
        <w:t>B.</w:t>
      </w:r>
      <w:r w:rsidR="00BA2FAA">
        <w:t>9</w:t>
      </w:r>
      <w:proofErr w:type="spellEnd"/>
      <w:r>
        <w:t>, panel a). The higher average age results in lower participation in employment than in the business-as-usual scenario (figure </w:t>
      </w:r>
      <w:proofErr w:type="spellStart"/>
      <w:r>
        <w:t>B.</w:t>
      </w:r>
      <w:r w:rsidR="00BA2FAA">
        <w:t>9</w:t>
      </w:r>
      <w:proofErr w:type="spellEnd"/>
      <w:r>
        <w:t xml:space="preserve">, panel b). Therefore, with zero NOM, labour supply is projected to be 38 per cent lower than in the business-as-usual scenario both because of the lower population and because of less participation. </w:t>
      </w:r>
    </w:p>
    <w:p w14:paraId="7BFA22BE" w14:textId="77777777" w:rsidR="009015D8" w:rsidRDefault="009015D8" w:rsidP="009015D8">
      <w:pPr>
        <w:pStyle w:val="BodyText"/>
      </w:pPr>
      <w:r>
        <w:t>Labour productivity in the zero NOM scenario is projected to be 2 per cent higher than in the business-as-usual scenario. This is a short</w:t>
      </w:r>
      <w:r>
        <w:noBreakHyphen/>
        <w:t> to medium</w:t>
      </w:r>
      <w:r>
        <w:noBreakHyphen/>
        <w:t xml:space="preserve">term effect of NOM that dissipates as capital markets adjust. The annual addition of labour supply through NOM ultimately results in a proportionate expansion in capital. But while capital markets adjust </w:t>
      </w:r>
      <w:r>
        <w:lastRenderedPageBreak/>
        <w:t>to the assumed migrant intake, there is a temporary increase in labour relative to capital which contributes to lower labour productivity growth. This takes place each year in which there is a non</w:t>
      </w:r>
      <w:r>
        <w:noBreakHyphen/>
        <w:t>zero NOM, including in 2060. This effect is present in the business-as-usual, 0.3 and 1 per cent scenarios, but not in the zero NOM scenario. Therefore, the measured labour productivity is marginally higher in the zero NOM scenario than in the business-as-usual and other NOM scenarios.</w:t>
      </w:r>
    </w:p>
    <w:p w14:paraId="4613D639" w14:textId="62EBC043" w:rsidR="009015D8" w:rsidRDefault="009015D8" w:rsidP="009015D8">
      <w:pPr>
        <w:pStyle w:val="BodyText"/>
      </w:pPr>
      <w:r>
        <w:t>The net effect of lower participation and modestly higher productivity is that real GDP per person in the zero NOM scenario is 7 per cent lower than in the business-as-usual</w:t>
      </w:r>
      <w:r w:rsidR="00BA2FAA">
        <w:t xml:space="preserve"> scenario (table </w:t>
      </w:r>
      <w:proofErr w:type="spellStart"/>
      <w:r w:rsidR="00BA2FAA">
        <w:t>B.4</w:t>
      </w:r>
      <w:proofErr w:type="spellEnd"/>
      <w:r w:rsidR="00BA2FAA">
        <w:t>; figure </w:t>
      </w:r>
      <w:proofErr w:type="spellStart"/>
      <w:r w:rsidR="00BA2FAA">
        <w:t>B.9</w:t>
      </w:r>
      <w:proofErr w:type="spellEnd"/>
      <w:r>
        <w:t xml:space="preserve">, panel b). </w:t>
      </w:r>
    </w:p>
    <w:p w14:paraId="020E24A6" w14:textId="77777777" w:rsidR="009015D8" w:rsidRDefault="009015D8" w:rsidP="009015D8">
      <w:pPr>
        <w:pStyle w:val="BodyText"/>
      </w:pPr>
      <w:r>
        <w:t>The net effect of lower population growth, less participation in employment and modestly higher productivity in the zero NOM scenario also results in real GDP being 37 per cent lower than in the business-as-usual scenario (table </w:t>
      </w:r>
      <w:proofErr w:type="spellStart"/>
      <w:r>
        <w:t>B.4</w:t>
      </w:r>
      <w:proofErr w:type="spellEnd"/>
      <w:r>
        <w:t xml:space="preserve">). </w:t>
      </w:r>
    </w:p>
    <w:p w14:paraId="115648CD" w14:textId="77777777" w:rsidR="00E36FBE" w:rsidRDefault="00E36FBE" w:rsidP="00E36FBE">
      <w:pPr>
        <w:pStyle w:val="BodyText"/>
        <w:rPr>
          <w:rFonts w:eastAsia="Calibri"/>
        </w:rPr>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BD456B" w14:paraId="0DFB2490" w14:textId="77777777" w:rsidTr="00B317D3">
        <w:trPr>
          <w:tblHeader/>
        </w:trPr>
        <w:tc>
          <w:tcPr>
            <w:tcW w:w="8771" w:type="dxa"/>
            <w:tcBorders>
              <w:top w:val="single" w:sz="6" w:space="0" w:color="78A22F"/>
              <w:left w:val="nil"/>
              <w:bottom w:val="nil"/>
              <w:right w:val="nil"/>
            </w:tcBorders>
            <w:shd w:val="clear" w:color="auto" w:fill="auto"/>
          </w:tcPr>
          <w:p w14:paraId="434D77D6" w14:textId="435CB855" w:rsidR="001255E3" w:rsidRPr="001255E3" w:rsidRDefault="00BD456B" w:rsidP="00E55063">
            <w:pPr>
              <w:pStyle w:val="FigureTitle"/>
            </w:pPr>
            <w:r w:rsidRPr="00784A05">
              <w:rPr>
                <w:b w:val="0"/>
              </w:rPr>
              <w:t xml:space="preserve">Figure </w:t>
            </w:r>
            <w:proofErr w:type="spellStart"/>
            <w:r w:rsidR="000C775F">
              <w:rPr>
                <w:b w:val="0"/>
              </w:rPr>
              <w:t>B.</w:t>
            </w:r>
            <w:r w:rsidR="009015D8">
              <w:rPr>
                <w:b w:val="0"/>
                <w:noProof/>
              </w:rPr>
              <w:t>9</w:t>
            </w:r>
            <w:proofErr w:type="spellEnd"/>
            <w:r>
              <w:tab/>
            </w:r>
            <w:r w:rsidR="009E21CB">
              <w:t>NOM is projected to offset</w:t>
            </w:r>
            <w:r w:rsidR="00354FA9">
              <w:t xml:space="preserve"> ageing and </w:t>
            </w:r>
            <w:r w:rsidR="009E21CB">
              <w:t xml:space="preserve">to increase </w:t>
            </w:r>
            <w:r w:rsidR="00354FA9">
              <w:t>GDP per person</w:t>
            </w:r>
            <w:r w:rsidR="00607F07">
              <w:t>, 2060</w:t>
            </w:r>
            <w:r w:rsidR="004244B9" w:rsidRPr="00E55063">
              <w:rPr>
                <w:rStyle w:val="NoteLabel"/>
                <w:b/>
              </w:rPr>
              <w:t>a</w:t>
            </w:r>
          </w:p>
        </w:tc>
      </w:tr>
      <w:tr w:rsidR="00BD456B" w14:paraId="790E0A60" w14:textId="77777777" w:rsidTr="00B317D3">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4252"/>
              <w:gridCol w:w="4252"/>
            </w:tblGrid>
            <w:tr w:rsidR="00BD456B" w14:paraId="4C3FADD0" w14:textId="77777777" w:rsidTr="00BD456B">
              <w:trPr>
                <w:trHeight w:val="183"/>
                <w:tblHeader/>
                <w:jc w:val="center"/>
              </w:trPr>
              <w:tc>
                <w:tcPr>
                  <w:tcW w:w="2500" w:type="pct"/>
                  <w:tcBorders>
                    <w:top w:val="nil"/>
                    <w:bottom w:val="nil"/>
                  </w:tcBorders>
                </w:tcPr>
                <w:p w14:paraId="3CD09043" w14:textId="5E531DAE" w:rsidR="00BD456B" w:rsidRPr="001255E3" w:rsidRDefault="003A43C3" w:rsidP="00B317D3">
                  <w:pPr>
                    <w:pStyle w:val="Figure"/>
                    <w:spacing w:before="60" w:after="60"/>
                    <w:rPr>
                      <w:rFonts w:asciiTheme="minorHAnsi" w:hAnsiTheme="minorHAnsi" w:cstheme="minorHAnsi"/>
                      <w:b/>
                      <w:sz w:val="18"/>
                      <w:szCs w:val="18"/>
                    </w:rPr>
                  </w:pPr>
                  <w:r>
                    <w:rPr>
                      <w:rFonts w:asciiTheme="minorHAnsi" w:hAnsiTheme="minorHAnsi" w:cstheme="minorHAnsi"/>
                      <w:b/>
                      <w:sz w:val="18"/>
                      <w:szCs w:val="18"/>
                    </w:rPr>
                    <w:t xml:space="preserve">a. </w:t>
                  </w:r>
                  <w:r w:rsidR="001E3DF3" w:rsidRPr="001255E3">
                    <w:rPr>
                      <w:rFonts w:asciiTheme="minorHAnsi" w:hAnsiTheme="minorHAnsi" w:cstheme="minorHAnsi"/>
                      <w:b/>
                      <w:sz w:val="18"/>
                      <w:szCs w:val="18"/>
                    </w:rPr>
                    <w:t>Average ag</w:t>
                  </w:r>
                  <w:r w:rsidR="001255E3">
                    <w:rPr>
                      <w:rFonts w:asciiTheme="minorHAnsi" w:hAnsiTheme="minorHAnsi" w:cstheme="minorHAnsi"/>
                      <w:b/>
                      <w:sz w:val="18"/>
                      <w:szCs w:val="18"/>
                    </w:rPr>
                    <w:t>e of the Australian population</w:t>
                  </w:r>
                </w:p>
              </w:tc>
              <w:tc>
                <w:tcPr>
                  <w:tcW w:w="2500" w:type="pct"/>
                  <w:tcBorders>
                    <w:top w:val="nil"/>
                    <w:bottom w:val="nil"/>
                  </w:tcBorders>
                </w:tcPr>
                <w:p w14:paraId="76B6574A" w14:textId="6A5251FE" w:rsidR="00BD456B" w:rsidRPr="001255E3" w:rsidRDefault="003A43C3" w:rsidP="005640CD">
                  <w:pPr>
                    <w:pStyle w:val="Figure"/>
                    <w:spacing w:before="60" w:after="60"/>
                    <w:rPr>
                      <w:rFonts w:asciiTheme="minorHAnsi" w:hAnsiTheme="minorHAnsi" w:cstheme="minorHAnsi"/>
                      <w:b/>
                      <w:sz w:val="18"/>
                      <w:szCs w:val="18"/>
                    </w:rPr>
                  </w:pPr>
                  <w:r>
                    <w:rPr>
                      <w:rFonts w:asciiTheme="minorHAnsi" w:hAnsiTheme="minorHAnsi" w:cstheme="minorHAnsi"/>
                      <w:b/>
                      <w:sz w:val="18"/>
                      <w:szCs w:val="18"/>
                    </w:rPr>
                    <w:t xml:space="preserve">b. </w:t>
                  </w:r>
                  <w:r w:rsidR="00354FA9" w:rsidRPr="001255E3">
                    <w:rPr>
                      <w:rFonts w:asciiTheme="minorHAnsi" w:hAnsiTheme="minorHAnsi" w:cstheme="minorHAnsi"/>
                      <w:b/>
                      <w:sz w:val="18"/>
                      <w:szCs w:val="18"/>
                    </w:rPr>
                    <w:t>GDP per person</w:t>
                  </w:r>
                  <w:r w:rsidR="00607F07">
                    <w:rPr>
                      <w:rFonts w:asciiTheme="minorHAnsi" w:hAnsiTheme="minorHAnsi" w:cstheme="minorHAnsi"/>
                      <w:b/>
                      <w:sz w:val="18"/>
                      <w:szCs w:val="18"/>
                    </w:rPr>
                    <w:t>,</w:t>
                  </w:r>
                  <w:r w:rsidR="00354FA9" w:rsidRPr="001255E3">
                    <w:rPr>
                      <w:rFonts w:asciiTheme="minorHAnsi" w:hAnsiTheme="minorHAnsi" w:cstheme="minorHAnsi"/>
                      <w:b/>
                      <w:sz w:val="18"/>
                      <w:szCs w:val="18"/>
                    </w:rPr>
                    <w:t xml:space="preserve"> </w:t>
                  </w:r>
                  <w:r w:rsidR="001255E3">
                    <w:rPr>
                      <w:rFonts w:asciiTheme="minorHAnsi" w:hAnsiTheme="minorHAnsi" w:cstheme="minorHAnsi"/>
                      <w:b/>
                      <w:sz w:val="18"/>
                      <w:szCs w:val="18"/>
                    </w:rPr>
                    <w:br/>
                  </w:r>
                  <w:r w:rsidR="00607F07">
                    <w:rPr>
                      <w:rFonts w:asciiTheme="minorHAnsi" w:hAnsiTheme="minorHAnsi" w:cstheme="minorHAnsi"/>
                      <w:b/>
                      <w:sz w:val="18"/>
                      <w:szCs w:val="18"/>
                    </w:rPr>
                    <w:t xml:space="preserve">deviation </w:t>
                  </w:r>
                  <w:r w:rsidR="00354FA9" w:rsidRPr="001255E3">
                    <w:rPr>
                      <w:rFonts w:asciiTheme="minorHAnsi" w:hAnsiTheme="minorHAnsi" w:cstheme="minorHAnsi"/>
                      <w:b/>
                      <w:sz w:val="18"/>
                      <w:szCs w:val="18"/>
                    </w:rPr>
                    <w:t xml:space="preserve">from </w:t>
                  </w:r>
                  <w:r w:rsidR="00EF58F8">
                    <w:rPr>
                      <w:rFonts w:asciiTheme="minorHAnsi" w:hAnsiTheme="minorHAnsi" w:cstheme="minorHAnsi"/>
                      <w:b/>
                      <w:sz w:val="18"/>
                      <w:szCs w:val="18"/>
                    </w:rPr>
                    <w:t>business-as-usual</w:t>
                  </w:r>
                  <w:r w:rsidR="001255E3">
                    <w:rPr>
                      <w:rFonts w:asciiTheme="minorHAnsi" w:hAnsiTheme="minorHAnsi" w:cstheme="minorHAnsi"/>
                      <w:b/>
                      <w:sz w:val="18"/>
                      <w:szCs w:val="18"/>
                    </w:rPr>
                    <w:t xml:space="preserve"> scenario</w:t>
                  </w:r>
                </w:p>
              </w:tc>
            </w:tr>
            <w:tr w:rsidR="00DB13EF" w14:paraId="62EAD80D" w14:textId="77777777" w:rsidTr="00CC3A65">
              <w:tblPrEx>
                <w:tblCellMar>
                  <w:left w:w="108" w:type="dxa"/>
                  <w:right w:w="108" w:type="dxa"/>
                </w:tblCellMar>
              </w:tblPrEx>
              <w:trPr>
                <w:trHeight w:val="183"/>
                <w:tblHeader/>
                <w:jc w:val="center"/>
              </w:trPr>
              <w:tc>
                <w:tcPr>
                  <w:tcW w:w="2500" w:type="pct"/>
                  <w:tcBorders>
                    <w:top w:val="nil"/>
                    <w:bottom w:val="nil"/>
                  </w:tcBorders>
                </w:tcPr>
                <w:p w14:paraId="2811FD88" w14:textId="4B67E4E3" w:rsidR="00DB13EF" w:rsidRDefault="00243159" w:rsidP="00C02E8B">
                  <w:pPr>
                    <w:pStyle w:val="Figure"/>
                    <w:spacing w:before="60" w:after="60"/>
                  </w:pPr>
                  <w:r>
                    <w:rPr>
                      <w:noProof/>
                    </w:rPr>
                    <w:drawing>
                      <wp:inline distT="0" distB="0" distL="0" distR="0" wp14:anchorId="0D8AEC8E" wp14:editId="1B5C4005">
                        <wp:extent cx="2501900" cy="2406650"/>
                        <wp:effectExtent l="0" t="0" r="0" b="0"/>
                        <wp:docPr id="22" name="Picture 22" descr="This figure shows the implications in 2060 of NOM for the average age of the Australian population (panel a) and for real GDP per person (panel b). &#10;Panel a shows the average age of the population in 2060 is projected to be 47 in the zero NOM scenario, 45 in the 0.3 per cent NOM scenario; 43 in the 0.6 per cent NOM (business-as-usual) scenario and 41 in the 1 per cent NOM scenario.&#10;Panel b shows the percentage deviation from the business-as-usual scenario of the three other scenarios for GDP per person and for its components, labour productivity and participation in employment. GDP per person is 7 per cent lower than the business-as-usual scenario in the zero NOM scenario, 3 per cent lower in the 0.3 per cent scenario and 3 per cent higher in the 1 per cent scenari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01900" cy="2406650"/>
                                </a:xfrm>
                                <a:prstGeom prst="rect">
                                  <a:avLst/>
                                </a:prstGeom>
                                <a:noFill/>
                                <a:ln>
                                  <a:noFill/>
                                </a:ln>
                              </pic:spPr>
                            </pic:pic>
                          </a:graphicData>
                        </a:graphic>
                      </wp:inline>
                    </w:drawing>
                  </w:r>
                </w:p>
              </w:tc>
              <w:tc>
                <w:tcPr>
                  <w:tcW w:w="2500" w:type="pct"/>
                  <w:tcBorders>
                    <w:top w:val="nil"/>
                    <w:bottom w:val="nil"/>
                  </w:tcBorders>
                </w:tcPr>
                <w:p w14:paraId="553810D6" w14:textId="0407A19E" w:rsidR="00DB13EF" w:rsidRDefault="00243159" w:rsidP="00B317D3">
                  <w:pPr>
                    <w:pStyle w:val="Figure"/>
                    <w:spacing w:before="60" w:after="60"/>
                  </w:pPr>
                  <w:r>
                    <w:rPr>
                      <w:noProof/>
                    </w:rPr>
                    <w:drawing>
                      <wp:inline distT="0" distB="0" distL="0" distR="0" wp14:anchorId="590F5BDE" wp14:editId="54C81862">
                        <wp:extent cx="2475865" cy="2363470"/>
                        <wp:effectExtent l="0" t="0" r="635" b="0"/>
                        <wp:docPr id="23" name="Picture 23" descr="This figure shows the implications in 2060 of NOM for the average age of the Australian population (panel a) and for real GDP per person (panel b). &#10;Panel a shows the average age of the population in 2060 is projected to be 47 in the zero NOM scenario, 45 in the 0.3 per cent NOM scenario; 43 in the 0.6 per cent NOM (business-as-usual) scenario and 41 in the 1 per cent NOM scenario.&#10;Panel b shows the percentage deviation from the business-as-usual scenario of the three other scenarios for GDP per person and for its components, labour productivity and participation in employment. GDP per person is 7 per cent lower than the business-as-usual scenario in the zero NOM scenario, 3 per cent lower in the 0.3 per cent scenario and 3 per cent higher in the 1 per cent scenari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475865" cy="2363470"/>
                                </a:xfrm>
                                <a:prstGeom prst="rect">
                                  <a:avLst/>
                                </a:prstGeom>
                                <a:noFill/>
                                <a:ln>
                                  <a:noFill/>
                                </a:ln>
                              </pic:spPr>
                            </pic:pic>
                          </a:graphicData>
                        </a:graphic>
                      </wp:inline>
                    </w:drawing>
                  </w:r>
                </w:p>
              </w:tc>
            </w:tr>
          </w:tbl>
          <w:p w14:paraId="41FBEF09" w14:textId="77777777" w:rsidR="00BD456B" w:rsidRDefault="00BD456B" w:rsidP="00B317D3">
            <w:pPr>
              <w:pStyle w:val="Figure"/>
            </w:pPr>
          </w:p>
        </w:tc>
      </w:tr>
      <w:tr w:rsidR="004244B9" w:rsidRPr="00176D3F" w14:paraId="45EB8886" w14:textId="77777777" w:rsidTr="00B317D3">
        <w:tc>
          <w:tcPr>
            <w:tcW w:w="8771" w:type="dxa"/>
            <w:tcBorders>
              <w:top w:val="nil"/>
              <w:left w:val="nil"/>
              <w:bottom w:val="nil"/>
              <w:right w:val="nil"/>
            </w:tcBorders>
            <w:shd w:val="clear" w:color="auto" w:fill="auto"/>
          </w:tcPr>
          <w:p w14:paraId="017D7B30" w14:textId="546E1DBA" w:rsidR="004244B9" w:rsidRDefault="004244B9" w:rsidP="00490A43">
            <w:pPr>
              <w:pStyle w:val="Source"/>
              <w:rPr>
                <w:i/>
              </w:rPr>
            </w:pPr>
            <w:r>
              <w:rPr>
                <w:rStyle w:val="NoteLabel"/>
              </w:rPr>
              <w:t>a</w:t>
            </w:r>
            <w:r w:rsidR="00490A43">
              <w:t> </w:t>
            </w:r>
            <w:r w:rsidR="0050549F" w:rsidRPr="00AA5DBB">
              <w:rPr>
                <w:rStyle w:val="NoteChar"/>
              </w:rPr>
              <w:t>‘</w:t>
            </w:r>
            <w:proofErr w:type="spellStart"/>
            <w:r w:rsidR="00E55063" w:rsidRPr="00AA5DBB">
              <w:rPr>
                <w:rStyle w:val="NoteChar"/>
              </w:rPr>
              <w:t>BAU</w:t>
            </w:r>
            <w:proofErr w:type="spellEnd"/>
            <w:r w:rsidR="00E55063" w:rsidRPr="00AA5DBB">
              <w:rPr>
                <w:rStyle w:val="NoteChar"/>
              </w:rPr>
              <w:t xml:space="preserve">’ </w:t>
            </w:r>
            <w:r w:rsidRPr="00AA5DBB">
              <w:rPr>
                <w:rStyle w:val="NoteChar"/>
              </w:rPr>
              <w:t>is an abbreviation for the business</w:t>
            </w:r>
            <w:r w:rsidR="00300F88" w:rsidRPr="00AA5DBB">
              <w:rPr>
                <w:rStyle w:val="NoteChar"/>
              </w:rPr>
              <w:t>-</w:t>
            </w:r>
            <w:r w:rsidRPr="00AA5DBB">
              <w:rPr>
                <w:rStyle w:val="NoteChar"/>
              </w:rPr>
              <w:t>as</w:t>
            </w:r>
            <w:r w:rsidR="00300F88" w:rsidRPr="00AA5DBB">
              <w:rPr>
                <w:rStyle w:val="NoteChar"/>
              </w:rPr>
              <w:t>-</w:t>
            </w:r>
            <w:r w:rsidRPr="00AA5DBB">
              <w:rPr>
                <w:rStyle w:val="NoteChar"/>
              </w:rPr>
              <w:t>usual scenario.</w:t>
            </w:r>
          </w:p>
        </w:tc>
      </w:tr>
      <w:tr w:rsidR="00BD456B" w:rsidRPr="00176D3F" w14:paraId="72D2ED7A" w14:textId="77777777" w:rsidTr="00B317D3">
        <w:tc>
          <w:tcPr>
            <w:tcW w:w="8771" w:type="dxa"/>
            <w:tcBorders>
              <w:top w:val="nil"/>
              <w:left w:val="nil"/>
              <w:bottom w:val="nil"/>
              <w:right w:val="nil"/>
            </w:tcBorders>
            <w:shd w:val="clear" w:color="auto" w:fill="auto"/>
          </w:tcPr>
          <w:p w14:paraId="3D4DF593" w14:textId="7AAE7C9C" w:rsidR="00BD456B" w:rsidRPr="00176D3F" w:rsidRDefault="00497DB5" w:rsidP="00497DB5">
            <w:pPr>
              <w:pStyle w:val="Source"/>
            </w:pPr>
            <w:r>
              <w:rPr>
                <w:i/>
              </w:rPr>
              <w:t>S</w:t>
            </w:r>
            <w:r w:rsidR="00BD456B" w:rsidRPr="00784A05">
              <w:rPr>
                <w:i/>
              </w:rPr>
              <w:t>ource</w:t>
            </w:r>
            <w:r w:rsidR="00BD456B" w:rsidRPr="00176D3F">
              <w:t>:</w:t>
            </w:r>
            <w:r>
              <w:t xml:space="preserve"> Productivity Commission </w:t>
            </w:r>
            <w:r w:rsidR="006A3E61">
              <w:t xml:space="preserve">projections </w:t>
            </w:r>
            <w:r>
              <w:t xml:space="preserve">based on </w:t>
            </w:r>
            <w:proofErr w:type="spellStart"/>
            <w:r>
              <w:t>VURM</w:t>
            </w:r>
            <w:proofErr w:type="spellEnd"/>
            <w:r>
              <w:noBreakHyphen/>
              <w:t>MI.</w:t>
            </w:r>
            <w:r w:rsidR="00BD456B" w:rsidRPr="00176D3F">
              <w:t xml:space="preserve"> </w:t>
            </w:r>
          </w:p>
        </w:tc>
      </w:tr>
      <w:tr w:rsidR="00BD456B" w14:paraId="4DF40127" w14:textId="77777777" w:rsidTr="00B317D3">
        <w:tc>
          <w:tcPr>
            <w:tcW w:w="8771" w:type="dxa"/>
            <w:tcBorders>
              <w:top w:val="nil"/>
              <w:left w:val="nil"/>
              <w:bottom w:val="single" w:sz="6" w:space="0" w:color="78A22F"/>
              <w:right w:val="nil"/>
            </w:tcBorders>
            <w:shd w:val="clear" w:color="auto" w:fill="auto"/>
          </w:tcPr>
          <w:p w14:paraId="20ED62CC" w14:textId="77777777" w:rsidR="00BD456B" w:rsidRDefault="00BD456B" w:rsidP="00B317D3">
            <w:pPr>
              <w:pStyle w:val="Figurespace"/>
            </w:pPr>
          </w:p>
        </w:tc>
      </w:tr>
      <w:tr w:rsidR="00BD456B" w:rsidRPr="000863A5" w14:paraId="508426AA" w14:textId="77777777" w:rsidTr="00B317D3">
        <w:tc>
          <w:tcPr>
            <w:tcW w:w="8771" w:type="dxa"/>
            <w:tcBorders>
              <w:top w:val="single" w:sz="6" w:space="0" w:color="78A22F"/>
              <w:left w:val="nil"/>
              <w:bottom w:val="nil"/>
              <w:right w:val="nil"/>
            </w:tcBorders>
          </w:tcPr>
          <w:p w14:paraId="24DD153A" w14:textId="34F4F036" w:rsidR="00BD456B" w:rsidRPr="00626D32" w:rsidRDefault="00BD456B" w:rsidP="00B317D3">
            <w:pPr>
              <w:pStyle w:val="BoxSpaceBelow"/>
            </w:pPr>
          </w:p>
        </w:tc>
      </w:tr>
    </w:tbl>
    <w:p w14:paraId="77B5E915" w14:textId="77777777" w:rsidR="003975A0" w:rsidRDefault="003975A0" w:rsidP="003975A0">
      <w:pPr>
        <w:pStyle w:val="BodyText"/>
      </w:pPr>
      <w:r>
        <w:t xml:space="preserve">The scale of impact on other macroeconomic aggregates reflects the impact on GDP and the implications of ageing. </w:t>
      </w:r>
    </w:p>
    <w:p w14:paraId="18BBBF72" w14:textId="66E95EE8" w:rsidR="003975A0" w:rsidRDefault="003975A0" w:rsidP="003975A0">
      <w:pPr>
        <w:pStyle w:val="BodyText"/>
      </w:pPr>
      <w:r>
        <w:t>Because the population in the zero NOM scenario is older than in the business-as-usual scenario, growth in expenditure on government health and aged care (discussed below) is higher. Therefore, while real government consumption in the zero NOM scenario is 31 per</w:t>
      </w:r>
      <w:r w:rsidR="00E521B2">
        <w:t> </w:t>
      </w:r>
      <w:r>
        <w:t>cent lower than in the business</w:t>
      </w:r>
      <w:r w:rsidR="00300F88">
        <w:t>-</w:t>
      </w:r>
      <w:r>
        <w:t>as</w:t>
      </w:r>
      <w:r w:rsidR="00300F88">
        <w:t>-</w:t>
      </w:r>
      <w:r>
        <w:t xml:space="preserve">usual scenario by 2060, the magnitude is less than for </w:t>
      </w:r>
      <w:r w:rsidR="000E74E7">
        <w:t xml:space="preserve">GDP. However, the higher government expenditure associated with ageing is assumed </w:t>
      </w:r>
      <w:r w:rsidR="000E74E7">
        <w:lastRenderedPageBreak/>
        <w:t xml:space="preserve">to be funded by a lump sum tax on households, and therefore, </w:t>
      </w:r>
      <w:r>
        <w:t>household consumption</w:t>
      </w:r>
      <w:r w:rsidR="000E74E7">
        <w:t xml:space="preserve"> is projected to contract by more than GDP. Household consumption </w:t>
      </w:r>
      <w:r>
        <w:t>is 39 </w:t>
      </w:r>
      <w:r w:rsidR="005640CD">
        <w:t>per </w:t>
      </w:r>
      <w:r>
        <w:t>cent lower than in the business</w:t>
      </w:r>
      <w:r w:rsidR="00300F88">
        <w:t>-</w:t>
      </w:r>
      <w:r>
        <w:t>as</w:t>
      </w:r>
      <w:r w:rsidR="00300F88">
        <w:t>-</w:t>
      </w:r>
      <w:r>
        <w:t xml:space="preserve">usual scenario by 2060. </w:t>
      </w:r>
    </w:p>
    <w:p w14:paraId="75AC32C8" w14:textId="7981A264" w:rsidR="003975A0" w:rsidRDefault="003975A0" w:rsidP="003975A0">
      <w:pPr>
        <w:pStyle w:val="BodyText"/>
      </w:pPr>
      <w:r>
        <w:t>In the zero NOM scenario, lower domestic demand arising from a smaller population is projected to decrease the demand for imports</w:t>
      </w:r>
      <w:r w:rsidR="00D33B73">
        <w:t xml:space="preserve"> relative to the business</w:t>
      </w:r>
      <w:r w:rsidR="00300F88">
        <w:t>-</w:t>
      </w:r>
      <w:r w:rsidR="00D33B73">
        <w:t>as</w:t>
      </w:r>
      <w:r w:rsidR="00300F88">
        <w:t>-</w:t>
      </w:r>
      <w:r w:rsidR="00D33B73">
        <w:t>usual scenario.</w:t>
      </w:r>
      <w:r>
        <w:t xml:space="preserve"> </w:t>
      </w:r>
      <w:r w:rsidR="00266C5D">
        <w:t xml:space="preserve">Further, with </w:t>
      </w:r>
      <w:r>
        <w:t>the decrease in domestic productive capacity exceeding the decrease in domestic absorption, exports are projected to decrease by more than imports</w:t>
      </w:r>
      <w:r w:rsidR="00D33B73">
        <w:t xml:space="preserve"> compared to business</w:t>
      </w:r>
      <w:r w:rsidR="00300F88">
        <w:t>-</w:t>
      </w:r>
      <w:r w:rsidR="00D33B73">
        <w:t>as</w:t>
      </w:r>
      <w:r w:rsidR="00300F88">
        <w:t>-</w:t>
      </w:r>
      <w:r w:rsidR="00D33B73">
        <w:t>usual</w:t>
      </w:r>
      <w:r>
        <w:t>.</w:t>
      </w:r>
    </w:p>
    <w:p w14:paraId="47DDEA9A" w14:textId="03F37180" w:rsidR="003975A0" w:rsidRDefault="003975A0" w:rsidP="003975A0">
      <w:pPr>
        <w:pStyle w:val="BodyText"/>
      </w:pPr>
      <w:r>
        <w:t>In the zero NOM scenario, the scarcity of labour supply relative to the population size results in real wages being projected to be higher than in the business-as-usual scenario</w:t>
      </w:r>
      <w:r w:rsidR="00AD5996">
        <w:t xml:space="preserve"> (wage effects are considered below)</w:t>
      </w:r>
      <w:r>
        <w:t xml:space="preserve">. </w:t>
      </w:r>
    </w:p>
    <w:p w14:paraId="4BBEC0C4" w14:textId="258DE1E3" w:rsidR="00DC74C4" w:rsidRDefault="003A3CF7" w:rsidP="003A3CF7">
      <w:pPr>
        <w:pStyle w:val="BodyText"/>
      </w:pPr>
      <w:r>
        <w:t>Varying the rate of NOM from that of the business</w:t>
      </w:r>
      <w:r w:rsidR="00300F88">
        <w:t>-</w:t>
      </w:r>
      <w:r>
        <w:t>as</w:t>
      </w:r>
      <w:r w:rsidR="00300F88">
        <w:t>-</w:t>
      </w:r>
      <w:r>
        <w:t xml:space="preserve">usual scenario to either </w:t>
      </w:r>
      <w:r w:rsidR="009233E1">
        <w:t>0.</w:t>
      </w:r>
      <w:r>
        <w:t>3 per</w:t>
      </w:r>
      <w:r w:rsidR="005640CD">
        <w:t> </w:t>
      </w:r>
      <w:r>
        <w:t xml:space="preserve">cent or 1 per cent of the population gives rise to a smaller or larger impact </w:t>
      </w:r>
      <w:r w:rsidR="00BA2FAA">
        <w:t xml:space="preserve">respectively </w:t>
      </w:r>
      <w:r>
        <w:t>on the size of the economy and on GDP per person</w:t>
      </w:r>
      <w:r w:rsidR="00656305">
        <w:t xml:space="preserve"> </w:t>
      </w:r>
      <w:r w:rsidR="00FD5C4F">
        <w:t>(figure </w:t>
      </w:r>
      <w:proofErr w:type="spellStart"/>
      <w:r w:rsidR="00FD5C4F">
        <w:t>B.10</w:t>
      </w:r>
      <w:proofErr w:type="spellEnd"/>
      <w:r w:rsidR="00FD5C4F">
        <w:t>)</w:t>
      </w:r>
      <w:r>
        <w:t xml:space="preserve">. </w:t>
      </w:r>
      <w:r w:rsidR="00DC74C4">
        <w:t xml:space="preserve">Furthermore, as the </w:t>
      </w:r>
      <w:r w:rsidR="00DC74C4" w:rsidRPr="00D10A23">
        <w:t>modelling broadly assumes that there are constant returns to scale in production</w:t>
      </w:r>
      <w:r w:rsidR="00E55063">
        <w:t>, the growth in GDP </w:t>
      </w:r>
      <w:r w:rsidR="00DC74C4">
        <w:t>per person over the projection period to 2060 is broadly linear for a range of population growth outcomes.</w:t>
      </w:r>
      <w:r w:rsidR="00DC74C4" w:rsidRPr="003D567A">
        <w:rPr>
          <w:rStyle w:val="FootnoteReference"/>
        </w:rPr>
        <w:footnoteReference w:id="12"/>
      </w:r>
      <w:r w:rsidR="00985443">
        <w:t xml:space="preserve"> However, in practice there are limits on Australia’s environmental capacity, among other things, that mean the impacts are likely to become increasingly nonlinear for larger population growth outcomes, particularly those outside the range considered in this supplement.</w:t>
      </w:r>
    </w:p>
    <w:p w14:paraId="4B7FA944" w14:textId="49AA6884" w:rsidR="003A3CF7" w:rsidRDefault="003A3CF7" w:rsidP="003A3CF7">
      <w:pPr>
        <w:pStyle w:val="BodyText"/>
      </w:pPr>
      <w:r>
        <w:t>The rate of population growth contributes directly to the rate of growth in GDP. By 2060, GDP is projected to be 17 per cent lower in the 0.3</w:t>
      </w:r>
      <w:r w:rsidR="00656305">
        <w:t xml:space="preserve"> per cent </w:t>
      </w:r>
      <w:r>
        <w:t>NOM scenario and 28 per cent larger in the 1</w:t>
      </w:r>
      <w:r w:rsidR="00656305">
        <w:t xml:space="preserve"> per cent </w:t>
      </w:r>
      <w:r>
        <w:t>scenario than in the business</w:t>
      </w:r>
      <w:r w:rsidR="00300F88">
        <w:t>-</w:t>
      </w:r>
      <w:r>
        <w:t>as</w:t>
      </w:r>
      <w:r w:rsidR="00300F88">
        <w:t>-</w:t>
      </w:r>
      <w:r>
        <w:t>usual scenario</w:t>
      </w:r>
      <w:r w:rsidR="005D7352">
        <w:t xml:space="preserve"> (table </w:t>
      </w:r>
      <w:proofErr w:type="spellStart"/>
      <w:r w:rsidR="005D7352">
        <w:t>B.4</w:t>
      </w:r>
      <w:proofErr w:type="spellEnd"/>
      <w:r w:rsidR="005D7352">
        <w:t>)</w:t>
      </w:r>
      <w:r>
        <w:t xml:space="preserve">. </w:t>
      </w:r>
    </w:p>
    <w:p w14:paraId="7B8D60EE" w14:textId="3F7F83FD" w:rsidR="003A3CF7" w:rsidRDefault="003A3CF7" w:rsidP="003A3CF7">
      <w:pPr>
        <w:pStyle w:val="BodyText"/>
      </w:pPr>
      <w:r>
        <w:t>GDP per person</w:t>
      </w:r>
      <w:r w:rsidR="005D7352">
        <w:t xml:space="preserve"> is affected by the rate of NOM</w:t>
      </w:r>
      <w:r>
        <w:t xml:space="preserve"> </w:t>
      </w:r>
      <w:r w:rsidR="005D7352">
        <w:t xml:space="preserve">through </w:t>
      </w:r>
      <w:r w:rsidR="009233E1">
        <w:t>the</w:t>
      </w:r>
      <w:r w:rsidR="005D7352">
        <w:t xml:space="preserve"> impact </w:t>
      </w:r>
      <w:r w:rsidR="009233E1">
        <w:t xml:space="preserve">of changing NOM </w:t>
      </w:r>
      <w:r w:rsidR="005D7352">
        <w:t>on</w:t>
      </w:r>
      <w:r>
        <w:t xml:space="preserve"> the age profile of the labour force. Under the assumption that NOM is 0.3 per cent of the population, the </w:t>
      </w:r>
      <w:r w:rsidR="005D7352">
        <w:t xml:space="preserve">average </w:t>
      </w:r>
      <w:r>
        <w:t xml:space="preserve">age </w:t>
      </w:r>
      <w:r w:rsidR="005D7352">
        <w:t>is 45 by 2060</w:t>
      </w:r>
      <w:r>
        <w:t>, marginally higher than in the business</w:t>
      </w:r>
      <w:r w:rsidR="00300F88">
        <w:t>-</w:t>
      </w:r>
      <w:r>
        <w:t>as</w:t>
      </w:r>
      <w:r w:rsidR="00300F88">
        <w:t>-</w:t>
      </w:r>
      <w:r>
        <w:t>us</w:t>
      </w:r>
      <w:r w:rsidR="005D7352">
        <w:t xml:space="preserve">ual scenario </w:t>
      </w:r>
      <w:r w:rsidR="00656305">
        <w:t>of</w:t>
      </w:r>
      <w:r w:rsidR="005D7352">
        <w:t xml:space="preserve"> 43</w:t>
      </w:r>
      <w:r w:rsidR="00B70888">
        <w:t xml:space="preserve"> (figure </w:t>
      </w:r>
      <w:proofErr w:type="spellStart"/>
      <w:r w:rsidR="00B70888">
        <w:t>B.9</w:t>
      </w:r>
      <w:proofErr w:type="spellEnd"/>
      <w:r w:rsidR="00B70888">
        <w:t>)</w:t>
      </w:r>
      <w:r>
        <w:t xml:space="preserve">. As a result, the </w:t>
      </w:r>
      <w:r w:rsidR="005D7352">
        <w:t>participation</w:t>
      </w:r>
      <w:r>
        <w:t xml:space="preserve"> of the population </w:t>
      </w:r>
      <w:r w:rsidR="005D7352">
        <w:t xml:space="preserve">in employment </w:t>
      </w:r>
      <w:r>
        <w:t>is lower than in the business</w:t>
      </w:r>
      <w:r w:rsidR="00300F88">
        <w:t>-</w:t>
      </w:r>
      <w:r>
        <w:t>as</w:t>
      </w:r>
      <w:r w:rsidR="00300F88">
        <w:t>-</w:t>
      </w:r>
      <w:r>
        <w:t>usual scenario, leading to GDP per person being 3 per cent lower than in the business</w:t>
      </w:r>
      <w:r w:rsidR="00300F88">
        <w:t>-</w:t>
      </w:r>
      <w:r>
        <w:t>as</w:t>
      </w:r>
      <w:r w:rsidR="00300F88">
        <w:t>-</w:t>
      </w:r>
      <w:r>
        <w:t>usual scenario.</w:t>
      </w:r>
    </w:p>
    <w:p w14:paraId="0B6D73C2" w14:textId="228548D3" w:rsidR="00E36FBE" w:rsidRDefault="003A3CF7" w:rsidP="00E36FBE">
      <w:pPr>
        <w:pStyle w:val="BodyText"/>
      </w:pPr>
      <w:r>
        <w:t>Under the assumption that NOM is 1 per</w:t>
      </w:r>
      <w:r w:rsidR="00EA0CCF">
        <w:t> </w:t>
      </w:r>
      <w:r>
        <w:t xml:space="preserve">cent of the population, the </w:t>
      </w:r>
      <w:r w:rsidR="005D7352">
        <w:t xml:space="preserve">average </w:t>
      </w:r>
      <w:r>
        <w:t xml:space="preserve">age </w:t>
      </w:r>
      <w:r w:rsidR="005D7352">
        <w:t>of the population is 41 by 2060</w:t>
      </w:r>
      <w:r>
        <w:t>, lower than in the business</w:t>
      </w:r>
      <w:r w:rsidR="00300F88">
        <w:t>-</w:t>
      </w:r>
      <w:r>
        <w:t>as</w:t>
      </w:r>
      <w:r w:rsidR="00300F88">
        <w:t>-</w:t>
      </w:r>
      <w:r>
        <w:t>usual scenario</w:t>
      </w:r>
      <w:r w:rsidR="00F8056C">
        <w:t xml:space="preserve"> (figure </w:t>
      </w:r>
      <w:proofErr w:type="spellStart"/>
      <w:r w:rsidR="00F8056C">
        <w:t>B.9</w:t>
      </w:r>
      <w:proofErr w:type="spellEnd"/>
      <w:r w:rsidR="00F8056C">
        <w:t>)</w:t>
      </w:r>
      <w:r>
        <w:t xml:space="preserve">. Reflecting the younger age profile, </w:t>
      </w:r>
      <w:r w:rsidR="00F82FDA">
        <w:t>the participation of the population in employment</w:t>
      </w:r>
      <w:r>
        <w:t xml:space="preserve"> is greater than in the business</w:t>
      </w:r>
      <w:r w:rsidR="00300F88">
        <w:t>-</w:t>
      </w:r>
      <w:r>
        <w:t>as</w:t>
      </w:r>
      <w:r w:rsidR="00300F88">
        <w:t>-</w:t>
      </w:r>
      <w:r>
        <w:t>usual scenario. This leads to GDP per person being 3 per cent higher than in the business</w:t>
      </w:r>
      <w:r w:rsidR="00965C12">
        <w:t>-</w:t>
      </w:r>
      <w:r>
        <w:t>as</w:t>
      </w:r>
      <w:r w:rsidR="00965C12">
        <w:t>-</w:t>
      </w:r>
      <w:r>
        <w:t>usual scenario.</w:t>
      </w:r>
    </w:p>
    <w:p w14:paraId="60447295" w14:textId="6C94319E" w:rsidR="00884CAF" w:rsidRDefault="00884CAF" w:rsidP="00884CA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884CAF" w14:paraId="346B5710" w14:textId="77777777" w:rsidTr="00884CAF">
        <w:tc>
          <w:tcPr>
            <w:tcW w:w="8771" w:type="dxa"/>
            <w:tcBorders>
              <w:top w:val="single" w:sz="6" w:space="0" w:color="78A22F"/>
              <w:left w:val="nil"/>
              <w:bottom w:val="nil"/>
              <w:right w:val="nil"/>
            </w:tcBorders>
            <w:shd w:val="clear" w:color="auto" w:fill="auto"/>
          </w:tcPr>
          <w:p w14:paraId="60A4FC2E" w14:textId="19E06F31" w:rsidR="00884CAF" w:rsidRPr="00176D3F" w:rsidRDefault="00884CAF" w:rsidP="0018719F">
            <w:pPr>
              <w:pStyle w:val="FigureTitle"/>
            </w:pPr>
            <w:r w:rsidRPr="00784A05">
              <w:rPr>
                <w:b w:val="0"/>
              </w:rPr>
              <w:t xml:space="preserve">Figure </w:t>
            </w:r>
            <w:proofErr w:type="spellStart"/>
            <w:r w:rsidR="000C775F">
              <w:rPr>
                <w:b w:val="0"/>
              </w:rPr>
              <w:t>B.</w:t>
            </w:r>
            <w:r w:rsidR="009015D8">
              <w:rPr>
                <w:b w:val="0"/>
                <w:noProof/>
              </w:rPr>
              <w:t>10</w:t>
            </w:r>
            <w:proofErr w:type="spellEnd"/>
            <w:r>
              <w:tab/>
              <w:t>A comparison of growth in GDP per pers</w:t>
            </w:r>
            <w:r w:rsidR="0018719F">
              <w:t>on and population, 2014 to 2060</w:t>
            </w:r>
          </w:p>
        </w:tc>
      </w:tr>
      <w:tr w:rsidR="00884CAF" w14:paraId="39F7656F" w14:textId="77777777" w:rsidTr="00884CAF">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884CAF" w14:paraId="043E4253" w14:textId="77777777" w:rsidTr="00AF29F5">
              <w:trPr>
                <w:jc w:val="center"/>
              </w:trPr>
              <w:tc>
                <w:tcPr>
                  <w:tcW w:w="8504" w:type="dxa"/>
                  <w:tcBorders>
                    <w:top w:val="nil"/>
                    <w:bottom w:val="nil"/>
                  </w:tcBorders>
                </w:tcPr>
                <w:p w14:paraId="14F7DF4D" w14:textId="4F97E1D8" w:rsidR="00884CAF" w:rsidRDefault="00243159" w:rsidP="00884CAF">
                  <w:pPr>
                    <w:pStyle w:val="Figure"/>
                    <w:spacing w:before="60" w:after="60"/>
                  </w:pPr>
                  <w:r>
                    <w:rPr>
                      <w:noProof/>
                    </w:rPr>
                    <w:drawing>
                      <wp:inline distT="0" distB="0" distL="0" distR="0" wp14:anchorId="15AA36F2" wp14:editId="1781BBD6">
                        <wp:extent cx="5245100" cy="2933065"/>
                        <wp:effectExtent l="0" t="0" r="0" b="635"/>
                        <wp:docPr id="24" name="Picture 24" descr="This figure plots the growth in GDP per person on the vertical axis against population growth on the horizontal axis for the four main scenarios (zero, 0.3 per cent, 0.6 per cent and 1 per cent NOM). It shows a correlation between GDP per person and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45100" cy="2933065"/>
                                </a:xfrm>
                                <a:prstGeom prst="rect">
                                  <a:avLst/>
                                </a:prstGeom>
                                <a:noFill/>
                                <a:ln>
                                  <a:noFill/>
                                </a:ln>
                              </pic:spPr>
                            </pic:pic>
                          </a:graphicData>
                        </a:graphic>
                      </wp:inline>
                    </w:drawing>
                  </w:r>
                </w:p>
              </w:tc>
            </w:tr>
          </w:tbl>
          <w:p w14:paraId="63832A37" w14:textId="77777777" w:rsidR="00884CAF" w:rsidRDefault="00884CAF" w:rsidP="00884CAF">
            <w:pPr>
              <w:pStyle w:val="Figure"/>
            </w:pPr>
          </w:p>
        </w:tc>
      </w:tr>
      <w:tr w:rsidR="00884CAF" w:rsidRPr="00176D3F" w14:paraId="4F0A8756" w14:textId="77777777" w:rsidTr="00884CAF">
        <w:tc>
          <w:tcPr>
            <w:tcW w:w="8771" w:type="dxa"/>
            <w:tcBorders>
              <w:top w:val="nil"/>
              <w:left w:val="nil"/>
              <w:bottom w:val="nil"/>
              <w:right w:val="nil"/>
            </w:tcBorders>
            <w:shd w:val="clear" w:color="auto" w:fill="auto"/>
          </w:tcPr>
          <w:p w14:paraId="15789C22" w14:textId="575764C7" w:rsidR="00884CAF" w:rsidRPr="00176D3F" w:rsidRDefault="00884CAF" w:rsidP="00884CAF">
            <w:pPr>
              <w:pStyle w:val="Source"/>
            </w:pPr>
            <w:r>
              <w:rPr>
                <w:i/>
              </w:rPr>
              <w:t>S</w:t>
            </w:r>
            <w:r w:rsidRPr="00784A05">
              <w:rPr>
                <w:i/>
              </w:rPr>
              <w:t>ource</w:t>
            </w:r>
            <w:r w:rsidRPr="00176D3F">
              <w:t xml:space="preserve">: </w:t>
            </w:r>
            <w:r>
              <w:t xml:space="preserve">Productivity Commission </w:t>
            </w:r>
            <w:r w:rsidR="006A3E61">
              <w:t xml:space="preserve">projections </w:t>
            </w:r>
            <w:r>
              <w:t xml:space="preserve">based on </w:t>
            </w:r>
            <w:proofErr w:type="spellStart"/>
            <w:r>
              <w:t>VUMR</w:t>
            </w:r>
            <w:proofErr w:type="spellEnd"/>
            <w:r>
              <w:noBreakHyphen/>
              <w:t>MI.</w:t>
            </w:r>
          </w:p>
        </w:tc>
      </w:tr>
      <w:tr w:rsidR="00884CAF" w14:paraId="559FC5B1" w14:textId="77777777" w:rsidTr="00884CAF">
        <w:tc>
          <w:tcPr>
            <w:tcW w:w="8771" w:type="dxa"/>
            <w:tcBorders>
              <w:top w:val="nil"/>
              <w:left w:val="nil"/>
              <w:bottom w:val="single" w:sz="6" w:space="0" w:color="78A22F"/>
              <w:right w:val="nil"/>
            </w:tcBorders>
            <w:shd w:val="clear" w:color="auto" w:fill="auto"/>
          </w:tcPr>
          <w:p w14:paraId="61F6D6EA" w14:textId="77777777" w:rsidR="00884CAF" w:rsidRDefault="00884CAF" w:rsidP="00884CAF">
            <w:pPr>
              <w:pStyle w:val="Figurespace"/>
            </w:pPr>
          </w:p>
        </w:tc>
      </w:tr>
      <w:tr w:rsidR="00884CAF" w:rsidRPr="000863A5" w14:paraId="7EA49428" w14:textId="77777777" w:rsidTr="00884CAF">
        <w:tc>
          <w:tcPr>
            <w:tcW w:w="8771" w:type="dxa"/>
            <w:tcBorders>
              <w:top w:val="single" w:sz="6" w:space="0" w:color="78A22F"/>
              <w:left w:val="nil"/>
              <w:bottom w:val="nil"/>
              <w:right w:val="nil"/>
            </w:tcBorders>
          </w:tcPr>
          <w:p w14:paraId="6D700CB6" w14:textId="7E39CF0F" w:rsidR="00884CAF" w:rsidRPr="00626D32" w:rsidRDefault="00884CAF" w:rsidP="00884CAF">
            <w:pPr>
              <w:pStyle w:val="BoxSpaceBelow"/>
            </w:pPr>
          </w:p>
        </w:tc>
      </w:tr>
    </w:tbl>
    <w:p w14:paraId="02844776" w14:textId="5C0182A4" w:rsidR="00E36FBE" w:rsidRDefault="00E36FBE" w:rsidP="00E36FBE">
      <w:pPr>
        <w:pStyle w:val="Heading3"/>
      </w:pPr>
      <w:r>
        <w:t>Regional effects</w:t>
      </w:r>
    </w:p>
    <w:p w14:paraId="02844777" w14:textId="4276BEE0" w:rsidR="00E36FBE" w:rsidRDefault="00E36FBE" w:rsidP="00E36FBE">
      <w:pPr>
        <w:pStyle w:val="BodyText"/>
      </w:pPr>
      <w:r>
        <w:t>NOM is projected to have varying demographic and economic effects across states and territories over the projected period. Figure </w:t>
      </w:r>
      <w:proofErr w:type="spellStart"/>
      <w:r w:rsidR="00EE5E6B">
        <w:t>B</w:t>
      </w:r>
      <w:r>
        <w:t>.</w:t>
      </w:r>
      <w:r w:rsidR="00EE5E6B">
        <w:t>1</w:t>
      </w:r>
      <w:r w:rsidR="0006063B">
        <w:t>0</w:t>
      </w:r>
      <w:proofErr w:type="spellEnd"/>
      <w:r>
        <w:t xml:space="preserve"> compares the growth in labour supply, employment (measured in persons), GSP and GSP per person under the business-as-usual scenario and the zero NOM scenario. </w:t>
      </w:r>
    </w:p>
    <w:p w14:paraId="02844778" w14:textId="6F446D5C" w:rsidR="00007189" w:rsidRDefault="00007189" w:rsidP="00007189">
      <w:pPr>
        <w:pStyle w:val="BodyText"/>
      </w:pPr>
      <w:r>
        <w:t xml:space="preserve">Between 2014 and 2060, </w:t>
      </w:r>
      <w:r w:rsidR="00996B41">
        <w:t>labour supply</w:t>
      </w:r>
      <w:r>
        <w:t xml:space="preserve"> in the business-as-usual scenario is projected to increase at different rates across states and territories. </w:t>
      </w:r>
      <w:r w:rsidR="00996B41">
        <w:t>Labour supply in the more diversified states of New South Wales, Victoria and Queensland are projected to expand at roughly the national average rate (figure </w:t>
      </w:r>
      <w:proofErr w:type="spellStart"/>
      <w:r w:rsidR="00996B41">
        <w:t>B.1</w:t>
      </w:r>
      <w:r w:rsidR="00BA2FAA">
        <w:t>1</w:t>
      </w:r>
      <w:proofErr w:type="spellEnd"/>
      <w:r w:rsidR="00996B41">
        <w:t>, panel a). However, t</w:t>
      </w:r>
      <w:r>
        <w:t>he size of the labour force in the Northern Territory and the Australian Capital Territory is influenced by the relative expansion of government service activities</w:t>
      </w:r>
      <w:r w:rsidR="00996B41">
        <w:t>.</w:t>
      </w:r>
      <w:r w:rsidR="00A74D89" w:rsidRPr="003D567A">
        <w:rPr>
          <w:rStyle w:val="FootnoteReference"/>
        </w:rPr>
        <w:footnoteReference w:id="13"/>
      </w:r>
      <w:r>
        <w:t xml:space="preserve"> </w:t>
      </w:r>
      <w:r w:rsidR="00996B41">
        <w:t xml:space="preserve">Conversely, net migration out of Tasmania into other states in response to relative labour market conditions contributes to </w:t>
      </w:r>
      <w:r w:rsidR="001F3D11">
        <w:t>lower growth</w:t>
      </w:r>
      <w:r w:rsidR="00996B41">
        <w:t xml:space="preserve"> in Tasmania</w:t>
      </w:r>
      <w:r w:rsidR="001F3D11">
        <w:t>.</w:t>
      </w:r>
    </w:p>
    <w:p w14:paraId="02844779" w14:textId="026CB1C5" w:rsidR="00007189" w:rsidRDefault="00007189" w:rsidP="00007189">
      <w:pPr>
        <w:pStyle w:val="BodyText"/>
      </w:pPr>
      <w:r>
        <w:lastRenderedPageBreak/>
        <w:t>Under the zero NOM scenario, labour supply in New South Wales is projected to increase</w:t>
      </w:r>
      <w:r w:rsidR="00205DD9">
        <w:t xml:space="preserve"> slightly</w:t>
      </w:r>
      <w:r>
        <w:t xml:space="preserve"> from </w:t>
      </w:r>
      <w:r w:rsidR="004736DA">
        <w:t xml:space="preserve">2014 </w:t>
      </w:r>
      <w:r>
        <w:t>levels by 2060 (figure </w:t>
      </w:r>
      <w:proofErr w:type="spellStart"/>
      <w:r w:rsidR="00EE5E6B">
        <w:t>B.1</w:t>
      </w:r>
      <w:r w:rsidR="0006063B">
        <w:t>0</w:t>
      </w:r>
      <w:proofErr w:type="spellEnd"/>
      <w:r>
        <w:t xml:space="preserve">, panel a). Populations in the territories which are more dependent on government (including health) service activities, are projected to increase proportionately more than other jurisdictions — by </w:t>
      </w:r>
      <w:r w:rsidR="00996B41">
        <w:t>5</w:t>
      </w:r>
      <w:r>
        <w:t xml:space="preserve"> and </w:t>
      </w:r>
      <w:r w:rsidR="00996B41">
        <w:t>110</w:t>
      </w:r>
      <w:r>
        <w:t> per</w:t>
      </w:r>
      <w:r w:rsidR="00B83942">
        <w:t> </w:t>
      </w:r>
      <w:r>
        <w:t xml:space="preserve">cent for the Northern Territory and the Australian Capital Territory, respectively. Growth in the labour force in </w:t>
      </w:r>
      <w:r w:rsidR="00996B41">
        <w:t xml:space="preserve">other </w:t>
      </w:r>
      <w:r>
        <w:t>jurisdiction</w:t>
      </w:r>
      <w:r w:rsidR="00996B41">
        <w:t>s</w:t>
      </w:r>
      <w:r>
        <w:t xml:space="preserve"> is projected to </w:t>
      </w:r>
      <w:r w:rsidR="00996B41">
        <w:t>decline between 2014 and 2060</w:t>
      </w:r>
      <w:r>
        <w:t xml:space="preserve"> on account of the projected ageing of the population</w:t>
      </w:r>
      <w:r w:rsidR="00996B41">
        <w:t xml:space="preserve"> under zero NOM.</w:t>
      </w:r>
      <w:r>
        <w:t xml:space="preserve"> </w:t>
      </w:r>
    </w:p>
    <w:p w14:paraId="45936116" w14:textId="08CFA5C3" w:rsidR="00996B41" w:rsidRDefault="00996B41" w:rsidP="00007189">
      <w:pPr>
        <w:pStyle w:val="BodyText"/>
      </w:pPr>
      <w:r>
        <w:t>Growth in employment in each jurisdiction is projected to increase with labour supply growth</w:t>
      </w:r>
      <w:r w:rsidR="00BA2FAA">
        <w:t xml:space="preserve"> (figure </w:t>
      </w:r>
      <w:proofErr w:type="spellStart"/>
      <w:r w:rsidR="00BA2FAA">
        <w:t>B.11</w:t>
      </w:r>
      <w:proofErr w:type="spellEnd"/>
      <w:r w:rsidR="00BA2FAA">
        <w:t>, panel b)</w:t>
      </w:r>
      <w:r>
        <w:t>.</w:t>
      </w:r>
    </w:p>
    <w:p w14:paraId="0284477A" w14:textId="0B518EAC" w:rsidR="00007189" w:rsidRDefault="00007189" w:rsidP="00007189">
      <w:pPr>
        <w:pStyle w:val="BodyText"/>
      </w:pPr>
      <w:r>
        <w:t>GSP increases with employment, investment and multifactor productivity. Reflecting the combined effect of each of these sources of output growth, GSP is projected to expand in each jurisdiction by more than indicated by the expansion of state and territory employment in both scenarios (figure </w:t>
      </w:r>
      <w:proofErr w:type="spellStart"/>
      <w:r w:rsidR="009233E1">
        <w:t>B</w:t>
      </w:r>
      <w:r>
        <w:t>.</w:t>
      </w:r>
      <w:r w:rsidR="00BA2FAA">
        <w:t>11</w:t>
      </w:r>
      <w:proofErr w:type="spellEnd"/>
      <w:r>
        <w:t xml:space="preserve">, panel c). </w:t>
      </w:r>
    </w:p>
    <w:p w14:paraId="1BC1309B" w14:textId="77777777" w:rsidR="009015D8" w:rsidRDefault="009015D8" w:rsidP="009015D8">
      <w:pPr>
        <w:pStyle w:val="BodyText"/>
      </w:pPr>
      <w:r>
        <w:t>Growth of real GSP per person is projected to differ between regions (figure </w:t>
      </w:r>
      <w:proofErr w:type="spellStart"/>
      <w:r>
        <w:t>B.11</w:t>
      </w:r>
      <w:proofErr w:type="spellEnd"/>
      <w:r>
        <w:t xml:space="preserve">, panel d). In the business-as-usual scenario, per person GSP growth is projected to be close to the national average for the more populous and industrially diversified states of New South Wales, Victoria and Queensland. It is otherwise projected to be lowest for the Northern Territory and highest for Tasmania, which reflects the growth in labour supply in these states. As labour supply expands (contracts) relative to the availability of other factors, the marginal product of labour declines (improves). </w:t>
      </w:r>
    </w:p>
    <w:p w14:paraId="3D3DC502" w14:textId="400E65A9" w:rsidR="009015D8" w:rsidRDefault="009015D8" w:rsidP="009015D8">
      <w:pPr>
        <w:pStyle w:val="BodyText"/>
      </w:pPr>
      <w:r>
        <w:t>The impact of NOM on changes in the level of real GSP per person is projected to vary considerably between regions and is ultimately sensitive to the economic structure of the states and territories as well as the occupational composition and region of settlement of NOM. Broadly, other things being equal, the smaller the projected NOM as a share of the regional workforces, the larger the increase in GSP per person. The jurisdictions with low NOM benefit from increased demand for goods and services from jurisdictions where migrants settle and the ability to recruit migrants from other jurisdictions when it is viable to do so. Projections for South Australia and Tasmania are most affected by this effect (figure </w:t>
      </w:r>
      <w:proofErr w:type="spellStart"/>
      <w:r>
        <w:t>B.1</w:t>
      </w:r>
      <w:r w:rsidR="00BA2FAA">
        <w:t>1</w:t>
      </w:r>
      <w:proofErr w:type="spellEnd"/>
      <w:r w:rsidR="00672626">
        <w:t>,</w:t>
      </w:r>
      <w:r>
        <w:t xml:space="preserve"> panel d). </w:t>
      </w:r>
    </w:p>
    <w:p w14:paraId="0284477C" w14:textId="320BCADD" w:rsidR="00007189" w:rsidRDefault="00007189" w:rsidP="0000718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07189" w14:paraId="0284477F" w14:textId="77777777" w:rsidTr="001B5759">
        <w:tc>
          <w:tcPr>
            <w:tcW w:w="8771" w:type="dxa"/>
            <w:tcBorders>
              <w:top w:val="single" w:sz="6" w:space="0" w:color="78A22F"/>
              <w:left w:val="nil"/>
              <w:bottom w:val="nil"/>
              <w:right w:val="nil"/>
            </w:tcBorders>
            <w:shd w:val="clear" w:color="auto" w:fill="auto"/>
          </w:tcPr>
          <w:p w14:paraId="0284477E" w14:textId="633FDF2C" w:rsidR="00007189" w:rsidRPr="00176D3F" w:rsidRDefault="00007189" w:rsidP="008C7FAF">
            <w:pPr>
              <w:pStyle w:val="FigureTitle"/>
            </w:pPr>
            <w:r w:rsidRPr="00784A05">
              <w:rPr>
                <w:b w:val="0"/>
              </w:rPr>
              <w:t xml:space="preserve">Figure </w:t>
            </w:r>
            <w:proofErr w:type="spellStart"/>
            <w:r w:rsidR="000C775F" w:rsidRPr="000C775F">
              <w:rPr>
                <w:b w:val="0"/>
              </w:rPr>
              <w:t>B</w:t>
            </w:r>
            <w:r w:rsidR="000C775F">
              <w:t>.</w:t>
            </w:r>
            <w:r w:rsidR="009015D8">
              <w:rPr>
                <w:b w:val="0"/>
                <w:noProof/>
              </w:rPr>
              <w:t>11</w:t>
            </w:r>
            <w:proofErr w:type="spellEnd"/>
            <w:r>
              <w:tab/>
              <w:t>Impacts of NOM differ across states and territories</w:t>
            </w:r>
            <w:r w:rsidR="001255E3">
              <w:t>, 2060</w:t>
            </w:r>
          </w:p>
        </w:tc>
      </w:tr>
      <w:tr w:rsidR="00007189" w14:paraId="0284478D" w14:textId="77777777" w:rsidTr="001B5759">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007189" w14:paraId="02844782" w14:textId="77777777" w:rsidTr="001B5759">
              <w:trPr>
                <w:trHeight w:val="153"/>
                <w:jc w:val="center"/>
              </w:trPr>
              <w:tc>
                <w:tcPr>
                  <w:tcW w:w="2500" w:type="pct"/>
                  <w:tcBorders>
                    <w:top w:val="nil"/>
                    <w:bottom w:val="nil"/>
                  </w:tcBorders>
                </w:tcPr>
                <w:p w14:paraId="02844780" w14:textId="27370106" w:rsidR="00007189" w:rsidRPr="00013C9B" w:rsidRDefault="00FC71F2" w:rsidP="00FC71F2">
                  <w:pPr>
                    <w:pStyle w:val="Figure"/>
                    <w:spacing w:before="0" w:after="0"/>
                    <w:rPr>
                      <w:rFonts w:ascii="Arial" w:hAnsi="Arial" w:cs="Arial"/>
                      <w:b/>
                      <w:sz w:val="18"/>
                      <w:szCs w:val="18"/>
                    </w:rPr>
                  </w:pPr>
                  <w:r>
                    <w:rPr>
                      <w:rFonts w:ascii="Arial" w:hAnsi="Arial" w:cs="Arial"/>
                      <w:b/>
                      <w:sz w:val="18"/>
                      <w:szCs w:val="18"/>
                    </w:rPr>
                    <w:t xml:space="preserve">a. </w:t>
                  </w:r>
                  <w:r w:rsidR="00007189">
                    <w:rPr>
                      <w:rFonts w:ascii="Arial" w:hAnsi="Arial" w:cs="Arial"/>
                      <w:b/>
                      <w:sz w:val="18"/>
                      <w:szCs w:val="18"/>
                    </w:rPr>
                    <w:t>Labour supply</w:t>
                  </w:r>
                  <w:r w:rsidR="00007189" w:rsidRPr="00013C9B">
                    <w:rPr>
                      <w:rFonts w:ascii="Arial" w:hAnsi="Arial" w:cs="Arial"/>
                      <w:b/>
                      <w:sz w:val="18"/>
                      <w:szCs w:val="18"/>
                    </w:rPr>
                    <w:t xml:space="preserve"> (persons)</w:t>
                  </w:r>
                </w:p>
              </w:tc>
              <w:tc>
                <w:tcPr>
                  <w:tcW w:w="2500" w:type="pct"/>
                  <w:tcBorders>
                    <w:top w:val="nil"/>
                    <w:bottom w:val="nil"/>
                  </w:tcBorders>
                </w:tcPr>
                <w:p w14:paraId="02844781" w14:textId="013F8ACB" w:rsidR="00007189" w:rsidRPr="00013C9B" w:rsidRDefault="00FC71F2" w:rsidP="00FC71F2">
                  <w:pPr>
                    <w:pStyle w:val="Figure"/>
                    <w:spacing w:before="0" w:after="0"/>
                    <w:rPr>
                      <w:rFonts w:ascii="Arial" w:hAnsi="Arial" w:cs="Arial"/>
                      <w:b/>
                      <w:sz w:val="18"/>
                      <w:szCs w:val="18"/>
                    </w:rPr>
                  </w:pPr>
                  <w:r>
                    <w:rPr>
                      <w:rFonts w:ascii="Arial" w:hAnsi="Arial" w:cs="Arial"/>
                      <w:b/>
                      <w:sz w:val="18"/>
                      <w:szCs w:val="18"/>
                    </w:rPr>
                    <w:t xml:space="preserve">b. </w:t>
                  </w:r>
                  <w:r w:rsidR="00007189" w:rsidRPr="00013C9B">
                    <w:rPr>
                      <w:rFonts w:ascii="Arial" w:hAnsi="Arial" w:cs="Arial"/>
                      <w:b/>
                      <w:sz w:val="18"/>
                      <w:szCs w:val="18"/>
                    </w:rPr>
                    <w:t>Employment (persons)</w:t>
                  </w:r>
                </w:p>
              </w:tc>
            </w:tr>
            <w:tr w:rsidR="0018719F" w14:paraId="4B7CD14F" w14:textId="77777777" w:rsidTr="0006063B">
              <w:tblPrEx>
                <w:tblCellMar>
                  <w:left w:w="108" w:type="dxa"/>
                  <w:right w:w="108" w:type="dxa"/>
                </w:tblCellMar>
              </w:tblPrEx>
              <w:trPr>
                <w:trHeight w:val="153"/>
                <w:jc w:val="center"/>
              </w:trPr>
              <w:tc>
                <w:tcPr>
                  <w:tcW w:w="2500" w:type="pct"/>
                  <w:tcBorders>
                    <w:top w:val="nil"/>
                    <w:bottom w:val="nil"/>
                  </w:tcBorders>
                </w:tcPr>
                <w:p w14:paraId="6EF2EEAE" w14:textId="752798E7" w:rsidR="0018719F" w:rsidRDefault="002935EF" w:rsidP="008C7FAF">
                  <w:pPr>
                    <w:pStyle w:val="Figure"/>
                    <w:spacing w:before="60" w:after="60"/>
                    <w:jc w:val="left"/>
                  </w:pPr>
                  <w:r>
                    <w:rPr>
                      <w:noProof/>
                    </w:rPr>
                    <w:drawing>
                      <wp:inline distT="0" distB="0" distL="0" distR="0" wp14:anchorId="75C55163" wp14:editId="3A7691EC">
                        <wp:extent cx="2527300" cy="2035810"/>
                        <wp:effectExtent l="0" t="0" r="6350" b="2540"/>
                        <wp:docPr id="25" name="Picture 25" descr="This figure shows the implications of NOM for the states and territories in four panels. The impacts are shown for the 0.6 per cent (business-as-usual) and zero NOM scenarios.&#10;Panel a shows that labour supply is projected to be higher in 2060 across all states as a result of NOM.&#10;Panel b shows that employment (in persons) in each jurisdiction is projected to expand by 2060 with labour supply.&#10;Panel c shows that GSP is projected to expand by 2060 in each jurisdiction by more than the expansion of employment in both scenarios.&#10;Panel d shows that the growth of GSP per person is projected to differ between regions through to 2060. In the zero NOM scenario, per capita GSP growth is projected to be close to the national average for New South Wales, Victoria and Queensland and lowest for the Northern Territory and the Australian Capital Territory.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27300" cy="2035810"/>
                                </a:xfrm>
                                <a:prstGeom prst="rect">
                                  <a:avLst/>
                                </a:prstGeom>
                                <a:noFill/>
                                <a:ln>
                                  <a:noFill/>
                                </a:ln>
                              </pic:spPr>
                            </pic:pic>
                          </a:graphicData>
                        </a:graphic>
                      </wp:inline>
                    </w:drawing>
                  </w:r>
                </w:p>
              </w:tc>
              <w:tc>
                <w:tcPr>
                  <w:tcW w:w="2500" w:type="pct"/>
                  <w:tcBorders>
                    <w:top w:val="nil"/>
                    <w:bottom w:val="nil"/>
                  </w:tcBorders>
                </w:tcPr>
                <w:p w14:paraId="78BB7B79" w14:textId="28B69E15" w:rsidR="0018719F" w:rsidRDefault="002935EF" w:rsidP="00305572">
                  <w:pPr>
                    <w:pStyle w:val="Figure"/>
                    <w:tabs>
                      <w:tab w:val="center" w:pos="2018"/>
                      <w:tab w:val="left" w:pos="2415"/>
                    </w:tabs>
                    <w:spacing w:before="60" w:after="60"/>
                    <w:jc w:val="left"/>
                    <w:rPr>
                      <w:noProof/>
                    </w:rPr>
                  </w:pPr>
                  <w:r>
                    <w:rPr>
                      <w:noProof/>
                    </w:rPr>
                    <w:drawing>
                      <wp:inline distT="0" distB="0" distL="0" distR="0" wp14:anchorId="3D3710D4" wp14:editId="71C8EAF1">
                        <wp:extent cx="2527300" cy="2035810"/>
                        <wp:effectExtent l="0" t="0" r="6350" b="2540"/>
                        <wp:docPr id="26" name="Picture 26" descr="This figure shows the implications of NOM for the states and territories in four panels. The impacts are shown for the 0.6 per cent (business-as-usual) and zero NOM scenarios.&#10;Panel a shows that labour supply is projected to be higher in 2060 across all states as a result of NOM.&#10;Panel b shows that employment (in persons) in each jurisdiction is projected to expand by 2060 with labour supply.&#10;Panel c shows that GSP is projected to expand by 2060 in each jurisdiction by more than the expansion of employment in both scenarios.&#10;Panel d shows that the growth of GSP per person is projected to differ between regions through to 2060. In the zero NOM scenario, per capita GSP growth is projected to be close to the national average for New South Wales, Victoria and Queensland and lowest for the Northern Territory and the Australian Capital Territory.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27300" cy="2035810"/>
                                </a:xfrm>
                                <a:prstGeom prst="rect">
                                  <a:avLst/>
                                </a:prstGeom>
                                <a:noFill/>
                                <a:ln>
                                  <a:noFill/>
                                </a:ln>
                              </pic:spPr>
                            </pic:pic>
                          </a:graphicData>
                        </a:graphic>
                      </wp:inline>
                    </w:drawing>
                  </w:r>
                </w:p>
              </w:tc>
            </w:tr>
            <w:tr w:rsidR="00007189" w14:paraId="02844788" w14:textId="77777777" w:rsidTr="001B5759">
              <w:trPr>
                <w:trHeight w:val="152"/>
                <w:jc w:val="center"/>
              </w:trPr>
              <w:tc>
                <w:tcPr>
                  <w:tcW w:w="2500" w:type="pct"/>
                  <w:tcBorders>
                    <w:top w:val="nil"/>
                    <w:bottom w:val="nil"/>
                  </w:tcBorders>
                </w:tcPr>
                <w:p w14:paraId="02844786" w14:textId="62D60310" w:rsidR="00007189" w:rsidRPr="00C7117F" w:rsidRDefault="00FC71F2" w:rsidP="00FC71F2">
                  <w:pPr>
                    <w:pStyle w:val="Figure"/>
                    <w:spacing w:before="0" w:after="0"/>
                    <w:rPr>
                      <w:rFonts w:ascii="Arial" w:hAnsi="Arial" w:cs="Arial"/>
                      <w:b/>
                      <w:i/>
                      <w:sz w:val="18"/>
                      <w:szCs w:val="18"/>
                    </w:rPr>
                  </w:pPr>
                  <w:r>
                    <w:rPr>
                      <w:rFonts w:ascii="Arial" w:hAnsi="Arial" w:cs="Arial"/>
                      <w:b/>
                      <w:sz w:val="18"/>
                      <w:szCs w:val="18"/>
                    </w:rPr>
                    <w:t xml:space="preserve">c. </w:t>
                  </w:r>
                  <w:r w:rsidR="00007189" w:rsidRPr="00C7117F">
                    <w:rPr>
                      <w:rFonts w:ascii="Arial" w:hAnsi="Arial" w:cs="Arial"/>
                      <w:b/>
                      <w:sz w:val="18"/>
                      <w:szCs w:val="18"/>
                    </w:rPr>
                    <w:t>Gross State Product</w:t>
                  </w:r>
                </w:p>
              </w:tc>
              <w:tc>
                <w:tcPr>
                  <w:tcW w:w="2500" w:type="pct"/>
                  <w:tcBorders>
                    <w:top w:val="nil"/>
                    <w:bottom w:val="nil"/>
                  </w:tcBorders>
                </w:tcPr>
                <w:p w14:paraId="02844787" w14:textId="070532AC" w:rsidR="00007189" w:rsidRPr="00C7117F" w:rsidRDefault="00FC71F2" w:rsidP="00FC71F2">
                  <w:pPr>
                    <w:pStyle w:val="Figure"/>
                    <w:spacing w:before="0" w:after="0"/>
                    <w:rPr>
                      <w:rFonts w:ascii="Arial" w:hAnsi="Arial" w:cs="Arial"/>
                      <w:b/>
                      <w:i/>
                      <w:sz w:val="18"/>
                      <w:szCs w:val="18"/>
                    </w:rPr>
                  </w:pPr>
                  <w:r>
                    <w:rPr>
                      <w:rFonts w:ascii="Arial" w:hAnsi="Arial" w:cs="Arial"/>
                      <w:b/>
                      <w:sz w:val="18"/>
                      <w:szCs w:val="18"/>
                    </w:rPr>
                    <w:t xml:space="preserve">d. </w:t>
                  </w:r>
                  <w:r w:rsidR="00007189">
                    <w:rPr>
                      <w:rFonts w:ascii="Arial" w:hAnsi="Arial" w:cs="Arial"/>
                      <w:b/>
                      <w:sz w:val="18"/>
                      <w:szCs w:val="18"/>
                    </w:rPr>
                    <w:t>Gross state product</w:t>
                  </w:r>
                  <w:r w:rsidR="00007189" w:rsidRPr="00C7117F" w:rsidDel="0085294C">
                    <w:rPr>
                      <w:rFonts w:ascii="Arial" w:hAnsi="Arial" w:cs="Arial"/>
                      <w:b/>
                      <w:sz w:val="18"/>
                      <w:szCs w:val="18"/>
                    </w:rPr>
                    <w:t xml:space="preserve"> </w:t>
                  </w:r>
                  <w:r w:rsidR="00007189" w:rsidRPr="00C7117F">
                    <w:rPr>
                      <w:rFonts w:ascii="Arial" w:hAnsi="Arial" w:cs="Arial"/>
                      <w:b/>
                      <w:sz w:val="18"/>
                      <w:szCs w:val="18"/>
                    </w:rPr>
                    <w:t>per person</w:t>
                  </w:r>
                </w:p>
              </w:tc>
            </w:tr>
            <w:tr w:rsidR="00007189" w14:paraId="0284478B" w14:textId="77777777" w:rsidTr="00FC71F2">
              <w:tblPrEx>
                <w:tblCellMar>
                  <w:left w:w="108" w:type="dxa"/>
                  <w:right w:w="108" w:type="dxa"/>
                </w:tblCellMar>
              </w:tblPrEx>
              <w:trPr>
                <w:trHeight w:val="152"/>
                <w:jc w:val="center"/>
              </w:trPr>
              <w:tc>
                <w:tcPr>
                  <w:tcW w:w="2500" w:type="pct"/>
                  <w:tcBorders>
                    <w:top w:val="nil"/>
                    <w:bottom w:val="nil"/>
                  </w:tcBorders>
                </w:tcPr>
                <w:p w14:paraId="02844789" w14:textId="0703931D" w:rsidR="00007189" w:rsidRDefault="002935EF" w:rsidP="001B5759">
                  <w:pPr>
                    <w:pStyle w:val="Figure"/>
                    <w:spacing w:before="60" w:after="60"/>
                  </w:pPr>
                  <w:r>
                    <w:rPr>
                      <w:noProof/>
                    </w:rPr>
                    <w:drawing>
                      <wp:inline distT="0" distB="0" distL="0" distR="0" wp14:anchorId="358F57D5" wp14:editId="43EA0215">
                        <wp:extent cx="2501900" cy="2044700"/>
                        <wp:effectExtent l="0" t="0" r="0" b="0"/>
                        <wp:docPr id="27" name="Picture 27" descr="This figure shows the implications of NOM for the states and territories in four panels. The impacts are shown for the 0.6 per cent (business-as-usual) and zero NOM scenarios.&#10;Panel a shows that labour supply is projected to be higher in 2060 across all states as a result of NOM.&#10;Panel b shows that employment (in persons) in each jurisdiction is projected to expand by 2060 with labour supply.&#10;Panel c shows that GSP is projected to expand by 2060 in each jurisdiction by more than the expansion of employment in both scenarios.&#10;Panel d shows that the growth of GSP per person is projected to differ between regions through to 2060. In the zero NOM scenario, per capita GSP growth is projected to be close to the national average for New South Wales, Victoria and Queensland and lowest for the Northern Territory and the Australian Capital Territory.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01900" cy="2044700"/>
                                </a:xfrm>
                                <a:prstGeom prst="rect">
                                  <a:avLst/>
                                </a:prstGeom>
                                <a:noFill/>
                                <a:ln>
                                  <a:noFill/>
                                </a:ln>
                              </pic:spPr>
                            </pic:pic>
                          </a:graphicData>
                        </a:graphic>
                      </wp:inline>
                    </w:drawing>
                  </w:r>
                </w:p>
              </w:tc>
              <w:tc>
                <w:tcPr>
                  <w:tcW w:w="2500" w:type="pct"/>
                  <w:tcBorders>
                    <w:top w:val="nil"/>
                    <w:bottom w:val="nil"/>
                  </w:tcBorders>
                </w:tcPr>
                <w:p w14:paraId="0284478A" w14:textId="49707689" w:rsidR="00007189" w:rsidRDefault="002935EF" w:rsidP="001B5759">
                  <w:pPr>
                    <w:pStyle w:val="Figure"/>
                    <w:spacing w:before="60" w:after="60"/>
                  </w:pPr>
                  <w:r>
                    <w:rPr>
                      <w:noProof/>
                    </w:rPr>
                    <w:drawing>
                      <wp:inline distT="0" distB="0" distL="0" distR="0" wp14:anchorId="47E9864D" wp14:editId="035EB414">
                        <wp:extent cx="2527300" cy="2035810"/>
                        <wp:effectExtent l="0" t="0" r="6350" b="2540"/>
                        <wp:docPr id="28" name="Picture 28" descr="This figure shows the implications of NOM for the states and territories in four panels. The impacts are shown for the 0.6 per cent (business-as-usual) and zero NOM scenarios.&#10;Panel a shows that labour supply is projected to be higher in 2060 across all states as a result of NOM.&#10;Panel b shows that employment (in persons) in each jurisdiction is projected to expand by 2060 with labour supply.&#10;Panel c shows that GSP is projected to expand by 2060 in each jurisdiction by more than the expansion of employment in both scenarios.&#10;Panel d shows that the growth of GSP per person is projected to differ between regions through to 2060. In the zero NOM scenario, per capita GSP growth is projected to be close to the national average for New South Wales, Victoria and Queensland and lowest for the Northern Territory and the Australian Capital Territory.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27300" cy="2035810"/>
                                </a:xfrm>
                                <a:prstGeom prst="rect">
                                  <a:avLst/>
                                </a:prstGeom>
                                <a:noFill/>
                                <a:ln>
                                  <a:noFill/>
                                </a:ln>
                              </pic:spPr>
                            </pic:pic>
                          </a:graphicData>
                        </a:graphic>
                      </wp:inline>
                    </w:drawing>
                  </w:r>
                </w:p>
              </w:tc>
            </w:tr>
            <w:tr w:rsidR="001255E3" w14:paraId="6F0B7B37" w14:textId="77777777" w:rsidTr="001255E3">
              <w:tblPrEx>
                <w:tblCellMar>
                  <w:left w:w="108" w:type="dxa"/>
                  <w:right w:w="108" w:type="dxa"/>
                </w:tblCellMar>
              </w:tblPrEx>
              <w:trPr>
                <w:trHeight w:val="152"/>
                <w:jc w:val="center"/>
              </w:trPr>
              <w:tc>
                <w:tcPr>
                  <w:tcW w:w="5000" w:type="pct"/>
                  <w:gridSpan w:val="2"/>
                  <w:tcBorders>
                    <w:top w:val="nil"/>
                    <w:bottom w:val="nil"/>
                  </w:tcBorders>
                </w:tcPr>
                <w:p w14:paraId="62C65DDB" w14:textId="726B2E2E" w:rsidR="001255E3" w:rsidRDefault="00034306" w:rsidP="00305572">
                  <w:pPr>
                    <w:pStyle w:val="Figure"/>
                    <w:spacing w:before="0" w:after="0"/>
                  </w:pPr>
                  <w:r>
                    <w:rPr>
                      <w:noProof/>
                    </w:rPr>
                    <w:drawing>
                      <wp:inline distT="0" distB="0" distL="0" distR="0" wp14:anchorId="0AD4BD26" wp14:editId="1D37C03F">
                        <wp:extent cx="3545205" cy="276225"/>
                        <wp:effectExtent l="0" t="0" r="0" b="9525"/>
                        <wp:docPr id="2" name="Picture 2" descr="This figure shows the implications of NOM for the states and territories in four panels. The impacts are shown for the 0.6 per cent (business-as-usual) and zero NOM scenarios.&#10;Panel a shows that.labour supply is projected to be higher in 2060 across all states as a result of NOM.&#10;Panel b shows that employment (in persons) in each jurisdiction is projected to expand by 2060 with labour supply.&#10;Panel c shows that GSP is projected to expand by 2060 in each jurisdiction by more than the expansion of employment in both scenarios.&#10;Panel d shows that the growth of GSP per person is projected to differ between regions through to 2060. In the zero NOM scenario, per capita GSP growth is projected to be close to the national average for New South Wales, Victoria and Queensland and lowest for the Northern Territory and the Australian Capital Territ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545205" cy="276225"/>
                                </a:xfrm>
                                <a:prstGeom prst="rect">
                                  <a:avLst/>
                                </a:prstGeom>
                                <a:noFill/>
                                <a:ln>
                                  <a:noFill/>
                                </a:ln>
                              </pic:spPr>
                            </pic:pic>
                          </a:graphicData>
                        </a:graphic>
                      </wp:inline>
                    </w:drawing>
                  </w:r>
                </w:p>
              </w:tc>
            </w:tr>
          </w:tbl>
          <w:p w14:paraId="0284478C" w14:textId="77777777" w:rsidR="00007189" w:rsidRDefault="00007189" w:rsidP="001B5759">
            <w:pPr>
              <w:pStyle w:val="Figure"/>
            </w:pPr>
          </w:p>
        </w:tc>
      </w:tr>
      <w:tr w:rsidR="00007189" w:rsidRPr="00176D3F" w14:paraId="0284478F" w14:textId="77777777" w:rsidTr="001B5759">
        <w:tc>
          <w:tcPr>
            <w:tcW w:w="8771" w:type="dxa"/>
            <w:tcBorders>
              <w:top w:val="nil"/>
              <w:left w:val="nil"/>
              <w:bottom w:val="nil"/>
              <w:right w:val="nil"/>
            </w:tcBorders>
            <w:shd w:val="clear" w:color="auto" w:fill="auto"/>
          </w:tcPr>
          <w:p w14:paraId="0284478E" w14:textId="5D777605" w:rsidR="00007189" w:rsidRPr="00176D3F" w:rsidRDefault="00007189" w:rsidP="001B5759">
            <w:pPr>
              <w:pStyle w:val="Source"/>
            </w:pPr>
            <w:r>
              <w:rPr>
                <w:i/>
              </w:rPr>
              <w:t>S</w:t>
            </w:r>
            <w:r w:rsidRPr="00784A05">
              <w:rPr>
                <w:i/>
              </w:rPr>
              <w:t>ource</w:t>
            </w:r>
            <w:r w:rsidRPr="00176D3F">
              <w:t xml:space="preserve">: </w:t>
            </w:r>
            <w:r>
              <w:t xml:space="preserve">Productivity Commission </w:t>
            </w:r>
            <w:r w:rsidR="006A3E61">
              <w:t xml:space="preserve">projections </w:t>
            </w:r>
            <w:r>
              <w:t>based on</w:t>
            </w:r>
            <w:r w:rsidR="004D4E21">
              <w:t xml:space="preserve"> </w:t>
            </w:r>
            <w:proofErr w:type="spellStart"/>
            <w:r>
              <w:t>VURM</w:t>
            </w:r>
            <w:proofErr w:type="spellEnd"/>
            <w:r>
              <w:noBreakHyphen/>
              <w:t>MI.</w:t>
            </w:r>
          </w:p>
        </w:tc>
      </w:tr>
      <w:tr w:rsidR="00007189" w:rsidRPr="000863A5" w14:paraId="02844791" w14:textId="77777777" w:rsidTr="001B5759">
        <w:tc>
          <w:tcPr>
            <w:tcW w:w="8771" w:type="dxa"/>
            <w:tcBorders>
              <w:top w:val="single" w:sz="6" w:space="0" w:color="78A22F"/>
              <w:left w:val="nil"/>
              <w:bottom w:val="nil"/>
              <w:right w:val="nil"/>
            </w:tcBorders>
          </w:tcPr>
          <w:p w14:paraId="02844790" w14:textId="720F20F4" w:rsidR="00007189" w:rsidRPr="00626D32" w:rsidRDefault="00007189" w:rsidP="001B5759">
            <w:pPr>
              <w:pStyle w:val="BoxSpaceBelow"/>
            </w:pPr>
          </w:p>
        </w:tc>
      </w:tr>
    </w:tbl>
    <w:p w14:paraId="02844794" w14:textId="77777777" w:rsidR="00007189" w:rsidRDefault="00007189" w:rsidP="00007189">
      <w:pPr>
        <w:pStyle w:val="Heading3"/>
      </w:pPr>
      <w:r>
        <w:t>Government revenue and expenditure implications</w:t>
      </w:r>
    </w:p>
    <w:p w14:paraId="5E6F8F98" w14:textId="33B7A799" w:rsidR="009641EE" w:rsidRDefault="009641EE" w:rsidP="00007189">
      <w:pPr>
        <w:pStyle w:val="BodyText"/>
      </w:pPr>
      <w:r>
        <w:t>A larger population and associated changes in its demographic structure will have fiscal implications for Australian governments.</w:t>
      </w:r>
    </w:p>
    <w:p w14:paraId="02844795" w14:textId="55BB7DFE" w:rsidR="00007189" w:rsidRDefault="009641EE" w:rsidP="00007189">
      <w:pPr>
        <w:pStyle w:val="BodyText"/>
      </w:pPr>
      <w:r>
        <w:t xml:space="preserve">In line with increases in economic activity, </w:t>
      </w:r>
      <w:r w:rsidR="00007189">
        <w:t xml:space="preserve">Australia’s net migrant intake is projected to increase the level of revenues and expenditures of the Australian, </w:t>
      </w:r>
      <w:r w:rsidR="00E55063">
        <w:t>state and territory g</w:t>
      </w:r>
      <w:r w:rsidR="00007189">
        <w:t>overnments to 2060 over the levels in the zero NOM scenario (figure </w:t>
      </w:r>
      <w:proofErr w:type="spellStart"/>
      <w:r w:rsidR="0074363F">
        <w:t>B</w:t>
      </w:r>
      <w:r w:rsidR="00007189">
        <w:t>.</w:t>
      </w:r>
      <w:r w:rsidR="00E026AB">
        <w:t>1</w:t>
      </w:r>
      <w:r w:rsidR="00BA2FAA">
        <w:t>2</w:t>
      </w:r>
      <w:proofErr w:type="spellEnd"/>
      <w:r w:rsidR="00672626">
        <w:t>,</w:t>
      </w:r>
      <w:r w:rsidR="00007189">
        <w:t xml:space="preserve"> panel a). </w:t>
      </w:r>
    </w:p>
    <w:p w14:paraId="01C11359" w14:textId="4F6DD803" w:rsidR="00007189" w:rsidRDefault="00007189" w:rsidP="0000718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07189" w14:paraId="0284479C" w14:textId="77777777" w:rsidTr="001B5759">
        <w:tc>
          <w:tcPr>
            <w:tcW w:w="8771" w:type="dxa"/>
            <w:tcBorders>
              <w:top w:val="single" w:sz="6" w:space="0" w:color="78A22F"/>
              <w:left w:val="nil"/>
              <w:bottom w:val="nil"/>
              <w:right w:val="nil"/>
            </w:tcBorders>
            <w:shd w:val="clear" w:color="auto" w:fill="auto"/>
          </w:tcPr>
          <w:p w14:paraId="0284479A" w14:textId="1B464239" w:rsidR="00007189" w:rsidRDefault="00007189" w:rsidP="001B5759">
            <w:pPr>
              <w:pStyle w:val="FigureTitle"/>
            </w:pPr>
            <w:r w:rsidRPr="00784A05">
              <w:rPr>
                <w:b w:val="0"/>
              </w:rPr>
              <w:t xml:space="preserve">Figure </w:t>
            </w:r>
            <w:proofErr w:type="spellStart"/>
            <w:r w:rsidR="000C775F">
              <w:rPr>
                <w:b w:val="0"/>
              </w:rPr>
              <w:t>B.</w:t>
            </w:r>
            <w:r w:rsidR="009015D8">
              <w:rPr>
                <w:b w:val="0"/>
                <w:noProof/>
              </w:rPr>
              <w:t>12</w:t>
            </w:r>
            <w:proofErr w:type="spellEnd"/>
            <w:r>
              <w:tab/>
            </w:r>
            <w:r w:rsidR="003C2037">
              <w:t>With NOM, g</w:t>
            </w:r>
            <w:r>
              <w:t>overnment</w:t>
            </w:r>
            <w:r w:rsidR="00E55063">
              <w:t>s’</w:t>
            </w:r>
            <w:r>
              <w:t xml:space="preserve"> revenues and expenditures are projected to increase</w:t>
            </w:r>
            <w:r w:rsidR="003C2037">
              <w:t xml:space="preserve"> in level</w:t>
            </w:r>
            <w:r>
              <w:t xml:space="preserve">, but </w:t>
            </w:r>
            <w:r w:rsidR="003C2037">
              <w:t xml:space="preserve">to </w:t>
            </w:r>
            <w:r>
              <w:t xml:space="preserve">decline as a share of GDP </w:t>
            </w:r>
            <w:r w:rsidR="003C2037">
              <w:t>by</w:t>
            </w:r>
            <w:r>
              <w:t xml:space="preserve"> 2060</w:t>
            </w:r>
            <w:r w:rsidRPr="0088780B">
              <w:rPr>
                <w:rStyle w:val="NoteLabel"/>
                <w:b/>
              </w:rPr>
              <w:t>a</w:t>
            </w:r>
          </w:p>
          <w:p w14:paraId="0284479B" w14:textId="520E0560" w:rsidR="00007189" w:rsidRPr="00176D3F" w:rsidRDefault="0088780B" w:rsidP="0088780B">
            <w:pPr>
              <w:pStyle w:val="Subtitle"/>
            </w:pPr>
            <w:r>
              <w:t xml:space="preserve">Australian, </w:t>
            </w:r>
            <w:r w:rsidR="00E55063">
              <w:t>s</w:t>
            </w:r>
            <w:r w:rsidR="00E55063" w:rsidRPr="006700B3">
              <w:t xml:space="preserve">tate and </w:t>
            </w:r>
            <w:r w:rsidR="00E55063">
              <w:t>t</w:t>
            </w:r>
            <w:r w:rsidR="00E55063" w:rsidRPr="006700B3">
              <w:t xml:space="preserve">erritory </w:t>
            </w:r>
            <w:r w:rsidR="00E55063">
              <w:t>g</w:t>
            </w:r>
            <w:r w:rsidR="00E55063" w:rsidRPr="006700B3">
              <w:t>overnment</w:t>
            </w:r>
            <w:r w:rsidR="00E55063">
              <w:t>s’</w:t>
            </w:r>
            <w:r w:rsidR="00E55063" w:rsidRPr="006700B3">
              <w:t xml:space="preserve"> </w:t>
            </w:r>
            <w:r w:rsidR="00007189" w:rsidRPr="006700B3">
              <w:t xml:space="preserve">revenues and expenditures </w:t>
            </w:r>
          </w:p>
        </w:tc>
      </w:tr>
      <w:tr w:rsidR="00007189" w14:paraId="028447A4" w14:textId="77777777" w:rsidTr="001B5759">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007189" w14:paraId="0284479F" w14:textId="77777777" w:rsidTr="001B5759">
              <w:trPr>
                <w:trHeight w:val="195"/>
                <w:jc w:val="center"/>
              </w:trPr>
              <w:tc>
                <w:tcPr>
                  <w:tcW w:w="2500" w:type="pct"/>
                  <w:tcBorders>
                    <w:top w:val="nil"/>
                    <w:bottom w:val="nil"/>
                  </w:tcBorders>
                </w:tcPr>
                <w:p w14:paraId="0284479D" w14:textId="2F3C9B66" w:rsidR="00007189" w:rsidRPr="00C7117F" w:rsidRDefault="00615673" w:rsidP="00324FF2">
                  <w:pPr>
                    <w:pStyle w:val="TableColumnHeading"/>
                    <w:ind w:left="0" w:right="0"/>
                    <w:jc w:val="center"/>
                    <w:rPr>
                      <w:b/>
                      <w:i w:val="0"/>
                      <w:szCs w:val="24"/>
                    </w:rPr>
                  </w:pPr>
                  <w:r>
                    <w:rPr>
                      <w:b/>
                      <w:i w:val="0"/>
                    </w:rPr>
                    <w:t xml:space="preserve">a. </w:t>
                  </w:r>
                  <w:r w:rsidR="000A32FB">
                    <w:rPr>
                      <w:b/>
                      <w:i w:val="0"/>
                    </w:rPr>
                    <w:t>Government</w:t>
                  </w:r>
                  <w:r w:rsidR="00E55063">
                    <w:rPr>
                      <w:b/>
                      <w:i w:val="0"/>
                    </w:rPr>
                    <w:t>s’</w:t>
                  </w:r>
                  <w:r w:rsidR="000A32FB">
                    <w:rPr>
                      <w:b/>
                      <w:i w:val="0"/>
                    </w:rPr>
                    <w:t xml:space="preserve"> r</w:t>
                  </w:r>
                  <w:r w:rsidR="00007189" w:rsidRPr="00C7117F">
                    <w:rPr>
                      <w:b/>
                      <w:i w:val="0"/>
                    </w:rPr>
                    <w:t xml:space="preserve">evenues and </w:t>
                  </w:r>
                  <w:r w:rsidR="00324FF2">
                    <w:rPr>
                      <w:b/>
                      <w:i w:val="0"/>
                    </w:rPr>
                    <w:t>expenditures</w:t>
                  </w:r>
                </w:p>
              </w:tc>
              <w:tc>
                <w:tcPr>
                  <w:tcW w:w="2500" w:type="pct"/>
                  <w:tcBorders>
                    <w:top w:val="nil"/>
                    <w:bottom w:val="nil"/>
                  </w:tcBorders>
                </w:tcPr>
                <w:p w14:paraId="0284479E" w14:textId="3051188B" w:rsidR="00007189" w:rsidRPr="00C7117F" w:rsidRDefault="00615673" w:rsidP="00324FF2">
                  <w:pPr>
                    <w:pStyle w:val="TableColumnHeading"/>
                    <w:ind w:left="0" w:right="0"/>
                    <w:jc w:val="center"/>
                    <w:rPr>
                      <w:b/>
                      <w:i w:val="0"/>
                      <w:szCs w:val="24"/>
                    </w:rPr>
                  </w:pPr>
                  <w:r>
                    <w:rPr>
                      <w:b/>
                      <w:i w:val="0"/>
                    </w:rPr>
                    <w:t xml:space="preserve">b. </w:t>
                  </w:r>
                  <w:r w:rsidR="000A32FB">
                    <w:rPr>
                      <w:b/>
                      <w:i w:val="0"/>
                    </w:rPr>
                    <w:t>G</w:t>
                  </w:r>
                  <w:r w:rsidR="00007189" w:rsidRPr="00C7117F">
                    <w:rPr>
                      <w:b/>
                      <w:i w:val="0"/>
                    </w:rPr>
                    <w:t>overnment</w:t>
                  </w:r>
                  <w:r w:rsidR="00E55063">
                    <w:rPr>
                      <w:b/>
                      <w:i w:val="0"/>
                    </w:rPr>
                    <w:t>s’</w:t>
                  </w:r>
                  <w:r w:rsidR="00007189" w:rsidRPr="00C7117F">
                    <w:rPr>
                      <w:b/>
                      <w:i w:val="0"/>
                    </w:rPr>
                    <w:t xml:space="preserve"> revenues and </w:t>
                  </w:r>
                  <w:r w:rsidR="00324FF2">
                    <w:rPr>
                      <w:b/>
                      <w:i w:val="0"/>
                    </w:rPr>
                    <w:t>expenditures</w:t>
                  </w:r>
                  <w:r w:rsidR="00007189" w:rsidRPr="00C7117F">
                    <w:rPr>
                      <w:b/>
                      <w:i w:val="0"/>
                    </w:rPr>
                    <w:t xml:space="preserve"> </w:t>
                  </w:r>
                  <w:r w:rsidR="000A32FB">
                    <w:rPr>
                      <w:b/>
                      <w:i w:val="0"/>
                    </w:rPr>
                    <w:br/>
                  </w:r>
                  <w:r w:rsidR="00007189" w:rsidRPr="00C7117F">
                    <w:rPr>
                      <w:b/>
                      <w:i w:val="0"/>
                    </w:rPr>
                    <w:t xml:space="preserve">as a share of </w:t>
                  </w:r>
                  <w:r w:rsidR="00324FF2">
                    <w:rPr>
                      <w:b/>
                      <w:i w:val="0"/>
                    </w:rPr>
                    <w:t xml:space="preserve">nominal </w:t>
                  </w:r>
                  <w:r w:rsidR="00007189" w:rsidRPr="00C7117F">
                    <w:rPr>
                      <w:b/>
                      <w:i w:val="0"/>
                    </w:rPr>
                    <w:t>GDP</w:t>
                  </w:r>
                </w:p>
              </w:tc>
            </w:tr>
            <w:tr w:rsidR="00007189" w14:paraId="028447A2" w14:textId="77777777" w:rsidTr="0025467C">
              <w:tblPrEx>
                <w:tblCellMar>
                  <w:left w:w="108" w:type="dxa"/>
                  <w:right w:w="108" w:type="dxa"/>
                </w:tblCellMar>
              </w:tblPrEx>
              <w:trPr>
                <w:trHeight w:val="195"/>
                <w:jc w:val="center"/>
              </w:trPr>
              <w:tc>
                <w:tcPr>
                  <w:tcW w:w="2500" w:type="pct"/>
                  <w:tcBorders>
                    <w:top w:val="nil"/>
                    <w:bottom w:val="nil"/>
                  </w:tcBorders>
                </w:tcPr>
                <w:p w14:paraId="028447A0" w14:textId="06DD0CA4" w:rsidR="00007189" w:rsidRDefault="002935EF" w:rsidP="002D4F5F">
                  <w:pPr>
                    <w:pStyle w:val="Figure"/>
                    <w:spacing w:before="60" w:after="60"/>
                  </w:pPr>
                  <w:r>
                    <w:rPr>
                      <w:noProof/>
                    </w:rPr>
                    <w:drawing>
                      <wp:inline distT="0" distB="0" distL="0" distR="0" wp14:anchorId="4B0C6F19" wp14:editId="0BC8313A">
                        <wp:extent cx="2527300" cy="2338070"/>
                        <wp:effectExtent l="0" t="0" r="6350" b="5080"/>
                        <wp:docPr id="29" name="Picture 29" descr="This figure shows the implications of NOM for government revenues and expenditures in two panels. The impacts are shown for the 0.6 per cent (business-as-usual) and zero NOM scenarios.&#10;Panel a shows that the levels of government revenue and expenditure are projected to rise over time in both the 0.6 per cent (business-as-usual) scenario and the zero NOM scenario, but to be greater in the business-as-usual scenario by 2060. &#10;Panel b shows that in 2060, governments’ revenues and expenses are projected to be modestly larger as a share of nominal GDP in the zero NOM scenario (46 per cent and 53 per cent respectively) than in the 0.6% NOM (business as usual) scenario (45 per cent and 50 per cent respective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27300" cy="2338070"/>
                                </a:xfrm>
                                <a:prstGeom prst="rect">
                                  <a:avLst/>
                                </a:prstGeom>
                                <a:noFill/>
                                <a:ln>
                                  <a:noFill/>
                                </a:ln>
                              </pic:spPr>
                            </pic:pic>
                          </a:graphicData>
                        </a:graphic>
                      </wp:inline>
                    </w:drawing>
                  </w:r>
                </w:p>
              </w:tc>
              <w:tc>
                <w:tcPr>
                  <w:tcW w:w="2500" w:type="pct"/>
                  <w:tcBorders>
                    <w:top w:val="nil"/>
                    <w:bottom w:val="nil"/>
                  </w:tcBorders>
                </w:tcPr>
                <w:p w14:paraId="028447A1" w14:textId="28723829" w:rsidR="00007189" w:rsidRDefault="002935EF" w:rsidP="007A5468">
                  <w:pPr>
                    <w:pStyle w:val="Figure"/>
                    <w:spacing w:before="60" w:after="60"/>
                  </w:pPr>
                  <w:r>
                    <w:rPr>
                      <w:noProof/>
                    </w:rPr>
                    <w:drawing>
                      <wp:inline distT="0" distB="0" distL="0" distR="0" wp14:anchorId="65E893E6" wp14:editId="22C21C66">
                        <wp:extent cx="2501900" cy="2338070"/>
                        <wp:effectExtent l="0" t="0" r="0" b="5080"/>
                        <wp:docPr id="30" name="Picture 30" descr="This figure shows the implications of NOM for government revenues and expenditures in two panels. The impacts are shown for the 0.6 per cent (business-as-usual) and zero NOM scenarios.&#10;Panel a shows that the levels of government revenue and expenditure are projected to rise over time in both the 0.6 per cent (business-as-usual) scenario and the zero NOM scenario, but to be greater in the business-as-usual scenario by 2060. &#10;Panel b shows that in 2060, governments’ revenues and expenses are projected to be modestly larger as a share of nominal GDP in the zero NOM scenario (46 per cent and 53 per cent respectively) than in the 0.6% NOM (business as usual) scenario (45 per cent and 50 per cent respectivel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501900" cy="2338070"/>
                                </a:xfrm>
                                <a:prstGeom prst="rect">
                                  <a:avLst/>
                                </a:prstGeom>
                                <a:noFill/>
                                <a:ln>
                                  <a:noFill/>
                                </a:ln>
                              </pic:spPr>
                            </pic:pic>
                          </a:graphicData>
                        </a:graphic>
                      </wp:inline>
                    </w:drawing>
                  </w:r>
                </w:p>
              </w:tc>
            </w:tr>
            <w:tr w:rsidR="007A5468" w14:paraId="5FDA61F5" w14:textId="77777777" w:rsidTr="007A5468">
              <w:tblPrEx>
                <w:tblCellMar>
                  <w:left w:w="108" w:type="dxa"/>
                  <w:right w:w="108" w:type="dxa"/>
                </w:tblCellMar>
              </w:tblPrEx>
              <w:trPr>
                <w:trHeight w:val="195"/>
                <w:jc w:val="center"/>
              </w:trPr>
              <w:tc>
                <w:tcPr>
                  <w:tcW w:w="5000" w:type="pct"/>
                  <w:gridSpan w:val="2"/>
                  <w:tcBorders>
                    <w:top w:val="nil"/>
                    <w:bottom w:val="nil"/>
                  </w:tcBorders>
                </w:tcPr>
                <w:p w14:paraId="534D8454" w14:textId="4F79E2E8" w:rsidR="007A5468" w:rsidRDefault="00034306" w:rsidP="007A5468">
                  <w:pPr>
                    <w:pStyle w:val="Figure"/>
                    <w:spacing w:before="60" w:after="60"/>
                  </w:pPr>
                  <w:r>
                    <w:rPr>
                      <w:noProof/>
                    </w:rPr>
                    <w:drawing>
                      <wp:inline distT="0" distB="0" distL="0" distR="0" wp14:anchorId="268BA96A" wp14:editId="5293D3FF">
                        <wp:extent cx="3648710" cy="310515"/>
                        <wp:effectExtent l="0" t="0" r="8890" b="0"/>
                        <wp:docPr id="3" name="Picture 3" descr="This figure shows the implications of NOM for government revenues and expenditures in two panels. The impacts are shown for the 0.6 per cent (business-as-usual) and zero NOM scenarios.&#10;Panel a shows that the levels of government revenue and expenditure are projected to rise over time in both the 0.6 per cent (business-as-usual) scenario and the zero NOM scenario, but to be greater in the business-as-usual scenario by 2060. &#10;Panel b shows that in 2060, governments’ revenues and expenses are projected to be modestly larger as a share of nominal GDP in the zero NOM scenario (46 per cent and 53 per cent respectively) than in the 0.6% NOM (business as usual) scenario (45 per cent and 50 per cent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648710" cy="310515"/>
                                </a:xfrm>
                                <a:prstGeom prst="rect">
                                  <a:avLst/>
                                </a:prstGeom>
                                <a:noFill/>
                                <a:ln>
                                  <a:noFill/>
                                </a:ln>
                              </pic:spPr>
                            </pic:pic>
                          </a:graphicData>
                        </a:graphic>
                      </wp:inline>
                    </w:drawing>
                  </w:r>
                </w:p>
              </w:tc>
            </w:tr>
          </w:tbl>
          <w:p w14:paraId="028447A3" w14:textId="77777777" w:rsidR="00007189" w:rsidRDefault="00007189" w:rsidP="001B5759">
            <w:pPr>
              <w:pStyle w:val="Figure"/>
            </w:pPr>
          </w:p>
        </w:tc>
      </w:tr>
      <w:tr w:rsidR="00007189" w:rsidRPr="00176D3F" w14:paraId="028447A6" w14:textId="77777777" w:rsidTr="001B5759">
        <w:tc>
          <w:tcPr>
            <w:tcW w:w="8771" w:type="dxa"/>
            <w:tcBorders>
              <w:top w:val="nil"/>
              <w:left w:val="nil"/>
              <w:bottom w:val="nil"/>
              <w:right w:val="nil"/>
            </w:tcBorders>
            <w:shd w:val="clear" w:color="auto" w:fill="auto"/>
          </w:tcPr>
          <w:p w14:paraId="028447A5" w14:textId="5C4FA8E9" w:rsidR="00007189" w:rsidRDefault="00007189" w:rsidP="0088780B">
            <w:pPr>
              <w:pStyle w:val="Source"/>
              <w:rPr>
                <w:i/>
              </w:rPr>
            </w:pPr>
            <w:proofErr w:type="spellStart"/>
            <w:r>
              <w:rPr>
                <w:rStyle w:val="NoteLabel"/>
              </w:rPr>
              <w:t>a</w:t>
            </w:r>
            <w:proofErr w:type="spellEnd"/>
            <w:r w:rsidR="00490A43">
              <w:rPr>
                <w:rStyle w:val="NoteLabel"/>
              </w:rPr>
              <w:t> </w:t>
            </w:r>
            <w:r w:rsidRPr="006B6C04">
              <w:rPr>
                <w:rStyle w:val="NoteChar"/>
              </w:rPr>
              <w:t>The lump</w:t>
            </w:r>
            <w:r w:rsidR="004D4E21">
              <w:rPr>
                <w:rStyle w:val="NoteChar"/>
              </w:rPr>
              <w:noBreakHyphen/>
            </w:r>
            <w:r w:rsidRPr="006B6C04">
              <w:rPr>
                <w:rStyle w:val="NoteChar"/>
              </w:rPr>
              <w:t>sum transfer from households to the Australian</w:t>
            </w:r>
            <w:r w:rsidR="00E55063">
              <w:rPr>
                <w:rStyle w:val="NoteChar"/>
              </w:rPr>
              <w:t>, s</w:t>
            </w:r>
            <w:r w:rsidR="00E55063" w:rsidRPr="006B6C04">
              <w:rPr>
                <w:rStyle w:val="NoteChar"/>
              </w:rPr>
              <w:t xml:space="preserve">tate and </w:t>
            </w:r>
            <w:r w:rsidR="00E55063">
              <w:rPr>
                <w:rStyle w:val="NoteChar"/>
              </w:rPr>
              <w:t>t</w:t>
            </w:r>
            <w:r w:rsidR="00E55063" w:rsidRPr="006B6C04">
              <w:rPr>
                <w:rStyle w:val="NoteChar"/>
              </w:rPr>
              <w:t xml:space="preserve">erritory </w:t>
            </w:r>
            <w:r w:rsidR="00E55063">
              <w:rPr>
                <w:rStyle w:val="NoteChar"/>
              </w:rPr>
              <w:t>g</w:t>
            </w:r>
            <w:r w:rsidR="00E55063" w:rsidRPr="006B6C04">
              <w:rPr>
                <w:rStyle w:val="NoteChar"/>
              </w:rPr>
              <w:t xml:space="preserve">overnments </w:t>
            </w:r>
            <w:r w:rsidRPr="006B6C04">
              <w:rPr>
                <w:rStyle w:val="NoteChar"/>
              </w:rPr>
              <w:t xml:space="preserve">is </w:t>
            </w:r>
            <w:r w:rsidR="0074363F">
              <w:rPr>
                <w:rStyle w:val="NoteChar"/>
              </w:rPr>
              <w:t>in</w:t>
            </w:r>
            <w:r w:rsidR="0074363F" w:rsidRPr="006B6C04">
              <w:rPr>
                <w:rStyle w:val="NoteChar"/>
              </w:rPr>
              <w:t xml:space="preserve">cluded </w:t>
            </w:r>
            <w:r w:rsidR="001A6E6A">
              <w:rPr>
                <w:rStyle w:val="NoteChar"/>
              </w:rPr>
              <w:t>in</w:t>
            </w:r>
            <w:r w:rsidR="001A6E6A" w:rsidRPr="006B6C04">
              <w:rPr>
                <w:rStyle w:val="NoteChar"/>
              </w:rPr>
              <w:t xml:space="preserve"> </w:t>
            </w:r>
            <w:r w:rsidRPr="006B6C04">
              <w:rPr>
                <w:rStyle w:val="NoteChar"/>
              </w:rPr>
              <w:t xml:space="preserve">the above charts. </w:t>
            </w:r>
          </w:p>
        </w:tc>
      </w:tr>
      <w:tr w:rsidR="00007189" w:rsidRPr="00176D3F" w14:paraId="028447A8" w14:textId="77777777" w:rsidTr="001B5759">
        <w:tc>
          <w:tcPr>
            <w:tcW w:w="8771" w:type="dxa"/>
            <w:tcBorders>
              <w:top w:val="nil"/>
              <w:left w:val="nil"/>
              <w:bottom w:val="nil"/>
              <w:right w:val="nil"/>
            </w:tcBorders>
            <w:shd w:val="clear" w:color="auto" w:fill="auto"/>
          </w:tcPr>
          <w:p w14:paraId="028447A7" w14:textId="734B656A" w:rsidR="00007189" w:rsidRPr="00176D3F" w:rsidRDefault="00007189" w:rsidP="001B5759">
            <w:pPr>
              <w:pStyle w:val="Source"/>
            </w:pPr>
            <w:r>
              <w:rPr>
                <w:i/>
              </w:rPr>
              <w:t>S</w:t>
            </w:r>
            <w:r w:rsidRPr="00784A05">
              <w:rPr>
                <w:i/>
              </w:rPr>
              <w:t>ource</w:t>
            </w:r>
            <w:r w:rsidRPr="00176D3F">
              <w:t xml:space="preserve">: </w:t>
            </w:r>
            <w:r>
              <w:t xml:space="preserve">Productivity Commission </w:t>
            </w:r>
            <w:r w:rsidR="006A3E61">
              <w:t xml:space="preserve">projections </w:t>
            </w:r>
            <w:r>
              <w:t xml:space="preserve">based on </w:t>
            </w:r>
            <w:proofErr w:type="spellStart"/>
            <w:r>
              <w:t>VURM</w:t>
            </w:r>
            <w:proofErr w:type="spellEnd"/>
            <w:r>
              <w:noBreakHyphen/>
              <w:t>MI.</w:t>
            </w:r>
          </w:p>
        </w:tc>
      </w:tr>
      <w:tr w:rsidR="00007189" w14:paraId="028447AA" w14:textId="77777777" w:rsidTr="001B5759">
        <w:tc>
          <w:tcPr>
            <w:tcW w:w="8771" w:type="dxa"/>
            <w:tcBorders>
              <w:top w:val="nil"/>
              <w:left w:val="nil"/>
              <w:bottom w:val="single" w:sz="6" w:space="0" w:color="78A22F"/>
              <w:right w:val="nil"/>
            </w:tcBorders>
            <w:shd w:val="clear" w:color="auto" w:fill="auto"/>
          </w:tcPr>
          <w:p w14:paraId="028447A9" w14:textId="77777777" w:rsidR="00007189" w:rsidRDefault="00007189" w:rsidP="001B5759">
            <w:pPr>
              <w:pStyle w:val="Figurespace"/>
            </w:pPr>
          </w:p>
        </w:tc>
      </w:tr>
      <w:tr w:rsidR="00007189" w:rsidRPr="000863A5" w14:paraId="028447AC" w14:textId="77777777" w:rsidTr="001B5759">
        <w:tc>
          <w:tcPr>
            <w:tcW w:w="8771" w:type="dxa"/>
            <w:tcBorders>
              <w:top w:val="single" w:sz="6" w:space="0" w:color="78A22F"/>
              <w:left w:val="nil"/>
              <w:bottom w:val="nil"/>
              <w:right w:val="nil"/>
            </w:tcBorders>
          </w:tcPr>
          <w:p w14:paraId="028447AB" w14:textId="34802529" w:rsidR="00007189" w:rsidRPr="00626D32" w:rsidRDefault="00007189" w:rsidP="001B5759">
            <w:pPr>
              <w:pStyle w:val="BoxSpaceBelow"/>
            </w:pPr>
          </w:p>
        </w:tc>
      </w:tr>
    </w:tbl>
    <w:p w14:paraId="1FBCFAEB" w14:textId="5B3373C0" w:rsidR="001F3D11" w:rsidRDefault="001F3D11" w:rsidP="001F3D11">
      <w:pPr>
        <w:pStyle w:val="BodyText"/>
      </w:pPr>
      <w:r>
        <w:t xml:space="preserve">In the zero NOM scenario, GDP is projected to increase ahead of government revenue over the period 2014 to 2060. The lower revenue growth reflects the slower growth of company taxes as the economy shifts to more labour intensive service activities. </w:t>
      </w:r>
    </w:p>
    <w:p w14:paraId="2FF2D9B2" w14:textId="76F95A4E" w:rsidR="001F3D11" w:rsidRDefault="001F3D11" w:rsidP="001F3D11">
      <w:pPr>
        <w:pStyle w:val="BodyText"/>
      </w:pPr>
      <w:r>
        <w:t>With a lower average age in the business</w:t>
      </w:r>
      <w:r w:rsidR="00300F88">
        <w:t>-</w:t>
      </w:r>
      <w:r>
        <w:t>as</w:t>
      </w:r>
      <w:r w:rsidR="00300F88">
        <w:t>-</w:t>
      </w:r>
      <w:r>
        <w:t>usual scenario, government expenditure (inclusive of health and aged care) as a share of nominal GDP is projected to be lower than in the zero NOM scenario (figure </w:t>
      </w:r>
      <w:proofErr w:type="spellStart"/>
      <w:r>
        <w:t>B.1</w:t>
      </w:r>
      <w:r w:rsidR="00BA2FAA">
        <w:t>2</w:t>
      </w:r>
      <w:proofErr w:type="spellEnd"/>
      <w:r>
        <w:t xml:space="preserve">, panel b). </w:t>
      </w:r>
    </w:p>
    <w:p w14:paraId="2C37F28F" w14:textId="3CB38AA1" w:rsidR="001F3D11" w:rsidRDefault="001F3D11" w:rsidP="001F3D11">
      <w:pPr>
        <w:pStyle w:val="BodyText"/>
      </w:pPr>
      <w:r>
        <w:t xml:space="preserve">The older age profile associated with zero NOM has two key impacts on governments expenditure on health and related services. First, and of most significance, in 2060 proportionally more of the population consumes health and related services in the zero NOM case compared to the </w:t>
      </w:r>
      <w:r w:rsidR="00EF58F8">
        <w:t>business-as-usual</w:t>
      </w:r>
      <w:r>
        <w:t xml:space="preserve"> case. Second, relative to the business</w:t>
      </w:r>
      <w:r w:rsidR="00300F88">
        <w:t>-</w:t>
      </w:r>
      <w:r>
        <w:t>as</w:t>
      </w:r>
      <w:r w:rsidR="00300F88">
        <w:t>-</w:t>
      </w:r>
      <w:r>
        <w:t>usual case, zero NOM is projected to have lower employment as a share of the population over the projection period. Growing demand for health and related services results in comparably higher wage growth in professional and community and personal service occupations in 2060. Higher wage growth in these occupations is projected to increase the cost of providing health and related services in the zero NOM case. This contributes to the higher government expenditure on health and related services in the zero NOM case (figure </w:t>
      </w:r>
      <w:proofErr w:type="spellStart"/>
      <w:r>
        <w:t>B.1</w:t>
      </w:r>
      <w:r w:rsidR="00BA2FAA">
        <w:t>3</w:t>
      </w:r>
      <w:proofErr w:type="spellEnd"/>
      <w:r>
        <w:t>).</w:t>
      </w:r>
    </w:p>
    <w:p w14:paraId="584C9453" w14:textId="6532EF75" w:rsidR="001F3D11" w:rsidRDefault="001F3D11" w:rsidP="009778A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1F3D11" w14:paraId="11595070" w14:textId="77777777" w:rsidTr="009778A2">
        <w:tc>
          <w:tcPr>
            <w:tcW w:w="8771" w:type="dxa"/>
            <w:tcBorders>
              <w:top w:val="single" w:sz="6" w:space="0" w:color="78A22F"/>
              <w:left w:val="nil"/>
              <w:bottom w:val="nil"/>
              <w:right w:val="nil"/>
            </w:tcBorders>
            <w:shd w:val="clear" w:color="auto" w:fill="auto"/>
          </w:tcPr>
          <w:p w14:paraId="7F23895A" w14:textId="70777B39" w:rsidR="001F3D11" w:rsidRPr="00176D3F" w:rsidRDefault="001F3D11" w:rsidP="001F3D11">
            <w:pPr>
              <w:pStyle w:val="FigureTitle"/>
            </w:pPr>
            <w:r w:rsidRPr="00784A05">
              <w:rPr>
                <w:b w:val="0"/>
              </w:rPr>
              <w:t xml:space="preserve">Figure </w:t>
            </w:r>
            <w:proofErr w:type="spellStart"/>
            <w:r w:rsidR="000C775F">
              <w:rPr>
                <w:b w:val="0"/>
              </w:rPr>
              <w:t>B.</w:t>
            </w:r>
            <w:r w:rsidR="009015D8">
              <w:rPr>
                <w:b w:val="0"/>
                <w:noProof/>
              </w:rPr>
              <w:t>13</w:t>
            </w:r>
            <w:proofErr w:type="spellEnd"/>
            <w:r>
              <w:tab/>
              <w:t>Governments’ expenditure by broad category as a share of nominal GDP</w:t>
            </w:r>
          </w:p>
        </w:tc>
      </w:tr>
      <w:tr w:rsidR="001F3D11" w14:paraId="7CA62B41" w14:textId="77777777" w:rsidTr="009778A2">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1F3D11" w14:paraId="1489371F" w14:textId="77777777" w:rsidTr="0025467C">
              <w:trPr>
                <w:jc w:val="center"/>
              </w:trPr>
              <w:tc>
                <w:tcPr>
                  <w:tcW w:w="8504" w:type="dxa"/>
                  <w:tcBorders>
                    <w:top w:val="nil"/>
                    <w:bottom w:val="nil"/>
                  </w:tcBorders>
                </w:tcPr>
                <w:p w14:paraId="2A6F8D37" w14:textId="26A3B29B" w:rsidR="001F3D11" w:rsidRDefault="002935EF" w:rsidP="009778A2">
                  <w:pPr>
                    <w:pStyle w:val="Figure"/>
                    <w:spacing w:before="60" w:after="60"/>
                  </w:pPr>
                  <w:r>
                    <w:rPr>
                      <w:noProof/>
                    </w:rPr>
                    <w:drawing>
                      <wp:inline distT="0" distB="0" distL="0" distR="0" wp14:anchorId="5CEDB488" wp14:editId="5D959116">
                        <wp:extent cx="5270500" cy="2795270"/>
                        <wp:effectExtent l="0" t="0" r="6350" b="5080"/>
                        <wp:docPr id="31" name="Picture 31" descr="This figure shows governments’ expenditure on health, education and other as a share of nominal GDP in 2060 for the 0.6 per cent (business-as-usual) scenario and for the zero NOM scenario. Notably, governments’ expenditure on health, is projected to be lower as a share of nominal GDP in 2060 in the business as usual scenario than in the zero NOM sc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270500" cy="2795270"/>
                                </a:xfrm>
                                <a:prstGeom prst="rect">
                                  <a:avLst/>
                                </a:prstGeom>
                                <a:noFill/>
                                <a:ln>
                                  <a:noFill/>
                                </a:ln>
                              </pic:spPr>
                            </pic:pic>
                          </a:graphicData>
                        </a:graphic>
                      </wp:inline>
                    </w:drawing>
                  </w:r>
                </w:p>
              </w:tc>
            </w:tr>
          </w:tbl>
          <w:p w14:paraId="6F146651" w14:textId="77777777" w:rsidR="001F3D11" w:rsidRDefault="001F3D11" w:rsidP="009778A2">
            <w:pPr>
              <w:pStyle w:val="Figure"/>
            </w:pPr>
          </w:p>
        </w:tc>
      </w:tr>
      <w:tr w:rsidR="001F3D11" w:rsidRPr="00176D3F" w14:paraId="197981AB" w14:textId="77777777" w:rsidTr="009778A2">
        <w:tc>
          <w:tcPr>
            <w:tcW w:w="8771" w:type="dxa"/>
            <w:tcBorders>
              <w:top w:val="nil"/>
              <w:left w:val="nil"/>
              <w:bottom w:val="nil"/>
              <w:right w:val="nil"/>
            </w:tcBorders>
            <w:shd w:val="clear" w:color="auto" w:fill="auto"/>
          </w:tcPr>
          <w:p w14:paraId="77913A61" w14:textId="1DB4603F" w:rsidR="001F3D11" w:rsidRPr="00176D3F" w:rsidRDefault="001F3D11" w:rsidP="009778A2">
            <w:pPr>
              <w:pStyle w:val="Source"/>
            </w:pPr>
            <w:r>
              <w:rPr>
                <w:i/>
              </w:rPr>
              <w:t>S</w:t>
            </w:r>
            <w:r w:rsidRPr="00784A05">
              <w:rPr>
                <w:i/>
              </w:rPr>
              <w:t>ource</w:t>
            </w:r>
            <w:r w:rsidRPr="00176D3F">
              <w:t xml:space="preserve">: </w:t>
            </w:r>
            <w:r>
              <w:t xml:space="preserve">Productivity Commission projections based on </w:t>
            </w:r>
            <w:proofErr w:type="spellStart"/>
            <w:r>
              <w:t>VURM</w:t>
            </w:r>
            <w:proofErr w:type="spellEnd"/>
            <w:r>
              <w:noBreakHyphen/>
              <w:t>MI.</w:t>
            </w:r>
          </w:p>
        </w:tc>
      </w:tr>
      <w:tr w:rsidR="001F3D11" w14:paraId="1DC59B15" w14:textId="77777777" w:rsidTr="009778A2">
        <w:tc>
          <w:tcPr>
            <w:tcW w:w="8771" w:type="dxa"/>
            <w:tcBorders>
              <w:top w:val="nil"/>
              <w:left w:val="nil"/>
              <w:bottom w:val="single" w:sz="6" w:space="0" w:color="78A22F"/>
              <w:right w:val="nil"/>
            </w:tcBorders>
            <w:shd w:val="clear" w:color="auto" w:fill="auto"/>
          </w:tcPr>
          <w:p w14:paraId="65703C49" w14:textId="77777777" w:rsidR="001F3D11" w:rsidRDefault="001F3D11" w:rsidP="009778A2">
            <w:pPr>
              <w:pStyle w:val="Figurespace"/>
            </w:pPr>
          </w:p>
        </w:tc>
      </w:tr>
      <w:tr w:rsidR="001F3D11" w:rsidRPr="000863A5" w14:paraId="33F19639" w14:textId="77777777" w:rsidTr="009778A2">
        <w:tc>
          <w:tcPr>
            <w:tcW w:w="8771" w:type="dxa"/>
            <w:tcBorders>
              <w:top w:val="single" w:sz="6" w:space="0" w:color="78A22F"/>
              <w:left w:val="nil"/>
              <w:bottom w:val="nil"/>
              <w:right w:val="nil"/>
            </w:tcBorders>
          </w:tcPr>
          <w:p w14:paraId="40DB30F2" w14:textId="6014EDDB" w:rsidR="001F3D11" w:rsidRPr="00626D32" w:rsidRDefault="001F3D11" w:rsidP="009778A2">
            <w:pPr>
              <w:pStyle w:val="BoxSpaceBelow"/>
            </w:pPr>
          </w:p>
        </w:tc>
      </w:tr>
    </w:tbl>
    <w:p w14:paraId="68F22E3E" w14:textId="50BE69ED" w:rsidR="001F3D11" w:rsidRDefault="001F3D11" w:rsidP="001F3D11">
      <w:pPr>
        <w:pStyle w:val="BodyText"/>
      </w:pPr>
      <w:r>
        <w:t>Under the assumption that government</w:t>
      </w:r>
      <w:r w:rsidR="00E55063">
        <w:t>s’</w:t>
      </w:r>
      <w:r>
        <w:t xml:space="preserve"> financial balances remain fixed as a share of nominal GDP at 2010 levels, any shortfall of projected revenues over expenses are </w:t>
      </w:r>
      <w:r w:rsidR="003E289A">
        <w:t>paid for by</w:t>
      </w:r>
      <w:r>
        <w:t xml:space="preserve"> households as a lump sum to governments. </w:t>
      </w:r>
      <w:r w:rsidR="00011FE9">
        <w:t>In other words, under current tax and transfer settings government</w:t>
      </w:r>
      <w:r w:rsidR="00E55063">
        <w:t>s’</w:t>
      </w:r>
      <w:r w:rsidR="00011FE9">
        <w:t xml:space="preserve"> deficits are projected to increase. </w:t>
      </w:r>
      <w:r>
        <w:t>In 2060, the transfer from households is projected to amount to 24 per cent of projected nominal GDP in the zero</w:t>
      </w:r>
      <w:r w:rsidR="00E55063">
        <w:t> </w:t>
      </w:r>
      <w:r>
        <w:t>NOM scenario, compared to 17 per cent of projected nominal GDP in the business</w:t>
      </w:r>
      <w:r w:rsidR="00E55063">
        <w:noBreakHyphen/>
      </w:r>
      <w:r>
        <w:t>as</w:t>
      </w:r>
      <w:r w:rsidR="00E55063">
        <w:noBreakHyphen/>
      </w:r>
      <w:r>
        <w:t xml:space="preserve">usual scenario. </w:t>
      </w:r>
    </w:p>
    <w:p w14:paraId="028447AD" w14:textId="358083F4" w:rsidR="00007189" w:rsidRDefault="00007189" w:rsidP="00007189">
      <w:pPr>
        <w:pStyle w:val="BodyText"/>
      </w:pPr>
      <w:r>
        <w:t xml:space="preserve">Revenues and expenditures are projected to shift towards the </w:t>
      </w:r>
      <w:r w:rsidR="00E55063">
        <w:t>state and territory g</w:t>
      </w:r>
      <w:r w:rsidR="00560EB6">
        <w:t xml:space="preserve">overnments </w:t>
      </w:r>
      <w:r>
        <w:t>by 2060 (figure </w:t>
      </w:r>
      <w:proofErr w:type="spellStart"/>
      <w:r w:rsidR="0074363F">
        <w:t>B</w:t>
      </w:r>
      <w:r>
        <w:t>.1</w:t>
      </w:r>
      <w:r w:rsidR="00BA2FAA">
        <w:t>4</w:t>
      </w:r>
      <w:proofErr w:type="spellEnd"/>
      <w:r>
        <w:t xml:space="preserve">). The share of </w:t>
      </w:r>
      <w:r w:rsidR="00E55063">
        <w:t xml:space="preserve">state and territory government </w:t>
      </w:r>
      <w:r>
        <w:t xml:space="preserve">revenues </w:t>
      </w:r>
      <w:r w:rsidR="002546F8">
        <w:t xml:space="preserve">is </w:t>
      </w:r>
      <w:r>
        <w:t xml:space="preserve">projected to increase by around </w:t>
      </w:r>
      <w:r w:rsidR="000B1FF8">
        <w:t>6 </w:t>
      </w:r>
      <w:r>
        <w:t>percentage points (from 40 to 4</w:t>
      </w:r>
      <w:r w:rsidR="000B1FF8">
        <w:t>6</w:t>
      </w:r>
      <w:r>
        <w:t>.</w:t>
      </w:r>
      <w:r w:rsidR="000B1FF8">
        <w:t>1 </w:t>
      </w:r>
      <w:r>
        <w:t xml:space="preserve">per cent of GDP) in the </w:t>
      </w:r>
      <w:r w:rsidR="000B1FF8">
        <w:t>business</w:t>
      </w:r>
      <w:r w:rsidR="00300F88">
        <w:t>-</w:t>
      </w:r>
      <w:r w:rsidR="000B1FF8">
        <w:t>as</w:t>
      </w:r>
      <w:r w:rsidR="00300F88">
        <w:t>-</w:t>
      </w:r>
      <w:r w:rsidR="000B1FF8">
        <w:t>usual scenario</w:t>
      </w:r>
      <w:r>
        <w:t xml:space="preserve">, compared to </w:t>
      </w:r>
      <w:r w:rsidR="000B1FF8">
        <w:t>7 </w:t>
      </w:r>
      <w:r>
        <w:t>percentage points (from 40 to 4</w:t>
      </w:r>
      <w:r w:rsidR="000B1FF8">
        <w:t>7.1 </w:t>
      </w:r>
      <w:r>
        <w:t>per</w:t>
      </w:r>
      <w:r w:rsidR="000B1FF8">
        <w:t> </w:t>
      </w:r>
      <w:r>
        <w:t xml:space="preserve">cent) for the </w:t>
      </w:r>
      <w:r w:rsidR="000B1FF8">
        <w:t xml:space="preserve">zero </w:t>
      </w:r>
      <w:r>
        <w:t>NOM scenario.</w:t>
      </w:r>
    </w:p>
    <w:p w14:paraId="028447AE" w14:textId="3E192386" w:rsidR="00007189" w:rsidRDefault="00007189" w:rsidP="00007189">
      <w:pPr>
        <w:pStyle w:val="BodyText"/>
      </w:pPr>
      <w:r>
        <w:t xml:space="preserve">The shift in revenue towards the </w:t>
      </w:r>
      <w:r w:rsidR="00E55063">
        <w:t xml:space="preserve">state and territory governments </w:t>
      </w:r>
      <w:r>
        <w:t>is largely due to a projected decline in company income taxation revenue, which accrues to the Australian Government.</w:t>
      </w:r>
    </w:p>
    <w:p w14:paraId="028447B0" w14:textId="3DE13C4C" w:rsidR="00007189" w:rsidRDefault="00007189" w:rsidP="0000718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07189" w14:paraId="028447B2" w14:textId="77777777" w:rsidTr="001B5759">
        <w:tc>
          <w:tcPr>
            <w:tcW w:w="8771" w:type="dxa"/>
            <w:tcBorders>
              <w:top w:val="single" w:sz="6" w:space="0" w:color="78A22F"/>
              <w:left w:val="nil"/>
              <w:bottom w:val="nil"/>
              <w:right w:val="nil"/>
            </w:tcBorders>
            <w:shd w:val="clear" w:color="auto" w:fill="auto"/>
          </w:tcPr>
          <w:p w14:paraId="028447B1" w14:textId="05F14B95" w:rsidR="00FE2F07" w:rsidRPr="00BF16A9" w:rsidRDefault="00007189" w:rsidP="00BF16A9">
            <w:pPr>
              <w:pStyle w:val="FigureTitle"/>
              <w:rPr>
                <w:position w:val="6"/>
                <w:sz w:val="18"/>
              </w:rPr>
            </w:pPr>
            <w:r w:rsidRPr="00784A05">
              <w:rPr>
                <w:b w:val="0"/>
              </w:rPr>
              <w:t xml:space="preserve">Figure </w:t>
            </w:r>
            <w:proofErr w:type="spellStart"/>
            <w:r w:rsidR="000C775F" w:rsidRPr="000C775F">
              <w:rPr>
                <w:b w:val="0"/>
              </w:rPr>
              <w:t>B</w:t>
            </w:r>
            <w:r w:rsidR="000C775F">
              <w:t>.</w:t>
            </w:r>
            <w:r w:rsidR="009015D8">
              <w:rPr>
                <w:b w:val="0"/>
                <w:noProof/>
              </w:rPr>
              <w:t>14</w:t>
            </w:r>
            <w:proofErr w:type="spellEnd"/>
            <w:r>
              <w:tab/>
              <w:t xml:space="preserve">Projected revenues and expenses shifts towards the </w:t>
            </w:r>
            <w:r w:rsidR="00560EB6">
              <w:t xml:space="preserve">State </w:t>
            </w:r>
            <w:r>
              <w:t xml:space="preserve">and </w:t>
            </w:r>
            <w:r w:rsidR="00560EB6">
              <w:t>Territory G</w:t>
            </w:r>
            <w:r w:rsidR="00560EB6" w:rsidRPr="001220FC">
              <w:t>overnments</w:t>
            </w:r>
            <w:proofErr w:type="spellStart"/>
            <w:r w:rsidRPr="001220FC">
              <w:rPr>
                <w:rStyle w:val="NoteLabel"/>
                <w:b/>
              </w:rPr>
              <w:t>a,b,c</w:t>
            </w:r>
            <w:proofErr w:type="spellEnd"/>
          </w:p>
        </w:tc>
      </w:tr>
      <w:tr w:rsidR="00007189" w14:paraId="028447BA" w14:textId="77777777" w:rsidTr="001B5759">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007189" w14:paraId="028447B5" w14:textId="77777777" w:rsidTr="001B5759">
              <w:trPr>
                <w:trHeight w:val="195"/>
                <w:jc w:val="center"/>
              </w:trPr>
              <w:tc>
                <w:tcPr>
                  <w:tcW w:w="2500" w:type="pct"/>
                  <w:tcBorders>
                    <w:top w:val="nil"/>
                    <w:bottom w:val="nil"/>
                  </w:tcBorders>
                </w:tcPr>
                <w:p w14:paraId="028447B3" w14:textId="5095A98F" w:rsidR="00007189" w:rsidRPr="00C7117F" w:rsidRDefault="009A0F18" w:rsidP="009A0F18">
                  <w:pPr>
                    <w:pStyle w:val="Figure"/>
                    <w:spacing w:before="60" w:after="60"/>
                    <w:rPr>
                      <w:rFonts w:ascii="Arial" w:hAnsi="Arial" w:cs="Arial"/>
                      <w:b/>
                      <w:sz w:val="18"/>
                      <w:szCs w:val="18"/>
                    </w:rPr>
                  </w:pPr>
                  <w:r>
                    <w:rPr>
                      <w:rFonts w:ascii="Arial" w:hAnsi="Arial" w:cs="Arial"/>
                      <w:b/>
                      <w:sz w:val="18"/>
                      <w:szCs w:val="18"/>
                    </w:rPr>
                    <w:t xml:space="preserve">a. </w:t>
                  </w:r>
                  <w:r w:rsidR="00007189" w:rsidRPr="00C7117F">
                    <w:rPr>
                      <w:rFonts w:ascii="Arial" w:hAnsi="Arial" w:cs="Arial"/>
                      <w:b/>
                      <w:sz w:val="18"/>
                      <w:szCs w:val="18"/>
                    </w:rPr>
                    <w:t>Actual, 2014</w:t>
                  </w:r>
                </w:p>
              </w:tc>
              <w:tc>
                <w:tcPr>
                  <w:tcW w:w="2500" w:type="pct"/>
                  <w:tcBorders>
                    <w:top w:val="nil"/>
                    <w:bottom w:val="nil"/>
                  </w:tcBorders>
                </w:tcPr>
                <w:p w14:paraId="028447B4" w14:textId="16063F07" w:rsidR="00007189" w:rsidRPr="00C7117F" w:rsidRDefault="009A0F18" w:rsidP="009A0F18">
                  <w:pPr>
                    <w:pStyle w:val="Figure"/>
                    <w:spacing w:before="60" w:after="60"/>
                    <w:rPr>
                      <w:rFonts w:ascii="Arial" w:hAnsi="Arial" w:cs="Arial"/>
                      <w:b/>
                      <w:sz w:val="18"/>
                      <w:szCs w:val="18"/>
                    </w:rPr>
                  </w:pPr>
                  <w:r>
                    <w:rPr>
                      <w:rFonts w:ascii="Arial" w:hAnsi="Arial" w:cs="Arial"/>
                      <w:b/>
                      <w:sz w:val="18"/>
                      <w:szCs w:val="18"/>
                    </w:rPr>
                    <w:t xml:space="preserve">b. </w:t>
                  </w:r>
                  <w:r w:rsidR="00007189" w:rsidRPr="00C7117F">
                    <w:rPr>
                      <w:rFonts w:ascii="Arial" w:hAnsi="Arial" w:cs="Arial"/>
                      <w:b/>
                      <w:sz w:val="18"/>
                      <w:szCs w:val="18"/>
                    </w:rPr>
                    <w:t>Projected, 2060</w:t>
                  </w:r>
                </w:p>
              </w:tc>
            </w:tr>
            <w:tr w:rsidR="00007189" w14:paraId="028447B8" w14:textId="77777777" w:rsidTr="00FE2F07">
              <w:tblPrEx>
                <w:tblCellMar>
                  <w:left w:w="108" w:type="dxa"/>
                  <w:right w:w="108" w:type="dxa"/>
                </w:tblCellMar>
              </w:tblPrEx>
              <w:trPr>
                <w:trHeight w:val="195"/>
                <w:jc w:val="center"/>
              </w:trPr>
              <w:tc>
                <w:tcPr>
                  <w:tcW w:w="2500" w:type="pct"/>
                  <w:tcBorders>
                    <w:top w:val="nil"/>
                    <w:bottom w:val="nil"/>
                  </w:tcBorders>
                </w:tcPr>
                <w:p w14:paraId="028447B6" w14:textId="4637C988" w:rsidR="00007189" w:rsidRDefault="002935EF" w:rsidP="00E348A9">
                  <w:pPr>
                    <w:pStyle w:val="Figure"/>
                    <w:spacing w:before="60" w:after="60"/>
                  </w:pPr>
                  <w:r>
                    <w:rPr>
                      <w:noProof/>
                    </w:rPr>
                    <w:drawing>
                      <wp:inline distT="0" distB="0" distL="0" distR="0" wp14:anchorId="233CDE22" wp14:editId="507857C6">
                        <wp:extent cx="2527300" cy="2458720"/>
                        <wp:effectExtent l="0" t="0" r="6350" b="0"/>
                        <wp:docPr id="32" name="Picture 32" descr="This figure compares the shares of revenue and expenditure by Commonwealth and State and Territory governments in 2014 (in panel a) and 2060 (in panel b). Over the projection period to 2060, the balance of Australian and State and Territory government revenue and expenditure is projected to shift towards the State and Territory governments in both the 0.6 per cent (business-as-usual) and zero NOM scenar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27300" cy="2458720"/>
                                </a:xfrm>
                                <a:prstGeom prst="rect">
                                  <a:avLst/>
                                </a:prstGeom>
                                <a:noFill/>
                                <a:ln>
                                  <a:noFill/>
                                </a:ln>
                              </pic:spPr>
                            </pic:pic>
                          </a:graphicData>
                        </a:graphic>
                      </wp:inline>
                    </w:drawing>
                  </w:r>
                </w:p>
              </w:tc>
              <w:tc>
                <w:tcPr>
                  <w:tcW w:w="2500" w:type="pct"/>
                  <w:tcBorders>
                    <w:top w:val="nil"/>
                    <w:bottom w:val="nil"/>
                  </w:tcBorders>
                </w:tcPr>
                <w:p w14:paraId="028447B7" w14:textId="06878311" w:rsidR="00007189" w:rsidRDefault="002935EF" w:rsidP="001B5759">
                  <w:pPr>
                    <w:pStyle w:val="Figure"/>
                    <w:spacing w:before="60" w:after="60"/>
                  </w:pPr>
                  <w:r>
                    <w:rPr>
                      <w:noProof/>
                    </w:rPr>
                    <w:drawing>
                      <wp:inline distT="0" distB="0" distL="0" distR="0" wp14:anchorId="6313DC71" wp14:editId="5339636E">
                        <wp:extent cx="2527300" cy="2458720"/>
                        <wp:effectExtent l="0" t="0" r="6350" b="0"/>
                        <wp:docPr id="33" name="Picture 33" descr="This figure compares the shares of revenue and expenditure by Commonwealth and State and Territory governments in 2014 (in panel a) and 2060 (in panel b). Over the projection period to 2060, the balance of Australian and State and Territory government revenue and expenditure is projected to shift towards the State and Territory governments in both the 0.6 per cent (business-as-usual) and zero NOM scenar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527300" cy="2458720"/>
                                </a:xfrm>
                                <a:prstGeom prst="rect">
                                  <a:avLst/>
                                </a:prstGeom>
                                <a:noFill/>
                                <a:ln>
                                  <a:noFill/>
                                </a:ln>
                              </pic:spPr>
                            </pic:pic>
                          </a:graphicData>
                        </a:graphic>
                      </wp:inline>
                    </w:drawing>
                  </w:r>
                </w:p>
              </w:tc>
            </w:tr>
          </w:tbl>
          <w:p w14:paraId="028447B9" w14:textId="77777777" w:rsidR="00007189" w:rsidRDefault="00007189" w:rsidP="001B5759">
            <w:pPr>
              <w:pStyle w:val="Figure"/>
            </w:pPr>
          </w:p>
        </w:tc>
      </w:tr>
      <w:tr w:rsidR="00007189" w:rsidRPr="00176D3F" w14:paraId="028447BC" w14:textId="77777777" w:rsidTr="001B5759">
        <w:tc>
          <w:tcPr>
            <w:tcW w:w="8771" w:type="dxa"/>
            <w:tcBorders>
              <w:top w:val="nil"/>
              <w:left w:val="nil"/>
              <w:bottom w:val="nil"/>
              <w:right w:val="nil"/>
            </w:tcBorders>
            <w:shd w:val="clear" w:color="auto" w:fill="auto"/>
          </w:tcPr>
          <w:p w14:paraId="028447BB" w14:textId="2CAEFCD5" w:rsidR="00007189" w:rsidRPr="00CE3BC9" w:rsidRDefault="00007189" w:rsidP="00950507">
            <w:pPr>
              <w:pStyle w:val="Note"/>
            </w:pPr>
            <w:r>
              <w:rPr>
                <w:rStyle w:val="NoteLabel"/>
              </w:rPr>
              <w:t>a</w:t>
            </w:r>
            <w:r w:rsidR="00950507">
              <w:t> </w:t>
            </w:r>
            <w:r w:rsidRPr="00EC7905">
              <w:rPr>
                <w:lang w:val="en-US"/>
              </w:rPr>
              <w:t>Australian Government</w:t>
            </w:r>
            <w:r w:rsidRPr="00EC7905">
              <w:t xml:space="preserve">: </w:t>
            </w:r>
            <w:r w:rsidR="00950507">
              <w:rPr>
                <w:i/>
                <w:iCs/>
              </w:rPr>
              <w:t>Government Finance Statistics (</w:t>
            </w:r>
            <w:proofErr w:type="spellStart"/>
            <w:r w:rsidR="00950507">
              <w:rPr>
                <w:i/>
                <w:iCs/>
              </w:rPr>
              <w:t>GFS</w:t>
            </w:r>
            <w:proofErr w:type="spellEnd"/>
            <w:r w:rsidR="00950507">
              <w:rPr>
                <w:i/>
                <w:iCs/>
              </w:rPr>
              <w:t>)</w:t>
            </w:r>
            <w:r w:rsidRPr="00EC7905">
              <w:rPr>
                <w:i/>
                <w:iCs/>
              </w:rPr>
              <w:t xml:space="preserve"> Revenue</w:t>
            </w:r>
            <w:r w:rsidRPr="00EC7905">
              <w:t xml:space="preserve">. State, </w:t>
            </w:r>
            <w:r>
              <w:t>t</w:t>
            </w:r>
            <w:r w:rsidRPr="00EC7905">
              <w:t>erritory &amp; local:</w:t>
            </w:r>
            <w:r w:rsidRPr="00EC7905">
              <w:rPr>
                <w:i/>
                <w:iCs/>
              </w:rPr>
              <w:t xml:space="preserve"> </w:t>
            </w:r>
            <w:proofErr w:type="spellStart"/>
            <w:r w:rsidRPr="00EC7905">
              <w:rPr>
                <w:i/>
                <w:iCs/>
              </w:rPr>
              <w:t>GFS</w:t>
            </w:r>
            <w:proofErr w:type="spellEnd"/>
            <w:r w:rsidRPr="00EC7905">
              <w:rPr>
                <w:i/>
                <w:iCs/>
              </w:rPr>
              <w:t xml:space="preserve"> Revenue</w:t>
            </w:r>
            <w:r w:rsidRPr="00EC7905">
              <w:t xml:space="preserve"> less revenue from </w:t>
            </w:r>
            <w:r w:rsidRPr="00EC7905">
              <w:rPr>
                <w:i/>
                <w:iCs/>
              </w:rPr>
              <w:t>Current grants and subsidies</w:t>
            </w:r>
            <w:r>
              <w:t xml:space="preserve">. </w:t>
            </w:r>
            <w:r>
              <w:rPr>
                <w:rStyle w:val="NoteLabel"/>
              </w:rPr>
              <w:t>b</w:t>
            </w:r>
            <w:r w:rsidR="00950507">
              <w:t> </w:t>
            </w:r>
            <w:r>
              <w:t xml:space="preserve">Australian Government: </w:t>
            </w:r>
            <w:proofErr w:type="spellStart"/>
            <w:r>
              <w:rPr>
                <w:i/>
              </w:rPr>
              <w:t>GFS</w:t>
            </w:r>
            <w:proofErr w:type="spellEnd"/>
            <w:r>
              <w:rPr>
                <w:i/>
              </w:rPr>
              <w:t xml:space="preserve"> Expenses </w:t>
            </w:r>
            <w:r>
              <w:t xml:space="preserve">less revenue from </w:t>
            </w:r>
            <w:r>
              <w:rPr>
                <w:i/>
              </w:rPr>
              <w:t xml:space="preserve">Current grants and subsidies </w:t>
            </w:r>
            <w:r>
              <w:t xml:space="preserve">received by state, territory and local governments. State, territory &amp; local: </w:t>
            </w:r>
            <w:proofErr w:type="spellStart"/>
            <w:r>
              <w:rPr>
                <w:i/>
              </w:rPr>
              <w:t>GFS</w:t>
            </w:r>
            <w:proofErr w:type="spellEnd"/>
            <w:r>
              <w:rPr>
                <w:i/>
              </w:rPr>
              <w:t xml:space="preserve"> Expenses</w:t>
            </w:r>
            <w:r>
              <w:t xml:space="preserve">. </w:t>
            </w:r>
            <w:r>
              <w:rPr>
                <w:rStyle w:val="NoteLabel"/>
              </w:rPr>
              <w:t>c</w:t>
            </w:r>
            <w:r w:rsidR="00950507">
              <w:rPr>
                <w:rStyle w:val="NoteLabel"/>
              </w:rPr>
              <w:t> </w:t>
            </w:r>
            <w:r w:rsidR="00451951">
              <w:t>Includes</w:t>
            </w:r>
            <w:r w:rsidR="00451951" w:rsidRPr="005362DA">
              <w:t xml:space="preserve"> </w:t>
            </w:r>
            <w:r w:rsidRPr="005362DA">
              <w:t>the lump sum payment from household</w:t>
            </w:r>
            <w:r>
              <w:t>s</w:t>
            </w:r>
            <w:r w:rsidRPr="005362DA">
              <w:t xml:space="preserve"> to government</w:t>
            </w:r>
            <w:r>
              <w:t>s</w:t>
            </w:r>
            <w:r w:rsidRPr="005362DA">
              <w:t>.</w:t>
            </w:r>
          </w:p>
        </w:tc>
      </w:tr>
      <w:tr w:rsidR="00007189" w:rsidRPr="00176D3F" w14:paraId="028447BE" w14:textId="77777777" w:rsidTr="001B5759">
        <w:tc>
          <w:tcPr>
            <w:tcW w:w="8771" w:type="dxa"/>
            <w:tcBorders>
              <w:top w:val="nil"/>
              <w:left w:val="nil"/>
              <w:bottom w:val="nil"/>
              <w:right w:val="nil"/>
            </w:tcBorders>
            <w:shd w:val="clear" w:color="auto" w:fill="auto"/>
          </w:tcPr>
          <w:p w14:paraId="028447BD" w14:textId="73D5F504" w:rsidR="00007189" w:rsidRPr="00176D3F" w:rsidRDefault="00007189" w:rsidP="001B5759">
            <w:pPr>
              <w:pStyle w:val="Source"/>
            </w:pPr>
            <w:r>
              <w:rPr>
                <w:i/>
              </w:rPr>
              <w:t>S</w:t>
            </w:r>
            <w:r w:rsidRPr="00784A05">
              <w:rPr>
                <w:i/>
              </w:rPr>
              <w:t>ource</w:t>
            </w:r>
            <w:r w:rsidRPr="00176D3F">
              <w:t xml:space="preserve">: </w:t>
            </w:r>
            <w:r>
              <w:t xml:space="preserve">Productivity Commission </w:t>
            </w:r>
            <w:r w:rsidR="006A3E61">
              <w:t xml:space="preserve">projections </w:t>
            </w:r>
            <w:r>
              <w:t xml:space="preserve">based on </w:t>
            </w:r>
            <w:proofErr w:type="spellStart"/>
            <w:r>
              <w:t>VURM</w:t>
            </w:r>
            <w:proofErr w:type="spellEnd"/>
            <w:r>
              <w:noBreakHyphen/>
              <w:t>MI.</w:t>
            </w:r>
          </w:p>
        </w:tc>
      </w:tr>
      <w:tr w:rsidR="00007189" w14:paraId="028447C0" w14:textId="77777777" w:rsidTr="001B5759">
        <w:tc>
          <w:tcPr>
            <w:tcW w:w="8771" w:type="dxa"/>
            <w:tcBorders>
              <w:top w:val="nil"/>
              <w:left w:val="nil"/>
              <w:bottom w:val="single" w:sz="6" w:space="0" w:color="78A22F"/>
              <w:right w:val="nil"/>
            </w:tcBorders>
            <w:shd w:val="clear" w:color="auto" w:fill="auto"/>
          </w:tcPr>
          <w:p w14:paraId="028447BF" w14:textId="77777777" w:rsidR="00007189" w:rsidRDefault="00007189" w:rsidP="001B5759">
            <w:pPr>
              <w:pStyle w:val="Figurespace"/>
            </w:pPr>
          </w:p>
        </w:tc>
      </w:tr>
      <w:tr w:rsidR="00007189" w:rsidRPr="000863A5" w14:paraId="028447C2" w14:textId="77777777" w:rsidTr="001B5759">
        <w:tc>
          <w:tcPr>
            <w:tcW w:w="8771" w:type="dxa"/>
            <w:tcBorders>
              <w:top w:val="single" w:sz="6" w:space="0" w:color="78A22F"/>
              <w:left w:val="nil"/>
              <w:bottom w:val="nil"/>
              <w:right w:val="nil"/>
            </w:tcBorders>
          </w:tcPr>
          <w:p w14:paraId="028447C1" w14:textId="6CF114C0" w:rsidR="00007189" w:rsidRPr="00626D32" w:rsidRDefault="00007189" w:rsidP="001B5759">
            <w:pPr>
              <w:pStyle w:val="BoxSpaceBelow"/>
            </w:pPr>
          </w:p>
        </w:tc>
      </w:tr>
    </w:tbl>
    <w:p w14:paraId="028447C3" w14:textId="0800EA0D" w:rsidR="00007189" w:rsidRPr="001220FC" w:rsidRDefault="00007189" w:rsidP="00007189">
      <w:pPr>
        <w:pStyle w:val="BodyText"/>
        <w:rPr>
          <w:b/>
        </w:rPr>
      </w:pPr>
      <w:r>
        <w:t xml:space="preserve">Expenditure also shifts towards </w:t>
      </w:r>
      <w:r w:rsidR="00E55063">
        <w:t>state and territory governments</w:t>
      </w:r>
      <w:r>
        <w:t xml:space="preserve">. By 2060, </w:t>
      </w:r>
      <w:r w:rsidR="00E55063">
        <w:t>state and territory government</w:t>
      </w:r>
      <w:r w:rsidR="00E97037">
        <w:t xml:space="preserve"> </w:t>
      </w:r>
      <w:r>
        <w:t xml:space="preserve">expenditure shares are projected to increase by around </w:t>
      </w:r>
      <w:r w:rsidR="000B1FF8">
        <w:t>2 </w:t>
      </w:r>
      <w:r>
        <w:t xml:space="preserve">percentage points in both scenarios. This shift in expenditure shares is caused by a projected increase in </w:t>
      </w:r>
      <w:r w:rsidR="00E55063">
        <w:t xml:space="preserve">state and territory governments’ </w:t>
      </w:r>
      <w:r>
        <w:t>gross operating expenses (mainly expenditure on health and aged</w:t>
      </w:r>
      <w:r w:rsidR="00E4769E">
        <w:t xml:space="preserve"> </w:t>
      </w:r>
      <w:r>
        <w:t>care).</w:t>
      </w:r>
    </w:p>
    <w:p w14:paraId="028447C4" w14:textId="77777777" w:rsidR="00007189" w:rsidRDefault="00007189" w:rsidP="00007189">
      <w:pPr>
        <w:pStyle w:val="Heading3"/>
      </w:pPr>
      <w:r>
        <w:t>Increased infrastructure service provision</w:t>
      </w:r>
    </w:p>
    <w:p w14:paraId="7D7585A4" w14:textId="75247F5E" w:rsidR="000B1FF8" w:rsidRDefault="00007189" w:rsidP="000B1FF8">
      <w:pPr>
        <w:spacing w:before="240" w:line="300" w:lineRule="atLeast"/>
        <w:jc w:val="both"/>
        <w:rPr>
          <w:szCs w:val="20"/>
        </w:rPr>
      </w:pPr>
      <w:r>
        <w:t xml:space="preserve">A larger economy could be expected to be associated with higher levels of activity in infrastructure service provision, such as roads and utility services. Reflecting this, activity in </w:t>
      </w:r>
      <w:r w:rsidR="000B1FF8" w:rsidRPr="009D56D7">
        <w:rPr>
          <w:szCs w:val="20"/>
        </w:rPr>
        <w:t>electricity, gas, water and waste services</w:t>
      </w:r>
      <w:r w:rsidR="002E4B99">
        <w:t xml:space="preserve"> and domestically</w:t>
      </w:r>
      <w:r w:rsidR="002E4B99">
        <w:noBreakHyphen/>
      </w:r>
      <w:r>
        <w:t xml:space="preserve">oriented transport industries are projected to grow broadly in line with GDP in </w:t>
      </w:r>
      <w:r w:rsidR="00C5661A">
        <w:t>all</w:t>
      </w:r>
      <w:r>
        <w:t xml:space="preserve"> scenarios (figure </w:t>
      </w:r>
      <w:proofErr w:type="spellStart"/>
      <w:r w:rsidR="009233E1">
        <w:t>B</w:t>
      </w:r>
      <w:r>
        <w:t>.</w:t>
      </w:r>
      <w:r w:rsidR="000B1FF8">
        <w:t>1</w:t>
      </w:r>
      <w:r w:rsidR="00BA2FAA">
        <w:t>5</w:t>
      </w:r>
      <w:proofErr w:type="spellEnd"/>
      <w:r>
        <w:t>).</w:t>
      </w:r>
      <w:r w:rsidR="000B1FF8">
        <w:t xml:space="preserve"> </w:t>
      </w:r>
      <w:r w:rsidR="000B1FF8">
        <w:rPr>
          <w:szCs w:val="20"/>
        </w:rPr>
        <w:t>Specifically, t</w:t>
      </w:r>
      <w:r w:rsidR="000B1FF8" w:rsidRPr="00955957">
        <w:rPr>
          <w:szCs w:val="20"/>
        </w:rPr>
        <w:t xml:space="preserve">he expansion in labour supply through </w:t>
      </w:r>
      <w:r w:rsidR="000B1FF8" w:rsidRPr="00180CF7">
        <w:rPr>
          <w:szCs w:val="20"/>
        </w:rPr>
        <w:t>migration</w:t>
      </w:r>
      <w:r w:rsidR="000B1FF8" w:rsidRPr="00C97252">
        <w:rPr>
          <w:szCs w:val="20"/>
        </w:rPr>
        <w:t xml:space="preserve"> </w:t>
      </w:r>
      <w:r w:rsidR="000B1FF8" w:rsidRPr="00D10A23">
        <w:rPr>
          <w:szCs w:val="20"/>
        </w:rPr>
        <w:t>is projected to lead roughly to the same propor</w:t>
      </w:r>
      <w:r w:rsidR="000B1FF8">
        <w:rPr>
          <w:szCs w:val="20"/>
        </w:rPr>
        <w:t xml:space="preserve">tional growth in capital and </w:t>
      </w:r>
      <w:r w:rsidR="000B1FF8" w:rsidRPr="00D10A23">
        <w:rPr>
          <w:szCs w:val="20"/>
        </w:rPr>
        <w:t xml:space="preserve">output in most industries including </w:t>
      </w:r>
      <w:r w:rsidR="006011C8">
        <w:t>infrastructure industries.</w:t>
      </w:r>
    </w:p>
    <w:p w14:paraId="43B04462" w14:textId="415D0070" w:rsidR="00007189" w:rsidRDefault="00007189" w:rsidP="0000718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07189" w14:paraId="028447C9" w14:textId="77777777" w:rsidTr="001B5759">
        <w:tc>
          <w:tcPr>
            <w:tcW w:w="8771" w:type="dxa"/>
            <w:tcBorders>
              <w:top w:val="single" w:sz="6" w:space="0" w:color="78A22F"/>
              <w:left w:val="nil"/>
              <w:bottom w:val="nil"/>
              <w:right w:val="nil"/>
            </w:tcBorders>
            <w:shd w:val="clear" w:color="auto" w:fill="auto"/>
          </w:tcPr>
          <w:p w14:paraId="028447C7" w14:textId="5BA8612E" w:rsidR="00007189" w:rsidRDefault="00007189" w:rsidP="001B5759">
            <w:pPr>
              <w:pStyle w:val="FigureTitle"/>
            </w:pPr>
            <w:r w:rsidRPr="00784A05">
              <w:rPr>
                <w:b w:val="0"/>
              </w:rPr>
              <w:t xml:space="preserve">Figure </w:t>
            </w:r>
            <w:proofErr w:type="spellStart"/>
            <w:r w:rsidR="000C775F" w:rsidRPr="000C775F">
              <w:rPr>
                <w:b w:val="0"/>
              </w:rPr>
              <w:t>B</w:t>
            </w:r>
            <w:r w:rsidR="000C775F">
              <w:t>.</w:t>
            </w:r>
            <w:r w:rsidR="009015D8">
              <w:rPr>
                <w:b w:val="0"/>
                <w:noProof/>
              </w:rPr>
              <w:t>15</w:t>
            </w:r>
            <w:proofErr w:type="spellEnd"/>
            <w:r>
              <w:tab/>
            </w:r>
            <w:r w:rsidR="008F6A7D">
              <w:t xml:space="preserve">Higher </w:t>
            </w:r>
            <w:r w:rsidR="006509A8">
              <w:t xml:space="preserve">levels of </w:t>
            </w:r>
            <w:r w:rsidR="008F6A7D">
              <w:t xml:space="preserve">GDP </w:t>
            </w:r>
            <w:r w:rsidR="006509A8">
              <w:t>are</w:t>
            </w:r>
            <w:r w:rsidR="008F6A7D">
              <w:t xml:space="preserve"> projected to incr</w:t>
            </w:r>
            <w:r w:rsidR="00B300D4">
              <w:t>ease activity in infrastructure</w:t>
            </w:r>
            <w:r w:rsidR="00D607D1">
              <w:t xml:space="preserve"> industries</w:t>
            </w:r>
            <w:proofErr w:type="spellStart"/>
            <w:r w:rsidR="00D607D1" w:rsidRPr="00BF16A9">
              <w:rPr>
                <w:rStyle w:val="NoteLabel"/>
                <w:b/>
              </w:rPr>
              <w:t>a</w:t>
            </w:r>
            <w:r w:rsidR="00232756" w:rsidRPr="00BF16A9">
              <w:rPr>
                <w:rStyle w:val="NoteLabel"/>
                <w:b/>
              </w:rPr>
              <w:t>,b</w:t>
            </w:r>
            <w:proofErr w:type="spellEnd"/>
          </w:p>
          <w:p w14:paraId="028447C8" w14:textId="1420D4B9" w:rsidR="00007189" w:rsidRPr="00176D3F" w:rsidRDefault="00B300D4" w:rsidP="00D607D1">
            <w:pPr>
              <w:pStyle w:val="Subtitle"/>
            </w:pPr>
            <w:r>
              <w:t>R</w:t>
            </w:r>
            <w:r w:rsidR="00007189">
              <w:t>eal industry gross value added</w:t>
            </w:r>
            <w:r w:rsidR="00D607D1">
              <w:t>, 2060</w:t>
            </w:r>
          </w:p>
        </w:tc>
      </w:tr>
      <w:tr w:rsidR="00007189" w14:paraId="028447CD" w14:textId="77777777" w:rsidTr="001B5759">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007189" w14:paraId="028447CB" w14:textId="77777777" w:rsidTr="00C061C9">
              <w:trPr>
                <w:jc w:val="center"/>
              </w:trPr>
              <w:tc>
                <w:tcPr>
                  <w:tcW w:w="8504" w:type="dxa"/>
                  <w:tcBorders>
                    <w:top w:val="nil"/>
                    <w:bottom w:val="nil"/>
                  </w:tcBorders>
                </w:tcPr>
                <w:p w14:paraId="028447CA" w14:textId="77DAA098" w:rsidR="00007189" w:rsidRDefault="002935EF" w:rsidP="001B5759">
                  <w:pPr>
                    <w:pStyle w:val="Figure"/>
                    <w:spacing w:before="60" w:after="60"/>
                  </w:pPr>
                  <w:r>
                    <w:rPr>
                      <w:noProof/>
                    </w:rPr>
                    <w:drawing>
                      <wp:inline distT="0" distB="0" distL="0" distR="0" wp14:anchorId="5183A789" wp14:editId="09F2D29A">
                        <wp:extent cx="5270500" cy="2795270"/>
                        <wp:effectExtent l="0" t="0" r="6350" b="5080"/>
                        <wp:docPr id="34" name="Picture 34" descr="This figure shows the 2060 index value for real GDP and real value added for two infrastructure industry groupings (utilities and transport) for the four main scenarios (zero, 0.3 per cent, 0.6 per cent and 1 per cent NOM). The figure shows that the higher the rate of NOM, the higher the expansion in GDP and consequently the larger the expansion in infrastructure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70500" cy="2795270"/>
                                </a:xfrm>
                                <a:prstGeom prst="rect">
                                  <a:avLst/>
                                </a:prstGeom>
                                <a:noFill/>
                                <a:ln>
                                  <a:noFill/>
                                </a:ln>
                              </pic:spPr>
                            </pic:pic>
                          </a:graphicData>
                        </a:graphic>
                      </wp:inline>
                    </w:drawing>
                  </w:r>
                </w:p>
              </w:tc>
            </w:tr>
          </w:tbl>
          <w:p w14:paraId="028447CC" w14:textId="77777777" w:rsidR="00007189" w:rsidRDefault="00007189" w:rsidP="001B5759">
            <w:pPr>
              <w:pStyle w:val="Figure"/>
            </w:pPr>
          </w:p>
        </w:tc>
      </w:tr>
      <w:tr w:rsidR="00007189" w:rsidRPr="00176D3F" w14:paraId="028447CF" w14:textId="77777777" w:rsidTr="001B5759">
        <w:tc>
          <w:tcPr>
            <w:tcW w:w="8771" w:type="dxa"/>
            <w:tcBorders>
              <w:top w:val="nil"/>
              <w:left w:val="nil"/>
              <w:bottom w:val="nil"/>
              <w:right w:val="nil"/>
            </w:tcBorders>
            <w:shd w:val="clear" w:color="auto" w:fill="auto"/>
          </w:tcPr>
          <w:p w14:paraId="028447CE" w14:textId="0148B36D" w:rsidR="00007189" w:rsidRPr="00176D3F" w:rsidRDefault="00007189" w:rsidP="00232756">
            <w:pPr>
              <w:pStyle w:val="Note"/>
            </w:pPr>
            <w:r>
              <w:rPr>
                <w:rStyle w:val="NoteLabel"/>
              </w:rPr>
              <w:t>a</w:t>
            </w:r>
            <w:r w:rsidR="00B300D4">
              <w:t> </w:t>
            </w:r>
            <w:r w:rsidR="008F6A7D">
              <w:t xml:space="preserve">Utilities </w:t>
            </w:r>
            <w:r w:rsidR="003E289A">
              <w:t>is the</w:t>
            </w:r>
            <w:r w:rsidR="003E289A" w:rsidRPr="005F40CC">
              <w:t xml:space="preserve"> </w:t>
            </w:r>
            <w:r w:rsidR="002E4B99">
              <w:t xml:space="preserve">electricity </w:t>
            </w:r>
            <w:r w:rsidR="00B300D4">
              <w:t xml:space="preserve">supply, </w:t>
            </w:r>
            <w:r w:rsidR="002E4B99">
              <w:t xml:space="preserve">gas supply, water and drainage services and waste </w:t>
            </w:r>
            <w:r w:rsidR="00B300D4">
              <w:t>collection and treatment</w:t>
            </w:r>
            <w:r w:rsidR="003E289A">
              <w:t xml:space="preserve"> industries</w:t>
            </w:r>
            <w:r w:rsidR="008F6A7D" w:rsidRPr="005F40CC">
              <w:t>.</w:t>
            </w:r>
            <w:r w:rsidR="003E289A">
              <w:t xml:space="preserve"> </w:t>
            </w:r>
            <w:r w:rsidR="00232756">
              <w:rPr>
                <w:rStyle w:val="NoteLabel"/>
              </w:rPr>
              <w:t>b</w:t>
            </w:r>
            <w:r w:rsidR="00232756">
              <w:t> </w:t>
            </w:r>
            <w:r w:rsidR="003E289A">
              <w:t xml:space="preserve">Transport is the </w:t>
            </w:r>
            <w:r w:rsidR="002E4B99">
              <w:t xml:space="preserve">road freight services, road passenger services, rail freight services, rail passenger services, pipeline </w:t>
            </w:r>
            <w:r w:rsidR="003E289A">
              <w:t xml:space="preserve">services, </w:t>
            </w:r>
            <w:r w:rsidR="002E4B99">
              <w:t xml:space="preserve">water transport </w:t>
            </w:r>
            <w:r w:rsidR="003E289A">
              <w:t xml:space="preserve">services, </w:t>
            </w:r>
            <w:r w:rsidR="002E4B99">
              <w:t>air transport</w:t>
            </w:r>
            <w:r w:rsidR="003E289A">
              <w:t xml:space="preserve"> services and </w:t>
            </w:r>
            <w:r w:rsidR="002E4B99">
              <w:t xml:space="preserve">courier </w:t>
            </w:r>
            <w:r w:rsidR="003E289A">
              <w:t>and other transport services industries.</w:t>
            </w:r>
          </w:p>
        </w:tc>
      </w:tr>
      <w:tr w:rsidR="00007189" w:rsidRPr="00176D3F" w14:paraId="028447D1" w14:textId="77777777" w:rsidTr="001B5759">
        <w:tc>
          <w:tcPr>
            <w:tcW w:w="8771" w:type="dxa"/>
            <w:tcBorders>
              <w:top w:val="nil"/>
              <w:left w:val="nil"/>
              <w:bottom w:val="nil"/>
              <w:right w:val="nil"/>
            </w:tcBorders>
            <w:shd w:val="clear" w:color="auto" w:fill="auto"/>
          </w:tcPr>
          <w:p w14:paraId="028447D0" w14:textId="26BA99CD" w:rsidR="00007189" w:rsidRPr="00176D3F" w:rsidRDefault="00007189" w:rsidP="001B5759">
            <w:pPr>
              <w:pStyle w:val="Source"/>
            </w:pPr>
            <w:r>
              <w:rPr>
                <w:i/>
              </w:rPr>
              <w:t>S</w:t>
            </w:r>
            <w:r w:rsidRPr="00784A05">
              <w:rPr>
                <w:i/>
              </w:rPr>
              <w:t>ource</w:t>
            </w:r>
            <w:r w:rsidRPr="00176D3F">
              <w:t xml:space="preserve">: </w:t>
            </w:r>
            <w:r>
              <w:t xml:space="preserve">Productivity Commission </w:t>
            </w:r>
            <w:r w:rsidR="006A3E61">
              <w:t xml:space="preserve">projections </w:t>
            </w:r>
            <w:r>
              <w:t xml:space="preserve">based on </w:t>
            </w:r>
            <w:proofErr w:type="spellStart"/>
            <w:r>
              <w:t>VURM</w:t>
            </w:r>
            <w:proofErr w:type="spellEnd"/>
            <w:r>
              <w:noBreakHyphen/>
              <w:t>MI.</w:t>
            </w:r>
          </w:p>
        </w:tc>
      </w:tr>
      <w:tr w:rsidR="00007189" w14:paraId="028447D3" w14:textId="77777777" w:rsidTr="001B5759">
        <w:tc>
          <w:tcPr>
            <w:tcW w:w="8771" w:type="dxa"/>
            <w:tcBorders>
              <w:top w:val="nil"/>
              <w:left w:val="nil"/>
              <w:bottom w:val="single" w:sz="6" w:space="0" w:color="78A22F"/>
              <w:right w:val="nil"/>
            </w:tcBorders>
            <w:shd w:val="clear" w:color="auto" w:fill="auto"/>
          </w:tcPr>
          <w:p w14:paraId="028447D2" w14:textId="77777777" w:rsidR="00007189" w:rsidRDefault="00007189" w:rsidP="001B5759">
            <w:pPr>
              <w:pStyle w:val="Figurespace"/>
            </w:pPr>
          </w:p>
        </w:tc>
      </w:tr>
      <w:tr w:rsidR="00007189" w:rsidRPr="000863A5" w14:paraId="028447D5" w14:textId="77777777" w:rsidTr="001B5759">
        <w:tc>
          <w:tcPr>
            <w:tcW w:w="8771" w:type="dxa"/>
            <w:tcBorders>
              <w:top w:val="single" w:sz="6" w:space="0" w:color="78A22F"/>
              <w:left w:val="nil"/>
              <w:bottom w:val="nil"/>
              <w:right w:val="nil"/>
            </w:tcBorders>
          </w:tcPr>
          <w:p w14:paraId="028447D4" w14:textId="7B1A0142" w:rsidR="00007189" w:rsidRPr="00626D32" w:rsidRDefault="00007189" w:rsidP="001B5759">
            <w:pPr>
              <w:pStyle w:val="BoxSpaceBelow"/>
            </w:pPr>
          </w:p>
        </w:tc>
      </w:tr>
    </w:tbl>
    <w:p w14:paraId="028447D6" w14:textId="77777777" w:rsidR="00007189" w:rsidRDefault="00007189" w:rsidP="00007189">
      <w:pPr>
        <w:pStyle w:val="Heading3"/>
      </w:pPr>
      <w:r>
        <w:t>Real wages and the effects of migration</w:t>
      </w:r>
    </w:p>
    <w:p w14:paraId="048631A4" w14:textId="165E2E77" w:rsidR="00B300D4" w:rsidRDefault="00007189" w:rsidP="00007189">
      <w:pPr>
        <w:pStyle w:val="BodyText"/>
      </w:pPr>
      <w:r w:rsidRPr="004A5412">
        <w:t xml:space="preserve">Population ageing is projected to place additional demands on </w:t>
      </w:r>
      <w:r>
        <w:t>labour</w:t>
      </w:r>
      <w:r w:rsidRPr="004A5412">
        <w:t xml:space="preserve">, placing upward pressures on real wages, particularly </w:t>
      </w:r>
      <w:r>
        <w:t>with the expansion of</w:t>
      </w:r>
      <w:r w:rsidRPr="004A5412">
        <w:t xml:space="preserve"> industri</w:t>
      </w:r>
      <w:r w:rsidR="00B300D4">
        <w:t>es servicing older Australians.</w:t>
      </w:r>
    </w:p>
    <w:p w14:paraId="028447D8" w14:textId="6D863B1D" w:rsidR="00007189" w:rsidRDefault="00007189" w:rsidP="00007189">
      <w:pPr>
        <w:pStyle w:val="BodyText"/>
      </w:pPr>
      <w:r>
        <w:t>L</w:t>
      </w:r>
      <w:r w:rsidRPr="004A5412">
        <w:t xml:space="preserve">owering the </w:t>
      </w:r>
      <w:r w:rsidR="002546F8">
        <w:t xml:space="preserve">average </w:t>
      </w:r>
      <w:r>
        <w:t xml:space="preserve">age </w:t>
      </w:r>
      <w:r w:rsidR="002546F8">
        <w:t>of the population through</w:t>
      </w:r>
      <w:r w:rsidRPr="004A5412">
        <w:t xml:space="preserve"> net migration moderate</w:t>
      </w:r>
      <w:r>
        <w:t>s</w:t>
      </w:r>
      <w:r w:rsidRPr="004A5412">
        <w:t xml:space="preserve"> such pressures — by </w:t>
      </w:r>
      <w:r>
        <w:t>around 7</w:t>
      </w:r>
      <w:r w:rsidRPr="004A5412">
        <w:t> per</w:t>
      </w:r>
      <w:r w:rsidR="000B0B86">
        <w:t> </w:t>
      </w:r>
      <w:r w:rsidRPr="004A5412">
        <w:t>cent by 2060</w:t>
      </w:r>
      <w:r>
        <w:t xml:space="preserve"> in the </w:t>
      </w:r>
      <w:r w:rsidR="00B94908">
        <w:t>1 per cent</w:t>
      </w:r>
      <w:r w:rsidR="00C5661A">
        <w:t xml:space="preserve"> </w:t>
      </w:r>
      <w:r>
        <w:t>NOM scenario relative to the business</w:t>
      </w:r>
      <w:r w:rsidR="00965C12">
        <w:t>-</w:t>
      </w:r>
      <w:r>
        <w:t>as</w:t>
      </w:r>
      <w:r w:rsidR="00965C12">
        <w:t>-</w:t>
      </w:r>
      <w:r>
        <w:t>usual scenario</w:t>
      </w:r>
      <w:r w:rsidR="002546F8">
        <w:t xml:space="preserve"> (table </w:t>
      </w:r>
      <w:proofErr w:type="spellStart"/>
      <w:r w:rsidR="002546F8">
        <w:t>B.4</w:t>
      </w:r>
      <w:proofErr w:type="spellEnd"/>
      <w:r w:rsidR="002546F8">
        <w:t>)</w:t>
      </w:r>
      <w:r>
        <w:t xml:space="preserve">. In contrast, lower net migration raises the </w:t>
      </w:r>
      <w:r w:rsidR="003357D2">
        <w:t xml:space="preserve">average </w:t>
      </w:r>
      <w:r>
        <w:t>age and results in higher wages. The national real consumer wage is 15 per</w:t>
      </w:r>
      <w:r w:rsidR="000B0B86">
        <w:t> </w:t>
      </w:r>
      <w:r>
        <w:t>cent higher under the zero NOM scenario than in the business</w:t>
      </w:r>
      <w:r w:rsidR="00965C12">
        <w:t>-</w:t>
      </w:r>
      <w:r>
        <w:t>as</w:t>
      </w:r>
      <w:r w:rsidR="00965C12">
        <w:t>-</w:t>
      </w:r>
      <w:r>
        <w:t>usual scenario by 2060</w:t>
      </w:r>
      <w:r w:rsidRPr="004A5412">
        <w:t xml:space="preserve">. </w:t>
      </w:r>
      <w:r>
        <w:t>While immigration is projected to reduce the extent of real wages growth to 2060, it is important to note that real wages rise substantially over the perio</w:t>
      </w:r>
      <w:r w:rsidR="00C5661A">
        <w:t>d</w:t>
      </w:r>
      <w:r w:rsidR="00B656FE">
        <w:t xml:space="preserve"> in all sce</w:t>
      </w:r>
      <w:r w:rsidR="009E7932">
        <w:t>n</w:t>
      </w:r>
      <w:r w:rsidR="00B656FE">
        <w:t>arios</w:t>
      </w:r>
      <w:r>
        <w:t xml:space="preserve"> (table </w:t>
      </w:r>
      <w:proofErr w:type="spellStart"/>
      <w:r w:rsidR="00C5661A">
        <w:t>B</w:t>
      </w:r>
      <w:r>
        <w:t>.</w:t>
      </w:r>
      <w:r w:rsidR="002546F8">
        <w:t>4</w:t>
      </w:r>
      <w:proofErr w:type="spellEnd"/>
      <w:r>
        <w:t>).</w:t>
      </w:r>
      <w:r w:rsidRPr="003D567A">
        <w:rPr>
          <w:rStyle w:val="FootnoteReference"/>
        </w:rPr>
        <w:footnoteReference w:id="14"/>
      </w:r>
    </w:p>
    <w:p w14:paraId="028447D9" w14:textId="6477805A" w:rsidR="00007189" w:rsidRDefault="00007189" w:rsidP="00007189">
      <w:pPr>
        <w:pStyle w:val="BodyText"/>
      </w:pPr>
      <w:r>
        <w:lastRenderedPageBreak/>
        <w:t>The higher growth in the service industries is projected to place substantial upward pressure on the professional and community and personal service wages (figure </w:t>
      </w:r>
      <w:proofErr w:type="spellStart"/>
      <w:r w:rsidR="00841DB1">
        <w:t>B</w:t>
      </w:r>
      <w:r>
        <w:t>.1</w:t>
      </w:r>
      <w:r w:rsidR="001800B2">
        <w:t>6</w:t>
      </w:r>
      <w:proofErr w:type="spellEnd"/>
      <w:r>
        <w:t>).</w:t>
      </w:r>
    </w:p>
    <w:p w14:paraId="028447DA" w14:textId="279E55C2" w:rsidR="00007189" w:rsidRDefault="00007189" w:rsidP="0000718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07189" w14:paraId="028447DD" w14:textId="77777777" w:rsidTr="001B5759">
        <w:tc>
          <w:tcPr>
            <w:tcW w:w="8771" w:type="dxa"/>
            <w:tcBorders>
              <w:top w:val="single" w:sz="6" w:space="0" w:color="78A22F"/>
              <w:left w:val="nil"/>
              <w:bottom w:val="nil"/>
              <w:right w:val="nil"/>
            </w:tcBorders>
            <w:shd w:val="clear" w:color="auto" w:fill="auto"/>
          </w:tcPr>
          <w:p w14:paraId="028447DB" w14:textId="30BB96BF" w:rsidR="00007189" w:rsidRDefault="00007189" w:rsidP="001B5759">
            <w:pPr>
              <w:pStyle w:val="FigureTitle"/>
            </w:pPr>
            <w:r w:rsidRPr="00784A05">
              <w:rPr>
                <w:b w:val="0"/>
              </w:rPr>
              <w:t xml:space="preserve">Figure </w:t>
            </w:r>
            <w:proofErr w:type="spellStart"/>
            <w:r w:rsidR="000C775F" w:rsidRPr="000C775F">
              <w:rPr>
                <w:b w:val="0"/>
              </w:rPr>
              <w:t>B</w:t>
            </w:r>
            <w:r w:rsidR="000C775F">
              <w:t>.</w:t>
            </w:r>
            <w:r w:rsidR="009015D8">
              <w:rPr>
                <w:b w:val="0"/>
                <w:noProof/>
              </w:rPr>
              <w:t>16</w:t>
            </w:r>
            <w:proofErr w:type="spellEnd"/>
            <w:r>
              <w:tab/>
            </w:r>
            <w:r w:rsidR="00D92D0B">
              <w:t>Projected r</w:t>
            </w:r>
            <w:r>
              <w:t>eal wage</w:t>
            </w:r>
            <w:r w:rsidR="00D92D0B">
              <w:t>s by occupation</w:t>
            </w:r>
            <w:r w:rsidR="002F225E">
              <w:t>,</w:t>
            </w:r>
            <w:r w:rsidR="00933D44">
              <w:t xml:space="preserve"> 20</w:t>
            </w:r>
            <w:r w:rsidR="002F225E">
              <w:t>60</w:t>
            </w:r>
          </w:p>
          <w:p w14:paraId="028447DC" w14:textId="378B7EA7" w:rsidR="00007189" w:rsidRPr="00176D3F" w:rsidRDefault="002F225E" w:rsidP="001B5759">
            <w:pPr>
              <w:pStyle w:val="Subtitle"/>
            </w:pPr>
            <w:r>
              <w:t>Index (2014 = 100)</w:t>
            </w:r>
          </w:p>
        </w:tc>
      </w:tr>
      <w:tr w:rsidR="00007189" w14:paraId="028447E1" w14:textId="77777777" w:rsidTr="001B5759">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tblCellMar>
              <w:tblLook w:val="0000" w:firstRow="0" w:lastRow="0" w:firstColumn="0" w:lastColumn="0" w:noHBand="0" w:noVBand="0"/>
            </w:tblPr>
            <w:tblGrid>
              <w:gridCol w:w="8504"/>
            </w:tblGrid>
            <w:tr w:rsidR="00007189" w14:paraId="028447DF" w14:textId="77777777" w:rsidTr="0074379E">
              <w:trPr>
                <w:jc w:val="center"/>
              </w:trPr>
              <w:tc>
                <w:tcPr>
                  <w:tcW w:w="8504" w:type="dxa"/>
                  <w:tcBorders>
                    <w:top w:val="nil"/>
                    <w:bottom w:val="nil"/>
                  </w:tcBorders>
                </w:tcPr>
                <w:p w14:paraId="028447DE" w14:textId="5CD75BE9" w:rsidR="00007189" w:rsidRDefault="002935EF" w:rsidP="001B5759">
                  <w:pPr>
                    <w:pStyle w:val="Figure"/>
                    <w:spacing w:before="60" w:after="60"/>
                  </w:pPr>
                  <w:r>
                    <w:rPr>
                      <w:noProof/>
                    </w:rPr>
                    <w:drawing>
                      <wp:inline distT="0" distB="0" distL="0" distR="0" wp14:anchorId="31509C5F" wp14:editId="2F8A91F8">
                        <wp:extent cx="5184775" cy="2837815"/>
                        <wp:effectExtent l="0" t="0" r="0" b="635"/>
                        <wp:docPr id="35" name="Picture 35" descr="This figure shows the real (after-tax) wage by occupation in 2060 for the 0.6% NOM (business as usual) scenario and the zero NOM scenario. The wage in 2060 is shown as an index with 2014 equal to 100. The professionals and community and personal service occupations are projected to have the highest wage growth over time in both scenarios. Higher rates of labour force participation in the business as usual scenario is projected to moderate wage pressures in these two occupations. Real wages are projected to be broadly similar under both scenarios for other occup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184775" cy="2837815"/>
                                </a:xfrm>
                                <a:prstGeom prst="rect">
                                  <a:avLst/>
                                </a:prstGeom>
                                <a:noFill/>
                                <a:ln>
                                  <a:noFill/>
                                </a:ln>
                              </pic:spPr>
                            </pic:pic>
                          </a:graphicData>
                        </a:graphic>
                      </wp:inline>
                    </w:drawing>
                  </w:r>
                </w:p>
              </w:tc>
            </w:tr>
          </w:tbl>
          <w:p w14:paraId="028447E0" w14:textId="77777777" w:rsidR="00007189" w:rsidRDefault="00007189" w:rsidP="001B5759">
            <w:pPr>
              <w:pStyle w:val="Figure"/>
            </w:pPr>
          </w:p>
        </w:tc>
      </w:tr>
      <w:tr w:rsidR="00007189" w:rsidRPr="00176D3F" w14:paraId="028447E3" w14:textId="77777777" w:rsidTr="001B5759">
        <w:tc>
          <w:tcPr>
            <w:tcW w:w="8771" w:type="dxa"/>
            <w:tcBorders>
              <w:top w:val="nil"/>
              <w:left w:val="nil"/>
              <w:bottom w:val="nil"/>
              <w:right w:val="nil"/>
            </w:tcBorders>
            <w:shd w:val="clear" w:color="auto" w:fill="auto"/>
          </w:tcPr>
          <w:p w14:paraId="028447E2" w14:textId="4D14CFD8" w:rsidR="00007189" w:rsidRPr="00176D3F" w:rsidRDefault="00007189" w:rsidP="001B5759">
            <w:pPr>
              <w:pStyle w:val="Source"/>
            </w:pPr>
            <w:r>
              <w:rPr>
                <w:i/>
              </w:rPr>
              <w:t>S</w:t>
            </w:r>
            <w:r w:rsidRPr="00784A05">
              <w:rPr>
                <w:i/>
              </w:rPr>
              <w:t>ource</w:t>
            </w:r>
            <w:r w:rsidRPr="00176D3F">
              <w:t xml:space="preserve">: </w:t>
            </w:r>
            <w:r>
              <w:t xml:space="preserve">Productivity Commission </w:t>
            </w:r>
            <w:r w:rsidR="006A3E61">
              <w:t xml:space="preserve">projections </w:t>
            </w:r>
            <w:r>
              <w:t xml:space="preserve">based on </w:t>
            </w:r>
            <w:proofErr w:type="spellStart"/>
            <w:r>
              <w:t>VURM</w:t>
            </w:r>
            <w:proofErr w:type="spellEnd"/>
            <w:r>
              <w:noBreakHyphen/>
              <w:t>MI.</w:t>
            </w:r>
          </w:p>
        </w:tc>
      </w:tr>
      <w:tr w:rsidR="00007189" w14:paraId="028447E5" w14:textId="77777777" w:rsidTr="001B5759">
        <w:tc>
          <w:tcPr>
            <w:tcW w:w="8771" w:type="dxa"/>
            <w:tcBorders>
              <w:top w:val="nil"/>
              <w:left w:val="nil"/>
              <w:bottom w:val="single" w:sz="6" w:space="0" w:color="78A22F"/>
              <w:right w:val="nil"/>
            </w:tcBorders>
            <w:shd w:val="clear" w:color="auto" w:fill="auto"/>
          </w:tcPr>
          <w:p w14:paraId="028447E4" w14:textId="77777777" w:rsidR="00007189" w:rsidRDefault="00007189" w:rsidP="001B5759">
            <w:pPr>
              <w:pStyle w:val="Figurespace"/>
            </w:pPr>
          </w:p>
        </w:tc>
      </w:tr>
      <w:tr w:rsidR="00007189" w:rsidRPr="000863A5" w14:paraId="028447E7" w14:textId="77777777" w:rsidTr="001B5759">
        <w:tc>
          <w:tcPr>
            <w:tcW w:w="8771" w:type="dxa"/>
            <w:tcBorders>
              <w:top w:val="single" w:sz="6" w:space="0" w:color="78A22F"/>
              <w:left w:val="nil"/>
              <w:bottom w:val="nil"/>
              <w:right w:val="nil"/>
            </w:tcBorders>
          </w:tcPr>
          <w:p w14:paraId="028447E6" w14:textId="0C88E6F8" w:rsidR="00007189" w:rsidRPr="00626D32" w:rsidRDefault="00007189" w:rsidP="001B5759">
            <w:pPr>
              <w:pStyle w:val="BoxSpaceBelow"/>
            </w:pPr>
          </w:p>
        </w:tc>
      </w:tr>
    </w:tbl>
    <w:p w14:paraId="028447E8" w14:textId="77777777" w:rsidR="00007189" w:rsidRPr="00292A8F" w:rsidRDefault="00007189" w:rsidP="00007189">
      <w:pPr>
        <w:pStyle w:val="BodyText"/>
      </w:pPr>
      <w:r>
        <w:t>W</w:t>
      </w:r>
      <w:r w:rsidRPr="004A5412">
        <w:t xml:space="preserve">age pressures </w:t>
      </w:r>
      <w:r>
        <w:t>are moderated</w:t>
      </w:r>
      <w:r w:rsidRPr="004A5412">
        <w:t xml:space="preserve"> in the areas where the immigrant </w:t>
      </w:r>
      <w:r>
        <w:t>labour force</w:t>
      </w:r>
      <w:r w:rsidRPr="004A5412">
        <w:t xml:space="preserve"> is most represented — the professions</w:t>
      </w:r>
      <w:r>
        <w:t xml:space="preserve"> and </w:t>
      </w:r>
      <w:r w:rsidRPr="004A5412">
        <w:t xml:space="preserve">community services workers and labourers. </w:t>
      </w:r>
      <w:r>
        <w:t>These wage effects are mainly influenced by the growth in industries and their labour forces and the movement of people between occupations in response to relative wage differentials.</w:t>
      </w:r>
    </w:p>
    <w:p w14:paraId="0D67313A" w14:textId="398683EF" w:rsidR="00007189" w:rsidRDefault="00007189" w:rsidP="00007189">
      <w:pPr>
        <w:pStyle w:val="BodyText"/>
      </w:pPr>
      <w:r w:rsidRPr="00292A8F">
        <w:t xml:space="preserve">Real wages are projected to be broadly similar under </w:t>
      </w:r>
      <w:r>
        <w:t>all</w:t>
      </w:r>
      <w:r w:rsidRPr="00292A8F">
        <w:t xml:space="preserve"> scenarios in 2060 for sales workers and machinery operators and drivers. These occupations are concentrated in retail and wholesale trade,</w:t>
      </w:r>
      <w:r>
        <w:t xml:space="preserve"> and road freight transport. There are relatively limited opportunities for re</w:t>
      </w:r>
      <w:r>
        <w:noBreakHyphen/>
        <w:t>employment in the same occupation in other industries. Adding new labour through immigration into these activities, therefore, is projected to lead to a relocation of workers to other occupations and industries in response to real wage differentials.</w:t>
      </w:r>
    </w:p>
    <w:p w14:paraId="26B48A3B" w14:textId="18382FDC" w:rsidR="00B33DF9" w:rsidRDefault="00B33DF9" w:rsidP="00B33DF9">
      <w:pPr>
        <w:pStyle w:val="Heading3"/>
      </w:pPr>
      <w:r>
        <w:t>How sensitive are the projections to the assumed age profile of NOM?</w:t>
      </w:r>
    </w:p>
    <w:p w14:paraId="3DA0F822" w14:textId="3ED49B08" w:rsidR="00B33DF9" w:rsidRDefault="004F5967" w:rsidP="00B33DF9">
      <w:pPr>
        <w:pStyle w:val="BodyText"/>
      </w:pPr>
      <w:r>
        <w:t>The age profile of NOM in the business</w:t>
      </w:r>
      <w:r w:rsidR="00965C12">
        <w:t>-</w:t>
      </w:r>
      <w:r>
        <w:t>as</w:t>
      </w:r>
      <w:r w:rsidR="00965C12">
        <w:t>-</w:t>
      </w:r>
      <w:r>
        <w:t xml:space="preserve">usual scenario is assumed to be that of the migrant intake of 2014. Sensitivity analysis has been undertaken to illustrate the implications of this assumption for GDP per person. </w:t>
      </w:r>
      <w:r w:rsidR="00B33DF9">
        <w:t>In the sensitivity test, NOM is assumed to have the age profile of the broader Australian population.</w:t>
      </w:r>
      <w:r>
        <w:t xml:space="preserve"> </w:t>
      </w:r>
      <w:r w:rsidR="007C014B">
        <w:t>B</w:t>
      </w:r>
      <w:r>
        <w:t>ut the rate of NOM and all other assumptions are identical to that of the business</w:t>
      </w:r>
      <w:r w:rsidR="00965C12">
        <w:t>-</w:t>
      </w:r>
      <w:r>
        <w:t>as</w:t>
      </w:r>
      <w:r w:rsidR="00965C12">
        <w:t>-</w:t>
      </w:r>
      <w:r>
        <w:t>usual scenario.</w:t>
      </w:r>
    </w:p>
    <w:p w14:paraId="77F656CD" w14:textId="06DD4D2F" w:rsidR="00DA0B1A" w:rsidRDefault="00692F39" w:rsidP="00DA0B1A">
      <w:pPr>
        <w:pStyle w:val="BodyText"/>
      </w:pPr>
      <w:r>
        <w:lastRenderedPageBreak/>
        <w:t xml:space="preserve">In the age sensitivity scenario, the participation of the population in employment is lower than in the </w:t>
      </w:r>
      <w:r w:rsidR="00EF58F8">
        <w:t>business-as-usual</w:t>
      </w:r>
      <w:r>
        <w:t xml:space="preserve"> case where the current (young</w:t>
      </w:r>
      <w:r w:rsidR="002714E3">
        <w:t>er</w:t>
      </w:r>
      <w:r>
        <w:t>) age structure of the migrant intake is modelled.</w:t>
      </w:r>
      <w:r w:rsidR="004E03B1">
        <w:t xml:space="preserve"> </w:t>
      </w:r>
      <w:r w:rsidR="007C014B">
        <w:t>Without the younger migrant intake, GDP per person is projected to be 8 per</w:t>
      </w:r>
      <w:r w:rsidR="0055172B">
        <w:t> </w:t>
      </w:r>
      <w:r w:rsidR="007C014B">
        <w:t>cent lower than the business</w:t>
      </w:r>
      <w:r w:rsidR="00965C12">
        <w:t>-</w:t>
      </w:r>
      <w:r w:rsidR="007C014B">
        <w:t>as</w:t>
      </w:r>
      <w:r w:rsidR="00965C12">
        <w:t>-</w:t>
      </w:r>
      <w:r w:rsidR="007C014B">
        <w:t>usual scenario by 2060</w:t>
      </w:r>
      <w:r w:rsidR="00B33DF9">
        <w:t xml:space="preserve"> (figure </w:t>
      </w:r>
      <w:proofErr w:type="spellStart"/>
      <w:r w:rsidR="00DA0B1A">
        <w:t>B</w:t>
      </w:r>
      <w:r w:rsidR="00B33DF9">
        <w:t>.1</w:t>
      </w:r>
      <w:r w:rsidR="00BA2FAA">
        <w:t>7</w:t>
      </w:r>
      <w:proofErr w:type="spellEnd"/>
      <w:r w:rsidR="00B33DF9">
        <w:t xml:space="preserve">). </w:t>
      </w:r>
    </w:p>
    <w:p w14:paraId="794297FF" w14:textId="77777777" w:rsidR="00BA2FAA" w:rsidRDefault="00BA2FAA" w:rsidP="00BA2FAA">
      <w:pPr>
        <w:pStyle w:val="BodyText"/>
      </w:pPr>
      <w:r>
        <w:t>Relative to the zero NOM case, population and GDP are projected to be higher in the age sensitivity scenario. However, the average age in the age sensitivity scenario is projected to be the same as in the zero NOM scenario, resulting in a similar rate of participation in employment as in the zero NOM scenario (figure </w:t>
      </w:r>
      <w:proofErr w:type="spellStart"/>
      <w:r>
        <w:t>B.17</w:t>
      </w:r>
      <w:proofErr w:type="spellEnd"/>
      <w:r>
        <w:t>, panel a). On the other hand, there is a lag between the increase in labour supply from migration and the increase in capital required to maintain the same level of labour productivity. This capital shallowing translates to a measured decline in labour productivity as capital markets adjust. The relatively lower levels of labour productivity in the age sensitivity scenario are projected to contribute to lower GDP per person in 2060 compared to the zero NOM scenario (figure </w:t>
      </w:r>
      <w:proofErr w:type="spellStart"/>
      <w:r>
        <w:t>B.17</w:t>
      </w:r>
      <w:proofErr w:type="spellEnd"/>
      <w:r>
        <w:t xml:space="preserve">, panel b). </w:t>
      </w:r>
    </w:p>
    <w:p w14:paraId="359686EE" w14:textId="04A06509" w:rsidR="00095748" w:rsidRDefault="00095748" w:rsidP="00095748">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095748" w14:paraId="08EBAA2D" w14:textId="77777777" w:rsidTr="00095748">
        <w:tc>
          <w:tcPr>
            <w:tcW w:w="8771" w:type="dxa"/>
            <w:tcBorders>
              <w:top w:val="single" w:sz="6" w:space="0" w:color="78A22F"/>
              <w:left w:val="nil"/>
              <w:bottom w:val="nil"/>
              <w:right w:val="nil"/>
            </w:tcBorders>
            <w:shd w:val="clear" w:color="auto" w:fill="auto"/>
          </w:tcPr>
          <w:p w14:paraId="5C6AD148" w14:textId="4817DB61" w:rsidR="00095748" w:rsidRPr="00176D3F" w:rsidRDefault="00095748" w:rsidP="00AF0BDD">
            <w:pPr>
              <w:pStyle w:val="FigureTitle"/>
            </w:pPr>
            <w:r w:rsidRPr="00784A05">
              <w:rPr>
                <w:b w:val="0"/>
              </w:rPr>
              <w:t xml:space="preserve">Figure </w:t>
            </w:r>
            <w:proofErr w:type="spellStart"/>
            <w:r w:rsidR="000C775F">
              <w:rPr>
                <w:b w:val="0"/>
              </w:rPr>
              <w:t>B.</w:t>
            </w:r>
            <w:r w:rsidR="009015D8">
              <w:rPr>
                <w:b w:val="0"/>
                <w:noProof/>
              </w:rPr>
              <w:t>17</w:t>
            </w:r>
            <w:proofErr w:type="spellEnd"/>
            <w:r>
              <w:tab/>
              <w:t xml:space="preserve">The implications of the </w:t>
            </w:r>
            <w:r w:rsidR="002E4B99">
              <w:t>age profile for ageing and GDP per </w:t>
            </w:r>
            <w:r>
              <w:t>person, 2060</w:t>
            </w:r>
            <w:r w:rsidR="00327AB3" w:rsidRPr="00AF0BDD">
              <w:rPr>
                <w:rStyle w:val="NoteLabel"/>
                <w:b/>
              </w:rPr>
              <w:t>a</w:t>
            </w:r>
          </w:p>
        </w:tc>
      </w:tr>
      <w:tr w:rsidR="00095748" w14:paraId="6A76F3DD" w14:textId="77777777" w:rsidTr="00095748">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Pr>
            <w:tblGrid>
              <w:gridCol w:w="4252"/>
              <w:gridCol w:w="4252"/>
            </w:tblGrid>
            <w:tr w:rsidR="00095748" w14:paraId="2681A35A" w14:textId="77777777" w:rsidTr="00095748">
              <w:trPr>
                <w:trHeight w:val="183"/>
                <w:jc w:val="center"/>
              </w:trPr>
              <w:tc>
                <w:tcPr>
                  <w:tcW w:w="2500" w:type="pct"/>
                  <w:tcBorders>
                    <w:top w:val="nil"/>
                    <w:bottom w:val="nil"/>
                  </w:tcBorders>
                </w:tcPr>
                <w:p w14:paraId="13531FCD" w14:textId="586D11C5" w:rsidR="00095748" w:rsidRDefault="00095748" w:rsidP="00095748">
                  <w:pPr>
                    <w:pStyle w:val="Figure"/>
                    <w:spacing w:before="60" w:after="60"/>
                  </w:pPr>
                  <w:r>
                    <w:rPr>
                      <w:rFonts w:asciiTheme="minorHAnsi" w:hAnsiTheme="minorHAnsi" w:cstheme="minorHAnsi"/>
                      <w:b/>
                      <w:sz w:val="18"/>
                      <w:szCs w:val="18"/>
                    </w:rPr>
                    <w:t xml:space="preserve">a. </w:t>
                  </w:r>
                  <w:r w:rsidRPr="00607F07">
                    <w:rPr>
                      <w:rFonts w:asciiTheme="minorHAnsi" w:hAnsiTheme="minorHAnsi" w:cstheme="minorHAnsi"/>
                      <w:b/>
                      <w:sz w:val="18"/>
                      <w:szCs w:val="18"/>
                    </w:rPr>
                    <w:t>Average age of the Australian population</w:t>
                  </w:r>
                </w:p>
              </w:tc>
              <w:tc>
                <w:tcPr>
                  <w:tcW w:w="2500" w:type="pct"/>
                  <w:tcBorders>
                    <w:top w:val="nil"/>
                    <w:bottom w:val="nil"/>
                  </w:tcBorders>
                </w:tcPr>
                <w:p w14:paraId="53EC2CDB" w14:textId="1391AB08" w:rsidR="00095748" w:rsidRDefault="00095748" w:rsidP="00095748">
                  <w:pPr>
                    <w:pStyle w:val="Figure"/>
                    <w:spacing w:before="60" w:after="60"/>
                  </w:pPr>
                  <w:r>
                    <w:rPr>
                      <w:rFonts w:asciiTheme="minorHAnsi" w:hAnsiTheme="minorHAnsi" w:cstheme="minorHAnsi"/>
                      <w:b/>
                      <w:sz w:val="18"/>
                      <w:szCs w:val="18"/>
                    </w:rPr>
                    <w:t xml:space="preserve">b. </w:t>
                  </w:r>
                  <w:r w:rsidRPr="001255E3">
                    <w:rPr>
                      <w:rFonts w:asciiTheme="minorHAnsi" w:hAnsiTheme="minorHAnsi" w:cstheme="minorHAnsi"/>
                      <w:b/>
                      <w:sz w:val="18"/>
                      <w:szCs w:val="18"/>
                    </w:rPr>
                    <w:t>GDP per person</w:t>
                  </w:r>
                </w:p>
              </w:tc>
            </w:tr>
            <w:tr w:rsidR="00095748" w14:paraId="382EC660" w14:textId="77777777" w:rsidTr="00F41F60">
              <w:tblPrEx>
                <w:tblCellMar>
                  <w:left w:w="108" w:type="dxa"/>
                  <w:right w:w="108" w:type="dxa"/>
                </w:tblCellMar>
              </w:tblPrEx>
              <w:trPr>
                <w:trHeight w:val="183"/>
                <w:jc w:val="center"/>
              </w:trPr>
              <w:tc>
                <w:tcPr>
                  <w:tcW w:w="2500" w:type="pct"/>
                  <w:tcBorders>
                    <w:top w:val="nil"/>
                    <w:bottom w:val="nil"/>
                  </w:tcBorders>
                </w:tcPr>
                <w:p w14:paraId="542D97C0" w14:textId="67C24C1F" w:rsidR="00095748" w:rsidRDefault="002935EF" w:rsidP="00095748">
                  <w:pPr>
                    <w:pStyle w:val="Figure"/>
                    <w:spacing w:before="60" w:after="60"/>
                  </w:pPr>
                  <w:r>
                    <w:rPr>
                      <w:noProof/>
                    </w:rPr>
                    <w:drawing>
                      <wp:inline distT="0" distB="0" distL="0" distR="0" wp14:anchorId="5A5F84E0" wp14:editId="4C8C92E9">
                        <wp:extent cx="2510155" cy="2432685"/>
                        <wp:effectExtent l="0" t="0" r="4445" b="5715"/>
                        <wp:docPr id="36" name="Picture 36" descr="This figure indicates the implications of the age profile of NOM in two panels. &#10;Panel a shows that the average age of the Australian population is 47 in the age sensitivity scenario. This is the same average age as in the zero NOM scenario. In the 0.6 per cent NOM (business-as-usual) scenario, the average age is 43.&#10;Panel b shows GDP per person in 2060 as an index with 2014 equal to 100. In the age sensitivity scenario, GDP per person is marginally lower than that of the zero NOM scenario and 8 per cent lower than that of the 0.6 per cent NOM (business-as-usual) scenari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510155" cy="2432685"/>
                                </a:xfrm>
                                <a:prstGeom prst="rect">
                                  <a:avLst/>
                                </a:prstGeom>
                                <a:noFill/>
                                <a:ln>
                                  <a:noFill/>
                                </a:ln>
                              </pic:spPr>
                            </pic:pic>
                          </a:graphicData>
                        </a:graphic>
                      </wp:inline>
                    </w:drawing>
                  </w:r>
                </w:p>
              </w:tc>
              <w:tc>
                <w:tcPr>
                  <w:tcW w:w="2500" w:type="pct"/>
                  <w:tcBorders>
                    <w:top w:val="nil"/>
                    <w:bottom w:val="nil"/>
                  </w:tcBorders>
                </w:tcPr>
                <w:p w14:paraId="26697EB6" w14:textId="68AD778F" w:rsidR="00095748" w:rsidRDefault="002935EF" w:rsidP="00095748">
                  <w:pPr>
                    <w:pStyle w:val="Figure"/>
                    <w:spacing w:before="60" w:after="60"/>
                  </w:pPr>
                  <w:r>
                    <w:rPr>
                      <w:noProof/>
                    </w:rPr>
                    <w:drawing>
                      <wp:inline distT="0" distB="0" distL="0" distR="0" wp14:anchorId="489EDCEC" wp14:editId="47ECC50B">
                        <wp:extent cx="2510155" cy="2406650"/>
                        <wp:effectExtent l="0" t="0" r="4445" b="0"/>
                        <wp:docPr id="37" name="Picture 37" descr="This figure indicates the implications of the age profile of NOM in two panels. &#10;Panel a shows that the average age of the Australian population is 47 in the age sensitivity scenario. This is the same average age as in the zero NOM scenario. In the 0.6 per cent NOM (business-as-usual) scenario, the average age is 43.&#10;Panel b shows GDP per person in 2060 as an index with 2014 equal to 100. In the age sensitivity scenario, GDP per person is marginally lower than that of the zero NOM scenario and 8 per cent lower than that of the 0.6 per cent NOM (business-as-usual) scenari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510155" cy="2406650"/>
                                </a:xfrm>
                                <a:prstGeom prst="rect">
                                  <a:avLst/>
                                </a:prstGeom>
                                <a:noFill/>
                                <a:ln>
                                  <a:noFill/>
                                </a:ln>
                              </pic:spPr>
                            </pic:pic>
                          </a:graphicData>
                        </a:graphic>
                      </wp:inline>
                    </w:drawing>
                  </w:r>
                </w:p>
              </w:tc>
            </w:tr>
          </w:tbl>
          <w:p w14:paraId="56648CB6" w14:textId="77777777" w:rsidR="00095748" w:rsidRDefault="00095748" w:rsidP="00095748">
            <w:pPr>
              <w:pStyle w:val="Figure"/>
            </w:pPr>
          </w:p>
        </w:tc>
      </w:tr>
      <w:tr w:rsidR="00095748" w:rsidRPr="00176D3F" w14:paraId="045A950D" w14:textId="77777777" w:rsidTr="00095748">
        <w:tc>
          <w:tcPr>
            <w:tcW w:w="8771" w:type="dxa"/>
            <w:tcBorders>
              <w:top w:val="nil"/>
              <w:left w:val="nil"/>
              <w:bottom w:val="nil"/>
              <w:right w:val="nil"/>
            </w:tcBorders>
            <w:shd w:val="clear" w:color="auto" w:fill="auto"/>
          </w:tcPr>
          <w:p w14:paraId="707645A4" w14:textId="14A49612" w:rsidR="00095748" w:rsidRPr="00176D3F" w:rsidRDefault="00095748" w:rsidP="00490A43">
            <w:pPr>
              <w:pStyle w:val="Note"/>
            </w:pPr>
            <w:r>
              <w:rPr>
                <w:rStyle w:val="NoteLabel"/>
              </w:rPr>
              <w:t>a</w:t>
            </w:r>
            <w:r w:rsidR="00490A43">
              <w:t> </w:t>
            </w:r>
            <w:r w:rsidR="0050549F">
              <w:t>‘</w:t>
            </w:r>
            <w:proofErr w:type="spellStart"/>
            <w:r w:rsidR="002E4B99">
              <w:t>BAU</w:t>
            </w:r>
            <w:proofErr w:type="spellEnd"/>
            <w:r w:rsidR="002E4B99">
              <w:t xml:space="preserve">’ </w:t>
            </w:r>
            <w:r w:rsidR="00327AB3">
              <w:t xml:space="preserve">is an abbreviation </w:t>
            </w:r>
            <w:r w:rsidR="000254A3">
              <w:t>for the</w:t>
            </w:r>
            <w:r w:rsidR="00327AB3">
              <w:t xml:space="preserve"> business</w:t>
            </w:r>
            <w:r w:rsidR="00965C12">
              <w:t>-</w:t>
            </w:r>
            <w:r w:rsidR="00327AB3">
              <w:t>as</w:t>
            </w:r>
            <w:r w:rsidR="00965C12">
              <w:t>-</w:t>
            </w:r>
            <w:r w:rsidR="00327AB3">
              <w:t>usual scenario.</w:t>
            </w:r>
          </w:p>
        </w:tc>
      </w:tr>
      <w:tr w:rsidR="00095748" w:rsidRPr="00176D3F" w14:paraId="101F98BD" w14:textId="77777777" w:rsidTr="00095748">
        <w:tc>
          <w:tcPr>
            <w:tcW w:w="8771" w:type="dxa"/>
            <w:tcBorders>
              <w:top w:val="nil"/>
              <w:left w:val="nil"/>
              <w:bottom w:val="nil"/>
              <w:right w:val="nil"/>
            </w:tcBorders>
            <w:shd w:val="clear" w:color="auto" w:fill="auto"/>
          </w:tcPr>
          <w:p w14:paraId="2214B990" w14:textId="375AB436" w:rsidR="00095748" w:rsidRPr="00176D3F" w:rsidRDefault="00DB7DB7" w:rsidP="00095748">
            <w:pPr>
              <w:pStyle w:val="Source"/>
            </w:pPr>
            <w:r>
              <w:rPr>
                <w:i/>
              </w:rPr>
              <w:t>S</w:t>
            </w:r>
            <w:r w:rsidR="00095748" w:rsidRPr="00784A05">
              <w:rPr>
                <w:i/>
              </w:rPr>
              <w:t>ource</w:t>
            </w:r>
            <w:r w:rsidR="00095748" w:rsidRPr="00176D3F">
              <w:t xml:space="preserve">: </w:t>
            </w:r>
            <w:r>
              <w:t xml:space="preserve">Productivity Commission projections based on </w:t>
            </w:r>
            <w:proofErr w:type="spellStart"/>
            <w:r>
              <w:t>VURM</w:t>
            </w:r>
            <w:proofErr w:type="spellEnd"/>
            <w:r w:rsidR="004D4E21">
              <w:noBreakHyphen/>
            </w:r>
            <w:r>
              <w:t>MI.</w:t>
            </w:r>
          </w:p>
        </w:tc>
      </w:tr>
      <w:tr w:rsidR="00095748" w14:paraId="76FCF2B1" w14:textId="77777777" w:rsidTr="00095748">
        <w:tc>
          <w:tcPr>
            <w:tcW w:w="8771" w:type="dxa"/>
            <w:tcBorders>
              <w:top w:val="nil"/>
              <w:left w:val="nil"/>
              <w:bottom w:val="single" w:sz="6" w:space="0" w:color="78A22F"/>
              <w:right w:val="nil"/>
            </w:tcBorders>
            <w:shd w:val="clear" w:color="auto" w:fill="auto"/>
          </w:tcPr>
          <w:p w14:paraId="273352D1" w14:textId="77777777" w:rsidR="00095748" w:rsidRDefault="00095748" w:rsidP="00095748">
            <w:pPr>
              <w:pStyle w:val="Figurespace"/>
            </w:pPr>
          </w:p>
        </w:tc>
      </w:tr>
      <w:tr w:rsidR="00095748" w:rsidRPr="000863A5" w14:paraId="0BD84253" w14:textId="77777777" w:rsidTr="00095748">
        <w:tc>
          <w:tcPr>
            <w:tcW w:w="8771" w:type="dxa"/>
            <w:tcBorders>
              <w:top w:val="single" w:sz="6" w:space="0" w:color="78A22F"/>
              <w:left w:val="nil"/>
              <w:bottom w:val="nil"/>
              <w:right w:val="nil"/>
            </w:tcBorders>
          </w:tcPr>
          <w:p w14:paraId="60F7572D" w14:textId="1A72A7E5" w:rsidR="00095748" w:rsidRPr="00626D32" w:rsidRDefault="00095748" w:rsidP="00095748">
            <w:pPr>
              <w:pStyle w:val="BoxSpaceBelow"/>
            </w:pPr>
          </w:p>
        </w:tc>
      </w:tr>
    </w:tbl>
    <w:p w14:paraId="28473454" w14:textId="77777777" w:rsidR="00AC7168" w:rsidRDefault="00AC7168" w:rsidP="00BA2FAA">
      <w:pPr>
        <w:pStyle w:val="Heading3"/>
        <w:spacing w:before="480"/>
      </w:pPr>
      <w:r>
        <w:t>How sensitive are the projections to the assumed occupational profile of NOM?</w:t>
      </w:r>
    </w:p>
    <w:p w14:paraId="028447EC" w14:textId="200349D9" w:rsidR="00007189" w:rsidRDefault="00007189" w:rsidP="00007189">
      <w:pPr>
        <w:pStyle w:val="BodyText"/>
      </w:pPr>
      <w:r>
        <w:t>The occupational profile of NOM in the business</w:t>
      </w:r>
      <w:r w:rsidR="00965C12">
        <w:t>-</w:t>
      </w:r>
      <w:r>
        <w:t>as</w:t>
      </w:r>
      <w:r w:rsidR="00965C12">
        <w:t>-</w:t>
      </w:r>
      <w:r>
        <w:t xml:space="preserve">usual scenario is assumed to be the same </w:t>
      </w:r>
      <w:r w:rsidRPr="00D362A3">
        <w:t xml:space="preserve">as </w:t>
      </w:r>
      <w:r>
        <w:t xml:space="preserve">that of </w:t>
      </w:r>
      <w:r w:rsidRPr="00D362A3">
        <w:t xml:space="preserve">the </w:t>
      </w:r>
      <w:r>
        <w:t xml:space="preserve">current migrant intake. However there may be scope for varying the occupations targeted by the migration program. Sensitivity analysis has been undertaken to illustrate the implications of varying the occupational profile of NOM. </w:t>
      </w:r>
    </w:p>
    <w:p w14:paraId="028447ED" w14:textId="568D31B4" w:rsidR="00007189" w:rsidRDefault="00007189" w:rsidP="00007189">
      <w:pPr>
        <w:pStyle w:val="BodyText"/>
      </w:pPr>
      <w:r>
        <w:lastRenderedPageBreak/>
        <w:t>The ‘skilled scenario’ assumes that the share of the occupations of managers; professionals; technicians and trades workers; and community and personal service workers</w:t>
      </w:r>
      <w:r w:rsidDel="00BD2167">
        <w:t xml:space="preserve"> </w:t>
      </w:r>
      <w:r>
        <w:t>in NOM is 30 percentage points higher than in the business</w:t>
      </w:r>
      <w:r w:rsidR="00965C12">
        <w:t>-</w:t>
      </w:r>
      <w:r>
        <w:t>as</w:t>
      </w:r>
      <w:r w:rsidR="00965C12">
        <w:t>-</w:t>
      </w:r>
      <w:r>
        <w:t>usual scenario. The ‘</w:t>
      </w:r>
      <w:r w:rsidR="00BB1287">
        <w:t>lower</w:t>
      </w:r>
      <w:r w:rsidR="00BB1287">
        <w:noBreakHyphen/>
      </w:r>
      <w:r>
        <w:t>skilled scenario’ assumes that the share of clerical and administrative workers; sales workers; machinery operators and drivers; and labourers in NOM is 30 percentage</w:t>
      </w:r>
      <w:r w:rsidR="000B0B86">
        <w:t> </w:t>
      </w:r>
      <w:r>
        <w:t>points higher than in the business</w:t>
      </w:r>
      <w:r w:rsidR="00965C12">
        <w:t>-</w:t>
      </w:r>
      <w:r>
        <w:t>as</w:t>
      </w:r>
      <w:r w:rsidR="00965C12">
        <w:t>-</w:t>
      </w:r>
      <w:r>
        <w:t>usual scenario.</w:t>
      </w:r>
    </w:p>
    <w:p w14:paraId="3395783F" w14:textId="52A55724" w:rsidR="00F74B71" w:rsidRDefault="00007189" w:rsidP="00F74B71">
      <w:pPr>
        <w:pStyle w:val="BodyText"/>
      </w:pPr>
      <w:r>
        <w:t xml:space="preserve">The projections show that the skill profile of </w:t>
      </w:r>
      <w:r w:rsidR="006B3B1B">
        <w:t>im</w:t>
      </w:r>
      <w:r>
        <w:t>migrants affe</w:t>
      </w:r>
      <w:r w:rsidR="00772AD0">
        <w:t>cts real GDP per person (figure </w:t>
      </w:r>
      <w:proofErr w:type="spellStart"/>
      <w:r w:rsidR="00CC20F0">
        <w:t>B.1</w:t>
      </w:r>
      <w:r w:rsidR="00BA2FAA">
        <w:t>8</w:t>
      </w:r>
      <w:proofErr w:type="spellEnd"/>
      <w:r w:rsidR="008018CC">
        <w:t>, panel</w:t>
      </w:r>
      <w:r w:rsidR="007914F3">
        <w:t> a</w:t>
      </w:r>
      <w:r>
        <w:t>). Real GDP per person is projected to be 1.6 per cent higher than the business</w:t>
      </w:r>
      <w:r w:rsidR="00965C12">
        <w:t>-</w:t>
      </w:r>
      <w:r>
        <w:t>as</w:t>
      </w:r>
      <w:r w:rsidR="00965C12">
        <w:t>-</w:t>
      </w:r>
      <w:r>
        <w:t xml:space="preserve">usual scenario as a result of assuming an additional 30 percentage points of NOM are in </w:t>
      </w:r>
      <w:r w:rsidR="00854C89">
        <w:t xml:space="preserve">more </w:t>
      </w:r>
      <w:r>
        <w:t>skilled occupations. Conversely, real GDP per person is 1.6 per cent lower than the business</w:t>
      </w:r>
      <w:r w:rsidR="00965C12">
        <w:t>-</w:t>
      </w:r>
      <w:r>
        <w:t>as</w:t>
      </w:r>
      <w:r w:rsidR="00965C12">
        <w:t>-</w:t>
      </w:r>
      <w:r>
        <w:t>usual scenario as a result of assuming an additional 30 percentage</w:t>
      </w:r>
      <w:r w:rsidR="000B0B86">
        <w:t> </w:t>
      </w:r>
      <w:r>
        <w:t>points</w:t>
      </w:r>
      <w:r w:rsidR="004D4E21">
        <w:t xml:space="preserve"> </w:t>
      </w:r>
      <w:r>
        <w:t xml:space="preserve">of NOM are in </w:t>
      </w:r>
      <w:r w:rsidR="00BB1287">
        <w:t>lower</w:t>
      </w:r>
      <w:r w:rsidR="00BB1287">
        <w:noBreakHyphen/>
      </w:r>
      <w:r>
        <w:t>skilled occupations.</w:t>
      </w:r>
      <w:r w:rsidR="00F74B71" w:rsidRPr="00F74B71">
        <w:t xml:space="preserve"> </w:t>
      </w:r>
    </w:p>
    <w:p w14:paraId="2664DF13" w14:textId="77777777" w:rsidR="00BA2FAA" w:rsidRDefault="00BA2FAA" w:rsidP="00BA2FAA">
      <w:pPr>
        <w:pStyle w:val="BodyText"/>
      </w:pPr>
      <w:r>
        <w:t>Skilled workers have a higher level of productivity than lower</w:t>
      </w:r>
      <w:r>
        <w:noBreakHyphen/>
        <w:t>skilled workers. Output per person, as reflected in the wage rate, is around 50 per cent higher for the four skilled occupations than the four lower</w:t>
      </w:r>
      <w:r>
        <w:noBreakHyphen/>
        <w:t>skilled occupations in 2014 (figure </w:t>
      </w:r>
      <w:proofErr w:type="spellStart"/>
      <w:r>
        <w:t>B.18</w:t>
      </w:r>
      <w:proofErr w:type="spellEnd"/>
      <w:r>
        <w:t>, panel b). Furthermore, reflecting the rising demand for professionals and community workers, the differential between the output per person of skilled and lower</w:t>
      </w:r>
      <w:r>
        <w:noBreakHyphen/>
        <w:t xml:space="preserve">skilled occupations is projected to increase over time to be 100 per cent greater by 2060 in the business-as-usual scenario. </w:t>
      </w:r>
    </w:p>
    <w:p w14:paraId="7D9F2B80" w14:textId="3930F61B" w:rsidR="00E812E8" w:rsidRDefault="00E812E8" w:rsidP="000C775F">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E812E8" w14:paraId="59FE8893" w14:textId="77777777" w:rsidTr="000C775F">
        <w:tc>
          <w:tcPr>
            <w:tcW w:w="8771" w:type="dxa"/>
            <w:tcBorders>
              <w:top w:val="single" w:sz="6" w:space="0" w:color="78A22F"/>
              <w:left w:val="nil"/>
              <w:bottom w:val="nil"/>
              <w:right w:val="nil"/>
            </w:tcBorders>
            <w:shd w:val="clear" w:color="auto" w:fill="auto"/>
          </w:tcPr>
          <w:p w14:paraId="777837B8" w14:textId="77E2ABB0" w:rsidR="00E812E8" w:rsidRPr="00176D3F" w:rsidRDefault="00E812E8" w:rsidP="00E812E8">
            <w:pPr>
              <w:pStyle w:val="FigureTitle"/>
            </w:pPr>
            <w:r w:rsidRPr="00784A05">
              <w:rPr>
                <w:b w:val="0"/>
              </w:rPr>
              <w:t xml:space="preserve">Figure </w:t>
            </w:r>
            <w:proofErr w:type="spellStart"/>
            <w:r w:rsidR="000C775F">
              <w:rPr>
                <w:b w:val="0"/>
              </w:rPr>
              <w:t>B.</w:t>
            </w:r>
            <w:r w:rsidR="009015D8">
              <w:rPr>
                <w:b w:val="0"/>
                <w:noProof/>
              </w:rPr>
              <w:t>18</w:t>
            </w:r>
            <w:proofErr w:type="spellEnd"/>
            <w:r>
              <w:tab/>
              <w:t>The occupational skills profile of migrants and GDP per person</w:t>
            </w:r>
            <w:r w:rsidRPr="00E812E8">
              <w:rPr>
                <w:rStyle w:val="NoteLabel"/>
                <w:b/>
              </w:rPr>
              <w:t>a</w:t>
            </w:r>
          </w:p>
        </w:tc>
      </w:tr>
      <w:tr w:rsidR="008018CC" w14:paraId="369AE6EC" w14:textId="77777777" w:rsidTr="00FB0F0E">
        <w:tc>
          <w:tcPr>
            <w:tcW w:w="8771" w:type="dxa"/>
            <w:tcBorders>
              <w:top w:val="nil"/>
              <w:left w:val="nil"/>
              <w:bottom w:val="nil"/>
              <w:right w:val="nil"/>
            </w:tcBorders>
            <w:shd w:val="clear" w:color="auto" w:fill="auto"/>
            <w:tcMar>
              <w:top w:w="28" w:type="dxa"/>
              <w:bottom w:w="28" w:type="dxa"/>
            </w:tcMar>
          </w:tcPr>
          <w:tbl>
            <w:tblPr>
              <w:tblW w:w="8504" w:type="dxa"/>
              <w:jc w:val="center"/>
              <w:tblBorders>
                <w:top w:val="single" w:sz="6" w:space="0" w:color="F2F2F2" w:themeColor="accent4"/>
                <w:bottom w:val="single" w:sz="6" w:space="0" w:color="F2F2F2" w:themeColor="accent4"/>
              </w:tblBorders>
              <w:tblLayout w:type="fixed"/>
              <w:tblCellMar>
                <w:top w:w="28" w:type="dxa"/>
                <w:left w:w="0" w:type="dxa"/>
                <w:right w:w="0" w:type="dxa"/>
              </w:tblCellMar>
              <w:tblLook w:val="0000" w:firstRow="0" w:lastRow="0" w:firstColumn="0" w:lastColumn="0" w:noHBand="0" w:noVBand="0"/>
              <w:tblDescription w:val="Nested table used for design layout."/>
            </w:tblPr>
            <w:tblGrid>
              <w:gridCol w:w="4252"/>
              <w:gridCol w:w="4252"/>
            </w:tblGrid>
            <w:tr w:rsidR="008018CC" w14:paraId="1CB00334" w14:textId="77777777" w:rsidTr="008018CC">
              <w:trPr>
                <w:trHeight w:val="183"/>
                <w:tblHeader/>
                <w:jc w:val="center"/>
              </w:trPr>
              <w:tc>
                <w:tcPr>
                  <w:tcW w:w="2500" w:type="pct"/>
                  <w:tcBorders>
                    <w:top w:val="nil"/>
                    <w:bottom w:val="nil"/>
                  </w:tcBorders>
                </w:tcPr>
                <w:p w14:paraId="322457C3" w14:textId="37EEBD50" w:rsidR="008018CC" w:rsidRPr="005C0DA7" w:rsidRDefault="00601732" w:rsidP="005C0DA7">
                  <w:pPr>
                    <w:pStyle w:val="Figure"/>
                    <w:spacing w:before="60" w:after="60"/>
                    <w:rPr>
                      <w:rFonts w:ascii="Arial" w:hAnsi="Arial" w:cs="Arial"/>
                      <w:b/>
                      <w:sz w:val="18"/>
                      <w:szCs w:val="18"/>
                    </w:rPr>
                  </w:pPr>
                  <w:r w:rsidRPr="005C0DA7">
                    <w:rPr>
                      <w:rFonts w:ascii="Arial" w:hAnsi="Arial" w:cs="Arial"/>
                      <w:b/>
                      <w:sz w:val="18"/>
                      <w:szCs w:val="18"/>
                    </w:rPr>
                    <w:t xml:space="preserve">a. </w:t>
                  </w:r>
                  <w:r w:rsidR="00937AC3" w:rsidRPr="005C0DA7">
                    <w:rPr>
                      <w:rFonts w:ascii="Arial" w:hAnsi="Arial" w:cs="Arial"/>
                      <w:b/>
                      <w:sz w:val="18"/>
                      <w:szCs w:val="18"/>
                    </w:rPr>
                    <w:t>GDP per person,</w:t>
                  </w:r>
                  <w:r w:rsidR="00FD6942">
                    <w:rPr>
                      <w:rFonts w:ascii="Arial" w:hAnsi="Arial" w:cs="Arial"/>
                      <w:b/>
                      <w:sz w:val="18"/>
                      <w:szCs w:val="18"/>
                    </w:rPr>
                    <w:t xml:space="preserve"> 2060</w:t>
                  </w:r>
                </w:p>
              </w:tc>
              <w:tc>
                <w:tcPr>
                  <w:tcW w:w="2500" w:type="pct"/>
                  <w:tcBorders>
                    <w:top w:val="nil"/>
                    <w:bottom w:val="nil"/>
                  </w:tcBorders>
                </w:tcPr>
                <w:p w14:paraId="02A8B18C" w14:textId="6FBB1362" w:rsidR="008018CC" w:rsidRPr="005C0DA7" w:rsidRDefault="00601732" w:rsidP="00BB1287">
                  <w:pPr>
                    <w:pStyle w:val="Figure"/>
                    <w:spacing w:before="60" w:after="60"/>
                    <w:rPr>
                      <w:rFonts w:ascii="Arial" w:hAnsi="Arial" w:cs="Arial"/>
                      <w:b/>
                      <w:sz w:val="18"/>
                      <w:szCs w:val="18"/>
                    </w:rPr>
                  </w:pPr>
                  <w:r w:rsidRPr="005C0DA7">
                    <w:rPr>
                      <w:rFonts w:ascii="Arial" w:hAnsi="Arial" w:cs="Arial"/>
                      <w:b/>
                      <w:sz w:val="18"/>
                      <w:szCs w:val="18"/>
                    </w:rPr>
                    <w:t>b. Ratio of s</w:t>
                  </w:r>
                  <w:r w:rsidR="008018CC" w:rsidRPr="005C0DA7">
                    <w:rPr>
                      <w:rFonts w:ascii="Arial" w:hAnsi="Arial" w:cs="Arial"/>
                      <w:b/>
                      <w:sz w:val="18"/>
                      <w:szCs w:val="18"/>
                    </w:rPr>
                    <w:t xml:space="preserve">killed wage rate to </w:t>
                  </w:r>
                  <w:r w:rsidRPr="005C0DA7">
                    <w:rPr>
                      <w:rFonts w:ascii="Arial" w:hAnsi="Arial" w:cs="Arial"/>
                      <w:b/>
                      <w:sz w:val="18"/>
                      <w:szCs w:val="18"/>
                    </w:rPr>
                    <w:br/>
                  </w:r>
                  <w:r w:rsidR="00BB1287" w:rsidRPr="005C0DA7">
                    <w:rPr>
                      <w:rFonts w:ascii="Arial" w:hAnsi="Arial" w:cs="Arial"/>
                      <w:b/>
                      <w:sz w:val="18"/>
                      <w:szCs w:val="18"/>
                    </w:rPr>
                    <w:t>lower</w:t>
                  </w:r>
                  <w:r w:rsidR="00BB1287">
                    <w:rPr>
                      <w:rFonts w:ascii="Arial" w:hAnsi="Arial" w:cs="Arial"/>
                      <w:b/>
                      <w:sz w:val="18"/>
                      <w:szCs w:val="18"/>
                    </w:rPr>
                    <w:noBreakHyphen/>
                  </w:r>
                  <w:r w:rsidR="005C0DA7" w:rsidRPr="005C0DA7">
                    <w:rPr>
                      <w:rFonts w:ascii="Arial" w:hAnsi="Arial" w:cs="Arial"/>
                      <w:b/>
                      <w:sz w:val="18"/>
                      <w:szCs w:val="18"/>
                    </w:rPr>
                    <w:t>skilled wage rate</w:t>
                  </w:r>
                </w:p>
              </w:tc>
            </w:tr>
            <w:tr w:rsidR="00AF0BDD" w14:paraId="45492CB9" w14:textId="77777777" w:rsidTr="000254A3">
              <w:tblPrEx>
                <w:tblCellMar>
                  <w:left w:w="108" w:type="dxa"/>
                  <w:right w:w="108" w:type="dxa"/>
                </w:tblCellMar>
              </w:tblPrEx>
              <w:trPr>
                <w:trHeight w:val="183"/>
                <w:tblHeader/>
                <w:jc w:val="center"/>
              </w:trPr>
              <w:tc>
                <w:tcPr>
                  <w:tcW w:w="2500" w:type="pct"/>
                  <w:tcBorders>
                    <w:top w:val="nil"/>
                    <w:bottom w:val="nil"/>
                  </w:tcBorders>
                </w:tcPr>
                <w:p w14:paraId="17A197C5" w14:textId="33C0EDC3" w:rsidR="00AF0BDD" w:rsidRDefault="002935EF" w:rsidP="00AF0BDD">
                  <w:pPr>
                    <w:pStyle w:val="Figure"/>
                    <w:spacing w:before="60" w:after="60"/>
                  </w:pPr>
                  <w:r>
                    <w:rPr>
                      <w:noProof/>
                    </w:rPr>
                    <w:drawing>
                      <wp:inline distT="0" distB="0" distL="0" distR="0" wp14:anchorId="0A12C571" wp14:editId="00D6876B">
                        <wp:extent cx="2484120" cy="2726055"/>
                        <wp:effectExtent l="0" t="0" r="0" b="0"/>
                        <wp:docPr id="38" name="Picture 38" descr="This figure indicates the implications of the age profile of NOM in two panels. &#10;Panel a shows that the average age of the Australian population is 47 in the age sensitivity scenario. This is the same average age as in the zero NOM scenario. In the 0.6 per cent NOM (business-as-usual) scenario, the average age is 43.&#10;Panel b shows GDP per person in 2060 as an index with 2014 equal to 100. In the age sensitivity scenario, GDP per person is marginally lower than that of the zero NOM scenario and 8 per cent lower than that of the 0.6 per cent NOM (business-as-usual) scenari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484120" cy="2726055"/>
                                </a:xfrm>
                                <a:prstGeom prst="rect">
                                  <a:avLst/>
                                </a:prstGeom>
                                <a:noFill/>
                                <a:ln>
                                  <a:noFill/>
                                </a:ln>
                              </pic:spPr>
                            </pic:pic>
                          </a:graphicData>
                        </a:graphic>
                      </wp:inline>
                    </w:drawing>
                  </w:r>
                </w:p>
              </w:tc>
              <w:tc>
                <w:tcPr>
                  <w:tcW w:w="2500" w:type="pct"/>
                  <w:tcBorders>
                    <w:top w:val="nil"/>
                    <w:bottom w:val="nil"/>
                  </w:tcBorders>
                </w:tcPr>
                <w:p w14:paraId="2D482F3E" w14:textId="6F89F360" w:rsidR="00AF0BDD" w:rsidRPr="000254A3" w:rsidRDefault="002935EF" w:rsidP="00FB0F0E">
                  <w:pPr>
                    <w:pStyle w:val="Figure"/>
                    <w:spacing w:before="60" w:after="60"/>
                    <w:rPr>
                      <w:noProof/>
                    </w:rPr>
                  </w:pPr>
                  <w:r>
                    <w:rPr>
                      <w:noProof/>
                    </w:rPr>
                    <w:drawing>
                      <wp:inline distT="0" distB="0" distL="0" distR="0" wp14:anchorId="02BC931D" wp14:editId="4115B1D8">
                        <wp:extent cx="2501900" cy="2786380"/>
                        <wp:effectExtent l="0" t="0" r="0" b="0"/>
                        <wp:docPr id="39" name="Picture 39" descr="This figure indicates the implications of the age profile of NOM in two panels. &#10;Panel a shows that the average age of the Australian population is 47 in the age sensitivity scenario. This is the same average age as in the zero NOM scenario. In the 0.6 per cent NOM (business-as-usual) scenario, the average age is 43.&#10;Panel b shows GDP per person in 2060 as an index with 2014 equal to 100. In the age sensitivity scenario, GDP per person is marginally lower than that of the zero NOM scenario and 8 per cent lower than that of the 0.6 per cent NOM (business-as-usual) scenari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501900" cy="2786380"/>
                                </a:xfrm>
                                <a:prstGeom prst="rect">
                                  <a:avLst/>
                                </a:prstGeom>
                                <a:noFill/>
                                <a:ln>
                                  <a:noFill/>
                                </a:ln>
                              </pic:spPr>
                            </pic:pic>
                          </a:graphicData>
                        </a:graphic>
                      </wp:inline>
                    </w:drawing>
                  </w:r>
                </w:p>
              </w:tc>
            </w:tr>
          </w:tbl>
          <w:p w14:paraId="2777B657" w14:textId="77777777" w:rsidR="008018CC" w:rsidRDefault="008018CC" w:rsidP="00FB0F0E">
            <w:pPr>
              <w:pStyle w:val="Figure"/>
            </w:pPr>
          </w:p>
        </w:tc>
      </w:tr>
      <w:tr w:rsidR="000254A3" w:rsidRPr="00176D3F" w14:paraId="59CA2D71" w14:textId="77777777" w:rsidTr="00FB0F0E">
        <w:tc>
          <w:tcPr>
            <w:tcW w:w="8771" w:type="dxa"/>
            <w:tcBorders>
              <w:top w:val="nil"/>
              <w:left w:val="nil"/>
              <w:bottom w:val="nil"/>
              <w:right w:val="nil"/>
            </w:tcBorders>
            <w:shd w:val="clear" w:color="auto" w:fill="auto"/>
          </w:tcPr>
          <w:p w14:paraId="18B102EE" w14:textId="63D70298" w:rsidR="000254A3" w:rsidRDefault="000254A3" w:rsidP="008809C8">
            <w:pPr>
              <w:pStyle w:val="Source"/>
              <w:rPr>
                <w:i/>
              </w:rPr>
            </w:pPr>
            <w:r>
              <w:rPr>
                <w:rStyle w:val="NoteLabel"/>
              </w:rPr>
              <w:t>a</w:t>
            </w:r>
            <w:r w:rsidR="00490A43">
              <w:t> </w:t>
            </w:r>
            <w:r w:rsidR="0050549F" w:rsidRPr="002D52DE">
              <w:rPr>
                <w:rStyle w:val="NoteChar"/>
              </w:rPr>
              <w:t>‘</w:t>
            </w:r>
            <w:proofErr w:type="spellStart"/>
            <w:r w:rsidR="008809C8">
              <w:rPr>
                <w:rStyle w:val="NoteChar"/>
              </w:rPr>
              <w:t>BAU</w:t>
            </w:r>
            <w:proofErr w:type="spellEnd"/>
            <w:r w:rsidR="0050549F" w:rsidRPr="002D52DE">
              <w:rPr>
                <w:rStyle w:val="NoteChar"/>
              </w:rPr>
              <w:t>’</w:t>
            </w:r>
            <w:r w:rsidRPr="002D52DE">
              <w:rPr>
                <w:rStyle w:val="NoteChar"/>
              </w:rPr>
              <w:t xml:space="preserve"> is an abbreviation for the business</w:t>
            </w:r>
            <w:r w:rsidR="00965C12" w:rsidRPr="002D52DE">
              <w:rPr>
                <w:rStyle w:val="NoteChar"/>
              </w:rPr>
              <w:t>-</w:t>
            </w:r>
            <w:r w:rsidRPr="002D52DE">
              <w:rPr>
                <w:rStyle w:val="NoteChar"/>
              </w:rPr>
              <w:t>as</w:t>
            </w:r>
            <w:r w:rsidR="00965C12" w:rsidRPr="002D52DE">
              <w:rPr>
                <w:rStyle w:val="NoteChar"/>
              </w:rPr>
              <w:t>-</w:t>
            </w:r>
            <w:r w:rsidRPr="002D52DE">
              <w:rPr>
                <w:rStyle w:val="NoteChar"/>
              </w:rPr>
              <w:t>usual scenario.</w:t>
            </w:r>
          </w:p>
        </w:tc>
      </w:tr>
      <w:tr w:rsidR="008018CC" w:rsidRPr="00176D3F" w14:paraId="7F4E6A16" w14:textId="77777777" w:rsidTr="00FB0F0E">
        <w:tc>
          <w:tcPr>
            <w:tcW w:w="8771" w:type="dxa"/>
            <w:tcBorders>
              <w:top w:val="nil"/>
              <w:left w:val="nil"/>
              <w:bottom w:val="nil"/>
              <w:right w:val="nil"/>
            </w:tcBorders>
            <w:shd w:val="clear" w:color="auto" w:fill="auto"/>
          </w:tcPr>
          <w:p w14:paraId="79C46B1E" w14:textId="75121FE1" w:rsidR="008018CC" w:rsidRPr="00176D3F" w:rsidRDefault="00937AC3" w:rsidP="00FB0F0E">
            <w:pPr>
              <w:pStyle w:val="Source"/>
            </w:pPr>
            <w:r>
              <w:rPr>
                <w:i/>
              </w:rPr>
              <w:t>S</w:t>
            </w:r>
            <w:r w:rsidR="008018CC" w:rsidRPr="00784A05">
              <w:rPr>
                <w:i/>
              </w:rPr>
              <w:t>ource</w:t>
            </w:r>
            <w:r w:rsidR="008018CC" w:rsidRPr="00176D3F">
              <w:t xml:space="preserve">: </w:t>
            </w:r>
            <w:r>
              <w:t xml:space="preserve">Productivity Commission </w:t>
            </w:r>
            <w:r w:rsidR="006A3E61">
              <w:t xml:space="preserve">projections </w:t>
            </w:r>
            <w:r>
              <w:t xml:space="preserve">based on </w:t>
            </w:r>
            <w:proofErr w:type="spellStart"/>
            <w:r>
              <w:t>VURM</w:t>
            </w:r>
            <w:proofErr w:type="spellEnd"/>
            <w:r w:rsidR="004D4E21">
              <w:noBreakHyphen/>
            </w:r>
            <w:r>
              <w:t>MI.</w:t>
            </w:r>
          </w:p>
        </w:tc>
      </w:tr>
      <w:tr w:rsidR="008018CC" w14:paraId="4940AFBD" w14:textId="77777777" w:rsidTr="00FB0F0E">
        <w:tc>
          <w:tcPr>
            <w:tcW w:w="8771" w:type="dxa"/>
            <w:tcBorders>
              <w:top w:val="nil"/>
              <w:left w:val="nil"/>
              <w:bottom w:val="single" w:sz="6" w:space="0" w:color="78A22F"/>
              <w:right w:val="nil"/>
            </w:tcBorders>
            <w:shd w:val="clear" w:color="auto" w:fill="auto"/>
          </w:tcPr>
          <w:p w14:paraId="7E48C87F" w14:textId="77777777" w:rsidR="008018CC" w:rsidRDefault="008018CC" w:rsidP="00FB0F0E">
            <w:pPr>
              <w:pStyle w:val="Figurespace"/>
            </w:pPr>
          </w:p>
        </w:tc>
      </w:tr>
      <w:tr w:rsidR="008018CC" w:rsidRPr="000863A5" w14:paraId="6D87CCED" w14:textId="77777777" w:rsidTr="00FB0F0E">
        <w:tc>
          <w:tcPr>
            <w:tcW w:w="8771" w:type="dxa"/>
            <w:tcBorders>
              <w:top w:val="single" w:sz="6" w:space="0" w:color="78A22F"/>
              <w:left w:val="nil"/>
              <w:bottom w:val="nil"/>
              <w:right w:val="nil"/>
            </w:tcBorders>
          </w:tcPr>
          <w:p w14:paraId="51A2CC63" w14:textId="0AA7E39D" w:rsidR="008018CC" w:rsidRPr="00626D32" w:rsidRDefault="008018CC" w:rsidP="00FB0F0E">
            <w:pPr>
              <w:pStyle w:val="BoxSpaceBelow"/>
            </w:pPr>
          </w:p>
        </w:tc>
      </w:tr>
    </w:tbl>
    <w:p w14:paraId="2D1AFCD9" w14:textId="77777777" w:rsidR="009015D8" w:rsidRDefault="009015D8" w:rsidP="009015D8">
      <w:pPr>
        <w:pStyle w:val="BodyText"/>
      </w:pPr>
      <w:r>
        <w:lastRenderedPageBreak/>
        <w:t xml:space="preserve">For this reason, skewing the migrant intake toward more skilled occupations gives rise to gains in labour productivity and hence in GDP per person relative to the business-as-usual scenario. Furthermore, by ameliorating the rise in labour costs that are associated with rising demand for professionals and community workers, the skilled scenario is projected to improve the rate of return to capital, leading to higher investment and a larger capital base for the economy than in the business-as-usual scenario. </w:t>
      </w:r>
    </w:p>
    <w:p w14:paraId="6E4A92CD" w14:textId="77777777" w:rsidR="00007189" w:rsidRDefault="00007189" w:rsidP="00007189">
      <w:pPr>
        <w:pStyle w:val="Heading3"/>
      </w:pPr>
      <w:r>
        <w:t>How sensitive are the projections to the assumed level of NOM?</w:t>
      </w:r>
    </w:p>
    <w:p w14:paraId="028447FF" w14:textId="12B66414" w:rsidR="00007189" w:rsidRDefault="00007189" w:rsidP="00007189">
      <w:pPr>
        <w:pStyle w:val="BodyText"/>
      </w:pPr>
      <w:r>
        <w:t xml:space="preserve">In the scenarios above, NOM is defined in terms of a fixed proportion of the population. Alternatively, NOM can be defined in terms of an absolute number of migrants, which </w:t>
      </w:r>
      <w:r w:rsidR="009110B5">
        <w:t xml:space="preserve">implies </w:t>
      </w:r>
      <w:r>
        <w:t xml:space="preserve">the proportion of NOM declines over time. Further modelling was undertaken based on three </w:t>
      </w:r>
      <w:r w:rsidR="006F3DC1">
        <w:t>alternative levels of NOM</w:t>
      </w:r>
      <w:r>
        <w:t xml:space="preserve">. </w:t>
      </w:r>
    </w:p>
    <w:p w14:paraId="02844800" w14:textId="498029A9" w:rsidR="00007189" w:rsidRDefault="00104E53" w:rsidP="00007189">
      <w:pPr>
        <w:pStyle w:val="ListBullet"/>
      </w:pPr>
      <w:r>
        <w:t>100 000 NOM —</w:t>
      </w:r>
      <w:r w:rsidR="002945E7">
        <w:t xml:space="preserve"> </w:t>
      </w:r>
      <w:r>
        <w:t>NOM is assumed to decline to 100</w:t>
      </w:r>
      <w:r w:rsidR="006F3DC1">
        <w:t> </w:t>
      </w:r>
      <w:r>
        <w:t xml:space="preserve">000 persons per year by 2026 and to remain at that </w:t>
      </w:r>
      <w:r w:rsidR="006F3DC1">
        <w:t xml:space="preserve">level </w:t>
      </w:r>
      <w:r>
        <w:t xml:space="preserve">until 2060. </w:t>
      </w:r>
    </w:p>
    <w:p w14:paraId="02844801" w14:textId="00A88E06" w:rsidR="00007189" w:rsidRDefault="00104E53" w:rsidP="00007189">
      <w:pPr>
        <w:pStyle w:val="ListBullet"/>
      </w:pPr>
      <w:r>
        <w:t>200 000 NOM —</w:t>
      </w:r>
      <w:r w:rsidR="002945E7">
        <w:t xml:space="preserve"> </w:t>
      </w:r>
      <w:r>
        <w:t xml:space="preserve">NOM is assumed </w:t>
      </w:r>
      <w:r w:rsidR="00AA7A2B">
        <w:t xml:space="preserve">to </w:t>
      </w:r>
      <w:r w:rsidR="009E1784">
        <w:t xml:space="preserve">remain </w:t>
      </w:r>
      <w:r w:rsidR="006F3DC1">
        <w:t xml:space="preserve">at </w:t>
      </w:r>
      <w:r w:rsidR="00AA7A2B">
        <w:t>around</w:t>
      </w:r>
      <w:r>
        <w:t xml:space="preserve"> 200,000 persons per year </w:t>
      </w:r>
      <w:r w:rsidR="00AA7A2B">
        <w:t xml:space="preserve">from 2015 </w:t>
      </w:r>
      <w:r>
        <w:t>through to 2060. Under this scenario, NOM is 0.8 per cent of the population in 2015 and as the population grows, the NOM to population ratio declines to 0.5 per cent by 2060.</w:t>
      </w:r>
      <w:r w:rsidR="00007189">
        <w:t xml:space="preserve"> </w:t>
      </w:r>
    </w:p>
    <w:p w14:paraId="02844802" w14:textId="6F31F2DE" w:rsidR="00007189" w:rsidRDefault="00104E53" w:rsidP="00007189">
      <w:pPr>
        <w:pStyle w:val="ListBullet"/>
      </w:pPr>
      <w:r>
        <w:t>250 000 NOM —</w:t>
      </w:r>
      <w:r w:rsidR="002945E7">
        <w:t xml:space="preserve"> </w:t>
      </w:r>
      <w:r>
        <w:t xml:space="preserve">NOM is assumed to </w:t>
      </w:r>
      <w:r w:rsidR="006F3DC1">
        <w:t xml:space="preserve">rise </w:t>
      </w:r>
      <w:r>
        <w:t xml:space="preserve">to 250 000 persons per year by 2026 and to remain at that </w:t>
      </w:r>
      <w:r w:rsidR="006F3DC1">
        <w:t xml:space="preserve">level </w:t>
      </w:r>
      <w:r>
        <w:t xml:space="preserve">until 2060. </w:t>
      </w:r>
    </w:p>
    <w:p w14:paraId="02844803" w14:textId="3BF70A08" w:rsidR="00007189" w:rsidRDefault="005363F3" w:rsidP="00007189">
      <w:pPr>
        <w:pStyle w:val="BodyText"/>
      </w:pPr>
      <w:r>
        <w:t>The approach to modelling these</w:t>
      </w:r>
      <w:r w:rsidR="00007189">
        <w:t xml:space="preserve"> alternative scenarios </w:t>
      </w:r>
      <w:r>
        <w:t xml:space="preserve">follows that of </w:t>
      </w:r>
      <w:r w:rsidR="00007189">
        <w:t>the business</w:t>
      </w:r>
      <w:r w:rsidR="00965C12">
        <w:t>-</w:t>
      </w:r>
      <w:r w:rsidR="00007189">
        <w:t>as</w:t>
      </w:r>
      <w:r w:rsidR="00965C12">
        <w:t>-</w:t>
      </w:r>
      <w:r w:rsidR="00007189">
        <w:t xml:space="preserve">usual scenario, including the </w:t>
      </w:r>
      <w:r>
        <w:t>assumption that NOM ha</w:t>
      </w:r>
      <w:r w:rsidR="006F3DC1">
        <w:t>s</w:t>
      </w:r>
      <w:r>
        <w:t xml:space="preserve"> the </w:t>
      </w:r>
      <w:r w:rsidR="00007189">
        <w:t>same age</w:t>
      </w:r>
      <w:r w:rsidR="00007189">
        <w:noBreakHyphen/>
        <w:t>gender and occupational profiles</w:t>
      </w:r>
      <w:r>
        <w:t xml:space="preserve"> </w:t>
      </w:r>
      <w:r w:rsidR="006F3DC1">
        <w:t xml:space="preserve">as </w:t>
      </w:r>
      <w:r>
        <w:t>the current migrant intake</w:t>
      </w:r>
      <w:r w:rsidR="00007189">
        <w:t>.</w:t>
      </w:r>
      <w:r>
        <w:t xml:space="preserve"> The only difference is the assumed number of NOM.</w:t>
      </w:r>
      <w:r w:rsidR="00007189">
        <w:t xml:space="preserve"> </w:t>
      </w:r>
    </w:p>
    <w:p w14:paraId="02844804" w14:textId="493D7F1A" w:rsidR="00007189" w:rsidRDefault="00007189" w:rsidP="00007189">
      <w:pPr>
        <w:pStyle w:val="BodyText"/>
      </w:pPr>
      <w:r>
        <w:t>Table </w:t>
      </w:r>
      <w:proofErr w:type="spellStart"/>
      <w:r w:rsidR="005363F3">
        <w:t>B</w:t>
      </w:r>
      <w:r>
        <w:t>.</w:t>
      </w:r>
      <w:r w:rsidR="00D05477">
        <w:t>5</w:t>
      </w:r>
      <w:proofErr w:type="spellEnd"/>
      <w:r>
        <w:t xml:space="preserve"> shows key demographic and macroeconomic effects of NOM under </w:t>
      </w:r>
      <w:r w:rsidR="005363F3">
        <w:t>the three</w:t>
      </w:r>
      <w:r>
        <w:t xml:space="preserve"> alternative NOM </w:t>
      </w:r>
      <w:r w:rsidR="005363F3">
        <w:t xml:space="preserve">level </w:t>
      </w:r>
      <w:r>
        <w:t>scenarios</w:t>
      </w:r>
      <w:r w:rsidR="005363F3">
        <w:t xml:space="preserve"> compared with the business</w:t>
      </w:r>
      <w:r w:rsidR="00965C12">
        <w:t>-</w:t>
      </w:r>
      <w:r w:rsidR="005363F3">
        <w:t>as</w:t>
      </w:r>
      <w:r w:rsidR="00965C12">
        <w:t>-</w:t>
      </w:r>
      <w:r w:rsidR="005363F3">
        <w:t>usual scenario, the 0.3</w:t>
      </w:r>
      <w:r w:rsidR="00AF724B">
        <w:t> per cent</w:t>
      </w:r>
      <w:r w:rsidR="005363F3">
        <w:t xml:space="preserve"> NOM scenario and the 1</w:t>
      </w:r>
      <w:r w:rsidR="00AF724B">
        <w:t> per cent</w:t>
      </w:r>
      <w:r w:rsidR="005363F3">
        <w:t xml:space="preserve"> NOM scenario</w:t>
      </w:r>
      <w:r>
        <w:t xml:space="preserve">. The projections illustrate that an increase in NOM would raise projected levels of economic activity. As NOM is assumed in each alternative scenario to be concentrated in the prime working age groups, higher NOM would reduce the </w:t>
      </w:r>
      <w:r w:rsidR="003357D2">
        <w:t xml:space="preserve">average </w:t>
      </w:r>
      <w:r>
        <w:t xml:space="preserve">age </w:t>
      </w:r>
      <w:r w:rsidR="003357D2">
        <w:t>of the population</w:t>
      </w:r>
      <w:r>
        <w:t xml:space="preserve"> and raise GDP per person, thereby reducing the demographic impact of ageing. </w:t>
      </w:r>
    </w:p>
    <w:p w14:paraId="4CD1C1E4" w14:textId="4F7ED935" w:rsidR="00104E53" w:rsidRDefault="00104E53" w:rsidP="001C53A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771"/>
      </w:tblGrid>
      <w:tr w:rsidR="00104E53" w14:paraId="6D049B90" w14:textId="77777777" w:rsidTr="001C53AD">
        <w:trPr>
          <w:tblHeader/>
        </w:trPr>
        <w:tc>
          <w:tcPr>
            <w:tcW w:w="8771" w:type="dxa"/>
            <w:tcBorders>
              <w:top w:val="single" w:sz="6" w:space="0" w:color="78A22F"/>
              <w:left w:val="nil"/>
              <w:bottom w:val="nil"/>
              <w:right w:val="nil"/>
            </w:tcBorders>
            <w:shd w:val="clear" w:color="auto" w:fill="auto"/>
          </w:tcPr>
          <w:p w14:paraId="075F45C7" w14:textId="01D35CDD" w:rsidR="00104E53" w:rsidRPr="00784A05" w:rsidRDefault="00104E53" w:rsidP="00104E53">
            <w:pPr>
              <w:pStyle w:val="TableTitle"/>
            </w:pPr>
            <w:r>
              <w:rPr>
                <w:b w:val="0"/>
              </w:rPr>
              <w:t xml:space="preserve">Table </w:t>
            </w:r>
            <w:proofErr w:type="spellStart"/>
            <w:r w:rsidR="000C775F">
              <w:rPr>
                <w:b w:val="0"/>
              </w:rPr>
              <w:t>B.</w:t>
            </w:r>
            <w:r w:rsidR="009015D8">
              <w:rPr>
                <w:b w:val="0"/>
                <w:noProof/>
              </w:rPr>
              <w:t>5</w:t>
            </w:r>
            <w:proofErr w:type="spellEnd"/>
            <w:r>
              <w:tab/>
              <w:t>National effects under five alternative scenarios of NOM, 2060</w:t>
            </w:r>
          </w:p>
        </w:tc>
      </w:tr>
      <w:tr w:rsidR="00104E53" w14:paraId="6B007CEA" w14:textId="77777777" w:rsidTr="001C53AD">
        <w:tc>
          <w:tcPr>
            <w:tcW w:w="8771"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102"/>
              <w:gridCol w:w="983"/>
              <w:gridCol w:w="1295"/>
              <w:gridCol w:w="1190"/>
              <w:gridCol w:w="979"/>
              <w:gridCol w:w="979"/>
              <w:gridCol w:w="981"/>
              <w:gridCol w:w="978"/>
            </w:tblGrid>
            <w:tr w:rsidR="00104E53" w14:paraId="55128025" w14:textId="77777777" w:rsidTr="005363F3">
              <w:trPr>
                <w:tblHeader/>
              </w:trPr>
              <w:tc>
                <w:tcPr>
                  <w:tcW w:w="649" w:type="pct"/>
                  <w:tcBorders>
                    <w:top w:val="single" w:sz="6" w:space="0" w:color="BFBFBF"/>
                    <w:bottom w:val="single" w:sz="6" w:space="0" w:color="BFBFBF"/>
                  </w:tcBorders>
                  <w:shd w:val="clear" w:color="auto" w:fill="auto"/>
                  <w:tcMar>
                    <w:top w:w="28" w:type="dxa"/>
                  </w:tcMar>
                </w:tcPr>
                <w:p w14:paraId="64D0CCF6" w14:textId="77777777" w:rsidR="00104E53" w:rsidRDefault="00104E53" w:rsidP="001C53AD">
                  <w:pPr>
                    <w:pStyle w:val="TableColumnHeading"/>
                    <w:jc w:val="left"/>
                  </w:pPr>
                </w:p>
              </w:tc>
              <w:tc>
                <w:tcPr>
                  <w:tcW w:w="579" w:type="pct"/>
                  <w:tcBorders>
                    <w:top w:val="single" w:sz="6" w:space="0" w:color="BFBFBF"/>
                    <w:bottom w:val="single" w:sz="6" w:space="0" w:color="BFBFBF"/>
                  </w:tcBorders>
                  <w:shd w:val="clear" w:color="auto" w:fill="auto"/>
                  <w:tcMar>
                    <w:top w:w="28" w:type="dxa"/>
                  </w:tcMar>
                </w:tcPr>
                <w:p w14:paraId="3953D78E" w14:textId="5F54FAAB" w:rsidR="00104E53" w:rsidRDefault="00104E53" w:rsidP="001C53AD">
                  <w:pPr>
                    <w:pStyle w:val="TableColumnHeading"/>
                  </w:pPr>
                  <w:r>
                    <w:t>Units</w:t>
                  </w:r>
                </w:p>
              </w:tc>
              <w:tc>
                <w:tcPr>
                  <w:tcW w:w="2041" w:type="pct"/>
                  <w:gridSpan w:val="3"/>
                  <w:tcBorders>
                    <w:top w:val="single" w:sz="6" w:space="0" w:color="BFBFBF"/>
                    <w:bottom w:val="single" w:sz="6" w:space="0" w:color="BFBFBF"/>
                  </w:tcBorders>
                </w:tcPr>
                <w:p w14:paraId="335F0E11" w14:textId="5828B895" w:rsidR="00104E53" w:rsidRDefault="00104E53" w:rsidP="006F3DC1">
                  <w:pPr>
                    <w:pStyle w:val="TableColumnHeading"/>
                    <w:ind w:right="28"/>
                  </w:pPr>
                  <w:r>
                    <w:t xml:space="preserve">NOM as a </w:t>
                  </w:r>
                  <w:r w:rsidR="006F3DC1">
                    <w:t xml:space="preserve">fixed </w:t>
                  </w:r>
                  <w:r>
                    <w:t xml:space="preserve">share of the population </w:t>
                  </w:r>
                </w:p>
              </w:tc>
              <w:tc>
                <w:tcPr>
                  <w:tcW w:w="1731" w:type="pct"/>
                  <w:gridSpan w:val="3"/>
                  <w:tcBorders>
                    <w:top w:val="single" w:sz="6" w:space="0" w:color="BFBFBF"/>
                    <w:bottom w:val="single" w:sz="6" w:space="0" w:color="BFBFBF"/>
                  </w:tcBorders>
                </w:tcPr>
                <w:p w14:paraId="6081226C" w14:textId="2D3E181A" w:rsidR="00104E53" w:rsidRDefault="00104E53" w:rsidP="006F3DC1">
                  <w:pPr>
                    <w:pStyle w:val="TableColumnHeading"/>
                    <w:ind w:right="28"/>
                  </w:pPr>
                  <w:r>
                    <w:t>The level of NOM is fixed</w:t>
                  </w:r>
                </w:p>
              </w:tc>
            </w:tr>
            <w:tr w:rsidR="00104E53" w14:paraId="39DA4161" w14:textId="77777777" w:rsidTr="00BF16A9">
              <w:tc>
                <w:tcPr>
                  <w:tcW w:w="649" w:type="pct"/>
                  <w:tcBorders>
                    <w:top w:val="single" w:sz="6" w:space="0" w:color="BFBFBF"/>
                  </w:tcBorders>
                </w:tcPr>
                <w:p w14:paraId="41CAEF65" w14:textId="77777777" w:rsidR="00104E53" w:rsidRDefault="00104E53" w:rsidP="001C53AD">
                  <w:pPr>
                    <w:pStyle w:val="TableUnitsRow"/>
                    <w:jc w:val="left"/>
                  </w:pPr>
                </w:p>
              </w:tc>
              <w:tc>
                <w:tcPr>
                  <w:tcW w:w="579" w:type="pct"/>
                  <w:tcBorders>
                    <w:top w:val="single" w:sz="6" w:space="0" w:color="BFBFBF"/>
                  </w:tcBorders>
                </w:tcPr>
                <w:p w14:paraId="214EDB5F" w14:textId="77777777" w:rsidR="00104E53" w:rsidRDefault="00104E53" w:rsidP="001C53AD">
                  <w:pPr>
                    <w:pStyle w:val="TableUnitsRow"/>
                  </w:pPr>
                </w:p>
              </w:tc>
              <w:tc>
                <w:tcPr>
                  <w:tcW w:w="763" w:type="pct"/>
                  <w:tcBorders>
                    <w:top w:val="single" w:sz="6" w:space="0" w:color="BFBFBF"/>
                  </w:tcBorders>
                </w:tcPr>
                <w:p w14:paraId="1A13A018" w14:textId="65A502F7" w:rsidR="00104E53" w:rsidRDefault="00104E53" w:rsidP="00965C12">
                  <w:pPr>
                    <w:pStyle w:val="TableUnitsRow"/>
                    <w:ind w:right="28"/>
                  </w:pPr>
                  <w:r>
                    <w:t>Business</w:t>
                  </w:r>
                  <w:r w:rsidR="00965C12">
                    <w:t>-</w:t>
                  </w:r>
                  <w:r>
                    <w:t>as</w:t>
                  </w:r>
                  <w:r w:rsidR="00965C12">
                    <w:t>-</w:t>
                  </w:r>
                  <w:r w:rsidR="00BF16A9">
                    <w:br/>
                  </w:r>
                  <w:r>
                    <w:t>usual scenario</w:t>
                  </w:r>
                </w:p>
              </w:tc>
              <w:tc>
                <w:tcPr>
                  <w:tcW w:w="701" w:type="pct"/>
                  <w:tcBorders>
                    <w:top w:val="single" w:sz="6" w:space="0" w:color="BFBFBF"/>
                  </w:tcBorders>
                </w:tcPr>
                <w:p w14:paraId="63E709FC" w14:textId="579EF2AA" w:rsidR="00104E53" w:rsidRDefault="00104E53" w:rsidP="00BF16A9">
                  <w:pPr>
                    <w:pStyle w:val="TableUnitsRow"/>
                    <w:ind w:right="28"/>
                  </w:pPr>
                  <w:r>
                    <w:t>NOM 0.3% of population</w:t>
                  </w:r>
                </w:p>
              </w:tc>
              <w:tc>
                <w:tcPr>
                  <w:tcW w:w="577" w:type="pct"/>
                  <w:tcBorders>
                    <w:top w:val="single" w:sz="6" w:space="0" w:color="BFBFBF"/>
                  </w:tcBorders>
                </w:tcPr>
                <w:p w14:paraId="2B6B9207" w14:textId="1044B016" w:rsidR="00104E53" w:rsidRDefault="00104E53" w:rsidP="001C53AD">
                  <w:pPr>
                    <w:pStyle w:val="TableUnitsRow"/>
                    <w:ind w:right="28"/>
                  </w:pPr>
                  <w:r>
                    <w:t>NOM 1% of population</w:t>
                  </w:r>
                </w:p>
              </w:tc>
              <w:tc>
                <w:tcPr>
                  <w:tcW w:w="577" w:type="pct"/>
                  <w:tcBorders>
                    <w:top w:val="single" w:sz="6" w:space="0" w:color="BFBFBF"/>
                  </w:tcBorders>
                </w:tcPr>
                <w:p w14:paraId="77907ACE" w14:textId="362404C0" w:rsidR="00104E53" w:rsidRDefault="00104E53" w:rsidP="001C53AD">
                  <w:pPr>
                    <w:pStyle w:val="TableUnitsRow"/>
                    <w:ind w:right="28"/>
                  </w:pPr>
                  <w:r>
                    <w:t>NOM 100 000 per year</w:t>
                  </w:r>
                </w:p>
              </w:tc>
              <w:tc>
                <w:tcPr>
                  <w:tcW w:w="578" w:type="pct"/>
                  <w:tcBorders>
                    <w:top w:val="single" w:sz="6" w:space="0" w:color="BFBFBF"/>
                  </w:tcBorders>
                </w:tcPr>
                <w:p w14:paraId="182A4D66" w14:textId="1B2CB07D" w:rsidR="00104E53" w:rsidRDefault="00104E53" w:rsidP="001C53AD">
                  <w:pPr>
                    <w:pStyle w:val="TableUnitsRow"/>
                    <w:ind w:right="28"/>
                  </w:pPr>
                  <w:r>
                    <w:t>NOM 200 000 per year</w:t>
                  </w:r>
                </w:p>
              </w:tc>
              <w:tc>
                <w:tcPr>
                  <w:tcW w:w="576" w:type="pct"/>
                  <w:tcBorders>
                    <w:top w:val="single" w:sz="6" w:space="0" w:color="BFBFBF"/>
                  </w:tcBorders>
                </w:tcPr>
                <w:p w14:paraId="694291A4" w14:textId="195C793E" w:rsidR="00104E53" w:rsidRDefault="00104E53" w:rsidP="001C53AD">
                  <w:pPr>
                    <w:pStyle w:val="TableUnitsRow"/>
                    <w:ind w:right="28"/>
                  </w:pPr>
                  <w:r>
                    <w:t>NOM 250 000 per year</w:t>
                  </w:r>
                </w:p>
              </w:tc>
            </w:tr>
            <w:tr w:rsidR="00104E53" w14:paraId="1D9A64EF" w14:textId="77777777" w:rsidTr="00BF16A9">
              <w:tc>
                <w:tcPr>
                  <w:tcW w:w="649" w:type="pct"/>
                </w:tcPr>
                <w:p w14:paraId="050B094C" w14:textId="0BA3F21B" w:rsidR="00104E53" w:rsidRDefault="00104E53" w:rsidP="001A6512">
                  <w:pPr>
                    <w:pStyle w:val="TableBodyText"/>
                    <w:spacing w:before="120"/>
                    <w:jc w:val="left"/>
                  </w:pPr>
                  <w:r>
                    <w:t>Annual NOM</w:t>
                  </w:r>
                </w:p>
              </w:tc>
              <w:tc>
                <w:tcPr>
                  <w:tcW w:w="579" w:type="pct"/>
                </w:tcPr>
                <w:p w14:paraId="13706109" w14:textId="4E687200" w:rsidR="00104E53" w:rsidRDefault="002E4B99" w:rsidP="001A6512">
                  <w:pPr>
                    <w:pStyle w:val="TableUnitsRow"/>
                    <w:spacing w:before="120"/>
                  </w:pPr>
                  <w:r>
                    <w:t>‘</w:t>
                  </w:r>
                  <w:r w:rsidR="00104E53">
                    <w:t>000 persons</w:t>
                  </w:r>
                </w:p>
              </w:tc>
              <w:tc>
                <w:tcPr>
                  <w:tcW w:w="763" w:type="pct"/>
                </w:tcPr>
                <w:p w14:paraId="3218689B" w14:textId="66DBA241" w:rsidR="00104E53" w:rsidRDefault="00104E53" w:rsidP="001A6512">
                  <w:pPr>
                    <w:pStyle w:val="TableBodyText"/>
                    <w:spacing w:before="120"/>
                    <w:ind w:right="28"/>
                  </w:pPr>
                  <w:r>
                    <w:t>237</w:t>
                  </w:r>
                </w:p>
              </w:tc>
              <w:tc>
                <w:tcPr>
                  <w:tcW w:w="701" w:type="pct"/>
                </w:tcPr>
                <w:p w14:paraId="38D201E5" w14:textId="12EC8E87" w:rsidR="00104E53" w:rsidRDefault="00104E53" w:rsidP="001A6512">
                  <w:pPr>
                    <w:pStyle w:val="TableBodyText"/>
                    <w:spacing w:before="120"/>
                    <w:ind w:right="28"/>
                  </w:pPr>
                  <w:r>
                    <w:t>102</w:t>
                  </w:r>
                </w:p>
              </w:tc>
              <w:tc>
                <w:tcPr>
                  <w:tcW w:w="577" w:type="pct"/>
                </w:tcPr>
                <w:p w14:paraId="6BB49D80" w14:textId="18248EA3" w:rsidR="00104E53" w:rsidRDefault="00104E53" w:rsidP="001A6512">
                  <w:pPr>
                    <w:pStyle w:val="TableBodyText"/>
                    <w:spacing w:before="120"/>
                    <w:ind w:right="28"/>
                  </w:pPr>
                  <w:r>
                    <w:t>486</w:t>
                  </w:r>
                </w:p>
              </w:tc>
              <w:tc>
                <w:tcPr>
                  <w:tcW w:w="577" w:type="pct"/>
                </w:tcPr>
                <w:p w14:paraId="0AF3BCE7" w14:textId="4D80C287" w:rsidR="00104E53" w:rsidRDefault="00104E53" w:rsidP="001A6512">
                  <w:pPr>
                    <w:pStyle w:val="TableBodyText"/>
                    <w:spacing w:before="120"/>
                    <w:ind w:right="28"/>
                  </w:pPr>
                  <w:r>
                    <w:t>100</w:t>
                  </w:r>
                </w:p>
              </w:tc>
              <w:tc>
                <w:tcPr>
                  <w:tcW w:w="578" w:type="pct"/>
                </w:tcPr>
                <w:p w14:paraId="44AA6E28" w14:textId="5FB3A18A" w:rsidR="00104E53" w:rsidRDefault="00104E53" w:rsidP="001A6512">
                  <w:pPr>
                    <w:pStyle w:val="TableBodyText"/>
                    <w:spacing w:before="120"/>
                    <w:ind w:right="28"/>
                  </w:pPr>
                  <w:r>
                    <w:t>200</w:t>
                  </w:r>
                </w:p>
              </w:tc>
              <w:tc>
                <w:tcPr>
                  <w:tcW w:w="576" w:type="pct"/>
                </w:tcPr>
                <w:p w14:paraId="59474121" w14:textId="09490593" w:rsidR="00104E53" w:rsidRDefault="00104E53" w:rsidP="001A6512">
                  <w:pPr>
                    <w:pStyle w:val="TableBodyText"/>
                    <w:spacing w:before="120"/>
                    <w:ind w:right="28"/>
                  </w:pPr>
                  <w:r>
                    <w:t>250</w:t>
                  </w:r>
                </w:p>
              </w:tc>
            </w:tr>
            <w:tr w:rsidR="00104E53" w14:paraId="60A49EE2" w14:textId="77777777" w:rsidTr="00BF16A9">
              <w:tc>
                <w:tcPr>
                  <w:tcW w:w="649" w:type="pct"/>
                </w:tcPr>
                <w:p w14:paraId="6F4A676B" w14:textId="7E4CC163" w:rsidR="00104E53" w:rsidRDefault="00104E53" w:rsidP="001C53AD">
                  <w:pPr>
                    <w:pStyle w:val="TableBodyText"/>
                    <w:jc w:val="left"/>
                  </w:pPr>
                  <w:r>
                    <w:t>Population</w:t>
                  </w:r>
                </w:p>
              </w:tc>
              <w:tc>
                <w:tcPr>
                  <w:tcW w:w="579" w:type="pct"/>
                </w:tcPr>
                <w:p w14:paraId="146E65B1" w14:textId="61A40154" w:rsidR="00104E53" w:rsidRDefault="00104E53" w:rsidP="002D52DE">
                  <w:pPr>
                    <w:pStyle w:val="TableUnitsRow"/>
                  </w:pPr>
                  <w:r>
                    <w:t>Index, 2014=100</w:t>
                  </w:r>
                </w:p>
              </w:tc>
              <w:tc>
                <w:tcPr>
                  <w:tcW w:w="763" w:type="pct"/>
                </w:tcPr>
                <w:p w14:paraId="6A3FE77A" w14:textId="51679518" w:rsidR="00104E53" w:rsidRDefault="00104E53" w:rsidP="001C53AD">
                  <w:pPr>
                    <w:pStyle w:val="TableBodyText"/>
                    <w:ind w:right="28"/>
                  </w:pPr>
                  <w:r>
                    <w:t>173</w:t>
                  </w:r>
                </w:p>
              </w:tc>
              <w:tc>
                <w:tcPr>
                  <w:tcW w:w="701" w:type="pct"/>
                </w:tcPr>
                <w:p w14:paraId="30A02BA8" w14:textId="0DCF9882" w:rsidR="00104E53" w:rsidRDefault="00104E53" w:rsidP="001C53AD">
                  <w:pPr>
                    <w:pStyle w:val="TableBodyText"/>
                    <w:ind w:right="28"/>
                  </w:pPr>
                  <w:r>
                    <w:t>148</w:t>
                  </w:r>
                </w:p>
              </w:tc>
              <w:tc>
                <w:tcPr>
                  <w:tcW w:w="577" w:type="pct"/>
                </w:tcPr>
                <w:p w14:paraId="0BB79AEF" w14:textId="701A5E15" w:rsidR="00104E53" w:rsidRDefault="00104E53" w:rsidP="001C53AD">
                  <w:pPr>
                    <w:pStyle w:val="TableBodyText"/>
                    <w:ind w:right="28"/>
                  </w:pPr>
                  <w:r>
                    <w:t>215</w:t>
                  </w:r>
                </w:p>
              </w:tc>
              <w:tc>
                <w:tcPr>
                  <w:tcW w:w="577" w:type="pct"/>
                </w:tcPr>
                <w:p w14:paraId="1DBF8091" w14:textId="3E9847EF" w:rsidR="00104E53" w:rsidRDefault="00104E53" w:rsidP="001C53AD">
                  <w:pPr>
                    <w:pStyle w:val="TableBodyText"/>
                    <w:ind w:right="28"/>
                  </w:pPr>
                  <w:r>
                    <w:t>150</w:t>
                  </w:r>
                </w:p>
              </w:tc>
              <w:tc>
                <w:tcPr>
                  <w:tcW w:w="578" w:type="pct"/>
                </w:tcPr>
                <w:p w14:paraId="56B407ED" w14:textId="730C82D9" w:rsidR="00104E53" w:rsidRDefault="00104E53" w:rsidP="001C53AD">
                  <w:pPr>
                    <w:pStyle w:val="TableBodyText"/>
                    <w:ind w:right="28"/>
                  </w:pPr>
                  <w:r>
                    <w:t>175</w:t>
                  </w:r>
                </w:p>
              </w:tc>
              <w:tc>
                <w:tcPr>
                  <w:tcW w:w="576" w:type="pct"/>
                </w:tcPr>
                <w:p w14:paraId="53A0F35A" w14:textId="4204B5AB" w:rsidR="00104E53" w:rsidRDefault="00104E53" w:rsidP="001C53AD">
                  <w:pPr>
                    <w:pStyle w:val="TableBodyText"/>
                    <w:ind w:right="28"/>
                  </w:pPr>
                  <w:r>
                    <w:t>188</w:t>
                  </w:r>
                </w:p>
              </w:tc>
            </w:tr>
            <w:tr w:rsidR="00104E53" w14:paraId="1DF28ADF" w14:textId="77777777" w:rsidTr="00BF16A9">
              <w:tc>
                <w:tcPr>
                  <w:tcW w:w="649" w:type="pct"/>
                </w:tcPr>
                <w:p w14:paraId="0E1FF922" w14:textId="6BD3D1D9" w:rsidR="00104E53" w:rsidRDefault="00104E53" w:rsidP="001C53AD">
                  <w:pPr>
                    <w:pStyle w:val="TableBodyText"/>
                    <w:jc w:val="left"/>
                  </w:pPr>
                  <w:r>
                    <w:t>Population</w:t>
                  </w:r>
                </w:p>
              </w:tc>
              <w:tc>
                <w:tcPr>
                  <w:tcW w:w="579" w:type="pct"/>
                </w:tcPr>
                <w:p w14:paraId="7BA53523" w14:textId="491B4531" w:rsidR="00104E53" w:rsidRDefault="002E4B99" w:rsidP="002D52DE">
                  <w:pPr>
                    <w:pStyle w:val="TableUnitsRow"/>
                  </w:pPr>
                  <w:r>
                    <w:t>M</w:t>
                  </w:r>
                  <w:r w:rsidR="006F3DC1">
                    <w:t>il</w:t>
                  </w:r>
                  <w:r w:rsidR="00104E53">
                    <w:t>l</w:t>
                  </w:r>
                  <w:r w:rsidR="006F3DC1">
                    <w:t>ion</w:t>
                  </w:r>
                  <w:r w:rsidR="00104E53">
                    <w:t xml:space="preserve"> persons</w:t>
                  </w:r>
                </w:p>
              </w:tc>
              <w:tc>
                <w:tcPr>
                  <w:tcW w:w="763" w:type="pct"/>
                </w:tcPr>
                <w:p w14:paraId="0BF46ADE" w14:textId="49BA3E1B" w:rsidR="00104E53" w:rsidRDefault="00104E53" w:rsidP="001C53AD">
                  <w:pPr>
                    <w:pStyle w:val="TableBodyText"/>
                    <w:ind w:right="28"/>
                  </w:pPr>
                  <w:r>
                    <w:t>40</w:t>
                  </w:r>
                </w:p>
              </w:tc>
              <w:tc>
                <w:tcPr>
                  <w:tcW w:w="701" w:type="pct"/>
                </w:tcPr>
                <w:p w14:paraId="3AB47062" w14:textId="08ED7B9C" w:rsidR="00104E53" w:rsidRDefault="00104E53" w:rsidP="001C53AD">
                  <w:pPr>
                    <w:pStyle w:val="TableBodyText"/>
                    <w:ind w:right="28"/>
                  </w:pPr>
                  <w:r>
                    <w:t>34</w:t>
                  </w:r>
                </w:p>
              </w:tc>
              <w:tc>
                <w:tcPr>
                  <w:tcW w:w="577" w:type="pct"/>
                </w:tcPr>
                <w:p w14:paraId="3748401C" w14:textId="19ABD56F" w:rsidR="00104E53" w:rsidRDefault="00104E53" w:rsidP="001C53AD">
                  <w:pPr>
                    <w:pStyle w:val="TableBodyText"/>
                    <w:ind w:right="28"/>
                  </w:pPr>
                  <w:r>
                    <w:t>50</w:t>
                  </w:r>
                </w:p>
              </w:tc>
              <w:tc>
                <w:tcPr>
                  <w:tcW w:w="577" w:type="pct"/>
                </w:tcPr>
                <w:p w14:paraId="69D04A36" w14:textId="7027BAEB" w:rsidR="00104E53" w:rsidRDefault="00104E53" w:rsidP="001C53AD">
                  <w:pPr>
                    <w:pStyle w:val="TableBodyText"/>
                    <w:ind w:right="28"/>
                  </w:pPr>
                  <w:r>
                    <w:t>35</w:t>
                  </w:r>
                </w:p>
              </w:tc>
              <w:tc>
                <w:tcPr>
                  <w:tcW w:w="578" w:type="pct"/>
                </w:tcPr>
                <w:p w14:paraId="76BBE3DD" w14:textId="3F3AC108" w:rsidR="00104E53" w:rsidRDefault="00104E53" w:rsidP="001C53AD">
                  <w:pPr>
                    <w:pStyle w:val="TableBodyText"/>
                    <w:ind w:right="28"/>
                  </w:pPr>
                  <w:r>
                    <w:t>40</w:t>
                  </w:r>
                </w:p>
              </w:tc>
              <w:tc>
                <w:tcPr>
                  <w:tcW w:w="576" w:type="pct"/>
                </w:tcPr>
                <w:p w14:paraId="212184DB" w14:textId="4C0C2CE4" w:rsidR="00104E53" w:rsidRDefault="00104E53" w:rsidP="001C53AD">
                  <w:pPr>
                    <w:pStyle w:val="TableBodyText"/>
                    <w:ind w:right="28"/>
                  </w:pPr>
                  <w:r>
                    <w:t>43</w:t>
                  </w:r>
                </w:p>
              </w:tc>
            </w:tr>
            <w:tr w:rsidR="00104E53" w14:paraId="78AFB7CA" w14:textId="77777777" w:rsidTr="00BF16A9">
              <w:tc>
                <w:tcPr>
                  <w:tcW w:w="649" w:type="pct"/>
                </w:tcPr>
                <w:p w14:paraId="11F09F60" w14:textId="3422C9C4" w:rsidR="00104E53" w:rsidRDefault="00104E53" w:rsidP="001C53AD">
                  <w:pPr>
                    <w:pStyle w:val="TableBodyText"/>
                    <w:jc w:val="left"/>
                  </w:pPr>
                  <w:r>
                    <w:t>NOM share of population</w:t>
                  </w:r>
                </w:p>
              </w:tc>
              <w:tc>
                <w:tcPr>
                  <w:tcW w:w="579" w:type="pct"/>
                </w:tcPr>
                <w:p w14:paraId="571EE6FD" w14:textId="1090D263" w:rsidR="00104E53" w:rsidRDefault="00104E53" w:rsidP="002D52DE">
                  <w:pPr>
                    <w:pStyle w:val="TableUnitsRow"/>
                  </w:pPr>
                  <w:r>
                    <w:t>Per cent share</w:t>
                  </w:r>
                </w:p>
              </w:tc>
              <w:tc>
                <w:tcPr>
                  <w:tcW w:w="763" w:type="pct"/>
                </w:tcPr>
                <w:p w14:paraId="57904BD4" w14:textId="1EE3E9EC" w:rsidR="00104E53" w:rsidRDefault="00104E53" w:rsidP="001C53AD">
                  <w:pPr>
                    <w:pStyle w:val="TableBodyText"/>
                    <w:ind w:right="28"/>
                  </w:pPr>
                  <w:r>
                    <w:t>0.6</w:t>
                  </w:r>
                </w:p>
              </w:tc>
              <w:tc>
                <w:tcPr>
                  <w:tcW w:w="701" w:type="pct"/>
                </w:tcPr>
                <w:p w14:paraId="55B9EEA3" w14:textId="2891C0ED" w:rsidR="00104E53" w:rsidRDefault="00104E53" w:rsidP="001C53AD">
                  <w:pPr>
                    <w:pStyle w:val="TableBodyText"/>
                    <w:ind w:right="28"/>
                  </w:pPr>
                  <w:r>
                    <w:t>0.3</w:t>
                  </w:r>
                </w:p>
              </w:tc>
              <w:tc>
                <w:tcPr>
                  <w:tcW w:w="577" w:type="pct"/>
                </w:tcPr>
                <w:p w14:paraId="5904CF43" w14:textId="7AA314CB" w:rsidR="00104E53" w:rsidRDefault="00104E53" w:rsidP="001C53AD">
                  <w:pPr>
                    <w:pStyle w:val="TableBodyText"/>
                    <w:ind w:right="28"/>
                  </w:pPr>
                  <w:r>
                    <w:t>1.0</w:t>
                  </w:r>
                </w:p>
              </w:tc>
              <w:tc>
                <w:tcPr>
                  <w:tcW w:w="577" w:type="pct"/>
                </w:tcPr>
                <w:p w14:paraId="28901455" w14:textId="5D61A1A3" w:rsidR="00104E53" w:rsidRDefault="00104E53" w:rsidP="001C53AD">
                  <w:pPr>
                    <w:pStyle w:val="TableBodyText"/>
                    <w:ind w:right="28"/>
                  </w:pPr>
                  <w:r>
                    <w:t>0.3</w:t>
                  </w:r>
                </w:p>
              </w:tc>
              <w:tc>
                <w:tcPr>
                  <w:tcW w:w="578" w:type="pct"/>
                </w:tcPr>
                <w:p w14:paraId="3A68D64C" w14:textId="0582C7A8" w:rsidR="00104E53" w:rsidRDefault="00104E53" w:rsidP="001C53AD">
                  <w:pPr>
                    <w:pStyle w:val="TableBodyText"/>
                    <w:ind w:right="28"/>
                  </w:pPr>
                  <w:r>
                    <w:t>0.5</w:t>
                  </w:r>
                </w:p>
              </w:tc>
              <w:tc>
                <w:tcPr>
                  <w:tcW w:w="576" w:type="pct"/>
                </w:tcPr>
                <w:p w14:paraId="62F1FE25" w14:textId="0532188E" w:rsidR="00104E53" w:rsidRDefault="00104E53" w:rsidP="001C53AD">
                  <w:pPr>
                    <w:pStyle w:val="TableBodyText"/>
                    <w:ind w:right="28"/>
                  </w:pPr>
                  <w:r>
                    <w:t>0.6</w:t>
                  </w:r>
                </w:p>
              </w:tc>
            </w:tr>
            <w:tr w:rsidR="000139FB" w14:paraId="518C33E1" w14:textId="77777777" w:rsidTr="00BF16A9">
              <w:tc>
                <w:tcPr>
                  <w:tcW w:w="649" w:type="pct"/>
                </w:tcPr>
                <w:p w14:paraId="77B55156" w14:textId="091DE1D8" w:rsidR="000139FB" w:rsidRDefault="000139FB" w:rsidP="00E6613D">
                  <w:pPr>
                    <w:pStyle w:val="TableBodyText"/>
                    <w:jc w:val="left"/>
                  </w:pPr>
                  <w:r>
                    <w:t>Average age</w:t>
                  </w:r>
                  <w:r w:rsidR="00880BE2" w:rsidRPr="008E77FE">
                    <w:rPr>
                      <w:rStyle w:val="NoteLabel"/>
                    </w:rPr>
                    <w:t>a</w:t>
                  </w:r>
                </w:p>
              </w:tc>
              <w:tc>
                <w:tcPr>
                  <w:tcW w:w="579" w:type="pct"/>
                </w:tcPr>
                <w:p w14:paraId="01FE4429" w14:textId="6290AA2E" w:rsidR="000139FB" w:rsidRDefault="00E6613D" w:rsidP="002D52DE">
                  <w:pPr>
                    <w:pStyle w:val="TableUnitsRow"/>
                  </w:pPr>
                  <w:r>
                    <w:t>Years</w:t>
                  </w:r>
                </w:p>
              </w:tc>
              <w:tc>
                <w:tcPr>
                  <w:tcW w:w="763" w:type="pct"/>
                </w:tcPr>
                <w:p w14:paraId="12898C60" w14:textId="33D7C9B3" w:rsidR="000139FB" w:rsidRDefault="00C3748C" w:rsidP="001C53AD">
                  <w:pPr>
                    <w:pStyle w:val="TableBodyText"/>
                    <w:ind w:right="28"/>
                  </w:pPr>
                  <w:r>
                    <w:t>43</w:t>
                  </w:r>
                </w:p>
              </w:tc>
              <w:tc>
                <w:tcPr>
                  <w:tcW w:w="701" w:type="pct"/>
                </w:tcPr>
                <w:p w14:paraId="41DAEA30" w14:textId="6A51DCE4" w:rsidR="000139FB" w:rsidRDefault="00C3748C" w:rsidP="001C53AD">
                  <w:pPr>
                    <w:pStyle w:val="TableBodyText"/>
                    <w:ind w:right="28"/>
                  </w:pPr>
                  <w:r>
                    <w:t>45</w:t>
                  </w:r>
                </w:p>
              </w:tc>
              <w:tc>
                <w:tcPr>
                  <w:tcW w:w="577" w:type="pct"/>
                </w:tcPr>
                <w:p w14:paraId="0656FD78" w14:textId="6B7BEF43" w:rsidR="000139FB" w:rsidRDefault="00C3748C" w:rsidP="001C53AD">
                  <w:pPr>
                    <w:pStyle w:val="TableBodyText"/>
                    <w:ind w:right="28"/>
                  </w:pPr>
                  <w:r>
                    <w:t>41</w:t>
                  </w:r>
                </w:p>
              </w:tc>
              <w:tc>
                <w:tcPr>
                  <w:tcW w:w="577" w:type="pct"/>
                </w:tcPr>
                <w:p w14:paraId="5246A9C0" w14:textId="2AF7B648" w:rsidR="000139FB" w:rsidRDefault="00C3748C" w:rsidP="001C53AD">
                  <w:pPr>
                    <w:pStyle w:val="TableBodyText"/>
                    <w:ind w:right="28"/>
                  </w:pPr>
                  <w:r>
                    <w:t>45</w:t>
                  </w:r>
                </w:p>
              </w:tc>
              <w:tc>
                <w:tcPr>
                  <w:tcW w:w="578" w:type="pct"/>
                </w:tcPr>
                <w:p w14:paraId="7BEB1DB0" w14:textId="1DAC96FE" w:rsidR="000139FB" w:rsidRDefault="00C3748C" w:rsidP="001C53AD">
                  <w:pPr>
                    <w:pStyle w:val="TableBodyText"/>
                    <w:ind w:right="28"/>
                  </w:pPr>
                  <w:r>
                    <w:t>43</w:t>
                  </w:r>
                </w:p>
              </w:tc>
              <w:tc>
                <w:tcPr>
                  <w:tcW w:w="576" w:type="pct"/>
                </w:tcPr>
                <w:p w14:paraId="05DEDB35" w14:textId="704DEE5F" w:rsidR="000139FB" w:rsidRDefault="00C3748C" w:rsidP="001C53AD">
                  <w:pPr>
                    <w:pStyle w:val="TableBodyText"/>
                    <w:ind w:right="28"/>
                  </w:pPr>
                  <w:r>
                    <w:t>43</w:t>
                  </w:r>
                </w:p>
              </w:tc>
            </w:tr>
            <w:tr w:rsidR="00104E53" w14:paraId="56FFD551" w14:textId="77777777" w:rsidTr="00BF16A9">
              <w:tc>
                <w:tcPr>
                  <w:tcW w:w="649" w:type="pct"/>
                </w:tcPr>
                <w:p w14:paraId="7321C725" w14:textId="1D8CB9CD" w:rsidR="00104E53" w:rsidRDefault="00104E53" w:rsidP="002E4B99">
                  <w:pPr>
                    <w:pStyle w:val="TableBodyText"/>
                    <w:jc w:val="left"/>
                  </w:pPr>
                  <w:r>
                    <w:t>Age dependency</w:t>
                  </w:r>
                  <w:r w:rsidR="00BC4C53">
                    <w:t xml:space="preserve"> ratio</w:t>
                  </w:r>
                  <w:r w:rsidR="00880BE2">
                    <w:rPr>
                      <w:rStyle w:val="NoteLabel"/>
                    </w:rPr>
                    <w:t>b</w:t>
                  </w:r>
                </w:p>
              </w:tc>
              <w:tc>
                <w:tcPr>
                  <w:tcW w:w="579" w:type="pct"/>
                </w:tcPr>
                <w:p w14:paraId="71E1D930" w14:textId="20C829AF" w:rsidR="00104E53" w:rsidRDefault="00E6613D" w:rsidP="002D52DE">
                  <w:pPr>
                    <w:pStyle w:val="TableUnitsRow"/>
                  </w:pPr>
                  <w:r>
                    <w:t>Per</w:t>
                  </w:r>
                  <w:r w:rsidR="0050549F">
                    <w:t xml:space="preserve"> </w:t>
                  </w:r>
                  <w:r>
                    <w:t>cent</w:t>
                  </w:r>
                  <w:r w:rsidR="0050549F">
                    <w:t xml:space="preserve"> share</w:t>
                  </w:r>
                </w:p>
              </w:tc>
              <w:tc>
                <w:tcPr>
                  <w:tcW w:w="763" w:type="pct"/>
                </w:tcPr>
                <w:p w14:paraId="0056054C" w14:textId="35319B98" w:rsidR="00104E53" w:rsidRDefault="00065BCD" w:rsidP="001C53AD">
                  <w:pPr>
                    <w:pStyle w:val="TableBodyText"/>
                    <w:ind w:right="28"/>
                  </w:pPr>
                  <w:r>
                    <w:t>39</w:t>
                  </w:r>
                </w:p>
              </w:tc>
              <w:tc>
                <w:tcPr>
                  <w:tcW w:w="701" w:type="pct"/>
                </w:tcPr>
                <w:p w14:paraId="7F15D5A6" w14:textId="5EF88832" w:rsidR="00104E53" w:rsidRDefault="00104E53" w:rsidP="001C53AD">
                  <w:pPr>
                    <w:pStyle w:val="TableBodyText"/>
                    <w:ind w:right="28"/>
                  </w:pPr>
                  <w:r>
                    <w:t>4</w:t>
                  </w:r>
                  <w:r w:rsidR="00065BCD">
                    <w:t>5</w:t>
                  </w:r>
                </w:p>
              </w:tc>
              <w:tc>
                <w:tcPr>
                  <w:tcW w:w="577" w:type="pct"/>
                </w:tcPr>
                <w:p w14:paraId="03B2457C" w14:textId="5DF60A5F" w:rsidR="00104E53" w:rsidRDefault="00104E53" w:rsidP="00065BCD">
                  <w:pPr>
                    <w:pStyle w:val="TableBodyText"/>
                    <w:ind w:right="28"/>
                  </w:pPr>
                  <w:r>
                    <w:t>3</w:t>
                  </w:r>
                  <w:r w:rsidR="00065BCD">
                    <w:t>3</w:t>
                  </w:r>
                </w:p>
              </w:tc>
              <w:tc>
                <w:tcPr>
                  <w:tcW w:w="577" w:type="pct"/>
                </w:tcPr>
                <w:p w14:paraId="6920516E" w14:textId="7149130A" w:rsidR="00104E53" w:rsidRDefault="00104E53" w:rsidP="00065BCD">
                  <w:pPr>
                    <w:pStyle w:val="TableBodyText"/>
                    <w:ind w:right="28"/>
                  </w:pPr>
                  <w:r>
                    <w:t>4</w:t>
                  </w:r>
                  <w:r w:rsidR="00065BCD">
                    <w:t>5</w:t>
                  </w:r>
                </w:p>
              </w:tc>
              <w:tc>
                <w:tcPr>
                  <w:tcW w:w="578" w:type="pct"/>
                </w:tcPr>
                <w:p w14:paraId="17E0C952" w14:textId="2D288346" w:rsidR="00104E53" w:rsidRDefault="00065BCD" w:rsidP="001C53AD">
                  <w:pPr>
                    <w:pStyle w:val="TableBodyText"/>
                    <w:ind w:right="28"/>
                  </w:pPr>
                  <w:r>
                    <w:t>39</w:t>
                  </w:r>
                </w:p>
              </w:tc>
              <w:tc>
                <w:tcPr>
                  <w:tcW w:w="576" w:type="pct"/>
                </w:tcPr>
                <w:p w14:paraId="259818E5" w14:textId="2A1006D3" w:rsidR="00104E53" w:rsidRDefault="00104E53" w:rsidP="00065BCD">
                  <w:pPr>
                    <w:pStyle w:val="TableBodyText"/>
                    <w:ind w:right="28"/>
                  </w:pPr>
                  <w:r>
                    <w:t>3</w:t>
                  </w:r>
                  <w:r w:rsidR="00065BCD">
                    <w:t>7</w:t>
                  </w:r>
                </w:p>
              </w:tc>
            </w:tr>
            <w:tr w:rsidR="00104E53" w14:paraId="0FAD39A9" w14:textId="77777777" w:rsidTr="00BF16A9">
              <w:tc>
                <w:tcPr>
                  <w:tcW w:w="649" w:type="pct"/>
                </w:tcPr>
                <w:p w14:paraId="4515C495" w14:textId="621194A3" w:rsidR="00104E53" w:rsidRDefault="00104E53" w:rsidP="001C53AD">
                  <w:pPr>
                    <w:pStyle w:val="TableBodyText"/>
                    <w:jc w:val="left"/>
                  </w:pPr>
                  <w:r>
                    <w:t>GDP</w:t>
                  </w:r>
                </w:p>
              </w:tc>
              <w:tc>
                <w:tcPr>
                  <w:tcW w:w="579" w:type="pct"/>
                </w:tcPr>
                <w:p w14:paraId="6F2360FE" w14:textId="622E1CEC" w:rsidR="00104E53" w:rsidRDefault="002C1CB8" w:rsidP="002D52DE">
                  <w:pPr>
                    <w:pStyle w:val="TableUnitsRow"/>
                  </w:pPr>
                  <w:r>
                    <w:t>Index, 2014=100</w:t>
                  </w:r>
                </w:p>
              </w:tc>
              <w:tc>
                <w:tcPr>
                  <w:tcW w:w="763" w:type="pct"/>
                </w:tcPr>
                <w:p w14:paraId="3B4CDA73" w14:textId="2A4947BB" w:rsidR="00104E53" w:rsidRDefault="00104E53" w:rsidP="001C53AD">
                  <w:pPr>
                    <w:pStyle w:val="TableBodyText"/>
                    <w:ind w:right="28"/>
                  </w:pPr>
                  <w:r>
                    <w:t>264</w:t>
                  </w:r>
                </w:p>
              </w:tc>
              <w:tc>
                <w:tcPr>
                  <w:tcW w:w="701" w:type="pct"/>
                </w:tcPr>
                <w:p w14:paraId="0E653018" w14:textId="58518DB3" w:rsidR="00104E53" w:rsidRDefault="00104E53" w:rsidP="001C53AD">
                  <w:pPr>
                    <w:pStyle w:val="TableBodyText"/>
                    <w:ind w:right="28"/>
                  </w:pPr>
                  <w:r>
                    <w:t>219</w:t>
                  </w:r>
                </w:p>
              </w:tc>
              <w:tc>
                <w:tcPr>
                  <w:tcW w:w="577" w:type="pct"/>
                </w:tcPr>
                <w:p w14:paraId="5AF2B2AD" w14:textId="4BB5F1C8" w:rsidR="00104E53" w:rsidRDefault="00104E53" w:rsidP="001C53AD">
                  <w:pPr>
                    <w:pStyle w:val="TableBodyText"/>
                    <w:ind w:right="28"/>
                  </w:pPr>
                  <w:r>
                    <w:t>337</w:t>
                  </w:r>
                </w:p>
              </w:tc>
              <w:tc>
                <w:tcPr>
                  <w:tcW w:w="577" w:type="pct"/>
                </w:tcPr>
                <w:p w14:paraId="2BBD8C43" w14:textId="1E0952C3" w:rsidR="00104E53" w:rsidRDefault="00104E53" w:rsidP="001C53AD">
                  <w:pPr>
                    <w:pStyle w:val="TableBodyText"/>
                    <w:ind w:right="28"/>
                  </w:pPr>
                  <w:r>
                    <w:t>223</w:t>
                  </w:r>
                </w:p>
              </w:tc>
              <w:tc>
                <w:tcPr>
                  <w:tcW w:w="578" w:type="pct"/>
                </w:tcPr>
                <w:p w14:paraId="21BAB205" w14:textId="66B8B2CB" w:rsidR="00104E53" w:rsidRDefault="00104E53" w:rsidP="001C53AD">
                  <w:pPr>
                    <w:pStyle w:val="TableBodyText"/>
                    <w:ind w:right="28"/>
                  </w:pPr>
                  <w:r>
                    <w:t>267</w:t>
                  </w:r>
                </w:p>
              </w:tc>
              <w:tc>
                <w:tcPr>
                  <w:tcW w:w="576" w:type="pct"/>
                </w:tcPr>
                <w:p w14:paraId="124C2ED4" w14:textId="56AFF92D" w:rsidR="00104E53" w:rsidRDefault="00104E53" w:rsidP="001C53AD">
                  <w:pPr>
                    <w:pStyle w:val="TableBodyText"/>
                    <w:ind w:right="28"/>
                  </w:pPr>
                  <w:r>
                    <w:t>290</w:t>
                  </w:r>
                </w:p>
              </w:tc>
            </w:tr>
            <w:tr w:rsidR="005363F3" w14:paraId="77657096" w14:textId="77777777" w:rsidTr="00BF16A9">
              <w:tc>
                <w:tcPr>
                  <w:tcW w:w="649" w:type="pct"/>
                  <w:tcBorders>
                    <w:bottom w:val="single" w:sz="6" w:space="0" w:color="BFBFBF"/>
                  </w:tcBorders>
                  <w:shd w:val="clear" w:color="auto" w:fill="auto"/>
                </w:tcPr>
                <w:p w14:paraId="471EE56A" w14:textId="3D84CA53" w:rsidR="005363F3" w:rsidRDefault="005363F3" w:rsidP="001C53AD">
                  <w:pPr>
                    <w:pStyle w:val="TableBodyText"/>
                    <w:jc w:val="left"/>
                  </w:pPr>
                  <w:r>
                    <w:t>GDP per person</w:t>
                  </w:r>
                </w:p>
              </w:tc>
              <w:tc>
                <w:tcPr>
                  <w:tcW w:w="579" w:type="pct"/>
                  <w:tcBorders>
                    <w:bottom w:val="single" w:sz="6" w:space="0" w:color="BFBFBF"/>
                  </w:tcBorders>
                  <w:shd w:val="clear" w:color="auto" w:fill="auto"/>
                </w:tcPr>
                <w:p w14:paraId="0753DD04" w14:textId="007FDD09" w:rsidR="005363F3" w:rsidRDefault="002C1CB8" w:rsidP="002D52DE">
                  <w:pPr>
                    <w:pStyle w:val="TableUnitsRow"/>
                  </w:pPr>
                  <w:r>
                    <w:t>Index, 2014=100</w:t>
                  </w:r>
                </w:p>
              </w:tc>
              <w:tc>
                <w:tcPr>
                  <w:tcW w:w="763" w:type="pct"/>
                  <w:tcBorders>
                    <w:bottom w:val="single" w:sz="6" w:space="0" w:color="BFBFBF"/>
                  </w:tcBorders>
                </w:tcPr>
                <w:p w14:paraId="40181D84" w14:textId="2A52B4E9" w:rsidR="005363F3" w:rsidRDefault="005363F3" w:rsidP="001C53AD">
                  <w:pPr>
                    <w:pStyle w:val="TableBodyText"/>
                    <w:ind w:right="28"/>
                  </w:pPr>
                  <w:r>
                    <w:t>152</w:t>
                  </w:r>
                </w:p>
              </w:tc>
              <w:tc>
                <w:tcPr>
                  <w:tcW w:w="701" w:type="pct"/>
                  <w:tcBorders>
                    <w:bottom w:val="single" w:sz="6" w:space="0" w:color="BFBFBF"/>
                  </w:tcBorders>
                </w:tcPr>
                <w:p w14:paraId="635D5F20" w14:textId="41F3118E" w:rsidR="005363F3" w:rsidRDefault="005363F3" w:rsidP="001C53AD">
                  <w:pPr>
                    <w:pStyle w:val="TableBodyText"/>
                    <w:ind w:right="28"/>
                  </w:pPr>
                  <w:r>
                    <w:t>148</w:t>
                  </w:r>
                </w:p>
              </w:tc>
              <w:tc>
                <w:tcPr>
                  <w:tcW w:w="577" w:type="pct"/>
                  <w:tcBorders>
                    <w:bottom w:val="single" w:sz="6" w:space="0" w:color="BFBFBF"/>
                  </w:tcBorders>
                </w:tcPr>
                <w:p w14:paraId="46D2583E" w14:textId="24F5564B" w:rsidR="005363F3" w:rsidRDefault="005363F3" w:rsidP="001C53AD">
                  <w:pPr>
                    <w:pStyle w:val="TableBodyText"/>
                    <w:ind w:right="28"/>
                  </w:pPr>
                  <w:r>
                    <w:t>157</w:t>
                  </w:r>
                </w:p>
              </w:tc>
              <w:tc>
                <w:tcPr>
                  <w:tcW w:w="577" w:type="pct"/>
                  <w:tcBorders>
                    <w:bottom w:val="single" w:sz="6" w:space="0" w:color="BFBFBF"/>
                  </w:tcBorders>
                </w:tcPr>
                <w:p w14:paraId="537F5AB4" w14:textId="72FC4FB0" w:rsidR="005363F3" w:rsidRDefault="005363F3" w:rsidP="001C53AD">
                  <w:pPr>
                    <w:pStyle w:val="TableBodyText"/>
                    <w:ind w:right="28"/>
                  </w:pPr>
                  <w:r>
                    <w:t>148</w:t>
                  </w:r>
                </w:p>
              </w:tc>
              <w:tc>
                <w:tcPr>
                  <w:tcW w:w="578" w:type="pct"/>
                  <w:tcBorders>
                    <w:bottom w:val="single" w:sz="6" w:space="0" w:color="BFBFBF"/>
                  </w:tcBorders>
                </w:tcPr>
                <w:p w14:paraId="0DA661AB" w14:textId="548A07F9" w:rsidR="005363F3" w:rsidRDefault="005363F3" w:rsidP="001C53AD">
                  <w:pPr>
                    <w:pStyle w:val="TableBodyText"/>
                    <w:ind w:right="28"/>
                  </w:pPr>
                  <w:r>
                    <w:t>153</w:t>
                  </w:r>
                </w:p>
              </w:tc>
              <w:tc>
                <w:tcPr>
                  <w:tcW w:w="576" w:type="pct"/>
                  <w:tcBorders>
                    <w:bottom w:val="single" w:sz="6" w:space="0" w:color="BFBFBF"/>
                  </w:tcBorders>
                  <w:shd w:val="clear" w:color="auto" w:fill="auto"/>
                </w:tcPr>
                <w:p w14:paraId="37529D33" w14:textId="4E60D105" w:rsidR="005363F3" w:rsidRDefault="005363F3" w:rsidP="001C53AD">
                  <w:pPr>
                    <w:pStyle w:val="TableBodyText"/>
                    <w:ind w:right="28"/>
                  </w:pPr>
                  <w:r>
                    <w:t>154</w:t>
                  </w:r>
                </w:p>
              </w:tc>
            </w:tr>
          </w:tbl>
          <w:p w14:paraId="099D1A24" w14:textId="77777777" w:rsidR="00104E53" w:rsidRDefault="00104E53" w:rsidP="001C53AD">
            <w:pPr>
              <w:pStyle w:val="Box"/>
            </w:pPr>
          </w:p>
        </w:tc>
      </w:tr>
      <w:tr w:rsidR="00104E53" w14:paraId="7F6EE443" w14:textId="77777777" w:rsidTr="001C53AD">
        <w:tc>
          <w:tcPr>
            <w:tcW w:w="8771" w:type="dxa"/>
            <w:tcBorders>
              <w:top w:val="nil"/>
              <w:left w:val="nil"/>
              <w:bottom w:val="nil"/>
              <w:right w:val="nil"/>
            </w:tcBorders>
            <w:shd w:val="clear" w:color="auto" w:fill="auto"/>
          </w:tcPr>
          <w:p w14:paraId="0CC512CC" w14:textId="67C667F7" w:rsidR="00104E53" w:rsidRDefault="00104E53" w:rsidP="00490A43">
            <w:pPr>
              <w:pStyle w:val="Note"/>
              <w:rPr>
                <w:i/>
              </w:rPr>
            </w:pPr>
            <w:proofErr w:type="spellStart"/>
            <w:r w:rsidRPr="008E77FE">
              <w:rPr>
                <w:rStyle w:val="NoteLabel"/>
              </w:rPr>
              <w:t>a</w:t>
            </w:r>
            <w:proofErr w:type="spellEnd"/>
            <w:r w:rsidR="00490A43">
              <w:t> </w:t>
            </w:r>
            <w:r w:rsidR="00880BE2">
              <w:t>Average age is weighted by the population share of each age group</w:t>
            </w:r>
            <w:r>
              <w:t xml:space="preserve">. </w:t>
            </w:r>
            <w:r w:rsidR="00880BE2">
              <w:rPr>
                <w:rStyle w:val="NoteLabel"/>
              </w:rPr>
              <w:t>b</w:t>
            </w:r>
            <w:r w:rsidR="00490A43">
              <w:t> </w:t>
            </w:r>
            <w:r>
              <w:t xml:space="preserve">Age dependency </w:t>
            </w:r>
            <w:r w:rsidR="00BC4C53">
              <w:t xml:space="preserve">ratio </w:t>
            </w:r>
            <w:r>
              <w:t xml:space="preserve">is the population aged </w:t>
            </w:r>
            <w:r w:rsidR="00065BCD">
              <w:t xml:space="preserve">over </w:t>
            </w:r>
            <w:r>
              <w:t xml:space="preserve">65 years as a </w:t>
            </w:r>
            <w:r w:rsidR="00E6613D">
              <w:t>percentage</w:t>
            </w:r>
            <w:r>
              <w:t xml:space="preserve"> of the population aged between 15 and 6</w:t>
            </w:r>
            <w:r w:rsidR="00065BCD">
              <w:t>5</w:t>
            </w:r>
            <w:r w:rsidR="0050549F">
              <w:t> years</w:t>
            </w:r>
            <w:r>
              <w:t>.</w:t>
            </w:r>
          </w:p>
        </w:tc>
      </w:tr>
      <w:tr w:rsidR="00104E53" w14:paraId="65EB7178" w14:textId="77777777" w:rsidTr="001C53AD">
        <w:tc>
          <w:tcPr>
            <w:tcW w:w="8771" w:type="dxa"/>
            <w:tcBorders>
              <w:top w:val="nil"/>
              <w:left w:val="nil"/>
              <w:bottom w:val="nil"/>
              <w:right w:val="nil"/>
            </w:tcBorders>
            <w:shd w:val="clear" w:color="auto" w:fill="auto"/>
          </w:tcPr>
          <w:p w14:paraId="5C37DB78" w14:textId="00FDD83D" w:rsidR="00104E53" w:rsidRDefault="00104E53" w:rsidP="00104E53">
            <w:pPr>
              <w:pStyle w:val="Source"/>
            </w:pPr>
            <w:r>
              <w:rPr>
                <w:i/>
              </w:rPr>
              <w:t>Source</w:t>
            </w:r>
            <w:r w:rsidRPr="00167F06">
              <w:t xml:space="preserve">: </w:t>
            </w:r>
            <w:r>
              <w:t xml:space="preserve">Productivity Commission </w:t>
            </w:r>
            <w:r w:rsidR="006A3E61">
              <w:t xml:space="preserve">projections </w:t>
            </w:r>
            <w:r>
              <w:t xml:space="preserve">based on </w:t>
            </w:r>
            <w:proofErr w:type="spellStart"/>
            <w:r>
              <w:t>VURM</w:t>
            </w:r>
            <w:proofErr w:type="spellEnd"/>
            <w:r>
              <w:noBreakHyphen/>
            </w:r>
            <w:r w:rsidRPr="001C0E7A">
              <w:t>MI</w:t>
            </w:r>
            <w:r>
              <w:t>.</w:t>
            </w:r>
          </w:p>
        </w:tc>
      </w:tr>
      <w:tr w:rsidR="00104E53" w14:paraId="32795401" w14:textId="77777777" w:rsidTr="001C53AD">
        <w:tc>
          <w:tcPr>
            <w:tcW w:w="8771" w:type="dxa"/>
            <w:tcBorders>
              <w:top w:val="nil"/>
              <w:left w:val="nil"/>
              <w:bottom w:val="single" w:sz="6" w:space="0" w:color="78A22F"/>
              <w:right w:val="nil"/>
            </w:tcBorders>
            <w:shd w:val="clear" w:color="auto" w:fill="auto"/>
          </w:tcPr>
          <w:p w14:paraId="146CF17F" w14:textId="77777777" w:rsidR="00104E53" w:rsidRDefault="00104E53" w:rsidP="001C53AD">
            <w:pPr>
              <w:pStyle w:val="Box"/>
              <w:spacing w:before="0" w:line="120" w:lineRule="exact"/>
            </w:pPr>
          </w:p>
        </w:tc>
      </w:tr>
      <w:tr w:rsidR="00104E53" w:rsidRPr="000863A5" w14:paraId="399C5886" w14:textId="77777777" w:rsidTr="001C53AD">
        <w:tc>
          <w:tcPr>
            <w:tcW w:w="8771" w:type="dxa"/>
            <w:tcBorders>
              <w:top w:val="single" w:sz="6" w:space="0" w:color="78A22F"/>
              <w:left w:val="nil"/>
              <w:bottom w:val="nil"/>
              <w:right w:val="nil"/>
            </w:tcBorders>
          </w:tcPr>
          <w:p w14:paraId="73986D0C" w14:textId="45075602" w:rsidR="00104E53" w:rsidRPr="00626D32" w:rsidRDefault="00104E53" w:rsidP="001C53AD">
            <w:pPr>
              <w:pStyle w:val="BoxSpaceBelow"/>
            </w:pPr>
          </w:p>
        </w:tc>
      </w:tr>
    </w:tbl>
    <w:p w14:paraId="3D0B399C" w14:textId="77777777" w:rsidR="00AF597D" w:rsidRDefault="00AF597D">
      <w:pPr>
        <w:rPr>
          <w:szCs w:val="20"/>
        </w:rPr>
      </w:pPr>
      <w:r>
        <w:br w:type="page"/>
      </w:r>
    </w:p>
    <w:p w14:paraId="0284486B" w14:textId="0DD0C2BB" w:rsidR="00CC6E40" w:rsidRDefault="002E4B99" w:rsidP="00886E03">
      <w:pPr>
        <w:pStyle w:val="Heading2"/>
      </w:pPr>
      <w:r>
        <w:lastRenderedPageBreak/>
        <w:t>Attachment 1</w:t>
      </w:r>
      <w:r>
        <w:tab/>
      </w:r>
      <w:r w:rsidR="00CC6E40" w:rsidRPr="00506994">
        <w:t>Key classifications</w:t>
      </w:r>
    </w:p>
    <w:p w14:paraId="2B799246" w14:textId="443FDA2A" w:rsidR="001A6512" w:rsidRDefault="001A6512" w:rsidP="00890181">
      <w:pPr>
        <w:pStyle w:val="BodyText"/>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1A6512" w14:paraId="765AA8DF" w14:textId="77777777" w:rsidTr="001A6512">
        <w:tc>
          <w:tcPr>
            <w:tcW w:w="8771" w:type="dxa"/>
            <w:tcBorders>
              <w:top w:val="single" w:sz="6" w:space="0" w:color="78A22F"/>
              <w:left w:val="nil"/>
              <w:bottom w:val="nil"/>
              <w:right w:val="nil"/>
            </w:tcBorders>
            <w:shd w:val="clear" w:color="auto" w:fill="auto"/>
          </w:tcPr>
          <w:p w14:paraId="359D8095" w14:textId="20527456" w:rsidR="001A6512" w:rsidRPr="00784A05" w:rsidRDefault="001A6512" w:rsidP="002E4B99">
            <w:pPr>
              <w:pStyle w:val="TableTitle"/>
            </w:pPr>
            <w:r w:rsidRPr="001A6512">
              <w:rPr>
                <w:b w:val="0"/>
              </w:rPr>
              <w:t xml:space="preserve">Table </w:t>
            </w:r>
            <w:r w:rsidR="002E4B99">
              <w:rPr>
                <w:b w:val="0"/>
              </w:rPr>
              <w:t>1</w:t>
            </w:r>
            <w:r w:rsidR="00890181">
              <w:rPr>
                <w:b w:val="0"/>
              </w:rPr>
              <w:t>.1</w:t>
            </w:r>
            <w:r>
              <w:tab/>
              <w:t xml:space="preserve">Industries in </w:t>
            </w:r>
            <w:proofErr w:type="spellStart"/>
            <w:r>
              <w:t>VURM</w:t>
            </w:r>
            <w:proofErr w:type="spellEnd"/>
            <w:r>
              <w:t xml:space="preserve"> database</w:t>
            </w:r>
          </w:p>
        </w:tc>
      </w:tr>
      <w:tr w:rsidR="001A6512" w14:paraId="12EA5C02" w14:textId="77777777" w:rsidTr="001A6512">
        <w:trPr>
          <w:cantSplit/>
        </w:trPr>
        <w:tc>
          <w:tcPr>
            <w:tcW w:w="8771" w:type="dxa"/>
            <w:tcBorders>
              <w:top w:val="nil"/>
              <w:left w:val="nil"/>
              <w:bottom w:val="nil"/>
              <w:right w:val="nil"/>
            </w:tcBorders>
            <w:shd w:val="clear" w:color="auto" w:fill="auto"/>
          </w:tcPr>
          <w:tbl>
            <w:tblPr>
              <w:tblW w:w="8930" w:type="dxa"/>
              <w:tblCellMar>
                <w:top w:w="28" w:type="dxa"/>
                <w:left w:w="0" w:type="dxa"/>
                <w:right w:w="0" w:type="dxa"/>
              </w:tblCellMar>
              <w:tblLook w:val="0000" w:firstRow="0" w:lastRow="0" w:firstColumn="0" w:lastColumn="0" w:noHBand="0" w:noVBand="0"/>
            </w:tblPr>
            <w:tblGrid>
              <w:gridCol w:w="1113"/>
              <w:gridCol w:w="4547"/>
              <w:gridCol w:w="2827"/>
              <w:gridCol w:w="443"/>
            </w:tblGrid>
            <w:tr w:rsidR="001A6512" w14:paraId="74A1E912" w14:textId="77777777" w:rsidTr="00890181">
              <w:trPr>
                <w:gridAfter w:val="1"/>
                <w:wAfter w:w="248" w:type="pct"/>
              </w:trPr>
              <w:tc>
                <w:tcPr>
                  <w:tcW w:w="623" w:type="pct"/>
                  <w:tcBorders>
                    <w:top w:val="single" w:sz="6" w:space="0" w:color="BFBFBF"/>
                    <w:bottom w:val="single" w:sz="6" w:space="0" w:color="BFBFBF"/>
                  </w:tcBorders>
                  <w:shd w:val="clear" w:color="auto" w:fill="auto"/>
                  <w:tcMar>
                    <w:top w:w="28" w:type="dxa"/>
                  </w:tcMar>
                </w:tcPr>
                <w:p w14:paraId="0F0D5D90" w14:textId="77777777" w:rsidR="001A6512" w:rsidRDefault="001A6512" w:rsidP="00890181">
                  <w:pPr>
                    <w:pStyle w:val="TableColumnHeading"/>
                    <w:jc w:val="left"/>
                  </w:pPr>
                </w:p>
              </w:tc>
              <w:tc>
                <w:tcPr>
                  <w:tcW w:w="2546" w:type="pct"/>
                  <w:tcBorders>
                    <w:top w:val="single" w:sz="6" w:space="0" w:color="BFBFBF"/>
                    <w:bottom w:val="single" w:sz="6" w:space="0" w:color="BFBFBF"/>
                  </w:tcBorders>
                  <w:shd w:val="clear" w:color="auto" w:fill="auto"/>
                  <w:tcMar>
                    <w:top w:w="28" w:type="dxa"/>
                  </w:tcMar>
                  <w:vAlign w:val="bottom"/>
                </w:tcPr>
                <w:p w14:paraId="0ECB1C08" w14:textId="474A1E5E" w:rsidR="001A6512" w:rsidRDefault="001A6512" w:rsidP="00890181">
                  <w:pPr>
                    <w:pStyle w:val="TableColumnHeading"/>
                    <w:jc w:val="left"/>
                  </w:pPr>
                  <w:r>
                    <w:t xml:space="preserve">Industry </w:t>
                  </w:r>
                </w:p>
              </w:tc>
              <w:tc>
                <w:tcPr>
                  <w:tcW w:w="1583" w:type="pct"/>
                  <w:tcBorders>
                    <w:top w:val="single" w:sz="6" w:space="0" w:color="BFBFBF"/>
                    <w:bottom w:val="single" w:sz="6" w:space="0" w:color="BFBFBF"/>
                  </w:tcBorders>
                  <w:shd w:val="clear" w:color="auto" w:fill="auto"/>
                  <w:tcMar>
                    <w:top w:w="28" w:type="dxa"/>
                  </w:tcMar>
                </w:tcPr>
                <w:p w14:paraId="20FF13A8" w14:textId="017BC848" w:rsidR="001A6512" w:rsidRDefault="001A6512" w:rsidP="00890181">
                  <w:pPr>
                    <w:pStyle w:val="TableColumnHeading"/>
                    <w:ind w:right="28"/>
                  </w:pPr>
                  <w:proofErr w:type="spellStart"/>
                  <w:r>
                    <w:t>IOIG</w:t>
                  </w:r>
                  <w:proofErr w:type="spellEnd"/>
                  <w:r>
                    <w:t xml:space="preserve"> number</w:t>
                  </w:r>
                </w:p>
              </w:tc>
            </w:tr>
            <w:tr w:rsidR="001A6512" w14:paraId="6A667A24" w14:textId="77777777" w:rsidTr="00890181">
              <w:trPr>
                <w:gridAfter w:val="1"/>
                <w:wAfter w:w="248" w:type="pct"/>
              </w:trPr>
              <w:tc>
                <w:tcPr>
                  <w:tcW w:w="623" w:type="pct"/>
                  <w:tcBorders>
                    <w:top w:val="single" w:sz="6" w:space="0" w:color="BFBFBF"/>
                  </w:tcBorders>
                  <w:vAlign w:val="bottom"/>
                </w:tcPr>
                <w:p w14:paraId="02775DF7" w14:textId="12C500A7" w:rsidR="001A6512" w:rsidRDefault="001A6512" w:rsidP="00890181">
                  <w:pPr>
                    <w:pStyle w:val="TableUnitsRow"/>
                    <w:jc w:val="left"/>
                  </w:pPr>
                  <w:r w:rsidRPr="006F1364">
                    <w:t>1</w:t>
                  </w:r>
                </w:p>
              </w:tc>
              <w:tc>
                <w:tcPr>
                  <w:tcW w:w="2546" w:type="pct"/>
                  <w:tcBorders>
                    <w:top w:val="single" w:sz="6" w:space="0" w:color="BFBFBF"/>
                  </w:tcBorders>
                  <w:vAlign w:val="center"/>
                </w:tcPr>
                <w:p w14:paraId="385C7AF6" w14:textId="2AB6C23D" w:rsidR="001A6512" w:rsidRDefault="001A6512" w:rsidP="00890181">
                  <w:pPr>
                    <w:pStyle w:val="TableUnitsRow"/>
                    <w:jc w:val="left"/>
                  </w:pPr>
                  <w:r>
                    <w:t>Sheep and beef cattle</w:t>
                  </w:r>
                </w:p>
              </w:tc>
              <w:tc>
                <w:tcPr>
                  <w:tcW w:w="1583" w:type="pct"/>
                  <w:tcBorders>
                    <w:top w:val="single" w:sz="6" w:space="0" w:color="BFBFBF"/>
                  </w:tcBorders>
                </w:tcPr>
                <w:p w14:paraId="4EE60BFB" w14:textId="40466125" w:rsidR="001A6512" w:rsidRDefault="001A6512" w:rsidP="00890181">
                  <w:pPr>
                    <w:pStyle w:val="TableUnitsRow"/>
                    <w:ind w:right="28"/>
                  </w:pPr>
                  <w:r>
                    <w:t>0101 (part)</w:t>
                  </w:r>
                </w:p>
              </w:tc>
            </w:tr>
            <w:tr w:rsidR="001A6512" w14:paraId="47C4931F" w14:textId="77777777" w:rsidTr="00890181">
              <w:trPr>
                <w:gridAfter w:val="1"/>
                <w:wAfter w:w="248" w:type="pct"/>
              </w:trPr>
              <w:tc>
                <w:tcPr>
                  <w:tcW w:w="623" w:type="pct"/>
                  <w:vAlign w:val="bottom"/>
                </w:tcPr>
                <w:p w14:paraId="7B15DB5A" w14:textId="6709B11D" w:rsidR="001A6512" w:rsidRDefault="001A6512" w:rsidP="00890181">
                  <w:pPr>
                    <w:pStyle w:val="TableBodyText"/>
                    <w:jc w:val="left"/>
                  </w:pPr>
                  <w:r w:rsidRPr="006F1364">
                    <w:t>2</w:t>
                  </w:r>
                </w:p>
              </w:tc>
              <w:tc>
                <w:tcPr>
                  <w:tcW w:w="2546" w:type="pct"/>
                  <w:vAlign w:val="center"/>
                </w:tcPr>
                <w:p w14:paraId="108CF426" w14:textId="79DC9C38" w:rsidR="001A6512" w:rsidRDefault="001A6512" w:rsidP="00890181">
                  <w:pPr>
                    <w:pStyle w:val="TableBodyText"/>
                    <w:jc w:val="left"/>
                  </w:pPr>
                  <w:r>
                    <w:t>Whole milk and dairy cattle</w:t>
                  </w:r>
                </w:p>
              </w:tc>
              <w:tc>
                <w:tcPr>
                  <w:tcW w:w="1583" w:type="pct"/>
                </w:tcPr>
                <w:p w14:paraId="0A7F113A" w14:textId="1F6205C2" w:rsidR="001A6512" w:rsidRDefault="001A6512" w:rsidP="00890181">
                  <w:pPr>
                    <w:pStyle w:val="TableBodyText"/>
                    <w:ind w:right="28"/>
                  </w:pPr>
                  <w:r>
                    <w:t>0101 (part)</w:t>
                  </w:r>
                </w:p>
              </w:tc>
            </w:tr>
            <w:tr w:rsidR="001A6512" w14:paraId="78423938" w14:textId="77777777" w:rsidTr="00890181">
              <w:trPr>
                <w:gridAfter w:val="1"/>
                <w:wAfter w:w="248" w:type="pct"/>
              </w:trPr>
              <w:tc>
                <w:tcPr>
                  <w:tcW w:w="623" w:type="pct"/>
                  <w:vAlign w:val="bottom"/>
                </w:tcPr>
                <w:p w14:paraId="3DB82074" w14:textId="0E83AF3B" w:rsidR="001A6512" w:rsidRDefault="001A6512" w:rsidP="00890181">
                  <w:pPr>
                    <w:pStyle w:val="TableBodyText"/>
                    <w:jc w:val="left"/>
                  </w:pPr>
                  <w:r w:rsidRPr="006F1364">
                    <w:t>3</w:t>
                  </w:r>
                </w:p>
              </w:tc>
              <w:tc>
                <w:tcPr>
                  <w:tcW w:w="2546" w:type="pct"/>
                  <w:vAlign w:val="center"/>
                </w:tcPr>
                <w:p w14:paraId="5BC1D024" w14:textId="6CE63669" w:rsidR="001A6512" w:rsidRDefault="001A6512" w:rsidP="00890181">
                  <w:pPr>
                    <w:pStyle w:val="TableBodyText"/>
                    <w:jc w:val="left"/>
                  </w:pPr>
                  <w:r>
                    <w:t>Animals other than cattle and sheep</w:t>
                  </w:r>
                </w:p>
              </w:tc>
              <w:tc>
                <w:tcPr>
                  <w:tcW w:w="1583" w:type="pct"/>
                </w:tcPr>
                <w:p w14:paraId="355AD24A" w14:textId="56C23B07" w:rsidR="001A6512" w:rsidRDefault="001A6512" w:rsidP="00890181">
                  <w:pPr>
                    <w:pStyle w:val="TableBodyText"/>
                    <w:ind w:right="28"/>
                  </w:pPr>
                  <w:r>
                    <w:t>0101 (part), 0102</w:t>
                  </w:r>
                </w:p>
              </w:tc>
            </w:tr>
            <w:tr w:rsidR="001A6512" w14:paraId="5D49E3B8" w14:textId="77777777" w:rsidTr="00890181">
              <w:trPr>
                <w:gridAfter w:val="1"/>
                <w:wAfter w:w="248" w:type="pct"/>
              </w:trPr>
              <w:tc>
                <w:tcPr>
                  <w:tcW w:w="623" w:type="pct"/>
                  <w:vAlign w:val="bottom"/>
                </w:tcPr>
                <w:p w14:paraId="7A0508B7" w14:textId="745F5022" w:rsidR="001A6512" w:rsidRDefault="001A6512" w:rsidP="00890181">
                  <w:pPr>
                    <w:pStyle w:val="TableBodyText"/>
                    <w:jc w:val="left"/>
                  </w:pPr>
                  <w:r w:rsidRPr="006F1364">
                    <w:t>4</w:t>
                  </w:r>
                </w:p>
              </w:tc>
              <w:tc>
                <w:tcPr>
                  <w:tcW w:w="2546" w:type="pct"/>
                  <w:vAlign w:val="center"/>
                </w:tcPr>
                <w:p w14:paraId="2E2C46AC" w14:textId="07922B54" w:rsidR="001A6512" w:rsidRDefault="001A6512" w:rsidP="00890181">
                  <w:pPr>
                    <w:pStyle w:val="TableBodyText"/>
                    <w:jc w:val="left"/>
                  </w:pPr>
                  <w:r>
                    <w:t>Crops and grains</w:t>
                  </w:r>
                </w:p>
              </w:tc>
              <w:tc>
                <w:tcPr>
                  <w:tcW w:w="1583" w:type="pct"/>
                </w:tcPr>
                <w:p w14:paraId="73A0076D" w14:textId="0D94FC7A" w:rsidR="001A6512" w:rsidRDefault="001A6512" w:rsidP="00890181">
                  <w:pPr>
                    <w:pStyle w:val="TableBodyText"/>
                    <w:ind w:right="28"/>
                  </w:pPr>
                  <w:r>
                    <w:t>0101 (part)</w:t>
                  </w:r>
                </w:p>
              </w:tc>
            </w:tr>
            <w:tr w:rsidR="001A6512" w14:paraId="6FBD2CA3" w14:textId="77777777" w:rsidTr="00890181">
              <w:trPr>
                <w:gridAfter w:val="1"/>
                <w:wAfter w:w="248" w:type="pct"/>
              </w:trPr>
              <w:tc>
                <w:tcPr>
                  <w:tcW w:w="623" w:type="pct"/>
                  <w:vAlign w:val="bottom"/>
                </w:tcPr>
                <w:p w14:paraId="1FAD3C35" w14:textId="27A68853" w:rsidR="001A6512" w:rsidRDefault="001A6512" w:rsidP="00890181">
                  <w:pPr>
                    <w:pStyle w:val="TableBodyText"/>
                    <w:jc w:val="left"/>
                  </w:pPr>
                  <w:r w:rsidRPr="006F1364">
                    <w:t>5</w:t>
                  </w:r>
                </w:p>
              </w:tc>
              <w:tc>
                <w:tcPr>
                  <w:tcW w:w="2546" w:type="pct"/>
                  <w:vAlign w:val="center"/>
                </w:tcPr>
                <w:p w14:paraId="53EB779F" w14:textId="3AC88DE0" w:rsidR="001A6512" w:rsidRDefault="001A6512" w:rsidP="00890181">
                  <w:pPr>
                    <w:pStyle w:val="TableBodyText"/>
                    <w:jc w:val="left"/>
                  </w:pPr>
                  <w:r>
                    <w:t>Other agriculture</w:t>
                  </w:r>
                </w:p>
              </w:tc>
              <w:tc>
                <w:tcPr>
                  <w:tcW w:w="1583" w:type="pct"/>
                </w:tcPr>
                <w:p w14:paraId="0B58FBB6" w14:textId="3AF7AD48" w:rsidR="001A6512" w:rsidRDefault="001A6512" w:rsidP="00890181">
                  <w:pPr>
                    <w:pStyle w:val="TableBodyText"/>
                    <w:ind w:right="28"/>
                  </w:pPr>
                  <w:r>
                    <w:t>0103</w:t>
                  </w:r>
                </w:p>
              </w:tc>
            </w:tr>
            <w:tr w:rsidR="001A6512" w14:paraId="33BA921E" w14:textId="77777777" w:rsidTr="00890181">
              <w:trPr>
                <w:gridAfter w:val="1"/>
                <w:wAfter w:w="248" w:type="pct"/>
              </w:trPr>
              <w:tc>
                <w:tcPr>
                  <w:tcW w:w="623" w:type="pct"/>
                  <w:vAlign w:val="bottom"/>
                </w:tcPr>
                <w:p w14:paraId="5A1221FD" w14:textId="4ABF7401" w:rsidR="001A6512" w:rsidRDefault="001A6512" w:rsidP="00890181">
                  <w:pPr>
                    <w:pStyle w:val="TableBodyText"/>
                    <w:jc w:val="left"/>
                  </w:pPr>
                  <w:r w:rsidRPr="006F1364">
                    <w:t>6</w:t>
                  </w:r>
                </w:p>
              </w:tc>
              <w:tc>
                <w:tcPr>
                  <w:tcW w:w="2546" w:type="pct"/>
                  <w:vAlign w:val="center"/>
                </w:tcPr>
                <w:p w14:paraId="04AED0DD" w14:textId="2DD223D4" w:rsidR="001A6512" w:rsidRDefault="001A6512" w:rsidP="00890181">
                  <w:pPr>
                    <w:pStyle w:val="TableBodyText"/>
                    <w:jc w:val="left"/>
                  </w:pPr>
                  <w:r>
                    <w:t>Fishing, hunting and aquaculture</w:t>
                  </w:r>
                </w:p>
              </w:tc>
              <w:tc>
                <w:tcPr>
                  <w:tcW w:w="1583" w:type="pct"/>
                </w:tcPr>
                <w:p w14:paraId="418F5B9E" w14:textId="71B55135" w:rsidR="001A6512" w:rsidRDefault="001A6512" w:rsidP="00890181">
                  <w:pPr>
                    <w:pStyle w:val="TableBodyText"/>
                    <w:ind w:right="28"/>
                  </w:pPr>
                  <w:r>
                    <w:t>0201, 0401</w:t>
                  </w:r>
                </w:p>
              </w:tc>
            </w:tr>
            <w:tr w:rsidR="001A6512" w14:paraId="5DB4F7D2" w14:textId="77777777" w:rsidTr="00890181">
              <w:trPr>
                <w:gridAfter w:val="1"/>
                <w:wAfter w:w="248" w:type="pct"/>
              </w:trPr>
              <w:tc>
                <w:tcPr>
                  <w:tcW w:w="623" w:type="pct"/>
                  <w:vAlign w:val="bottom"/>
                </w:tcPr>
                <w:p w14:paraId="6DB6FE65" w14:textId="53F94C3F" w:rsidR="001A6512" w:rsidRDefault="001A6512" w:rsidP="00890181">
                  <w:pPr>
                    <w:pStyle w:val="TableBodyText"/>
                    <w:jc w:val="left"/>
                  </w:pPr>
                  <w:r w:rsidRPr="006F1364">
                    <w:t>7</w:t>
                  </w:r>
                </w:p>
              </w:tc>
              <w:tc>
                <w:tcPr>
                  <w:tcW w:w="2546" w:type="pct"/>
                  <w:vAlign w:val="center"/>
                </w:tcPr>
                <w:p w14:paraId="204A61DA" w14:textId="1DEEFF9B" w:rsidR="001A6512" w:rsidRDefault="001A6512" w:rsidP="00890181">
                  <w:pPr>
                    <w:pStyle w:val="TableBodyText"/>
                    <w:jc w:val="left"/>
                  </w:pPr>
                  <w:r>
                    <w:t>Forestry and logging</w:t>
                  </w:r>
                </w:p>
              </w:tc>
              <w:tc>
                <w:tcPr>
                  <w:tcW w:w="1583" w:type="pct"/>
                </w:tcPr>
                <w:p w14:paraId="6098B718" w14:textId="74D0944E" w:rsidR="001A6512" w:rsidRDefault="001A6512" w:rsidP="00890181">
                  <w:pPr>
                    <w:pStyle w:val="TableBodyText"/>
                    <w:ind w:right="28"/>
                  </w:pPr>
                  <w:r>
                    <w:t>0301</w:t>
                  </w:r>
                </w:p>
              </w:tc>
            </w:tr>
            <w:tr w:rsidR="001A6512" w14:paraId="5D425B31" w14:textId="77777777" w:rsidTr="00890181">
              <w:trPr>
                <w:gridAfter w:val="1"/>
                <w:wAfter w:w="248" w:type="pct"/>
              </w:trPr>
              <w:tc>
                <w:tcPr>
                  <w:tcW w:w="623" w:type="pct"/>
                  <w:vAlign w:val="bottom"/>
                </w:tcPr>
                <w:p w14:paraId="7D4ADB79" w14:textId="00D65A9E" w:rsidR="001A6512" w:rsidRDefault="001A6512" w:rsidP="00890181">
                  <w:pPr>
                    <w:pStyle w:val="TableBodyText"/>
                    <w:jc w:val="left"/>
                  </w:pPr>
                  <w:r w:rsidRPr="006F1364">
                    <w:t>8</w:t>
                  </w:r>
                </w:p>
              </w:tc>
              <w:tc>
                <w:tcPr>
                  <w:tcW w:w="2546" w:type="pct"/>
                  <w:vAlign w:val="center"/>
                </w:tcPr>
                <w:p w14:paraId="3BD2BBF3" w14:textId="3A5F10A1" w:rsidR="001A6512" w:rsidRDefault="001A6512" w:rsidP="00890181">
                  <w:pPr>
                    <w:pStyle w:val="TableBodyText"/>
                    <w:jc w:val="left"/>
                  </w:pPr>
                  <w:r>
                    <w:t>Agriculture, forestry, fishing support services</w:t>
                  </w:r>
                </w:p>
              </w:tc>
              <w:tc>
                <w:tcPr>
                  <w:tcW w:w="1583" w:type="pct"/>
                </w:tcPr>
                <w:p w14:paraId="1E813105" w14:textId="6C0DB0ED" w:rsidR="001A6512" w:rsidRDefault="001A6512" w:rsidP="00890181">
                  <w:pPr>
                    <w:pStyle w:val="TableBodyText"/>
                    <w:ind w:right="28"/>
                  </w:pPr>
                  <w:r>
                    <w:t>0501</w:t>
                  </w:r>
                </w:p>
              </w:tc>
            </w:tr>
            <w:tr w:rsidR="001A6512" w14:paraId="2C378AC3" w14:textId="77777777" w:rsidTr="00890181">
              <w:trPr>
                <w:gridAfter w:val="1"/>
                <w:wAfter w:w="248" w:type="pct"/>
              </w:trPr>
              <w:tc>
                <w:tcPr>
                  <w:tcW w:w="623" w:type="pct"/>
                  <w:vAlign w:val="bottom"/>
                </w:tcPr>
                <w:p w14:paraId="0B3F0783" w14:textId="6449617E" w:rsidR="001A6512" w:rsidRDefault="001A6512" w:rsidP="00890181">
                  <w:pPr>
                    <w:pStyle w:val="TableBodyText"/>
                    <w:jc w:val="left"/>
                  </w:pPr>
                  <w:r w:rsidRPr="006F1364">
                    <w:t>9</w:t>
                  </w:r>
                </w:p>
              </w:tc>
              <w:tc>
                <w:tcPr>
                  <w:tcW w:w="2546" w:type="pct"/>
                  <w:vAlign w:val="center"/>
                </w:tcPr>
                <w:p w14:paraId="0C0FD14F" w14:textId="6E2E001A" w:rsidR="001A6512" w:rsidRDefault="001A6512" w:rsidP="00890181">
                  <w:pPr>
                    <w:pStyle w:val="TableBodyText"/>
                    <w:jc w:val="left"/>
                  </w:pPr>
                  <w:r>
                    <w:t>Coal mining</w:t>
                  </w:r>
                </w:p>
              </w:tc>
              <w:tc>
                <w:tcPr>
                  <w:tcW w:w="1583" w:type="pct"/>
                </w:tcPr>
                <w:p w14:paraId="55DD7753" w14:textId="75C6E3C5" w:rsidR="001A6512" w:rsidRDefault="001A6512" w:rsidP="00890181">
                  <w:pPr>
                    <w:pStyle w:val="TableBodyText"/>
                    <w:ind w:right="28"/>
                  </w:pPr>
                  <w:r>
                    <w:t>0601</w:t>
                  </w:r>
                </w:p>
              </w:tc>
            </w:tr>
            <w:tr w:rsidR="001A6512" w14:paraId="1ECDCAB8" w14:textId="77777777" w:rsidTr="00890181">
              <w:trPr>
                <w:gridAfter w:val="1"/>
                <w:wAfter w:w="248" w:type="pct"/>
              </w:trPr>
              <w:tc>
                <w:tcPr>
                  <w:tcW w:w="623" w:type="pct"/>
                  <w:vAlign w:val="bottom"/>
                </w:tcPr>
                <w:p w14:paraId="2E8DF5AD" w14:textId="6A1D0635" w:rsidR="001A6512" w:rsidRDefault="001A6512" w:rsidP="00890181">
                  <w:pPr>
                    <w:pStyle w:val="TableBodyText"/>
                    <w:jc w:val="left"/>
                  </w:pPr>
                  <w:r w:rsidRPr="006F1364">
                    <w:t>10</w:t>
                  </w:r>
                </w:p>
              </w:tc>
              <w:tc>
                <w:tcPr>
                  <w:tcW w:w="2546" w:type="pct"/>
                  <w:vAlign w:val="center"/>
                </w:tcPr>
                <w:p w14:paraId="1716C73D" w14:textId="76841304" w:rsidR="001A6512" w:rsidRDefault="001A6512" w:rsidP="00890181">
                  <w:pPr>
                    <w:pStyle w:val="TableBodyText"/>
                    <w:jc w:val="left"/>
                  </w:pPr>
                  <w:r>
                    <w:t>Oil mining (includes condensate)</w:t>
                  </w:r>
                </w:p>
              </w:tc>
              <w:tc>
                <w:tcPr>
                  <w:tcW w:w="1583" w:type="pct"/>
                </w:tcPr>
                <w:p w14:paraId="5FE63D62" w14:textId="43DA72A5" w:rsidR="001A6512" w:rsidRDefault="001A6512" w:rsidP="00890181">
                  <w:pPr>
                    <w:pStyle w:val="TableBodyText"/>
                    <w:ind w:right="28"/>
                  </w:pPr>
                  <w:r>
                    <w:t>0701 (part)</w:t>
                  </w:r>
                </w:p>
              </w:tc>
            </w:tr>
            <w:tr w:rsidR="001A6512" w14:paraId="43A6B8BC" w14:textId="77777777" w:rsidTr="00890181">
              <w:trPr>
                <w:gridAfter w:val="1"/>
                <w:wAfter w:w="248" w:type="pct"/>
              </w:trPr>
              <w:tc>
                <w:tcPr>
                  <w:tcW w:w="623" w:type="pct"/>
                  <w:vAlign w:val="bottom"/>
                </w:tcPr>
                <w:p w14:paraId="6BA8DFBE" w14:textId="2E6CF6E3" w:rsidR="001A6512" w:rsidRDefault="001A6512" w:rsidP="00890181">
                  <w:pPr>
                    <w:pStyle w:val="TableBodyText"/>
                    <w:jc w:val="left"/>
                  </w:pPr>
                  <w:r w:rsidRPr="006F1364">
                    <w:t>11</w:t>
                  </w:r>
                </w:p>
              </w:tc>
              <w:tc>
                <w:tcPr>
                  <w:tcW w:w="2546" w:type="pct"/>
                  <w:vAlign w:val="center"/>
                </w:tcPr>
                <w:p w14:paraId="489C7269" w14:textId="25483F3A" w:rsidR="001A6512" w:rsidRDefault="001A6512" w:rsidP="00890181">
                  <w:pPr>
                    <w:pStyle w:val="TableBodyText"/>
                    <w:jc w:val="left"/>
                  </w:pPr>
                  <w:r>
                    <w:t>Gas mining</w:t>
                  </w:r>
                </w:p>
              </w:tc>
              <w:tc>
                <w:tcPr>
                  <w:tcW w:w="1583" w:type="pct"/>
                </w:tcPr>
                <w:p w14:paraId="34DDFFAF" w14:textId="5FAE68F6" w:rsidR="001A6512" w:rsidRDefault="001A6512" w:rsidP="00890181">
                  <w:pPr>
                    <w:pStyle w:val="TableBodyText"/>
                    <w:ind w:right="28"/>
                  </w:pPr>
                  <w:r>
                    <w:t>0701 (part)</w:t>
                  </w:r>
                </w:p>
              </w:tc>
            </w:tr>
            <w:tr w:rsidR="001A6512" w14:paraId="5165C7F9" w14:textId="77777777" w:rsidTr="00890181">
              <w:trPr>
                <w:gridAfter w:val="1"/>
                <w:wAfter w:w="248" w:type="pct"/>
              </w:trPr>
              <w:tc>
                <w:tcPr>
                  <w:tcW w:w="623" w:type="pct"/>
                  <w:vAlign w:val="bottom"/>
                </w:tcPr>
                <w:p w14:paraId="6EECC57F" w14:textId="40FD9DDA" w:rsidR="001A6512" w:rsidRDefault="001A6512" w:rsidP="00890181">
                  <w:pPr>
                    <w:pStyle w:val="TableBodyText"/>
                    <w:jc w:val="left"/>
                  </w:pPr>
                  <w:r w:rsidRPr="006F1364">
                    <w:t>12</w:t>
                  </w:r>
                </w:p>
              </w:tc>
              <w:tc>
                <w:tcPr>
                  <w:tcW w:w="2546" w:type="pct"/>
                  <w:vAlign w:val="center"/>
                </w:tcPr>
                <w:p w14:paraId="0C619093" w14:textId="5C9D9108" w:rsidR="001A6512" w:rsidRDefault="001A6512" w:rsidP="00890181">
                  <w:pPr>
                    <w:pStyle w:val="TableBodyText"/>
                    <w:jc w:val="left"/>
                  </w:pPr>
                  <w:r>
                    <w:t>Liquefied natural gas production</w:t>
                  </w:r>
                </w:p>
              </w:tc>
              <w:tc>
                <w:tcPr>
                  <w:tcW w:w="1583" w:type="pct"/>
                </w:tcPr>
                <w:p w14:paraId="15F41F69" w14:textId="23D1BBC5" w:rsidR="001A6512" w:rsidRDefault="001A6512" w:rsidP="00890181">
                  <w:pPr>
                    <w:pStyle w:val="TableBodyText"/>
                    <w:ind w:right="28"/>
                  </w:pPr>
                  <w:r>
                    <w:t>0701 (part)</w:t>
                  </w:r>
                </w:p>
              </w:tc>
            </w:tr>
            <w:tr w:rsidR="001A6512" w14:paraId="4C4F0B05" w14:textId="77777777" w:rsidTr="00890181">
              <w:trPr>
                <w:gridAfter w:val="1"/>
                <w:wAfter w:w="248" w:type="pct"/>
              </w:trPr>
              <w:tc>
                <w:tcPr>
                  <w:tcW w:w="623" w:type="pct"/>
                  <w:vAlign w:val="bottom"/>
                </w:tcPr>
                <w:p w14:paraId="5C61907C" w14:textId="401D4291" w:rsidR="001A6512" w:rsidRDefault="001A6512" w:rsidP="00890181">
                  <w:pPr>
                    <w:pStyle w:val="TableBodyText"/>
                    <w:jc w:val="left"/>
                  </w:pPr>
                  <w:r w:rsidRPr="006F1364">
                    <w:t>13</w:t>
                  </w:r>
                </w:p>
              </w:tc>
              <w:tc>
                <w:tcPr>
                  <w:tcW w:w="2546" w:type="pct"/>
                  <w:vAlign w:val="center"/>
                </w:tcPr>
                <w:p w14:paraId="25F0D2D2" w14:textId="3D8F91E3" w:rsidR="001A6512" w:rsidRDefault="001A6512" w:rsidP="00890181">
                  <w:pPr>
                    <w:pStyle w:val="TableBodyText"/>
                    <w:jc w:val="left"/>
                  </w:pPr>
                  <w:r>
                    <w:t>Iron ore mining</w:t>
                  </w:r>
                </w:p>
              </w:tc>
              <w:tc>
                <w:tcPr>
                  <w:tcW w:w="1583" w:type="pct"/>
                </w:tcPr>
                <w:p w14:paraId="22D479BD" w14:textId="47DC89CE" w:rsidR="001A6512" w:rsidRDefault="001A6512" w:rsidP="00890181">
                  <w:pPr>
                    <w:pStyle w:val="TableBodyText"/>
                    <w:ind w:right="28"/>
                  </w:pPr>
                  <w:r>
                    <w:t>0801</w:t>
                  </w:r>
                </w:p>
              </w:tc>
            </w:tr>
            <w:tr w:rsidR="001A6512" w14:paraId="65199C7D" w14:textId="77777777" w:rsidTr="00890181">
              <w:trPr>
                <w:gridAfter w:val="1"/>
                <w:wAfter w:w="248" w:type="pct"/>
              </w:trPr>
              <w:tc>
                <w:tcPr>
                  <w:tcW w:w="623" w:type="pct"/>
                  <w:vAlign w:val="bottom"/>
                </w:tcPr>
                <w:p w14:paraId="39EC1372" w14:textId="729F8397" w:rsidR="001A6512" w:rsidRDefault="001A6512" w:rsidP="00890181">
                  <w:pPr>
                    <w:pStyle w:val="TableBodyText"/>
                    <w:jc w:val="left"/>
                  </w:pPr>
                  <w:r w:rsidRPr="006F1364">
                    <w:t>14</w:t>
                  </w:r>
                </w:p>
              </w:tc>
              <w:tc>
                <w:tcPr>
                  <w:tcW w:w="2546" w:type="pct"/>
                  <w:vAlign w:val="center"/>
                </w:tcPr>
                <w:p w14:paraId="30B2DC06" w14:textId="6C883D4D" w:rsidR="001A6512" w:rsidRDefault="001A6512" w:rsidP="00890181">
                  <w:pPr>
                    <w:pStyle w:val="TableBodyText"/>
                    <w:jc w:val="left"/>
                  </w:pPr>
                  <w:r>
                    <w:t>Non</w:t>
                  </w:r>
                  <w:r>
                    <w:noBreakHyphen/>
                    <w:t>ferrous metal ores</w:t>
                  </w:r>
                </w:p>
              </w:tc>
              <w:tc>
                <w:tcPr>
                  <w:tcW w:w="1583" w:type="pct"/>
                </w:tcPr>
                <w:p w14:paraId="58AFA353" w14:textId="41A4A025" w:rsidR="001A6512" w:rsidRDefault="001A6512" w:rsidP="00890181">
                  <w:pPr>
                    <w:pStyle w:val="TableBodyText"/>
                    <w:ind w:right="28"/>
                  </w:pPr>
                  <w:r>
                    <w:t>0802</w:t>
                  </w:r>
                </w:p>
              </w:tc>
            </w:tr>
            <w:tr w:rsidR="001A6512" w14:paraId="040ECA1C" w14:textId="77777777" w:rsidTr="00890181">
              <w:trPr>
                <w:gridAfter w:val="1"/>
                <w:wAfter w:w="248" w:type="pct"/>
              </w:trPr>
              <w:tc>
                <w:tcPr>
                  <w:tcW w:w="623" w:type="pct"/>
                  <w:vAlign w:val="bottom"/>
                </w:tcPr>
                <w:p w14:paraId="6EEC5B4F" w14:textId="63A077F1" w:rsidR="001A6512" w:rsidRDefault="001A6512" w:rsidP="00890181">
                  <w:pPr>
                    <w:pStyle w:val="TableBodyText"/>
                    <w:jc w:val="left"/>
                  </w:pPr>
                  <w:r w:rsidRPr="006F1364">
                    <w:t>15</w:t>
                  </w:r>
                </w:p>
              </w:tc>
              <w:tc>
                <w:tcPr>
                  <w:tcW w:w="2546" w:type="pct"/>
                  <w:vAlign w:val="center"/>
                </w:tcPr>
                <w:p w14:paraId="7C77CEBF" w14:textId="1E2643DA" w:rsidR="001A6512" w:rsidRDefault="001A6512" w:rsidP="00890181">
                  <w:pPr>
                    <w:pStyle w:val="TableBodyText"/>
                    <w:jc w:val="left"/>
                  </w:pPr>
                  <w:r>
                    <w:t>Non</w:t>
                  </w:r>
                  <w:r>
                    <w:noBreakHyphen/>
                    <w:t>metallic mineral mining</w:t>
                  </w:r>
                </w:p>
              </w:tc>
              <w:tc>
                <w:tcPr>
                  <w:tcW w:w="1583" w:type="pct"/>
                </w:tcPr>
                <w:p w14:paraId="1B43688E" w14:textId="3D05B9DE" w:rsidR="001A6512" w:rsidRDefault="001A6512" w:rsidP="00890181">
                  <w:pPr>
                    <w:pStyle w:val="TableBodyText"/>
                    <w:ind w:right="28"/>
                  </w:pPr>
                  <w:r>
                    <w:t>0901</w:t>
                  </w:r>
                </w:p>
              </w:tc>
            </w:tr>
            <w:tr w:rsidR="001A6512" w14:paraId="5BB04963" w14:textId="77777777" w:rsidTr="00890181">
              <w:trPr>
                <w:gridAfter w:val="1"/>
                <w:wAfter w:w="248" w:type="pct"/>
              </w:trPr>
              <w:tc>
                <w:tcPr>
                  <w:tcW w:w="623" w:type="pct"/>
                  <w:vAlign w:val="bottom"/>
                </w:tcPr>
                <w:p w14:paraId="4C45CFF6" w14:textId="1FB851EB" w:rsidR="001A6512" w:rsidRDefault="001A6512" w:rsidP="00890181">
                  <w:pPr>
                    <w:pStyle w:val="TableBodyText"/>
                    <w:jc w:val="left"/>
                  </w:pPr>
                  <w:r w:rsidRPr="006F1364">
                    <w:t>16</w:t>
                  </w:r>
                </w:p>
              </w:tc>
              <w:tc>
                <w:tcPr>
                  <w:tcW w:w="2546" w:type="pct"/>
                  <w:vAlign w:val="center"/>
                </w:tcPr>
                <w:p w14:paraId="2D47DC92" w14:textId="7D2B56CB" w:rsidR="001A6512" w:rsidRDefault="001A6512" w:rsidP="00890181">
                  <w:pPr>
                    <w:pStyle w:val="TableBodyText"/>
                    <w:jc w:val="left"/>
                  </w:pPr>
                  <w:r>
                    <w:t>Exploration and mining support services</w:t>
                  </w:r>
                </w:p>
              </w:tc>
              <w:tc>
                <w:tcPr>
                  <w:tcW w:w="1583" w:type="pct"/>
                </w:tcPr>
                <w:p w14:paraId="38E59C77" w14:textId="02ADB352" w:rsidR="001A6512" w:rsidRDefault="001A6512" w:rsidP="00890181">
                  <w:pPr>
                    <w:pStyle w:val="TableBodyText"/>
                    <w:ind w:right="28"/>
                  </w:pPr>
                  <w:r>
                    <w:t>1001</w:t>
                  </w:r>
                </w:p>
              </w:tc>
            </w:tr>
            <w:tr w:rsidR="001A6512" w14:paraId="4706E856" w14:textId="77777777" w:rsidTr="00890181">
              <w:trPr>
                <w:gridAfter w:val="1"/>
                <w:wAfter w:w="248" w:type="pct"/>
              </w:trPr>
              <w:tc>
                <w:tcPr>
                  <w:tcW w:w="623" w:type="pct"/>
                  <w:vAlign w:val="bottom"/>
                </w:tcPr>
                <w:p w14:paraId="0717A1CF" w14:textId="5CC4F0C8" w:rsidR="001A6512" w:rsidRDefault="001A6512" w:rsidP="00890181">
                  <w:pPr>
                    <w:pStyle w:val="TableBodyText"/>
                    <w:jc w:val="left"/>
                  </w:pPr>
                  <w:r w:rsidRPr="006F1364">
                    <w:t>17</w:t>
                  </w:r>
                </w:p>
              </w:tc>
              <w:tc>
                <w:tcPr>
                  <w:tcW w:w="2546" w:type="pct"/>
                  <w:vAlign w:val="center"/>
                </w:tcPr>
                <w:p w14:paraId="30A74244" w14:textId="0A561801" w:rsidR="001A6512" w:rsidRDefault="001A6512" w:rsidP="00890181">
                  <w:pPr>
                    <w:pStyle w:val="TableBodyText"/>
                    <w:jc w:val="left"/>
                  </w:pPr>
                  <w:r>
                    <w:t>Meat products</w:t>
                  </w:r>
                </w:p>
              </w:tc>
              <w:tc>
                <w:tcPr>
                  <w:tcW w:w="1583" w:type="pct"/>
                </w:tcPr>
                <w:p w14:paraId="1BA5E9CC" w14:textId="23E3A5B2" w:rsidR="001A6512" w:rsidRDefault="001A6512" w:rsidP="00890181">
                  <w:pPr>
                    <w:pStyle w:val="TableBodyText"/>
                    <w:ind w:right="28"/>
                  </w:pPr>
                  <w:r>
                    <w:t>1101</w:t>
                  </w:r>
                </w:p>
              </w:tc>
            </w:tr>
            <w:tr w:rsidR="001A6512" w14:paraId="3DB1BAFD" w14:textId="77777777" w:rsidTr="00890181">
              <w:trPr>
                <w:gridAfter w:val="1"/>
                <w:wAfter w:w="248" w:type="pct"/>
              </w:trPr>
              <w:tc>
                <w:tcPr>
                  <w:tcW w:w="623" w:type="pct"/>
                  <w:vAlign w:val="bottom"/>
                </w:tcPr>
                <w:p w14:paraId="6A6C66A4" w14:textId="6F587481" w:rsidR="001A6512" w:rsidRDefault="001A6512" w:rsidP="00890181">
                  <w:pPr>
                    <w:pStyle w:val="TableBodyText"/>
                    <w:jc w:val="left"/>
                  </w:pPr>
                  <w:r w:rsidRPr="006F1364">
                    <w:t>18</w:t>
                  </w:r>
                </w:p>
              </w:tc>
              <w:tc>
                <w:tcPr>
                  <w:tcW w:w="2546" w:type="pct"/>
                  <w:vAlign w:val="center"/>
                </w:tcPr>
                <w:p w14:paraId="5BAA890D" w14:textId="2F7A66B6" w:rsidR="001A6512" w:rsidRDefault="001A6512" w:rsidP="00890181">
                  <w:pPr>
                    <w:pStyle w:val="TableBodyText"/>
                    <w:jc w:val="left"/>
                  </w:pPr>
                  <w:r>
                    <w:t>Dairy products</w:t>
                  </w:r>
                </w:p>
              </w:tc>
              <w:tc>
                <w:tcPr>
                  <w:tcW w:w="1583" w:type="pct"/>
                </w:tcPr>
                <w:p w14:paraId="3858B202" w14:textId="05C31289" w:rsidR="001A6512" w:rsidRDefault="001A6512" w:rsidP="00890181">
                  <w:pPr>
                    <w:pStyle w:val="TableBodyText"/>
                    <w:ind w:right="28"/>
                  </w:pPr>
                  <w:r>
                    <w:t>1103</w:t>
                  </w:r>
                </w:p>
              </w:tc>
            </w:tr>
            <w:tr w:rsidR="001A6512" w14:paraId="7AD9295C" w14:textId="77777777" w:rsidTr="00890181">
              <w:trPr>
                <w:gridAfter w:val="1"/>
                <w:wAfter w:w="248" w:type="pct"/>
              </w:trPr>
              <w:tc>
                <w:tcPr>
                  <w:tcW w:w="623" w:type="pct"/>
                  <w:vAlign w:val="bottom"/>
                </w:tcPr>
                <w:p w14:paraId="7955C7BA" w14:textId="27AAD103" w:rsidR="001A6512" w:rsidRDefault="001A6512" w:rsidP="00890181">
                  <w:pPr>
                    <w:pStyle w:val="TableBodyText"/>
                    <w:jc w:val="left"/>
                  </w:pPr>
                  <w:r w:rsidRPr="006F1364">
                    <w:t>19</w:t>
                  </w:r>
                </w:p>
              </w:tc>
              <w:tc>
                <w:tcPr>
                  <w:tcW w:w="2546" w:type="pct"/>
                  <w:vAlign w:val="center"/>
                </w:tcPr>
                <w:p w14:paraId="6ADC16D7" w14:textId="5F211F41" w:rsidR="001A6512" w:rsidRDefault="001A6512" w:rsidP="00890181">
                  <w:pPr>
                    <w:pStyle w:val="TableBodyText"/>
                    <w:jc w:val="left"/>
                  </w:pPr>
                  <w:r>
                    <w:t>Other food products</w:t>
                  </w:r>
                </w:p>
              </w:tc>
              <w:tc>
                <w:tcPr>
                  <w:tcW w:w="1583" w:type="pct"/>
                </w:tcPr>
                <w:p w14:paraId="18652214" w14:textId="14B8DF2D" w:rsidR="001A6512" w:rsidRDefault="001A6512" w:rsidP="00890181">
                  <w:pPr>
                    <w:pStyle w:val="TableBodyText"/>
                    <w:ind w:right="28"/>
                  </w:pPr>
                  <w:r>
                    <w:t>1102, 1104</w:t>
                  </w:r>
                  <w:r>
                    <w:noBreakHyphen/>
                    <w:t>09</w:t>
                  </w:r>
                </w:p>
              </w:tc>
            </w:tr>
            <w:tr w:rsidR="001A6512" w14:paraId="1F02AC30" w14:textId="77777777" w:rsidTr="00890181">
              <w:trPr>
                <w:gridAfter w:val="1"/>
                <w:wAfter w:w="248" w:type="pct"/>
              </w:trPr>
              <w:tc>
                <w:tcPr>
                  <w:tcW w:w="623" w:type="pct"/>
                  <w:vAlign w:val="bottom"/>
                </w:tcPr>
                <w:p w14:paraId="22B193E6" w14:textId="13567DAB" w:rsidR="001A6512" w:rsidRDefault="001A6512" w:rsidP="00890181">
                  <w:pPr>
                    <w:pStyle w:val="TableBodyText"/>
                    <w:jc w:val="left"/>
                  </w:pPr>
                  <w:r w:rsidRPr="006F1364">
                    <w:t>20</w:t>
                  </w:r>
                </w:p>
              </w:tc>
              <w:tc>
                <w:tcPr>
                  <w:tcW w:w="2546" w:type="pct"/>
                  <w:vAlign w:val="center"/>
                </w:tcPr>
                <w:p w14:paraId="1183AF7B" w14:textId="781FC510" w:rsidR="001A6512" w:rsidRDefault="001A6512" w:rsidP="00890181">
                  <w:pPr>
                    <w:pStyle w:val="TableBodyText"/>
                    <w:jc w:val="left"/>
                  </w:pPr>
                  <w:r>
                    <w:t>Beverages</w:t>
                  </w:r>
                </w:p>
              </w:tc>
              <w:tc>
                <w:tcPr>
                  <w:tcW w:w="1583" w:type="pct"/>
                </w:tcPr>
                <w:p w14:paraId="03EFBBC2" w14:textId="75D7DCA3" w:rsidR="001A6512" w:rsidRDefault="001A6512" w:rsidP="00890181">
                  <w:pPr>
                    <w:pStyle w:val="TableBodyText"/>
                    <w:ind w:right="28"/>
                  </w:pPr>
                  <w:r>
                    <w:t>1201</w:t>
                  </w:r>
                  <w:r>
                    <w:noBreakHyphen/>
                    <w:t>05</w:t>
                  </w:r>
                </w:p>
              </w:tc>
            </w:tr>
            <w:tr w:rsidR="001A6512" w14:paraId="7279CF39" w14:textId="77777777" w:rsidTr="00890181">
              <w:trPr>
                <w:gridAfter w:val="1"/>
                <w:wAfter w:w="248" w:type="pct"/>
              </w:trPr>
              <w:tc>
                <w:tcPr>
                  <w:tcW w:w="623" w:type="pct"/>
                  <w:vAlign w:val="bottom"/>
                </w:tcPr>
                <w:p w14:paraId="5325AC42" w14:textId="753853B8" w:rsidR="001A6512" w:rsidRDefault="001A6512" w:rsidP="00890181">
                  <w:pPr>
                    <w:pStyle w:val="TableBodyText"/>
                    <w:jc w:val="left"/>
                  </w:pPr>
                  <w:r w:rsidRPr="006F1364">
                    <w:t>21</w:t>
                  </w:r>
                </w:p>
              </w:tc>
              <w:tc>
                <w:tcPr>
                  <w:tcW w:w="2546" w:type="pct"/>
                  <w:vAlign w:val="center"/>
                </w:tcPr>
                <w:p w14:paraId="674E449A" w14:textId="0CF0B973" w:rsidR="001A6512" w:rsidRDefault="001A6512" w:rsidP="00890181">
                  <w:pPr>
                    <w:pStyle w:val="TableBodyText"/>
                    <w:jc w:val="left"/>
                  </w:pPr>
                  <w:r>
                    <w:t>Textiles, clothing and footwear</w:t>
                  </w:r>
                </w:p>
              </w:tc>
              <w:tc>
                <w:tcPr>
                  <w:tcW w:w="1583" w:type="pct"/>
                </w:tcPr>
                <w:p w14:paraId="40AAC5FA" w14:textId="0A073125" w:rsidR="001A6512" w:rsidRDefault="001A6512" w:rsidP="00890181">
                  <w:pPr>
                    <w:pStyle w:val="TableBodyText"/>
                    <w:ind w:right="28"/>
                  </w:pPr>
                  <w:r>
                    <w:t>1301</w:t>
                  </w:r>
                  <w:r>
                    <w:noBreakHyphen/>
                    <w:t>06</w:t>
                  </w:r>
                </w:p>
              </w:tc>
            </w:tr>
            <w:tr w:rsidR="001A6512" w14:paraId="4E2F21BB" w14:textId="77777777" w:rsidTr="00890181">
              <w:trPr>
                <w:gridAfter w:val="1"/>
                <w:wAfter w:w="248" w:type="pct"/>
              </w:trPr>
              <w:tc>
                <w:tcPr>
                  <w:tcW w:w="623" w:type="pct"/>
                  <w:vAlign w:val="bottom"/>
                </w:tcPr>
                <w:p w14:paraId="1A37EDD2" w14:textId="50F50D0A" w:rsidR="001A6512" w:rsidRDefault="001A6512" w:rsidP="00890181">
                  <w:pPr>
                    <w:pStyle w:val="TableBodyText"/>
                    <w:jc w:val="left"/>
                  </w:pPr>
                  <w:r w:rsidRPr="006F1364">
                    <w:t>22</w:t>
                  </w:r>
                </w:p>
              </w:tc>
              <w:tc>
                <w:tcPr>
                  <w:tcW w:w="2546" w:type="pct"/>
                  <w:vAlign w:val="center"/>
                </w:tcPr>
                <w:p w14:paraId="6EAB49A2" w14:textId="6402261A" w:rsidR="001A6512" w:rsidRDefault="001A6512" w:rsidP="00890181">
                  <w:pPr>
                    <w:pStyle w:val="TableBodyText"/>
                    <w:jc w:val="left"/>
                  </w:pPr>
                  <w:r>
                    <w:t>Sawmill and other wood products</w:t>
                  </w:r>
                </w:p>
              </w:tc>
              <w:tc>
                <w:tcPr>
                  <w:tcW w:w="1583" w:type="pct"/>
                </w:tcPr>
                <w:p w14:paraId="3C34BC78" w14:textId="417C9BBF" w:rsidR="001A6512" w:rsidRDefault="001A6512" w:rsidP="00890181">
                  <w:pPr>
                    <w:pStyle w:val="TableBodyText"/>
                    <w:ind w:right="28"/>
                  </w:pPr>
                  <w:r>
                    <w:t>1401, 1402</w:t>
                  </w:r>
                </w:p>
              </w:tc>
            </w:tr>
            <w:tr w:rsidR="001A6512" w14:paraId="4AC29163" w14:textId="77777777" w:rsidTr="00890181">
              <w:trPr>
                <w:gridAfter w:val="1"/>
                <w:wAfter w:w="248" w:type="pct"/>
              </w:trPr>
              <w:tc>
                <w:tcPr>
                  <w:tcW w:w="623" w:type="pct"/>
                  <w:vAlign w:val="bottom"/>
                </w:tcPr>
                <w:p w14:paraId="606FDA37" w14:textId="646FC23B" w:rsidR="001A6512" w:rsidRDefault="001A6512" w:rsidP="00890181">
                  <w:pPr>
                    <w:pStyle w:val="TableBodyText"/>
                    <w:jc w:val="left"/>
                  </w:pPr>
                  <w:r w:rsidRPr="006F1364">
                    <w:t>23</w:t>
                  </w:r>
                </w:p>
              </w:tc>
              <w:tc>
                <w:tcPr>
                  <w:tcW w:w="2546" w:type="pct"/>
                  <w:vAlign w:val="center"/>
                </w:tcPr>
                <w:p w14:paraId="3E13519D" w14:textId="2E7B3517" w:rsidR="001A6512" w:rsidRDefault="001A6512" w:rsidP="00890181">
                  <w:pPr>
                    <w:pStyle w:val="TableBodyText"/>
                    <w:jc w:val="left"/>
                  </w:pPr>
                  <w:r>
                    <w:t>Pulp, paper and paper products</w:t>
                  </w:r>
                </w:p>
              </w:tc>
              <w:tc>
                <w:tcPr>
                  <w:tcW w:w="1583" w:type="pct"/>
                </w:tcPr>
                <w:p w14:paraId="062EC184" w14:textId="47B07D29" w:rsidR="001A6512" w:rsidRDefault="001A6512" w:rsidP="00890181">
                  <w:pPr>
                    <w:pStyle w:val="TableBodyText"/>
                    <w:ind w:right="28"/>
                  </w:pPr>
                  <w:r>
                    <w:t>1501, 1502</w:t>
                  </w:r>
                </w:p>
              </w:tc>
            </w:tr>
            <w:tr w:rsidR="001A6512" w14:paraId="07A54A23" w14:textId="77777777" w:rsidTr="00890181">
              <w:trPr>
                <w:gridAfter w:val="1"/>
                <w:wAfter w:w="248" w:type="pct"/>
              </w:trPr>
              <w:tc>
                <w:tcPr>
                  <w:tcW w:w="623" w:type="pct"/>
                  <w:vAlign w:val="bottom"/>
                </w:tcPr>
                <w:p w14:paraId="2FAF37F0" w14:textId="58BE6483" w:rsidR="001A6512" w:rsidRDefault="001A6512" w:rsidP="00890181">
                  <w:pPr>
                    <w:pStyle w:val="TableBodyText"/>
                    <w:jc w:val="left"/>
                  </w:pPr>
                  <w:r w:rsidRPr="006F1364">
                    <w:t>24</w:t>
                  </w:r>
                </w:p>
              </w:tc>
              <w:tc>
                <w:tcPr>
                  <w:tcW w:w="2546" w:type="pct"/>
                  <w:vAlign w:val="center"/>
                </w:tcPr>
                <w:p w14:paraId="7001AC08" w14:textId="1B22CE88" w:rsidR="001A6512" w:rsidRDefault="001A6512" w:rsidP="00890181">
                  <w:pPr>
                    <w:pStyle w:val="TableBodyText"/>
                    <w:jc w:val="left"/>
                  </w:pPr>
                  <w:r>
                    <w:t>Printing and recorded media</w:t>
                  </w:r>
                </w:p>
              </w:tc>
              <w:tc>
                <w:tcPr>
                  <w:tcW w:w="1583" w:type="pct"/>
                </w:tcPr>
                <w:p w14:paraId="0B319171" w14:textId="215A0230" w:rsidR="001A6512" w:rsidRDefault="001A6512" w:rsidP="00890181">
                  <w:pPr>
                    <w:pStyle w:val="TableBodyText"/>
                    <w:ind w:right="28"/>
                  </w:pPr>
                  <w:r>
                    <w:t>1601</w:t>
                  </w:r>
                </w:p>
              </w:tc>
            </w:tr>
            <w:tr w:rsidR="001A6512" w14:paraId="1B6F604D" w14:textId="77777777" w:rsidTr="00890181">
              <w:trPr>
                <w:gridAfter w:val="1"/>
                <w:wAfter w:w="248" w:type="pct"/>
              </w:trPr>
              <w:tc>
                <w:tcPr>
                  <w:tcW w:w="623" w:type="pct"/>
                  <w:vAlign w:val="bottom"/>
                </w:tcPr>
                <w:p w14:paraId="45B90CB0" w14:textId="1512A98E" w:rsidR="001A6512" w:rsidRDefault="001A6512" w:rsidP="00890181">
                  <w:pPr>
                    <w:pStyle w:val="TableBodyText"/>
                    <w:jc w:val="left"/>
                  </w:pPr>
                  <w:r w:rsidRPr="006F1364">
                    <w:t>25</w:t>
                  </w:r>
                </w:p>
              </w:tc>
              <w:tc>
                <w:tcPr>
                  <w:tcW w:w="2546" w:type="pct"/>
                  <w:vAlign w:val="center"/>
                </w:tcPr>
                <w:p w14:paraId="672885E4" w14:textId="07FF7652" w:rsidR="001A6512" w:rsidRDefault="001A6512" w:rsidP="00890181">
                  <w:pPr>
                    <w:pStyle w:val="TableBodyText"/>
                    <w:jc w:val="left"/>
                  </w:pPr>
                  <w:r>
                    <w:t>Petroleum and coal products</w:t>
                  </w:r>
                </w:p>
              </w:tc>
              <w:tc>
                <w:tcPr>
                  <w:tcW w:w="1583" w:type="pct"/>
                </w:tcPr>
                <w:p w14:paraId="18A56062" w14:textId="6E6AD112" w:rsidR="001A6512" w:rsidRDefault="001A6512" w:rsidP="00890181">
                  <w:pPr>
                    <w:pStyle w:val="TableBodyText"/>
                    <w:ind w:right="28"/>
                  </w:pPr>
                  <w:r>
                    <w:t>1701</w:t>
                  </w:r>
                </w:p>
              </w:tc>
            </w:tr>
            <w:tr w:rsidR="001A6512" w14:paraId="356B302F" w14:textId="77777777" w:rsidTr="00890181">
              <w:trPr>
                <w:gridAfter w:val="1"/>
                <w:wAfter w:w="248" w:type="pct"/>
              </w:trPr>
              <w:tc>
                <w:tcPr>
                  <w:tcW w:w="623" w:type="pct"/>
                  <w:vAlign w:val="bottom"/>
                </w:tcPr>
                <w:p w14:paraId="09A30426" w14:textId="12E3A2F7" w:rsidR="001A6512" w:rsidRDefault="001A6512" w:rsidP="00890181">
                  <w:pPr>
                    <w:pStyle w:val="TableBodyText"/>
                    <w:jc w:val="left"/>
                  </w:pPr>
                  <w:r w:rsidRPr="006F1364">
                    <w:t>26</w:t>
                  </w:r>
                </w:p>
              </w:tc>
              <w:tc>
                <w:tcPr>
                  <w:tcW w:w="2546" w:type="pct"/>
                  <w:vAlign w:val="center"/>
                </w:tcPr>
                <w:p w14:paraId="4DE2CFD7" w14:textId="41EFA822" w:rsidR="001A6512" w:rsidRDefault="001A6512" w:rsidP="00890181">
                  <w:pPr>
                    <w:pStyle w:val="TableBodyText"/>
                    <w:jc w:val="left"/>
                  </w:pPr>
                  <w:r>
                    <w:t>Basic chemicals and products</w:t>
                  </w:r>
                </w:p>
              </w:tc>
              <w:tc>
                <w:tcPr>
                  <w:tcW w:w="1583" w:type="pct"/>
                </w:tcPr>
                <w:p w14:paraId="114C4120" w14:textId="2212085B" w:rsidR="001A6512" w:rsidRDefault="001A6512" w:rsidP="00890181">
                  <w:pPr>
                    <w:pStyle w:val="TableBodyText"/>
                    <w:ind w:right="28"/>
                  </w:pPr>
                  <w:r>
                    <w:t>1801</w:t>
                  </w:r>
                  <w:r>
                    <w:noBreakHyphen/>
                    <w:t>04</w:t>
                  </w:r>
                </w:p>
              </w:tc>
            </w:tr>
            <w:tr w:rsidR="001A6512" w14:paraId="236DAEAD" w14:textId="77777777" w:rsidTr="00890181">
              <w:trPr>
                <w:gridAfter w:val="1"/>
                <w:wAfter w:w="248" w:type="pct"/>
              </w:trPr>
              <w:tc>
                <w:tcPr>
                  <w:tcW w:w="623" w:type="pct"/>
                  <w:vAlign w:val="bottom"/>
                </w:tcPr>
                <w:p w14:paraId="06CD68B3" w14:textId="28D74308" w:rsidR="001A6512" w:rsidRDefault="001A6512" w:rsidP="00890181">
                  <w:pPr>
                    <w:pStyle w:val="TableBodyText"/>
                    <w:jc w:val="left"/>
                  </w:pPr>
                  <w:r w:rsidRPr="006F1364">
                    <w:t>27</w:t>
                  </w:r>
                </w:p>
              </w:tc>
              <w:tc>
                <w:tcPr>
                  <w:tcW w:w="2546" w:type="pct"/>
                  <w:vAlign w:val="center"/>
                </w:tcPr>
                <w:p w14:paraId="11365B65" w14:textId="653357AE" w:rsidR="001A6512" w:rsidRDefault="001A6512" w:rsidP="00890181">
                  <w:pPr>
                    <w:pStyle w:val="TableBodyText"/>
                    <w:jc w:val="left"/>
                  </w:pPr>
                  <w:r>
                    <w:t>Polymer and rubber products</w:t>
                  </w:r>
                </w:p>
              </w:tc>
              <w:tc>
                <w:tcPr>
                  <w:tcW w:w="1583" w:type="pct"/>
                </w:tcPr>
                <w:p w14:paraId="6D5CFD48" w14:textId="7DB79CE0" w:rsidR="001A6512" w:rsidRDefault="001A6512" w:rsidP="00890181">
                  <w:pPr>
                    <w:pStyle w:val="TableBodyText"/>
                    <w:ind w:right="28"/>
                  </w:pPr>
                  <w:r>
                    <w:t>1901–2004</w:t>
                  </w:r>
                </w:p>
              </w:tc>
            </w:tr>
            <w:tr w:rsidR="001A6512" w14:paraId="0A9978EC" w14:textId="77777777" w:rsidTr="00890181">
              <w:trPr>
                <w:gridAfter w:val="1"/>
                <w:wAfter w:w="248" w:type="pct"/>
              </w:trPr>
              <w:tc>
                <w:tcPr>
                  <w:tcW w:w="623" w:type="pct"/>
                  <w:vAlign w:val="bottom"/>
                </w:tcPr>
                <w:p w14:paraId="7EB4205D" w14:textId="080A4872" w:rsidR="001A6512" w:rsidRDefault="001A6512" w:rsidP="00890181">
                  <w:pPr>
                    <w:pStyle w:val="TableBodyText"/>
                    <w:jc w:val="left"/>
                  </w:pPr>
                  <w:r w:rsidRPr="006F1364">
                    <w:t>28</w:t>
                  </w:r>
                </w:p>
              </w:tc>
              <w:tc>
                <w:tcPr>
                  <w:tcW w:w="2546" w:type="pct"/>
                  <w:vAlign w:val="center"/>
                </w:tcPr>
                <w:p w14:paraId="5F4A8EF0" w14:textId="0D89F5B0" w:rsidR="001A6512" w:rsidRDefault="001A6512" w:rsidP="00890181">
                  <w:pPr>
                    <w:pStyle w:val="TableBodyText"/>
                    <w:jc w:val="left"/>
                  </w:pPr>
                  <w:r>
                    <w:t>Non</w:t>
                  </w:r>
                  <w:r>
                    <w:noBreakHyphen/>
                    <w:t>metallic mineral products</w:t>
                  </w:r>
                </w:p>
              </w:tc>
              <w:tc>
                <w:tcPr>
                  <w:tcW w:w="1583" w:type="pct"/>
                </w:tcPr>
                <w:p w14:paraId="4A5A7078" w14:textId="2F3AFDBD" w:rsidR="001A6512" w:rsidRDefault="001A6512" w:rsidP="00890181">
                  <w:pPr>
                    <w:pStyle w:val="TableBodyText"/>
                    <w:ind w:right="28"/>
                  </w:pPr>
                  <w:r>
                    <w:t>2001</w:t>
                  </w:r>
                  <w:r w:rsidR="007F2960">
                    <w:t>–</w:t>
                  </w:r>
                  <w:r>
                    <w:t>05 (not 03)</w:t>
                  </w:r>
                </w:p>
              </w:tc>
            </w:tr>
            <w:tr w:rsidR="001A6512" w14:paraId="6BDB65C0" w14:textId="77777777" w:rsidTr="00890181">
              <w:trPr>
                <w:gridAfter w:val="1"/>
                <w:wAfter w:w="248" w:type="pct"/>
              </w:trPr>
              <w:tc>
                <w:tcPr>
                  <w:tcW w:w="623" w:type="pct"/>
                  <w:vAlign w:val="bottom"/>
                </w:tcPr>
                <w:p w14:paraId="14B9E6DF" w14:textId="0DB17CE5" w:rsidR="001A6512" w:rsidRDefault="001A6512" w:rsidP="00890181">
                  <w:pPr>
                    <w:pStyle w:val="TableBodyText"/>
                    <w:jc w:val="left"/>
                  </w:pPr>
                  <w:r w:rsidRPr="006F1364">
                    <w:t>29</w:t>
                  </w:r>
                </w:p>
              </w:tc>
              <w:tc>
                <w:tcPr>
                  <w:tcW w:w="2546" w:type="pct"/>
                  <w:vAlign w:val="center"/>
                </w:tcPr>
                <w:p w14:paraId="3ADAAF69" w14:textId="6D111D07" w:rsidR="001A6512" w:rsidRDefault="001A6512" w:rsidP="00890181">
                  <w:pPr>
                    <w:pStyle w:val="TableBodyText"/>
                    <w:jc w:val="left"/>
                  </w:pPr>
                  <w:r>
                    <w:t>Cement, lime and concrete</w:t>
                  </w:r>
                </w:p>
              </w:tc>
              <w:tc>
                <w:tcPr>
                  <w:tcW w:w="1583" w:type="pct"/>
                </w:tcPr>
                <w:p w14:paraId="72882409" w14:textId="449397F5" w:rsidR="001A6512" w:rsidRDefault="001A6512" w:rsidP="00890181">
                  <w:pPr>
                    <w:pStyle w:val="TableBodyText"/>
                    <w:ind w:right="28"/>
                  </w:pPr>
                  <w:r>
                    <w:t>2003</w:t>
                  </w:r>
                </w:p>
              </w:tc>
            </w:tr>
            <w:tr w:rsidR="001A6512" w14:paraId="508A2EC0" w14:textId="77777777" w:rsidTr="00890181">
              <w:trPr>
                <w:gridAfter w:val="1"/>
                <w:wAfter w:w="248" w:type="pct"/>
              </w:trPr>
              <w:tc>
                <w:tcPr>
                  <w:tcW w:w="623" w:type="pct"/>
                  <w:vAlign w:val="bottom"/>
                </w:tcPr>
                <w:p w14:paraId="1816B966" w14:textId="6D395E34" w:rsidR="001A6512" w:rsidRDefault="001A6512" w:rsidP="00890181">
                  <w:pPr>
                    <w:pStyle w:val="TableBodyText"/>
                    <w:jc w:val="left"/>
                  </w:pPr>
                  <w:r w:rsidRPr="006F1364">
                    <w:t>30</w:t>
                  </w:r>
                </w:p>
              </w:tc>
              <w:tc>
                <w:tcPr>
                  <w:tcW w:w="2546" w:type="pct"/>
                  <w:vAlign w:val="center"/>
                </w:tcPr>
                <w:p w14:paraId="3AD33594" w14:textId="4CDFE6AD" w:rsidR="001A6512" w:rsidRDefault="001A6512" w:rsidP="00890181">
                  <w:pPr>
                    <w:pStyle w:val="TableBodyText"/>
                    <w:jc w:val="left"/>
                  </w:pPr>
                  <w:r>
                    <w:t>Iron and steel</w:t>
                  </w:r>
                </w:p>
              </w:tc>
              <w:tc>
                <w:tcPr>
                  <w:tcW w:w="1583" w:type="pct"/>
                </w:tcPr>
                <w:p w14:paraId="53BB3918" w14:textId="44A1695E" w:rsidR="001A6512" w:rsidRDefault="001A6512" w:rsidP="00890181">
                  <w:pPr>
                    <w:pStyle w:val="TableBodyText"/>
                    <w:ind w:right="28"/>
                  </w:pPr>
                  <w:r>
                    <w:t>2101</w:t>
                  </w:r>
                </w:p>
              </w:tc>
            </w:tr>
            <w:tr w:rsidR="001A6512" w14:paraId="0224A406" w14:textId="77777777" w:rsidTr="00890181">
              <w:trPr>
                <w:gridAfter w:val="1"/>
                <w:wAfter w:w="248" w:type="pct"/>
              </w:trPr>
              <w:tc>
                <w:tcPr>
                  <w:tcW w:w="623" w:type="pct"/>
                  <w:vAlign w:val="bottom"/>
                </w:tcPr>
                <w:p w14:paraId="08C2545F" w14:textId="7F5411E9" w:rsidR="001A6512" w:rsidRDefault="001A6512" w:rsidP="00890181">
                  <w:pPr>
                    <w:pStyle w:val="TableBodyText"/>
                    <w:jc w:val="left"/>
                  </w:pPr>
                  <w:r w:rsidRPr="006F1364">
                    <w:t>31</w:t>
                  </w:r>
                </w:p>
              </w:tc>
              <w:tc>
                <w:tcPr>
                  <w:tcW w:w="2546" w:type="pct"/>
                  <w:vAlign w:val="center"/>
                </w:tcPr>
                <w:p w14:paraId="222B7663" w14:textId="574024E2" w:rsidR="001A6512" w:rsidRDefault="001A6512" w:rsidP="00890181">
                  <w:pPr>
                    <w:pStyle w:val="TableBodyText"/>
                    <w:jc w:val="left"/>
                  </w:pPr>
                  <w:r>
                    <w:t>Alumina</w:t>
                  </w:r>
                </w:p>
              </w:tc>
              <w:tc>
                <w:tcPr>
                  <w:tcW w:w="1583" w:type="pct"/>
                </w:tcPr>
                <w:p w14:paraId="78697E71" w14:textId="52D3DB13" w:rsidR="001A6512" w:rsidRDefault="001A6512" w:rsidP="00890181">
                  <w:pPr>
                    <w:pStyle w:val="TableBodyText"/>
                    <w:ind w:right="28"/>
                  </w:pPr>
                  <w:r>
                    <w:t>2102 (part)</w:t>
                  </w:r>
                </w:p>
              </w:tc>
            </w:tr>
            <w:tr w:rsidR="001A6512" w14:paraId="69658B2D" w14:textId="77777777" w:rsidTr="00890181">
              <w:trPr>
                <w:gridAfter w:val="1"/>
                <w:wAfter w:w="248" w:type="pct"/>
              </w:trPr>
              <w:tc>
                <w:tcPr>
                  <w:tcW w:w="623" w:type="pct"/>
                  <w:vAlign w:val="bottom"/>
                </w:tcPr>
                <w:p w14:paraId="20F73D88" w14:textId="2488541A" w:rsidR="001A6512" w:rsidRDefault="001A6512" w:rsidP="00890181">
                  <w:pPr>
                    <w:pStyle w:val="TableBodyText"/>
                    <w:jc w:val="left"/>
                  </w:pPr>
                  <w:r w:rsidRPr="006F1364">
                    <w:t>32</w:t>
                  </w:r>
                </w:p>
              </w:tc>
              <w:tc>
                <w:tcPr>
                  <w:tcW w:w="2546" w:type="pct"/>
                  <w:vAlign w:val="center"/>
                </w:tcPr>
                <w:p w14:paraId="48005D80" w14:textId="1D0F2803" w:rsidR="001A6512" w:rsidRDefault="001A6512" w:rsidP="00890181">
                  <w:pPr>
                    <w:pStyle w:val="TableBodyText"/>
                    <w:jc w:val="left"/>
                  </w:pPr>
                  <w:r>
                    <w:t>Aluminium</w:t>
                  </w:r>
                </w:p>
              </w:tc>
              <w:tc>
                <w:tcPr>
                  <w:tcW w:w="1583" w:type="pct"/>
                </w:tcPr>
                <w:p w14:paraId="510FE232" w14:textId="697EC844" w:rsidR="001A6512" w:rsidRDefault="001A6512" w:rsidP="00890181">
                  <w:pPr>
                    <w:pStyle w:val="TableBodyText"/>
                    <w:ind w:right="28"/>
                  </w:pPr>
                  <w:r>
                    <w:t>2102 (part)</w:t>
                  </w:r>
                </w:p>
              </w:tc>
            </w:tr>
            <w:tr w:rsidR="001A6512" w14:paraId="256FB7AD" w14:textId="77777777" w:rsidTr="00890181">
              <w:trPr>
                <w:gridAfter w:val="1"/>
                <w:wAfter w:w="248" w:type="pct"/>
              </w:trPr>
              <w:tc>
                <w:tcPr>
                  <w:tcW w:w="623" w:type="pct"/>
                  <w:vAlign w:val="bottom"/>
                </w:tcPr>
                <w:p w14:paraId="7C4B3DD9" w14:textId="3FD5B5FD" w:rsidR="001A6512" w:rsidRDefault="001A6512" w:rsidP="00890181">
                  <w:pPr>
                    <w:pStyle w:val="TableBodyText"/>
                    <w:jc w:val="left"/>
                  </w:pPr>
                  <w:r w:rsidRPr="006F1364">
                    <w:t>33</w:t>
                  </w:r>
                </w:p>
              </w:tc>
              <w:tc>
                <w:tcPr>
                  <w:tcW w:w="2546" w:type="pct"/>
                  <w:vAlign w:val="center"/>
                </w:tcPr>
                <w:p w14:paraId="6D909648" w14:textId="04B38A39" w:rsidR="001A6512" w:rsidRDefault="001A6512" w:rsidP="00890181">
                  <w:pPr>
                    <w:pStyle w:val="TableBodyText"/>
                    <w:jc w:val="left"/>
                  </w:pPr>
                  <w:r>
                    <w:t>Other non</w:t>
                  </w:r>
                  <w:r>
                    <w:noBreakHyphen/>
                    <w:t>ferrous metals</w:t>
                  </w:r>
                </w:p>
              </w:tc>
              <w:tc>
                <w:tcPr>
                  <w:tcW w:w="1583" w:type="pct"/>
                </w:tcPr>
                <w:p w14:paraId="5EE229F0" w14:textId="76CA61FA" w:rsidR="001A6512" w:rsidRDefault="001A6512" w:rsidP="00890181">
                  <w:pPr>
                    <w:pStyle w:val="TableBodyText"/>
                    <w:ind w:right="28"/>
                  </w:pPr>
                  <w:r>
                    <w:t>2102 (part)</w:t>
                  </w:r>
                </w:p>
              </w:tc>
            </w:tr>
            <w:tr w:rsidR="001A6512" w14:paraId="3E214288" w14:textId="77777777" w:rsidTr="00890181">
              <w:trPr>
                <w:gridAfter w:val="1"/>
                <w:wAfter w:w="248" w:type="pct"/>
              </w:trPr>
              <w:tc>
                <w:tcPr>
                  <w:tcW w:w="623" w:type="pct"/>
                  <w:vAlign w:val="bottom"/>
                </w:tcPr>
                <w:p w14:paraId="358210B7" w14:textId="4D1DB9A4" w:rsidR="001A6512" w:rsidRDefault="001A6512" w:rsidP="00890181">
                  <w:pPr>
                    <w:pStyle w:val="TableBodyText"/>
                    <w:jc w:val="left"/>
                  </w:pPr>
                  <w:r w:rsidRPr="006F1364">
                    <w:t>34</w:t>
                  </w:r>
                </w:p>
              </w:tc>
              <w:tc>
                <w:tcPr>
                  <w:tcW w:w="2546" w:type="pct"/>
                  <w:vAlign w:val="center"/>
                </w:tcPr>
                <w:p w14:paraId="59C80A7B" w14:textId="0867B228" w:rsidR="001A6512" w:rsidRDefault="001A6512" w:rsidP="00890181">
                  <w:pPr>
                    <w:pStyle w:val="TableBodyText"/>
                    <w:jc w:val="left"/>
                  </w:pPr>
                  <w:r>
                    <w:t>Metal products</w:t>
                  </w:r>
                </w:p>
              </w:tc>
              <w:tc>
                <w:tcPr>
                  <w:tcW w:w="1583" w:type="pct"/>
                </w:tcPr>
                <w:p w14:paraId="6A46EDE4" w14:textId="0D2A5963" w:rsidR="001A6512" w:rsidRDefault="001A6512" w:rsidP="00890181">
                  <w:pPr>
                    <w:pStyle w:val="TableBodyText"/>
                    <w:ind w:right="28"/>
                  </w:pPr>
                  <w:r>
                    <w:t>2201</w:t>
                  </w:r>
                  <w:r>
                    <w:noBreakHyphen/>
                    <w:t>04</w:t>
                  </w:r>
                </w:p>
              </w:tc>
            </w:tr>
            <w:tr w:rsidR="001A6512" w14:paraId="2B5B8616" w14:textId="77777777" w:rsidTr="00890181">
              <w:trPr>
                <w:gridAfter w:val="1"/>
                <w:wAfter w:w="248" w:type="pct"/>
              </w:trPr>
              <w:tc>
                <w:tcPr>
                  <w:tcW w:w="623" w:type="pct"/>
                  <w:vAlign w:val="bottom"/>
                </w:tcPr>
                <w:p w14:paraId="1E82B62F" w14:textId="2CB3EEED" w:rsidR="001A6512" w:rsidRDefault="001A6512" w:rsidP="00890181">
                  <w:pPr>
                    <w:pStyle w:val="TableBodyText"/>
                    <w:jc w:val="left"/>
                  </w:pPr>
                  <w:r w:rsidRPr="006F1364">
                    <w:t>35</w:t>
                  </w:r>
                </w:p>
              </w:tc>
              <w:tc>
                <w:tcPr>
                  <w:tcW w:w="2546" w:type="pct"/>
                  <w:vAlign w:val="center"/>
                </w:tcPr>
                <w:p w14:paraId="1793E3BF" w14:textId="0DE1CA46" w:rsidR="001A6512" w:rsidRDefault="001A6512" w:rsidP="00890181">
                  <w:pPr>
                    <w:pStyle w:val="TableBodyText"/>
                    <w:jc w:val="left"/>
                  </w:pPr>
                  <w:r>
                    <w:t>Motor vehicles and parts</w:t>
                  </w:r>
                </w:p>
              </w:tc>
              <w:tc>
                <w:tcPr>
                  <w:tcW w:w="1583" w:type="pct"/>
                </w:tcPr>
                <w:p w14:paraId="1F94D27B" w14:textId="2A19A08B" w:rsidR="001A6512" w:rsidRDefault="001A6512" w:rsidP="00890181">
                  <w:pPr>
                    <w:pStyle w:val="TableBodyText"/>
                    <w:ind w:right="28"/>
                  </w:pPr>
                  <w:r>
                    <w:t>2301</w:t>
                  </w:r>
                </w:p>
              </w:tc>
            </w:tr>
            <w:tr w:rsidR="001A6512" w14:paraId="201F0B9B" w14:textId="77777777" w:rsidTr="00890181">
              <w:trPr>
                <w:gridAfter w:val="1"/>
                <w:wAfter w:w="248" w:type="pct"/>
              </w:trPr>
              <w:tc>
                <w:tcPr>
                  <w:tcW w:w="623" w:type="pct"/>
                  <w:vAlign w:val="bottom"/>
                </w:tcPr>
                <w:p w14:paraId="686966BD" w14:textId="3430C86B" w:rsidR="001A6512" w:rsidRDefault="001A6512" w:rsidP="00890181">
                  <w:pPr>
                    <w:pStyle w:val="TableBodyText"/>
                    <w:jc w:val="left"/>
                  </w:pPr>
                  <w:r w:rsidRPr="006F1364">
                    <w:t>36</w:t>
                  </w:r>
                </w:p>
              </w:tc>
              <w:tc>
                <w:tcPr>
                  <w:tcW w:w="2546" w:type="pct"/>
                  <w:vAlign w:val="center"/>
                </w:tcPr>
                <w:p w14:paraId="2E974D88" w14:textId="4E857521" w:rsidR="001A6512" w:rsidRDefault="001A6512" w:rsidP="00890181">
                  <w:pPr>
                    <w:pStyle w:val="TableBodyText"/>
                    <w:jc w:val="left"/>
                  </w:pPr>
                  <w:r>
                    <w:t>Other equipment</w:t>
                  </w:r>
                </w:p>
              </w:tc>
              <w:tc>
                <w:tcPr>
                  <w:tcW w:w="1583" w:type="pct"/>
                </w:tcPr>
                <w:p w14:paraId="7D863152" w14:textId="70EB5F08" w:rsidR="001A6512" w:rsidRDefault="001A6512" w:rsidP="00890181">
                  <w:pPr>
                    <w:pStyle w:val="TableBodyText"/>
                    <w:ind w:right="28"/>
                  </w:pPr>
                  <w:r>
                    <w:t>2302</w:t>
                  </w:r>
                  <w:r>
                    <w:noBreakHyphen/>
                    <w:t>2405</w:t>
                  </w:r>
                </w:p>
              </w:tc>
            </w:tr>
            <w:tr w:rsidR="001A6512" w14:paraId="5B211C07" w14:textId="77777777" w:rsidTr="00890181">
              <w:trPr>
                <w:gridAfter w:val="1"/>
                <w:wAfter w:w="248" w:type="pct"/>
              </w:trPr>
              <w:tc>
                <w:tcPr>
                  <w:tcW w:w="623" w:type="pct"/>
                  <w:vAlign w:val="bottom"/>
                </w:tcPr>
                <w:p w14:paraId="6FC128CE" w14:textId="10A9B344" w:rsidR="001A6512" w:rsidRDefault="001A6512" w:rsidP="00890181">
                  <w:pPr>
                    <w:pStyle w:val="TableBodyText"/>
                    <w:jc w:val="left"/>
                  </w:pPr>
                  <w:r w:rsidRPr="006F1364">
                    <w:t>37</w:t>
                  </w:r>
                </w:p>
              </w:tc>
              <w:tc>
                <w:tcPr>
                  <w:tcW w:w="2546" w:type="pct"/>
                  <w:vAlign w:val="center"/>
                </w:tcPr>
                <w:p w14:paraId="60475D25" w14:textId="594EE6D5" w:rsidR="001A6512" w:rsidRDefault="001A6512" w:rsidP="00890181">
                  <w:pPr>
                    <w:pStyle w:val="TableBodyText"/>
                    <w:jc w:val="left"/>
                  </w:pPr>
                  <w:r>
                    <w:t>Furniture and other manufactured products</w:t>
                  </w:r>
                </w:p>
              </w:tc>
              <w:tc>
                <w:tcPr>
                  <w:tcW w:w="1583" w:type="pct"/>
                </w:tcPr>
                <w:p w14:paraId="2CCD4D74" w14:textId="42FA5CE2" w:rsidR="001A6512" w:rsidRDefault="001A6512" w:rsidP="00890181">
                  <w:pPr>
                    <w:pStyle w:val="TableBodyText"/>
                    <w:ind w:right="28"/>
                  </w:pPr>
                  <w:r>
                    <w:t>2501, 2502</w:t>
                  </w:r>
                </w:p>
              </w:tc>
            </w:tr>
            <w:tr w:rsidR="001A6512" w14:paraId="2D63E5CD" w14:textId="77777777" w:rsidTr="00890181">
              <w:trPr>
                <w:gridAfter w:val="1"/>
                <w:wAfter w:w="248" w:type="pct"/>
              </w:trPr>
              <w:tc>
                <w:tcPr>
                  <w:tcW w:w="623" w:type="pct"/>
                  <w:vAlign w:val="bottom"/>
                </w:tcPr>
                <w:p w14:paraId="78F5166B" w14:textId="25A4BF1D" w:rsidR="001A6512" w:rsidRDefault="001A6512" w:rsidP="00890181">
                  <w:pPr>
                    <w:pStyle w:val="TableBodyText"/>
                    <w:jc w:val="left"/>
                  </w:pPr>
                  <w:r w:rsidRPr="006F1364">
                    <w:t>38</w:t>
                  </w:r>
                </w:p>
              </w:tc>
              <w:tc>
                <w:tcPr>
                  <w:tcW w:w="2546" w:type="pct"/>
                  <w:vAlign w:val="center"/>
                </w:tcPr>
                <w:p w14:paraId="6D6A09C5" w14:textId="3C44724F" w:rsidR="001A6512" w:rsidRDefault="001A6512" w:rsidP="00890181">
                  <w:pPr>
                    <w:pStyle w:val="TableBodyText"/>
                    <w:jc w:val="left"/>
                  </w:pPr>
                  <w:r>
                    <w:t>Electricity generation from coal</w:t>
                  </w:r>
                </w:p>
              </w:tc>
              <w:tc>
                <w:tcPr>
                  <w:tcW w:w="1583" w:type="pct"/>
                </w:tcPr>
                <w:p w14:paraId="1805B0FF" w14:textId="28E21213" w:rsidR="001A6512" w:rsidRDefault="001A6512" w:rsidP="00890181">
                  <w:pPr>
                    <w:pStyle w:val="TableBodyText"/>
                    <w:ind w:right="28"/>
                  </w:pPr>
                  <w:r>
                    <w:t>2601 (part)</w:t>
                  </w:r>
                </w:p>
              </w:tc>
            </w:tr>
            <w:tr w:rsidR="001A6512" w14:paraId="1112B1F5" w14:textId="77777777" w:rsidTr="00890181">
              <w:trPr>
                <w:gridAfter w:val="1"/>
                <w:wAfter w:w="248" w:type="pct"/>
              </w:trPr>
              <w:tc>
                <w:tcPr>
                  <w:tcW w:w="623" w:type="pct"/>
                  <w:vAlign w:val="bottom"/>
                </w:tcPr>
                <w:p w14:paraId="6A85798C" w14:textId="03DC206C" w:rsidR="001A6512" w:rsidRDefault="001A6512" w:rsidP="00890181">
                  <w:pPr>
                    <w:pStyle w:val="TableBodyText"/>
                    <w:jc w:val="left"/>
                  </w:pPr>
                  <w:r w:rsidRPr="006F1364">
                    <w:t>39</w:t>
                  </w:r>
                </w:p>
              </w:tc>
              <w:tc>
                <w:tcPr>
                  <w:tcW w:w="2546" w:type="pct"/>
                  <w:vAlign w:val="center"/>
                </w:tcPr>
                <w:p w14:paraId="1D94D70A" w14:textId="2ED48795" w:rsidR="001A6512" w:rsidRDefault="001A6512" w:rsidP="00890181">
                  <w:pPr>
                    <w:pStyle w:val="TableBodyText"/>
                    <w:jc w:val="left"/>
                  </w:pPr>
                  <w:r>
                    <w:t>Electricity generation from gas</w:t>
                  </w:r>
                </w:p>
              </w:tc>
              <w:tc>
                <w:tcPr>
                  <w:tcW w:w="1583" w:type="pct"/>
                </w:tcPr>
                <w:p w14:paraId="720A52AD" w14:textId="2A622962" w:rsidR="001A6512" w:rsidRDefault="001A6512" w:rsidP="00890181">
                  <w:pPr>
                    <w:pStyle w:val="TableBodyText"/>
                    <w:ind w:right="28"/>
                  </w:pPr>
                  <w:r>
                    <w:t>2601 (part)</w:t>
                  </w:r>
                </w:p>
              </w:tc>
            </w:tr>
            <w:tr w:rsidR="001A6512" w14:paraId="5D572922" w14:textId="77777777" w:rsidTr="00890181">
              <w:trPr>
                <w:gridAfter w:val="1"/>
                <w:wAfter w:w="248" w:type="pct"/>
              </w:trPr>
              <w:tc>
                <w:tcPr>
                  <w:tcW w:w="623" w:type="pct"/>
                  <w:vAlign w:val="bottom"/>
                </w:tcPr>
                <w:p w14:paraId="3A918257" w14:textId="12DA6EAB" w:rsidR="001A6512" w:rsidRDefault="001A6512" w:rsidP="00890181">
                  <w:pPr>
                    <w:pStyle w:val="TableBodyText"/>
                    <w:jc w:val="left"/>
                  </w:pPr>
                  <w:r w:rsidRPr="006F1364">
                    <w:t>40</w:t>
                  </w:r>
                </w:p>
              </w:tc>
              <w:tc>
                <w:tcPr>
                  <w:tcW w:w="2546" w:type="pct"/>
                  <w:vAlign w:val="center"/>
                </w:tcPr>
                <w:p w14:paraId="7B4225D5" w14:textId="60D45655" w:rsidR="001A6512" w:rsidRDefault="001A6512" w:rsidP="00890181">
                  <w:pPr>
                    <w:pStyle w:val="TableBodyText"/>
                    <w:jc w:val="left"/>
                  </w:pPr>
                  <w:r>
                    <w:t>Electricity generation from Hydro</w:t>
                  </w:r>
                </w:p>
              </w:tc>
              <w:tc>
                <w:tcPr>
                  <w:tcW w:w="1583" w:type="pct"/>
                </w:tcPr>
                <w:p w14:paraId="33B2619A" w14:textId="4D00EE45" w:rsidR="001A6512" w:rsidRDefault="001A6512" w:rsidP="00890181">
                  <w:pPr>
                    <w:pStyle w:val="TableBodyText"/>
                    <w:ind w:right="28"/>
                  </w:pPr>
                  <w:r>
                    <w:t>2601 (part)</w:t>
                  </w:r>
                </w:p>
              </w:tc>
            </w:tr>
            <w:tr w:rsidR="001A6512" w14:paraId="6AACA586" w14:textId="77777777" w:rsidTr="00890181">
              <w:trPr>
                <w:gridAfter w:val="1"/>
                <w:wAfter w:w="248" w:type="pct"/>
              </w:trPr>
              <w:tc>
                <w:tcPr>
                  <w:tcW w:w="623" w:type="pct"/>
                  <w:vAlign w:val="bottom"/>
                </w:tcPr>
                <w:p w14:paraId="2FF5DF27" w14:textId="37C19C6B" w:rsidR="001A6512" w:rsidRDefault="001A6512" w:rsidP="00890181">
                  <w:pPr>
                    <w:pStyle w:val="TableBodyText"/>
                    <w:jc w:val="left"/>
                  </w:pPr>
                  <w:r w:rsidRPr="006F1364">
                    <w:t>41</w:t>
                  </w:r>
                </w:p>
              </w:tc>
              <w:tc>
                <w:tcPr>
                  <w:tcW w:w="2546" w:type="pct"/>
                  <w:vAlign w:val="center"/>
                </w:tcPr>
                <w:p w14:paraId="067E9C49" w14:textId="199A7610" w:rsidR="001A6512" w:rsidRDefault="001A6512" w:rsidP="00890181">
                  <w:pPr>
                    <w:pStyle w:val="TableBodyText"/>
                    <w:jc w:val="left"/>
                  </w:pPr>
                  <w:r w:rsidRPr="00C3006F">
                    <w:t>Electricity generation from non</w:t>
                  </w:r>
                  <w:r>
                    <w:noBreakHyphen/>
                  </w:r>
                  <w:r w:rsidRPr="00C3006F">
                    <w:t>hydro renewables</w:t>
                  </w:r>
                </w:p>
              </w:tc>
              <w:tc>
                <w:tcPr>
                  <w:tcW w:w="1583" w:type="pct"/>
                </w:tcPr>
                <w:p w14:paraId="423E4A13" w14:textId="55AFF856" w:rsidR="001A6512" w:rsidRDefault="001A6512" w:rsidP="00890181">
                  <w:pPr>
                    <w:pStyle w:val="TableBodyText"/>
                    <w:ind w:right="28"/>
                  </w:pPr>
                  <w:r w:rsidRPr="00C3006F">
                    <w:t>2601 (part)</w:t>
                  </w:r>
                </w:p>
              </w:tc>
            </w:tr>
            <w:tr w:rsidR="00890181" w:rsidRPr="00890181" w14:paraId="509F1C5B" w14:textId="77777777" w:rsidTr="00890181">
              <w:tblPrEx>
                <w:tblBorders>
                  <w:top w:val="single" w:sz="6" w:space="0" w:color="auto"/>
                  <w:left w:val="single" w:sz="6" w:space="0" w:color="auto"/>
                  <w:bottom w:val="single" w:sz="6" w:space="0" w:color="auto"/>
                  <w:right w:val="single" w:sz="6" w:space="0" w:color="auto"/>
                </w:tblBorders>
                <w:tblCellMar>
                  <w:top w:w="0" w:type="dxa"/>
                  <w:left w:w="142" w:type="dxa"/>
                  <w:right w:w="142" w:type="dxa"/>
                </w:tblCellMar>
              </w:tblPrEx>
              <w:trPr>
                <w:cantSplit/>
              </w:trPr>
              <w:tc>
                <w:tcPr>
                  <w:tcW w:w="5000" w:type="pct"/>
                  <w:gridSpan w:val="4"/>
                  <w:tcBorders>
                    <w:top w:val="nil"/>
                    <w:left w:val="nil"/>
                    <w:bottom w:val="nil"/>
                    <w:right w:val="nil"/>
                  </w:tcBorders>
                  <w:shd w:val="clear" w:color="auto" w:fill="auto"/>
                </w:tcPr>
                <w:p w14:paraId="71D34230" w14:textId="0625D1D0" w:rsidR="00890181" w:rsidRPr="00890181" w:rsidRDefault="00890181" w:rsidP="00890181">
                  <w:pPr>
                    <w:pStyle w:val="Continued"/>
                  </w:pPr>
                  <w:r w:rsidRPr="00890181">
                    <w:t>(Continued next page)</w:t>
                  </w:r>
                </w:p>
              </w:tc>
            </w:tr>
          </w:tbl>
          <w:p w14:paraId="1C80C3F5" w14:textId="77777777" w:rsidR="001A6512" w:rsidRDefault="001A6512" w:rsidP="00890181">
            <w:pPr>
              <w:pStyle w:val="Box"/>
            </w:pPr>
          </w:p>
        </w:tc>
      </w:tr>
      <w:tr w:rsidR="001A6512" w:rsidRPr="000863A5" w14:paraId="53D67F36" w14:textId="77777777" w:rsidTr="001A6512">
        <w:tc>
          <w:tcPr>
            <w:tcW w:w="8771" w:type="dxa"/>
            <w:tcBorders>
              <w:top w:val="single" w:sz="6" w:space="0" w:color="78A22F"/>
              <w:left w:val="nil"/>
              <w:bottom w:val="nil"/>
              <w:right w:val="nil"/>
            </w:tcBorders>
          </w:tcPr>
          <w:p w14:paraId="6D89A046" w14:textId="0B88F3A5" w:rsidR="001A6512" w:rsidRPr="00626D32" w:rsidRDefault="001A6512" w:rsidP="00890181">
            <w:pPr>
              <w:pStyle w:val="BoxSpaceBelow"/>
            </w:pPr>
          </w:p>
        </w:tc>
      </w:tr>
    </w:tbl>
    <w:p w14:paraId="31664D5E" w14:textId="0FE7AA8D" w:rsidR="00890181" w:rsidRDefault="00890181" w:rsidP="00890181">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909"/>
      </w:tblGrid>
      <w:tr w:rsidR="00890181" w14:paraId="3789D91C" w14:textId="77777777" w:rsidTr="00890181">
        <w:tc>
          <w:tcPr>
            <w:tcW w:w="8771" w:type="dxa"/>
            <w:tcBorders>
              <w:top w:val="single" w:sz="6" w:space="0" w:color="78A22F"/>
              <w:left w:val="nil"/>
              <w:bottom w:val="nil"/>
              <w:right w:val="nil"/>
            </w:tcBorders>
            <w:shd w:val="clear" w:color="auto" w:fill="auto"/>
          </w:tcPr>
          <w:p w14:paraId="3CB2EF0F" w14:textId="31569BD9" w:rsidR="00890181" w:rsidRPr="00784A05" w:rsidRDefault="002E4B99" w:rsidP="00890181">
            <w:pPr>
              <w:pStyle w:val="TableTitle"/>
            </w:pPr>
            <w:r>
              <w:rPr>
                <w:b w:val="0"/>
              </w:rPr>
              <w:t>Table 1</w:t>
            </w:r>
            <w:r w:rsidR="00890181">
              <w:rPr>
                <w:b w:val="0"/>
              </w:rPr>
              <w:t>.1</w:t>
            </w:r>
            <w:r w:rsidR="00890181">
              <w:tab/>
            </w:r>
            <w:r w:rsidR="00890181" w:rsidRPr="00D05F07">
              <w:rPr>
                <w:b w:val="0"/>
                <w:sz w:val="18"/>
                <w:szCs w:val="18"/>
              </w:rPr>
              <w:t>(continued)</w:t>
            </w:r>
          </w:p>
        </w:tc>
      </w:tr>
      <w:tr w:rsidR="00890181" w14:paraId="2B3B07C5" w14:textId="77777777" w:rsidTr="00890181">
        <w:trPr>
          <w:cantSplit/>
        </w:trPr>
        <w:tc>
          <w:tcPr>
            <w:tcW w:w="8771" w:type="dxa"/>
            <w:tcBorders>
              <w:top w:val="nil"/>
              <w:left w:val="nil"/>
              <w:bottom w:val="nil"/>
              <w:right w:val="nil"/>
            </w:tcBorders>
            <w:shd w:val="clear" w:color="auto" w:fill="auto"/>
          </w:tcPr>
          <w:tbl>
            <w:tblPr>
              <w:tblW w:w="8930" w:type="dxa"/>
              <w:tblCellMar>
                <w:top w:w="28" w:type="dxa"/>
                <w:left w:w="0" w:type="dxa"/>
                <w:right w:w="0" w:type="dxa"/>
              </w:tblCellMar>
              <w:tblLook w:val="0000" w:firstRow="0" w:lastRow="0" w:firstColumn="0" w:lastColumn="0" w:noHBand="0" w:noVBand="0"/>
            </w:tblPr>
            <w:tblGrid>
              <w:gridCol w:w="1113"/>
              <w:gridCol w:w="4547"/>
              <w:gridCol w:w="2827"/>
              <w:gridCol w:w="443"/>
            </w:tblGrid>
            <w:tr w:rsidR="00890181" w14:paraId="73689EA5" w14:textId="77777777" w:rsidTr="00890181">
              <w:trPr>
                <w:gridAfter w:val="1"/>
                <w:wAfter w:w="248" w:type="pct"/>
              </w:trPr>
              <w:tc>
                <w:tcPr>
                  <w:tcW w:w="623" w:type="pct"/>
                  <w:tcBorders>
                    <w:top w:val="single" w:sz="6" w:space="0" w:color="BFBFBF"/>
                    <w:bottom w:val="single" w:sz="6" w:space="0" w:color="BFBFBF"/>
                  </w:tcBorders>
                  <w:shd w:val="clear" w:color="auto" w:fill="auto"/>
                  <w:tcMar>
                    <w:top w:w="28" w:type="dxa"/>
                  </w:tcMar>
                </w:tcPr>
                <w:p w14:paraId="3E5AC5AA" w14:textId="77777777" w:rsidR="00890181" w:rsidRDefault="00890181" w:rsidP="00890181">
                  <w:pPr>
                    <w:pStyle w:val="TableColumnHeading"/>
                    <w:jc w:val="left"/>
                  </w:pPr>
                </w:p>
              </w:tc>
              <w:tc>
                <w:tcPr>
                  <w:tcW w:w="2546" w:type="pct"/>
                  <w:tcBorders>
                    <w:top w:val="single" w:sz="6" w:space="0" w:color="BFBFBF"/>
                    <w:bottom w:val="single" w:sz="6" w:space="0" w:color="BFBFBF"/>
                  </w:tcBorders>
                  <w:shd w:val="clear" w:color="auto" w:fill="auto"/>
                  <w:tcMar>
                    <w:top w:w="28" w:type="dxa"/>
                  </w:tcMar>
                  <w:vAlign w:val="bottom"/>
                </w:tcPr>
                <w:p w14:paraId="3B5DD0F7" w14:textId="77777777" w:rsidR="00890181" w:rsidRDefault="00890181" w:rsidP="00890181">
                  <w:pPr>
                    <w:pStyle w:val="TableColumnHeading"/>
                    <w:jc w:val="left"/>
                  </w:pPr>
                  <w:r>
                    <w:t xml:space="preserve">Industry </w:t>
                  </w:r>
                </w:p>
              </w:tc>
              <w:tc>
                <w:tcPr>
                  <w:tcW w:w="1583" w:type="pct"/>
                  <w:tcBorders>
                    <w:top w:val="single" w:sz="6" w:space="0" w:color="BFBFBF"/>
                    <w:bottom w:val="single" w:sz="6" w:space="0" w:color="BFBFBF"/>
                  </w:tcBorders>
                  <w:shd w:val="clear" w:color="auto" w:fill="auto"/>
                  <w:tcMar>
                    <w:top w:w="28" w:type="dxa"/>
                  </w:tcMar>
                </w:tcPr>
                <w:p w14:paraId="19267524" w14:textId="77777777" w:rsidR="00890181" w:rsidRDefault="00890181" w:rsidP="00890181">
                  <w:pPr>
                    <w:pStyle w:val="TableColumnHeading"/>
                    <w:ind w:right="28"/>
                  </w:pPr>
                  <w:proofErr w:type="spellStart"/>
                  <w:r>
                    <w:t>IOIG</w:t>
                  </w:r>
                  <w:proofErr w:type="spellEnd"/>
                  <w:r>
                    <w:t xml:space="preserve"> number</w:t>
                  </w:r>
                </w:p>
              </w:tc>
            </w:tr>
            <w:tr w:rsidR="00890181" w14:paraId="79FB02B7" w14:textId="77777777" w:rsidTr="00890181">
              <w:trPr>
                <w:gridAfter w:val="1"/>
                <w:wAfter w:w="248" w:type="pct"/>
              </w:trPr>
              <w:tc>
                <w:tcPr>
                  <w:tcW w:w="623" w:type="pct"/>
                  <w:tcBorders>
                    <w:top w:val="single" w:sz="6" w:space="0" w:color="BFBFBF"/>
                  </w:tcBorders>
                  <w:vAlign w:val="bottom"/>
                </w:tcPr>
                <w:p w14:paraId="0F9B2578" w14:textId="4E3B14F6" w:rsidR="00890181" w:rsidRDefault="00890181" w:rsidP="00890181">
                  <w:pPr>
                    <w:pStyle w:val="TableUnitsRow"/>
                    <w:jc w:val="left"/>
                  </w:pPr>
                  <w:r w:rsidRPr="006F1364">
                    <w:t>42</w:t>
                  </w:r>
                </w:p>
              </w:tc>
              <w:tc>
                <w:tcPr>
                  <w:tcW w:w="2546" w:type="pct"/>
                  <w:tcBorders>
                    <w:top w:val="single" w:sz="6" w:space="0" w:color="BFBFBF"/>
                  </w:tcBorders>
                  <w:vAlign w:val="center"/>
                </w:tcPr>
                <w:p w14:paraId="4DF913EE" w14:textId="531BD5EF" w:rsidR="00890181" w:rsidRDefault="00890181" w:rsidP="00890181">
                  <w:pPr>
                    <w:pStyle w:val="TableUnitsRow"/>
                    <w:jc w:val="left"/>
                  </w:pPr>
                  <w:r>
                    <w:t>Electricity generation from nuclear</w:t>
                  </w:r>
                </w:p>
              </w:tc>
              <w:tc>
                <w:tcPr>
                  <w:tcW w:w="1583" w:type="pct"/>
                  <w:tcBorders>
                    <w:top w:val="single" w:sz="6" w:space="0" w:color="BFBFBF"/>
                  </w:tcBorders>
                </w:tcPr>
                <w:p w14:paraId="677E7929" w14:textId="6EFFD559" w:rsidR="00890181" w:rsidRDefault="00890181" w:rsidP="00890181">
                  <w:pPr>
                    <w:pStyle w:val="TableUnitsRow"/>
                    <w:ind w:right="28"/>
                  </w:pPr>
                  <w:r>
                    <w:t>2601 (part)</w:t>
                  </w:r>
                </w:p>
              </w:tc>
            </w:tr>
            <w:tr w:rsidR="00890181" w14:paraId="516E30FB" w14:textId="77777777" w:rsidTr="00890181">
              <w:trPr>
                <w:gridAfter w:val="1"/>
                <w:wAfter w:w="248" w:type="pct"/>
              </w:trPr>
              <w:tc>
                <w:tcPr>
                  <w:tcW w:w="623" w:type="pct"/>
                  <w:vAlign w:val="bottom"/>
                </w:tcPr>
                <w:p w14:paraId="2DA42B1B" w14:textId="4B9936EB" w:rsidR="00890181" w:rsidRDefault="00890181" w:rsidP="00890181">
                  <w:pPr>
                    <w:pStyle w:val="TableBodyText"/>
                    <w:jc w:val="left"/>
                  </w:pPr>
                  <w:r w:rsidRPr="006F1364">
                    <w:t>43</w:t>
                  </w:r>
                </w:p>
              </w:tc>
              <w:tc>
                <w:tcPr>
                  <w:tcW w:w="2546" w:type="pct"/>
                  <w:vAlign w:val="center"/>
                </w:tcPr>
                <w:p w14:paraId="0E16719F" w14:textId="5EC1ED3B" w:rsidR="00890181" w:rsidRDefault="00890181" w:rsidP="00890181">
                  <w:pPr>
                    <w:pStyle w:val="TableBodyText"/>
                    <w:jc w:val="left"/>
                  </w:pPr>
                  <w:r>
                    <w:t>Electricity supply (retail and wholesale)</w:t>
                  </w:r>
                </w:p>
              </w:tc>
              <w:tc>
                <w:tcPr>
                  <w:tcW w:w="1583" w:type="pct"/>
                </w:tcPr>
                <w:p w14:paraId="0E1186D4" w14:textId="0FD3CD18" w:rsidR="00890181" w:rsidRDefault="00890181" w:rsidP="00890181">
                  <w:pPr>
                    <w:pStyle w:val="TableBodyText"/>
                    <w:ind w:right="28"/>
                  </w:pPr>
                  <w:r>
                    <w:t>2605</w:t>
                  </w:r>
                </w:p>
              </w:tc>
            </w:tr>
            <w:tr w:rsidR="00890181" w14:paraId="6B743539" w14:textId="77777777" w:rsidTr="00890181">
              <w:trPr>
                <w:gridAfter w:val="1"/>
                <w:wAfter w:w="248" w:type="pct"/>
              </w:trPr>
              <w:tc>
                <w:tcPr>
                  <w:tcW w:w="623" w:type="pct"/>
                  <w:vAlign w:val="bottom"/>
                </w:tcPr>
                <w:p w14:paraId="0B59EF58" w14:textId="1DB59541" w:rsidR="00890181" w:rsidRDefault="00890181" w:rsidP="00890181">
                  <w:pPr>
                    <w:pStyle w:val="TableBodyText"/>
                    <w:jc w:val="left"/>
                  </w:pPr>
                  <w:r w:rsidRPr="006F1364">
                    <w:t>44</w:t>
                  </w:r>
                </w:p>
              </w:tc>
              <w:tc>
                <w:tcPr>
                  <w:tcW w:w="2546" w:type="pct"/>
                  <w:vAlign w:val="center"/>
                </w:tcPr>
                <w:p w14:paraId="143FB480" w14:textId="5916B9E8" w:rsidR="00890181" w:rsidRDefault="00890181" w:rsidP="00890181">
                  <w:pPr>
                    <w:pStyle w:val="TableBodyText"/>
                    <w:jc w:val="left"/>
                  </w:pPr>
                  <w:r>
                    <w:t>Gas supply</w:t>
                  </w:r>
                </w:p>
              </w:tc>
              <w:tc>
                <w:tcPr>
                  <w:tcW w:w="1583" w:type="pct"/>
                </w:tcPr>
                <w:p w14:paraId="6AFC4872" w14:textId="51404FC3" w:rsidR="00890181" w:rsidRDefault="00890181" w:rsidP="00890181">
                  <w:pPr>
                    <w:pStyle w:val="TableBodyText"/>
                    <w:ind w:right="28"/>
                  </w:pPr>
                  <w:r>
                    <w:t>2701</w:t>
                  </w:r>
                </w:p>
              </w:tc>
            </w:tr>
            <w:tr w:rsidR="00890181" w14:paraId="7CF9AF74" w14:textId="77777777" w:rsidTr="00890181">
              <w:trPr>
                <w:gridAfter w:val="1"/>
                <w:wAfter w:w="248" w:type="pct"/>
              </w:trPr>
              <w:tc>
                <w:tcPr>
                  <w:tcW w:w="623" w:type="pct"/>
                  <w:vAlign w:val="bottom"/>
                </w:tcPr>
                <w:p w14:paraId="642AB6A1" w14:textId="72986B97" w:rsidR="00890181" w:rsidRDefault="00890181" w:rsidP="00890181">
                  <w:pPr>
                    <w:pStyle w:val="TableBodyText"/>
                    <w:jc w:val="left"/>
                  </w:pPr>
                  <w:r w:rsidRPr="006F1364">
                    <w:t>45</w:t>
                  </w:r>
                </w:p>
              </w:tc>
              <w:tc>
                <w:tcPr>
                  <w:tcW w:w="2546" w:type="pct"/>
                  <w:vAlign w:val="center"/>
                </w:tcPr>
                <w:p w14:paraId="55AD201E" w14:textId="15C57A4E" w:rsidR="00890181" w:rsidRDefault="00890181" w:rsidP="00890181">
                  <w:pPr>
                    <w:pStyle w:val="TableBodyText"/>
                    <w:jc w:val="left"/>
                  </w:pPr>
                  <w:r>
                    <w:t>Water and drainage services</w:t>
                  </w:r>
                </w:p>
              </w:tc>
              <w:tc>
                <w:tcPr>
                  <w:tcW w:w="1583" w:type="pct"/>
                </w:tcPr>
                <w:p w14:paraId="6DB612BC" w14:textId="7E62357E" w:rsidR="00890181" w:rsidRDefault="00890181" w:rsidP="00890181">
                  <w:pPr>
                    <w:pStyle w:val="TableBodyText"/>
                    <w:ind w:right="28"/>
                  </w:pPr>
                  <w:r>
                    <w:t>2801</w:t>
                  </w:r>
                </w:p>
              </w:tc>
            </w:tr>
            <w:tr w:rsidR="00890181" w14:paraId="3323729B" w14:textId="77777777" w:rsidTr="00890181">
              <w:trPr>
                <w:gridAfter w:val="1"/>
                <w:wAfter w:w="248" w:type="pct"/>
              </w:trPr>
              <w:tc>
                <w:tcPr>
                  <w:tcW w:w="623" w:type="pct"/>
                  <w:vAlign w:val="bottom"/>
                </w:tcPr>
                <w:p w14:paraId="11CCEA68" w14:textId="7946F888" w:rsidR="00890181" w:rsidRDefault="00890181" w:rsidP="00890181">
                  <w:pPr>
                    <w:pStyle w:val="TableBodyText"/>
                    <w:jc w:val="left"/>
                  </w:pPr>
                  <w:r w:rsidRPr="006F1364">
                    <w:t>46</w:t>
                  </w:r>
                </w:p>
              </w:tc>
              <w:tc>
                <w:tcPr>
                  <w:tcW w:w="2546" w:type="pct"/>
                  <w:vAlign w:val="center"/>
                </w:tcPr>
                <w:p w14:paraId="7D495598" w14:textId="0EDA5A19" w:rsidR="00890181" w:rsidRDefault="00890181" w:rsidP="00890181">
                  <w:pPr>
                    <w:pStyle w:val="TableBodyText"/>
                    <w:jc w:val="left"/>
                  </w:pPr>
                  <w:r>
                    <w:t>Waste collection and treatment</w:t>
                  </w:r>
                </w:p>
              </w:tc>
              <w:tc>
                <w:tcPr>
                  <w:tcW w:w="1583" w:type="pct"/>
                </w:tcPr>
                <w:p w14:paraId="0165A2CE" w14:textId="68290E3E" w:rsidR="00890181" w:rsidRDefault="00890181" w:rsidP="00890181">
                  <w:pPr>
                    <w:pStyle w:val="TableBodyText"/>
                    <w:ind w:right="28"/>
                  </w:pPr>
                  <w:r>
                    <w:t>2901</w:t>
                  </w:r>
                </w:p>
              </w:tc>
            </w:tr>
            <w:tr w:rsidR="00890181" w14:paraId="1ED1A54A" w14:textId="77777777" w:rsidTr="00890181">
              <w:trPr>
                <w:gridAfter w:val="1"/>
                <w:wAfter w:w="248" w:type="pct"/>
              </w:trPr>
              <w:tc>
                <w:tcPr>
                  <w:tcW w:w="623" w:type="pct"/>
                  <w:vAlign w:val="bottom"/>
                </w:tcPr>
                <w:p w14:paraId="71F07FDF" w14:textId="4A7C34FE" w:rsidR="00890181" w:rsidRDefault="00890181" w:rsidP="00890181">
                  <w:pPr>
                    <w:pStyle w:val="TableBodyText"/>
                    <w:jc w:val="left"/>
                  </w:pPr>
                  <w:r w:rsidRPr="006F1364">
                    <w:t>47</w:t>
                  </w:r>
                </w:p>
              </w:tc>
              <w:tc>
                <w:tcPr>
                  <w:tcW w:w="2546" w:type="pct"/>
                  <w:vAlign w:val="center"/>
                </w:tcPr>
                <w:p w14:paraId="32667201" w14:textId="05CD595B" w:rsidR="00890181" w:rsidRDefault="00890181" w:rsidP="00890181">
                  <w:pPr>
                    <w:pStyle w:val="TableBodyText"/>
                    <w:jc w:val="left"/>
                  </w:pPr>
                  <w:r>
                    <w:t>Residential building construction</w:t>
                  </w:r>
                </w:p>
              </w:tc>
              <w:tc>
                <w:tcPr>
                  <w:tcW w:w="1583" w:type="pct"/>
                </w:tcPr>
                <w:p w14:paraId="1F30664F" w14:textId="6E1884E9" w:rsidR="00890181" w:rsidRDefault="00890181" w:rsidP="00890181">
                  <w:pPr>
                    <w:pStyle w:val="TableBodyText"/>
                    <w:ind w:right="28"/>
                  </w:pPr>
                  <w:r>
                    <w:t>3001</w:t>
                  </w:r>
                </w:p>
              </w:tc>
            </w:tr>
            <w:tr w:rsidR="00890181" w14:paraId="79BEE002" w14:textId="77777777" w:rsidTr="00890181">
              <w:trPr>
                <w:gridAfter w:val="1"/>
                <w:wAfter w:w="248" w:type="pct"/>
              </w:trPr>
              <w:tc>
                <w:tcPr>
                  <w:tcW w:w="623" w:type="pct"/>
                  <w:vAlign w:val="bottom"/>
                </w:tcPr>
                <w:p w14:paraId="6BBED163" w14:textId="1DAEEBE5" w:rsidR="00890181" w:rsidRDefault="00890181" w:rsidP="00890181">
                  <w:pPr>
                    <w:pStyle w:val="TableBodyText"/>
                    <w:jc w:val="left"/>
                  </w:pPr>
                  <w:r w:rsidRPr="006F1364">
                    <w:t>48</w:t>
                  </w:r>
                </w:p>
              </w:tc>
              <w:tc>
                <w:tcPr>
                  <w:tcW w:w="2546" w:type="pct"/>
                  <w:vAlign w:val="center"/>
                </w:tcPr>
                <w:p w14:paraId="1273A413" w14:textId="4117D5B6" w:rsidR="00890181" w:rsidRDefault="00890181" w:rsidP="00890181">
                  <w:pPr>
                    <w:pStyle w:val="TableBodyText"/>
                    <w:jc w:val="left"/>
                  </w:pPr>
                  <w:r>
                    <w:t>Non</w:t>
                  </w:r>
                  <w:r>
                    <w:noBreakHyphen/>
                    <w:t>residential building construction</w:t>
                  </w:r>
                </w:p>
              </w:tc>
              <w:tc>
                <w:tcPr>
                  <w:tcW w:w="1583" w:type="pct"/>
                </w:tcPr>
                <w:p w14:paraId="796A2FF6" w14:textId="09C98609" w:rsidR="00890181" w:rsidRDefault="00890181" w:rsidP="00890181">
                  <w:pPr>
                    <w:pStyle w:val="TableBodyText"/>
                    <w:ind w:right="28"/>
                  </w:pPr>
                  <w:r>
                    <w:t>3002, 3101</w:t>
                  </w:r>
                </w:p>
              </w:tc>
            </w:tr>
            <w:tr w:rsidR="00890181" w14:paraId="18ADF13D" w14:textId="77777777" w:rsidTr="00890181">
              <w:trPr>
                <w:gridAfter w:val="1"/>
                <w:wAfter w:w="248" w:type="pct"/>
              </w:trPr>
              <w:tc>
                <w:tcPr>
                  <w:tcW w:w="623" w:type="pct"/>
                  <w:vAlign w:val="bottom"/>
                </w:tcPr>
                <w:p w14:paraId="2AA49F4B" w14:textId="78590A5B" w:rsidR="00890181" w:rsidRDefault="00890181" w:rsidP="00890181">
                  <w:pPr>
                    <w:pStyle w:val="TableBodyText"/>
                    <w:jc w:val="left"/>
                  </w:pPr>
                  <w:r w:rsidRPr="006F1364">
                    <w:t>49</w:t>
                  </w:r>
                </w:p>
              </w:tc>
              <w:tc>
                <w:tcPr>
                  <w:tcW w:w="2546" w:type="pct"/>
                  <w:vAlign w:val="center"/>
                </w:tcPr>
                <w:p w14:paraId="087FCFC0" w14:textId="1535F010" w:rsidR="00890181" w:rsidRDefault="00890181" w:rsidP="00890181">
                  <w:pPr>
                    <w:pStyle w:val="TableBodyText"/>
                    <w:jc w:val="left"/>
                  </w:pPr>
                  <w:r>
                    <w:t>Construction services</w:t>
                  </w:r>
                </w:p>
              </w:tc>
              <w:tc>
                <w:tcPr>
                  <w:tcW w:w="1583" w:type="pct"/>
                </w:tcPr>
                <w:p w14:paraId="2A51A183" w14:textId="376606F6" w:rsidR="00890181" w:rsidRDefault="00890181" w:rsidP="00890181">
                  <w:pPr>
                    <w:pStyle w:val="TableBodyText"/>
                    <w:ind w:right="28"/>
                  </w:pPr>
                  <w:r>
                    <w:t>3201</w:t>
                  </w:r>
                </w:p>
              </w:tc>
            </w:tr>
            <w:tr w:rsidR="00890181" w14:paraId="5DBF9F14" w14:textId="77777777" w:rsidTr="00890181">
              <w:trPr>
                <w:gridAfter w:val="1"/>
                <w:wAfter w:w="248" w:type="pct"/>
              </w:trPr>
              <w:tc>
                <w:tcPr>
                  <w:tcW w:w="623" w:type="pct"/>
                  <w:vAlign w:val="bottom"/>
                </w:tcPr>
                <w:p w14:paraId="640C720C" w14:textId="26057463" w:rsidR="00890181" w:rsidRDefault="00890181" w:rsidP="00890181">
                  <w:pPr>
                    <w:pStyle w:val="TableBodyText"/>
                    <w:jc w:val="left"/>
                  </w:pPr>
                  <w:r w:rsidRPr="006F1364">
                    <w:t>50</w:t>
                  </w:r>
                </w:p>
              </w:tc>
              <w:tc>
                <w:tcPr>
                  <w:tcW w:w="2546" w:type="pct"/>
                  <w:vAlign w:val="center"/>
                </w:tcPr>
                <w:p w14:paraId="4C801BBD" w14:textId="7CD87ABD" w:rsidR="00890181" w:rsidRDefault="00890181" w:rsidP="00890181">
                  <w:pPr>
                    <w:pStyle w:val="TableBodyText"/>
                    <w:jc w:val="left"/>
                  </w:pPr>
                  <w:r>
                    <w:t>Wholesale trade</w:t>
                  </w:r>
                </w:p>
              </w:tc>
              <w:tc>
                <w:tcPr>
                  <w:tcW w:w="1583" w:type="pct"/>
                </w:tcPr>
                <w:p w14:paraId="69B4F248" w14:textId="7786798D" w:rsidR="00890181" w:rsidRDefault="00890181" w:rsidP="00890181">
                  <w:pPr>
                    <w:pStyle w:val="TableBodyText"/>
                    <w:ind w:right="28"/>
                  </w:pPr>
                  <w:r>
                    <w:t>3301</w:t>
                  </w:r>
                </w:p>
              </w:tc>
            </w:tr>
            <w:tr w:rsidR="00890181" w14:paraId="4A78A503" w14:textId="77777777" w:rsidTr="00890181">
              <w:trPr>
                <w:gridAfter w:val="1"/>
                <w:wAfter w:w="248" w:type="pct"/>
              </w:trPr>
              <w:tc>
                <w:tcPr>
                  <w:tcW w:w="623" w:type="pct"/>
                  <w:vAlign w:val="bottom"/>
                </w:tcPr>
                <w:p w14:paraId="1B46A3D3" w14:textId="6DE8CA0D" w:rsidR="00890181" w:rsidRDefault="00890181" w:rsidP="00890181">
                  <w:pPr>
                    <w:pStyle w:val="TableBodyText"/>
                    <w:jc w:val="left"/>
                  </w:pPr>
                  <w:r w:rsidRPr="006F1364">
                    <w:t>51</w:t>
                  </w:r>
                </w:p>
              </w:tc>
              <w:tc>
                <w:tcPr>
                  <w:tcW w:w="2546" w:type="pct"/>
                  <w:vAlign w:val="center"/>
                </w:tcPr>
                <w:p w14:paraId="00079C2A" w14:textId="063F1C2D" w:rsidR="00890181" w:rsidRDefault="00890181" w:rsidP="00890181">
                  <w:pPr>
                    <w:pStyle w:val="TableBodyText"/>
                    <w:jc w:val="left"/>
                  </w:pPr>
                  <w:r>
                    <w:t>Retail trade</w:t>
                  </w:r>
                </w:p>
              </w:tc>
              <w:tc>
                <w:tcPr>
                  <w:tcW w:w="1583" w:type="pct"/>
                </w:tcPr>
                <w:p w14:paraId="3EFEA7D0" w14:textId="37D3D279" w:rsidR="00890181" w:rsidRDefault="00890181" w:rsidP="00890181">
                  <w:pPr>
                    <w:pStyle w:val="TableBodyText"/>
                    <w:ind w:right="28"/>
                  </w:pPr>
                  <w:r>
                    <w:t>3901</w:t>
                  </w:r>
                </w:p>
              </w:tc>
            </w:tr>
            <w:tr w:rsidR="00890181" w14:paraId="4CF6E89A" w14:textId="77777777" w:rsidTr="00890181">
              <w:trPr>
                <w:gridAfter w:val="1"/>
                <w:wAfter w:w="248" w:type="pct"/>
              </w:trPr>
              <w:tc>
                <w:tcPr>
                  <w:tcW w:w="623" w:type="pct"/>
                  <w:vAlign w:val="bottom"/>
                </w:tcPr>
                <w:p w14:paraId="115F5263" w14:textId="6FFAC377" w:rsidR="00890181" w:rsidRDefault="00890181" w:rsidP="00890181">
                  <w:pPr>
                    <w:pStyle w:val="TableBodyText"/>
                    <w:jc w:val="left"/>
                  </w:pPr>
                  <w:r w:rsidRPr="006F1364">
                    <w:t>52</w:t>
                  </w:r>
                </w:p>
              </w:tc>
              <w:tc>
                <w:tcPr>
                  <w:tcW w:w="2546" w:type="pct"/>
                  <w:vAlign w:val="center"/>
                </w:tcPr>
                <w:p w14:paraId="10E861D4" w14:textId="1272DF64" w:rsidR="00890181" w:rsidRDefault="00890181" w:rsidP="00890181">
                  <w:pPr>
                    <w:pStyle w:val="TableBodyText"/>
                    <w:jc w:val="left"/>
                  </w:pPr>
                  <w:r>
                    <w:t>Accommodation and food services</w:t>
                  </w:r>
                </w:p>
              </w:tc>
              <w:tc>
                <w:tcPr>
                  <w:tcW w:w="1583" w:type="pct"/>
                </w:tcPr>
                <w:p w14:paraId="3DFDCEE4" w14:textId="3AB820A4" w:rsidR="00890181" w:rsidRDefault="00890181" w:rsidP="00890181">
                  <w:pPr>
                    <w:pStyle w:val="TableBodyText"/>
                    <w:ind w:right="28"/>
                  </w:pPr>
                  <w:r>
                    <w:t>4401, 4501</w:t>
                  </w:r>
                </w:p>
              </w:tc>
            </w:tr>
            <w:tr w:rsidR="00890181" w14:paraId="4B941BF0" w14:textId="77777777" w:rsidTr="00890181">
              <w:trPr>
                <w:gridAfter w:val="1"/>
                <w:wAfter w:w="248" w:type="pct"/>
              </w:trPr>
              <w:tc>
                <w:tcPr>
                  <w:tcW w:w="623" w:type="pct"/>
                  <w:vAlign w:val="bottom"/>
                </w:tcPr>
                <w:p w14:paraId="37464BBD" w14:textId="71EBFE55" w:rsidR="00890181" w:rsidRDefault="00890181" w:rsidP="00890181">
                  <w:pPr>
                    <w:pStyle w:val="TableBodyText"/>
                    <w:jc w:val="left"/>
                  </w:pPr>
                  <w:r w:rsidRPr="006F1364">
                    <w:t>53</w:t>
                  </w:r>
                </w:p>
              </w:tc>
              <w:tc>
                <w:tcPr>
                  <w:tcW w:w="2546" w:type="pct"/>
                  <w:vAlign w:val="center"/>
                </w:tcPr>
                <w:p w14:paraId="1ED46BCD" w14:textId="70AA7804" w:rsidR="00890181" w:rsidRDefault="00890181" w:rsidP="00890181">
                  <w:pPr>
                    <w:pStyle w:val="TableBodyText"/>
                    <w:jc w:val="left"/>
                  </w:pPr>
                  <w:r>
                    <w:t>Road freight services</w:t>
                  </w:r>
                </w:p>
              </w:tc>
              <w:tc>
                <w:tcPr>
                  <w:tcW w:w="1583" w:type="pct"/>
                </w:tcPr>
                <w:p w14:paraId="56385EA7" w14:textId="4ADB3B9C" w:rsidR="00890181" w:rsidRDefault="00890181" w:rsidP="00890181">
                  <w:pPr>
                    <w:pStyle w:val="TableBodyText"/>
                    <w:ind w:right="28"/>
                  </w:pPr>
                  <w:r>
                    <w:t>4601 (part)</w:t>
                  </w:r>
                </w:p>
              </w:tc>
            </w:tr>
            <w:tr w:rsidR="00890181" w14:paraId="0BBC885E" w14:textId="77777777" w:rsidTr="00890181">
              <w:trPr>
                <w:gridAfter w:val="1"/>
                <w:wAfter w:w="248" w:type="pct"/>
              </w:trPr>
              <w:tc>
                <w:tcPr>
                  <w:tcW w:w="623" w:type="pct"/>
                  <w:vAlign w:val="bottom"/>
                </w:tcPr>
                <w:p w14:paraId="0C0095EA" w14:textId="7EBDEAF0" w:rsidR="00890181" w:rsidRDefault="00890181" w:rsidP="00890181">
                  <w:pPr>
                    <w:pStyle w:val="TableBodyText"/>
                    <w:jc w:val="left"/>
                  </w:pPr>
                  <w:r w:rsidRPr="006F1364">
                    <w:t>54</w:t>
                  </w:r>
                </w:p>
              </w:tc>
              <w:tc>
                <w:tcPr>
                  <w:tcW w:w="2546" w:type="pct"/>
                  <w:vAlign w:val="center"/>
                </w:tcPr>
                <w:p w14:paraId="0D83EFAD" w14:textId="0EFE280C" w:rsidR="00890181" w:rsidRDefault="00890181" w:rsidP="00890181">
                  <w:pPr>
                    <w:pStyle w:val="TableBodyText"/>
                    <w:jc w:val="left"/>
                  </w:pPr>
                  <w:r>
                    <w:t>Road passenger services</w:t>
                  </w:r>
                </w:p>
              </w:tc>
              <w:tc>
                <w:tcPr>
                  <w:tcW w:w="1583" w:type="pct"/>
                </w:tcPr>
                <w:p w14:paraId="198E8622" w14:textId="586602A5" w:rsidR="00890181" w:rsidRDefault="00890181" w:rsidP="00890181">
                  <w:pPr>
                    <w:pStyle w:val="TableBodyText"/>
                    <w:ind w:right="28"/>
                  </w:pPr>
                  <w:r>
                    <w:t>4601 (part)</w:t>
                  </w:r>
                </w:p>
              </w:tc>
            </w:tr>
            <w:tr w:rsidR="00890181" w14:paraId="149B465D" w14:textId="77777777" w:rsidTr="00890181">
              <w:trPr>
                <w:gridAfter w:val="1"/>
                <w:wAfter w:w="248" w:type="pct"/>
              </w:trPr>
              <w:tc>
                <w:tcPr>
                  <w:tcW w:w="623" w:type="pct"/>
                  <w:vAlign w:val="bottom"/>
                </w:tcPr>
                <w:p w14:paraId="5AC83299" w14:textId="426E153B" w:rsidR="00890181" w:rsidRDefault="00890181" w:rsidP="00890181">
                  <w:pPr>
                    <w:pStyle w:val="TableBodyText"/>
                    <w:jc w:val="left"/>
                  </w:pPr>
                  <w:r w:rsidRPr="006F1364">
                    <w:t>55</w:t>
                  </w:r>
                </w:p>
              </w:tc>
              <w:tc>
                <w:tcPr>
                  <w:tcW w:w="2546" w:type="pct"/>
                  <w:vAlign w:val="center"/>
                </w:tcPr>
                <w:p w14:paraId="4D49F71D" w14:textId="44C9269C" w:rsidR="00890181" w:rsidRDefault="00890181" w:rsidP="00890181">
                  <w:pPr>
                    <w:pStyle w:val="TableBodyText"/>
                    <w:jc w:val="left"/>
                  </w:pPr>
                  <w:r>
                    <w:t>Rail freight services</w:t>
                  </w:r>
                </w:p>
              </w:tc>
              <w:tc>
                <w:tcPr>
                  <w:tcW w:w="1583" w:type="pct"/>
                </w:tcPr>
                <w:p w14:paraId="299A0414" w14:textId="32BD53F7" w:rsidR="00890181" w:rsidRDefault="00890181" w:rsidP="00890181">
                  <w:pPr>
                    <w:pStyle w:val="TableBodyText"/>
                    <w:ind w:right="28"/>
                  </w:pPr>
                  <w:r>
                    <w:t>4602 (part)</w:t>
                  </w:r>
                </w:p>
              </w:tc>
            </w:tr>
            <w:tr w:rsidR="00890181" w14:paraId="53786788" w14:textId="77777777" w:rsidTr="00890181">
              <w:trPr>
                <w:gridAfter w:val="1"/>
                <w:wAfter w:w="248" w:type="pct"/>
              </w:trPr>
              <w:tc>
                <w:tcPr>
                  <w:tcW w:w="623" w:type="pct"/>
                  <w:vAlign w:val="bottom"/>
                </w:tcPr>
                <w:p w14:paraId="23E7221F" w14:textId="6A26C74C" w:rsidR="00890181" w:rsidRDefault="00890181" w:rsidP="00890181">
                  <w:pPr>
                    <w:pStyle w:val="TableBodyText"/>
                    <w:jc w:val="left"/>
                  </w:pPr>
                  <w:r w:rsidRPr="006F1364">
                    <w:t>56</w:t>
                  </w:r>
                </w:p>
              </w:tc>
              <w:tc>
                <w:tcPr>
                  <w:tcW w:w="2546" w:type="pct"/>
                  <w:vAlign w:val="center"/>
                </w:tcPr>
                <w:p w14:paraId="7514CBE9" w14:textId="046D6F5C" w:rsidR="00890181" w:rsidRDefault="00890181" w:rsidP="00890181">
                  <w:pPr>
                    <w:pStyle w:val="TableBodyText"/>
                    <w:jc w:val="left"/>
                  </w:pPr>
                  <w:r>
                    <w:t>Rail passenger services</w:t>
                  </w:r>
                </w:p>
              </w:tc>
              <w:tc>
                <w:tcPr>
                  <w:tcW w:w="1583" w:type="pct"/>
                </w:tcPr>
                <w:p w14:paraId="39DFA2E1" w14:textId="76BC8BBE" w:rsidR="00890181" w:rsidRDefault="00890181" w:rsidP="00890181">
                  <w:pPr>
                    <w:pStyle w:val="TableBodyText"/>
                    <w:ind w:right="28"/>
                  </w:pPr>
                  <w:r>
                    <w:t>4602 (part)</w:t>
                  </w:r>
                </w:p>
              </w:tc>
            </w:tr>
            <w:tr w:rsidR="00890181" w14:paraId="6F7F4099" w14:textId="77777777" w:rsidTr="00890181">
              <w:trPr>
                <w:gridAfter w:val="1"/>
                <w:wAfter w:w="248" w:type="pct"/>
              </w:trPr>
              <w:tc>
                <w:tcPr>
                  <w:tcW w:w="623" w:type="pct"/>
                  <w:vAlign w:val="bottom"/>
                </w:tcPr>
                <w:p w14:paraId="4D28A56C" w14:textId="421262D6" w:rsidR="00890181" w:rsidRDefault="00890181" w:rsidP="00890181">
                  <w:pPr>
                    <w:pStyle w:val="TableBodyText"/>
                    <w:jc w:val="left"/>
                  </w:pPr>
                  <w:r w:rsidRPr="006F1364">
                    <w:t>57</w:t>
                  </w:r>
                </w:p>
              </w:tc>
              <w:tc>
                <w:tcPr>
                  <w:tcW w:w="2546" w:type="pct"/>
                  <w:vAlign w:val="center"/>
                </w:tcPr>
                <w:p w14:paraId="2B5EF1FC" w14:textId="3525620E" w:rsidR="00890181" w:rsidRDefault="00890181" w:rsidP="00890181">
                  <w:pPr>
                    <w:pStyle w:val="TableBodyText"/>
                    <w:jc w:val="left"/>
                  </w:pPr>
                  <w:r>
                    <w:t>Pipeline services</w:t>
                  </w:r>
                </w:p>
              </w:tc>
              <w:tc>
                <w:tcPr>
                  <w:tcW w:w="1583" w:type="pct"/>
                </w:tcPr>
                <w:p w14:paraId="74760A8A" w14:textId="1569FDDF" w:rsidR="00890181" w:rsidRDefault="00890181" w:rsidP="00890181">
                  <w:pPr>
                    <w:pStyle w:val="TableBodyText"/>
                    <w:ind w:right="28"/>
                  </w:pPr>
                  <w:r>
                    <w:t>4801 (part)</w:t>
                  </w:r>
                </w:p>
              </w:tc>
            </w:tr>
            <w:tr w:rsidR="00890181" w14:paraId="27FC6D63" w14:textId="77777777" w:rsidTr="00890181">
              <w:trPr>
                <w:gridAfter w:val="1"/>
                <w:wAfter w:w="248" w:type="pct"/>
              </w:trPr>
              <w:tc>
                <w:tcPr>
                  <w:tcW w:w="623" w:type="pct"/>
                  <w:vAlign w:val="bottom"/>
                </w:tcPr>
                <w:p w14:paraId="7FDE2025" w14:textId="29E72EF5" w:rsidR="00890181" w:rsidRDefault="00890181" w:rsidP="00890181">
                  <w:pPr>
                    <w:pStyle w:val="TableBodyText"/>
                    <w:jc w:val="left"/>
                  </w:pPr>
                  <w:r w:rsidRPr="006F1364">
                    <w:t>58</w:t>
                  </w:r>
                </w:p>
              </w:tc>
              <w:tc>
                <w:tcPr>
                  <w:tcW w:w="2546" w:type="pct"/>
                  <w:vAlign w:val="center"/>
                </w:tcPr>
                <w:p w14:paraId="0784214F" w14:textId="3C0AA986" w:rsidR="00890181" w:rsidRDefault="00890181" w:rsidP="00890181">
                  <w:pPr>
                    <w:pStyle w:val="TableBodyText"/>
                    <w:jc w:val="left"/>
                  </w:pPr>
                  <w:r>
                    <w:t>Water transport services</w:t>
                  </w:r>
                </w:p>
              </w:tc>
              <w:tc>
                <w:tcPr>
                  <w:tcW w:w="1583" w:type="pct"/>
                </w:tcPr>
                <w:p w14:paraId="72FE7C88" w14:textId="7058CBF9" w:rsidR="00890181" w:rsidRDefault="00890181" w:rsidP="00890181">
                  <w:pPr>
                    <w:pStyle w:val="TableBodyText"/>
                    <w:ind w:right="28"/>
                  </w:pPr>
                  <w:r>
                    <w:t>4801 (part)</w:t>
                  </w:r>
                </w:p>
              </w:tc>
            </w:tr>
            <w:tr w:rsidR="00890181" w14:paraId="632108F3" w14:textId="77777777" w:rsidTr="00890181">
              <w:trPr>
                <w:gridAfter w:val="1"/>
                <w:wAfter w:w="248" w:type="pct"/>
              </w:trPr>
              <w:tc>
                <w:tcPr>
                  <w:tcW w:w="623" w:type="pct"/>
                  <w:vAlign w:val="bottom"/>
                </w:tcPr>
                <w:p w14:paraId="19FD2BBC" w14:textId="2B3A38EC" w:rsidR="00890181" w:rsidRDefault="00890181" w:rsidP="00890181">
                  <w:pPr>
                    <w:pStyle w:val="TableBodyText"/>
                    <w:jc w:val="left"/>
                  </w:pPr>
                  <w:r w:rsidRPr="006F1364">
                    <w:t>59</w:t>
                  </w:r>
                </w:p>
              </w:tc>
              <w:tc>
                <w:tcPr>
                  <w:tcW w:w="2546" w:type="pct"/>
                  <w:vAlign w:val="center"/>
                </w:tcPr>
                <w:p w14:paraId="20838AB0" w14:textId="52D9E5E2" w:rsidR="00890181" w:rsidRDefault="00890181" w:rsidP="00890181">
                  <w:pPr>
                    <w:pStyle w:val="TableBodyText"/>
                    <w:jc w:val="left"/>
                  </w:pPr>
                  <w:r>
                    <w:t>Air transport services</w:t>
                  </w:r>
                </w:p>
              </w:tc>
              <w:tc>
                <w:tcPr>
                  <w:tcW w:w="1583" w:type="pct"/>
                </w:tcPr>
                <w:p w14:paraId="716C4F09" w14:textId="3084B6B5" w:rsidR="00890181" w:rsidRDefault="00890181" w:rsidP="00890181">
                  <w:pPr>
                    <w:pStyle w:val="TableBodyText"/>
                    <w:ind w:right="28"/>
                  </w:pPr>
                  <w:r>
                    <w:t>4901</w:t>
                  </w:r>
                </w:p>
              </w:tc>
            </w:tr>
            <w:tr w:rsidR="00890181" w14:paraId="466CA237" w14:textId="77777777" w:rsidTr="00890181">
              <w:trPr>
                <w:gridAfter w:val="1"/>
                <w:wAfter w:w="248" w:type="pct"/>
              </w:trPr>
              <w:tc>
                <w:tcPr>
                  <w:tcW w:w="623" w:type="pct"/>
                  <w:vAlign w:val="bottom"/>
                </w:tcPr>
                <w:p w14:paraId="056135B6" w14:textId="41A6511E" w:rsidR="00890181" w:rsidRDefault="00890181" w:rsidP="00890181">
                  <w:pPr>
                    <w:pStyle w:val="TableBodyText"/>
                    <w:jc w:val="left"/>
                  </w:pPr>
                  <w:r w:rsidRPr="006F1364">
                    <w:t>60</w:t>
                  </w:r>
                </w:p>
              </w:tc>
              <w:tc>
                <w:tcPr>
                  <w:tcW w:w="2546" w:type="pct"/>
                  <w:vAlign w:val="center"/>
                </w:tcPr>
                <w:p w14:paraId="7D563C03" w14:textId="496FA3BE" w:rsidR="00890181" w:rsidRDefault="00890181" w:rsidP="00890181">
                  <w:pPr>
                    <w:pStyle w:val="TableBodyText"/>
                    <w:jc w:val="left"/>
                  </w:pPr>
                  <w:r>
                    <w:t>Courier and other transport services</w:t>
                  </w:r>
                </w:p>
              </w:tc>
              <w:tc>
                <w:tcPr>
                  <w:tcW w:w="1583" w:type="pct"/>
                </w:tcPr>
                <w:p w14:paraId="7049486E" w14:textId="4E885BDE" w:rsidR="00890181" w:rsidRDefault="00890181" w:rsidP="00890181">
                  <w:pPr>
                    <w:pStyle w:val="TableBodyText"/>
                    <w:ind w:right="28"/>
                  </w:pPr>
                  <w:r>
                    <w:t>5101, 5201</w:t>
                  </w:r>
                </w:p>
              </w:tc>
            </w:tr>
            <w:tr w:rsidR="00890181" w14:paraId="3649ABAC" w14:textId="77777777" w:rsidTr="00890181">
              <w:trPr>
                <w:gridAfter w:val="1"/>
                <w:wAfter w:w="248" w:type="pct"/>
              </w:trPr>
              <w:tc>
                <w:tcPr>
                  <w:tcW w:w="623" w:type="pct"/>
                  <w:vAlign w:val="bottom"/>
                </w:tcPr>
                <w:p w14:paraId="5097F45E" w14:textId="0D6D5C42" w:rsidR="00890181" w:rsidRDefault="00890181" w:rsidP="00890181">
                  <w:pPr>
                    <w:pStyle w:val="TableBodyText"/>
                    <w:jc w:val="left"/>
                  </w:pPr>
                  <w:r w:rsidRPr="006F1364">
                    <w:t>61</w:t>
                  </w:r>
                </w:p>
              </w:tc>
              <w:tc>
                <w:tcPr>
                  <w:tcW w:w="2546" w:type="pct"/>
                  <w:vAlign w:val="center"/>
                </w:tcPr>
                <w:p w14:paraId="70869290" w14:textId="37839674" w:rsidR="00890181" w:rsidRDefault="00890181" w:rsidP="00890181">
                  <w:pPr>
                    <w:pStyle w:val="TableBodyText"/>
                    <w:jc w:val="left"/>
                  </w:pPr>
                  <w:r>
                    <w:t>Publishing, information and media</w:t>
                  </w:r>
                </w:p>
              </w:tc>
              <w:tc>
                <w:tcPr>
                  <w:tcW w:w="1583" w:type="pct"/>
                </w:tcPr>
                <w:p w14:paraId="75B18509" w14:textId="1604BA9F" w:rsidR="00890181" w:rsidRDefault="00890181" w:rsidP="00890181">
                  <w:pPr>
                    <w:pStyle w:val="TableBodyText"/>
                    <w:ind w:right="28"/>
                  </w:pPr>
                  <w:r>
                    <w:t>5401</w:t>
                  </w:r>
                  <w:r>
                    <w:noBreakHyphen/>
                    <w:t>5701, 6001</w:t>
                  </w:r>
                </w:p>
              </w:tc>
            </w:tr>
            <w:tr w:rsidR="00890181" w14:paraId="6708F096" w14:textId="77777777" w:rsidTr="00890181">
              <w:trPr>
                <w:gridAfter w:val="1"/>
                <w:wAfter w:w="248" w:type="pct"/>
              </w:trPr>
              <w:tc>
                <w:tcPr>
                  <w:tcW w:w="623" w:type="pct"/>
                  <w:vAlign w:val="bottom"/>
                </w:tcPr>
                <w:p w14:paraId="434BB3A2" w14:textId="6FD1D1D0" w:rsidR="00890181" w:rsidRDefault="00890181" w:rsidP="00890181">
                  <w:pPr>
                    <w:pStyle w:val="TableBodyText"/>
                    <w:jc w:val="left"/>
                  </w:pPr>
                  <w:r w:rsidRPr="006F1364">
                    <w:t>62</w:t>
                  </w:r>
                </w:p>
              </w:tc>
              <w:tc>
                <w:tcPr>
                  <w:tcW w:w="2546" w:type="pct"/>
                  <w:vAlign w:val="center"/>
                </w:tcPr>
                <w:p w14:paraId="4A373900" w14:textId="296B76EB" w:rsidR="00890181" w:rsidRDefault="00890181" w:rsidP="00890181">
                  <w:pPr>
                    <w:pStyle w:val="TableBodyText"/>
                    <w:jc w:val="left"/>
                  </w:pPr>
                  <w:r>
                    <w:t>Telecommunication services</w:t>
                  </w:r>
                </w:p>
              </w:tc>
              <w:tc>
                <w:tcPr>
                  <w:tcW w:w="1583" w:type="pct"/>
                </w:tcPr>
                <w:p w14:paraId="43928519" w14:textId="023E6B6D" w:rsidR="00890181" w:rsidRDefault="00890181" w:rsidP="00890181">
                  <w:pPr>
                    <w:pStyle w:val="TableBodyText"/>
                    <w:ind w:right="28"/>
                  </w:pPr>
                  <w:r>
                    <w:t>5801</w:t>
                  </w:r>
                </w:p>
              </w:tc>
            </w:tr>
            <w:tr w:rsidR="00890181" w14:paraId="76241C35" w14:textId="77777777" w:rsidTr="00890181">
              <w:trPr>
                <w:gridAfter w:val="1"/>
                <w:wAfter w:w="248" w:type="pct"/>
              </w:trPr>
              <w:tc>
                <w:tcPr>
                  <w:tcW w:w="623" w:type="pct"/>
                  <w:vAlign w:val="bottom"/>
                </w:tcPr>
                <w:p w14:paraId="5D02A8E5" w14:textId="6E666FEE" w:rsidR="00890181" w:rsidRDefault="00890181" w:rsidP="00890181">
                  <w:pPr>
                    <w:pStyle w:val="TableBodyText"/>
                    <w:jc w:val="left"/>
                  </w:pPr>
                  <w:r w:rsidRPr="006F1364">
                    <w:t>63</w:t>
                  </w:r>
                </w:p>
              </w:tc>
              <w:tc>
                <w:tcPr>
                  <w:tcW w:w="2546" w:type="pct"/>
                  <w:vAlign w:val="center"/>
                </w:tcPr>
                <w:p w14:paraId="4A164370" w14:textId="5447F650" w:rsidR="00890181" w:rsidRDefault="00890181" w:rsidP="00890181">
                  <w:pPr>
                    <w:pStyle w:val="TableBodyText"/>
                    <w:jc w:val="left"/>
                  </w:pPr>
                  <w:r>
                    <w:t>Banking services</w:t>
                  </w:r>
                </w:p>
              </w:tc>
              <w:tc>
                <w:tcPr>
                  <w:tcW w:w="1583" w:type="pct"/>
                </w:tcPr>
                <w:p w14:paraId="53260F41" w14:textId="7DF9E6D7" w:rsidR="00890181" w:rsidRDefault="00890181" w:rsidP="00890181">
                  <w:pPr>
                    <w:pStyle w:val="TableBodyText"/>
                    <w:ind w:right="28"/>
                  </w:pPr>
                  <w:r>
                    <w:t>6201 (part)</w:t>
                  </w:r>
                </w:p>
              </w:tc>
            </w:tr>
            <w:tr w:rsidR="00890181" w14:paraId="0DA34FBF" w14:textId="77777777" w:rsidTr="00890181">
              <w:trPr>
                <w:gridAfter w:val="1"/>
                <w:wAfter w:w="248" w:type="pct"/>
              </w:trPr>
              <w:tc>
                <w:tcPr>
                  <w:tcW w:w="623" w:type="pct"/>
                  <w:vAlign w:val="bottom"/>
                </w:tcPr>
                <w:p w14:paraId="625B1729" w14:textId="31D12258" w:rsidR="00890181" w:rsidRDefault="00890181" w:rsidP="00890181">
                  <w:pPr>
                    <w:pStyle w:val="TableBodyText"/>
                    <w:jc w:val="left"/>
                  </w:pPr>
                  <w:r w:rsidRPr="006F1364">
                    <w:t>64</w:t>
                  </w:r>
                </w:p>
              </w:tc>
              <w:tc>
                <w:tcPr>
                  <w:tcW w:w="2546" w:type="pct"/>
                  <w:vAlign w:val="center"/>
                </w:tcPr>
                <w:p w14:paraId="5B946E1D" w14:textId="32954A40" w:rsidR="00890181" w:rsidRDefault="00890181" w:rsidP="00890181">
                  <w:pPr>
                    <w:pStyle w:val="TableBodyText"/>
                    <w:jc w:val="left"/>
                  </w:pPr>
                  <w:r>
                    <w:t>Finance services other than banking</w:t>
                  </w:r>
                </w:p>
              </w:tc>
              <w:tc>
                <w:tcPr>
                  <w:tcW w:w="1583" w:type="pct"/>
                </w:tcPr>
                <w:p w14:paraId="68512FCA" w14:textId="6BB9AC51" w:rsidR="00890181" w:rsidRDefault="00890181" w:rsidP="00890181">
                  <w:pPr>
                    <w:pStyle w:val="TableBodyText"/>
                    <w:ind w:right="28"/>
                  </w:pPr>
                  <w:r>
                    <w:t>6201 (part)</w:t>
                  </w:r>
                </w:p>
              </w:tc>
            </w:tr>
            <w:tr w:rsidR="00890181" w14:paraId="5AF0B59E" w14:textId="77777777" w:rsidTr="00890181">
              <w:trPr>
                <w:gridAfter w:val="1"/>
                <w:wAfter w:w="248" w:type="pct"/>
              </w:trPr>
              <w:tc>
                <w:tcPr>
                  <w:tcW w:w="623" w:type="pct"/>
                  <w:vAlign w:val="bottom"/>
                </w:tcPr>
                <w:p w14:paraId="4D37136D" w14:textId="2B98B119" w:rsidR="00890181" w:rsidRDefault="00890181" w:rsidP="00890181">
                  <w:pPr>
                    <w:pStyle w:val="TableBodyText"/>
                    <w:jc w:val="left"/>
                  </w:pPr>
                  <w:r w:rsidRPr="006F1364">
                    <w:t>65</w:t>
                  </w:r>
                </w:p>
              </w:tc>
              <w:tc>
                <w:tcPr>
                  <w:tcW w:w="2546" w:type="pct"/>
                  <w:vAlign w:val="center"/>
                </w:tcPr>
                <w:p w14:paraId="54F1098C" w14:textId="69CD921F" w:rsidR="00890181" w:rsidRDefault="00890181" w:rsidP="00890181">
                  <w:pPr>
                    <w:pStyle w:val="TableBodyText"/>
                    <w:jc w:val="left"/>
                  </w:pPr>
                  <w:r>
                    <w:t>Insurance services</w:t>
                  </w:r>
                </w:p>
              </w:tc>
              <w:tc>
                <w:tcPr>
                  <w:tcW w:w="1583" w:type="pct"/>
                </w:tcPr>
                <w:p w14:paraId="3E082E9B" w14:textId="52852D6E" w:rsidR="00890181" w:rsidRDefault="00890181" w:rsidP="00890181">
                  <w:pPr>
                    <w:pStyle w:val="TableBodyText"/>
                    <w:ind w:right="28"/>
                  </w:pPr>
                  <w:r>
                    <w:t>6301 (part)</w:t>
                  </w:r>
                </w:p>
              </w:tc>
            </w:tr>
            <w:tr w:rsidR="00890181" w14:paraId="0FD81E9F" w14:textId="77777777" w:rsidTr="00890181">
              <w:trPr>
                <w:gridAfter w:val="1"/>
                <w:wAfter w:w="248" w:type="pct"/>
              </w:trPr>
              <w:tc>
                <w:tcPr>
                  <w:tcW w:w="623" w:type="pct"/>
                  <w:vAlign w:val="bottom"/>
                </w:tcPr>
                <w:p w14:paraId="5F7448E9" w14:textId="006E5250" w:rsidR="00890181" w:rsidRDefault="00890181" w:rsidP="00890181">
                  <w:pPr>
                    <w:pStyle w:val="TableBodyText"/>
                    <w:jc w:val="left"/>
                  </w:pPr>
                  <w:r w:rsidRPr="006F1364">
                    <w:t>66</w:t>
                  </w:r>
                </w:p>
              </w:tc>
              <w:tc>
                <w:tcPr>
                  <w:tcW w:w="2546" w:type="pct"/>
                  <w:vAlign w:val="center"/>
                </w:tcPr>
                <w:p w14:paraId="0B1DFCAC" w14:textId="1179534E" w:rsidR="00890181" w:rsidRDefault="00890181" w:rsidP="00890181">
                  <w:pPr>
                    <w:pStyle w:val="TableBodyText"/>
                    <w:jc w:val="left"/>
                  </w:pPr>
                  <w:r>
                    <w:t>Superannuation fund services</w:t>
                  </w:r>
                </w:p>
              </w:tc>
              <w:tc>
                <w:tcPr>
                  <w:tcW w:w="1583" w:type="pct"/>
                </w:tcPr>
                <w:p w14:paraId="187306C9" w14:textId="49E587ED" w:rsidR="00890181" w:rsidRDefault="00890181" w:rsidP="00890181">
                  <w:pPr>
                    <w:pStyle w:val="TableBodyText"/>
                    <w:ind w:right="28"/>
                  </w:pPr>
                  <w:r>
                    <w:t>6301 (part)</w:t>
                  </w:r>
                </w:p>
              </w:tc>
            </w:tr>
            <w:tr w:rsidR="00890181" w14:paraId="17D4E197" w14:textId="77777777" w:rsidTr="00890181">
              <w:trPr>
                <w:gridAfter w:val="1"/>
                <w:wAfter w:w="248" w:type="pct"/>
              </w:trPr>
              <w:tc>
                <w:tcPr>
                  <w:tcW w:w="623" w:type="pct"/>
                  <w:vAlign w:val="bottom"/>
                </w:tcPr>
                <w:p w14:paraId="711B65D1" w14:textId="5ED9B52F" w:rsidR="00890181" w:rsidRDefault="00890181" w:rsidP="00890181">
                  <w:pPr>
                    <w:pStyle w:val="TableBodyText"/>
                    <w:jc w:val="left"/>
                  </w:pPr>
                  <w:r w:rsidRPr="006F1364">
                    <w:t>67</w:t>
                  </w:r>
                </w:p>
              </w:tc>
              <w:tc>
                <w:tcPr>
                  <w:tcW w:w="2546" w:type="pct"/>
                  <w:vAlign w:val="center"/>
                </w:tcPr>
                <w:p w14:paraId="431DFBA3" w14:textId="23D1D3AF" w:rsidR="00890181" w:rsidRDefault="00890181" w:rsidP="00890181">
                  <w:pPr>
                    <w:pStyle w:val="TableBodyText"/>
                    <w:jc w:val="left"/>
                  </w:pPr>
                  <w:r>
                    <w:t>Other financial services</w:t>
                  </w:r>
                </w:p>
              </w:tc>
              <w:tc>
                <w:tcPr>
                  <w:tcW w:w="1583" w:type="pct"/>
                </w:tcPr>
                <w:p w14:paraId="704B67AA" w14:textId="34D5492C" w:rsidR="00890181" w:rsidRDefault="00890181" w:rsidP="00890181">
                  <w:pPr>
                    <w:pStyle w:val="TableBodyText"/>
                    <w:ind w:right="28"/>
                  </w:pPr>
                  <w:r>
                    <w:t>6401</w:t>
                  </w:r>
                </w:p>
              </w:tc>
            </w:tr>
            <w:tr w:rsidR="00890181" w14:paraId="3CBC5A01" w14:textId="77777777" w:rsidTr="00890181">
              <w:trPr>
                <w:gridAfter w:val="1"/>
                <w:wAfter w:w="248" w:type="pct"/>
              </w:trPr>
              <w:tc>
                <w:tcPr>
                  <w:tcW w:w="623" w:type="pct"/>
                  <w:vAlign w:val="bottom"/>
                </w:tcPr>
                <w:p w14:paraId="5CDF28DB" w14:textId="3B4166A3" w:rsidR="00890181" w:rsidRDefault="00890181" w:rsidP="00890181">
                  <w:pPr>
                    <w:pStyle w:val="TableBodyText"/>
                    <w:jc w:val="left"/>
                  </w:pPr>
                  <w:r w:rsidRPr="006F1364">
                    <w:t>68</w:t>
                  </w:r>
                </w:p>
              </w:tc>
              <w:tc>
                <w:tcPr>
                  <w:tcW w:w="2546" w:type="pct"/>
                  <w:vAlign w:val="center"/>
                </w:tcPr>
                <w:p w14:paraId="782F52F0" w14:textId="69D8FF99" w:rsidR="00890181" w:rsidRDefault="00890181" w:rsidP="00890181">
                  <w:pPr>
                    <w:pStyle w:val="TableBodyText"/>
                    <w:jc w:val="left"/>
                  </w:pPr>
                  <w:r>
                    <w:t>Ownership of dwellings</w:t>
                  </w:r>
                </w:p>
              </w:tc>
              <w:tc>
                <w:tcPr>
                  <w:tcW w:w="1583" w:type="pct"/>
                </w:tcPr>
                <w:p w14:paraId="4A8DCB48" w14:textId="5C6847EF" w:rsidR="00890181" w:rsidRDefault="00890181" w:rsidP="00890181">
                  <w:pPr>
                    <w:pStyle w:val="TableBodyText"/>
                    <w:ind w:right="28"/>
                  </w:pPr>
                  <w:r>
                    <w:t>6701, 7310</w:t>
                  </w:r>
                </w:p>
              </w:tc>
            </w:tr>
            <w:tr w:rsidR="00890181" w14:paraId="2DF0C59A" w14:textId="77777777" w:rsidTr="00890181">
              <w:trPr>
                <w:gridAfter w:val="1"/>
                <w:wAfter w:w="248" w:type="pct"/>
              </w:trPr>
              <w:tc>
                <w:tcPr>
                  <w:tcW w:w="623" w:type="pct"/>
                  <w:vAlign w:val="bottom"/>
                </w:tcPr>
                <w:p w14:paraId="20D5B1D4" w14:textId="38608C2C" w:rsidR="00890181" w:rsidRDefault="00890181" w:rsidP="00890181">
                  <w:pPr>
                    <w:pStyle w:val="TableBodyText"/>
                    <w:jc w:val="left"/>
                  </w:pPr>
                  <w:r w:rsidRPr="006F1364">
                    <w:t>69</w:t>
                  </w:r>
                </w:p>
              </w:tc>
              <w:tc>
                <w:tcPr>
                  <w:tcW w:w="2546" w:type="pct"/>
                  <w:vAlign w:val="center"/>
                </w:tcPr>
                <w:p w14:paraId="4113E736" w14:textId="51DEF853" w:rsidR="00890181" w:rsidRDefault="00890181" w:rsidP="00890181">
                  <w:pPr>
                    <w:pStyle w:val="TableBodyText"/>
                    <w:jc w:val="left"/>
                  </w:pPr>
                  <w:r>
                    <w:t>Business services</w:t>
                  </w:r>
                </w:p>
              </w:tc>
              <w:tc>
                <w:tcPr>
                  <w:tcW w:w="1583" w:type="pct"/>
                </w:tcPr>
                <w:p w14:paraId="3399CA40" w14:textId="23F64134" w:rsidR="00890181" w:rsidRDefault="00890181" w:rsidP="00890181">
                  <w:pPr>
                    <w:pStyle w:val="TableBodyText"/>
                    <w:ind w:right="28"/>
                  </w:pPr>
                  <w:r>
                    <w:t>6601, 6702</w:t>
                  </w:r>
                  <w:r>
                    <w:noBreakHyphen/>
                    <w:t>7310</w:t>
                  </w:r>
                </w:p>
              </w:tc>
            </w:tr>
            <w:tr w:rsidR="00890181" w14:paraId="7427770E" w14:textId="77777777" w:rsidTr="00890181">
              <w:trPr>
                <w:gridAfter w:val="1"/>
                <w:wAfter w:w="248" w:type="pct"/>
              </w:trPr>
              <w:tc>
                <w:tcPr>
                  <w:tcW w:w="623" w:type="pct"/>
                  <w:vAlign w:val="bottom"/>
                </w:tcPr>
                <w:p w14:paraId="08D9824F" w14:textId="0734A433" w:rsidR="00890181" w:rsidRDefault="00890181" w:rsidP="00890181">
                  <w:pPr>
                    <w:pStyle w:val="TableBodyText"/>
                    <w:jc w:val="left"/>
                  </w:pPr>
                  <w:r w:rsidRPr="006F1364">
                    <w:t>70</w:t>
                  </w:r>
                </w:p>
              </w:tc>
              <w:tc>
                <w:tcPr>
                  <w:tcW w:w="2546" w:type="pct"/>
                  <w:vAlign w:val="center"/>
                </w:tcPr>
                <w:p w14:paraId="1B68D09E" w14:textId="5AE651A2" w:rsidR="00890181" w:rsidRDefault="00890181" w:rsidP="00890181">
                  <w:pPr>
                    <w:pStyle w:val="TableBodyText"/>
                    <w:jc w:val="left"/>
                  </w:pPr>
                  <w:r>
                    <w:t>Public administration and public order and safety</w:t>
                  </w:r>
                </w:p>
              </w:tc>
              <w:tc>
                <w:tcPr>
                  <w:tcW w:w="1583" w:type="pct"/>
                </w:tcPr>
                <w:p w14:paraId="1F17EE8E" w14:textId="5467F58E" w:rsidR="00890181" w:rsidRDefault="00890181" w:rsidP="00890181">
                  <w:pPr>
                    <w:pStyle w:val="TableBodyText"/>
                    <w:ind w:right="28"/>
                  </w:pPr>
                  <w:r>
                    <w:t>7501, 7701</w:t>
                  </w:r>
                </w:p>
              </w:tc>
            </w:tr>
            <w:tr w:rsidR="00890181" w14:paraId="0F485A49" w14:textId="77777777" w:rsidTr="00890181">
              <w:trPr>
                <w:gridAfter w:val="1"/>
                <w:wAfter w:w="248" w:type="pct"/>
              </w:trPr>
              <w:tc>
                <w:tcPr>
                  <w:tcW w:w="623" w:type="pct"/>
                  <w:vAlign w:val="bottom"/>
                </w:tcPr>
                <w:p w14:paraId="290F3A24" w14:textId="5925B30B" w:rsidR="00890181" w:rsidRDefault="00890181" w:rsidP="00890181">
                  <w:pPr>
                    <w:pStyle w:val="TableBodyText"/>
                    <w:jc w:val="left"/>
                  </w:pPr>
                  <w:r w:rsidRPr="006F1364">
                    <w:t>71</w:t>
                  </w:r>
                </w:p>
              </w:tc>
              <w:tc>
                <w:tcPr>
                  <w:tcW w:w="2546" w:type="pct"/>
                  <w:vAlign w:val="center"/>
                </w:tcPr>
                <w:p w14:paraId="483639B0" w14:textId="78088608" w:rsidR="00890181" w:rsidRDefault="00890181" w:rsidP="00890181">
                  <w:pPr>
                    <w:pStyle w:val="TableBodyText"/>
                    <w:jc w:val="left"/>
                  </w:pPr>
                  <w:r>
                    <w:t>Defence</w:t>
                  </w:r>
                </w:p>
              </w:tc>
              <w:tc>
                <w:tcPr>
                  <w:tcW w:w="1583" w:type="pct"/>
                </w:tcPr>
                <w:p w14:paraId="63500122" w14:textId="0BBE9FB4" w:rsidR="00890181" w:rsidRDefault="00890181" w:rsidP="00890181">
                  <w:pPr>
                    <w:pStyle w:val="TableBodyText"/>
                    <w:ind w:right="28"/>
                  </w:pPr>
                  <w:r>
                    <w:t>7601</w:t>
                  </w:r>
                </w:p>
              </w:tc>
            </w:tr>
            <w:tr w:rsidR="00890181" w14:paraId="1DD62F51" w14:textId="77777777" w:rsidTr="00890181">
              <w:trPr>
                <w:gridAfter w:val="1"/>
                <w:wAfter w:w="248" w:type="pct"/>
              </w:trPr>
              <w:tc>
                <w:tcPr>
                  <w:tcW w:w="623" w:type="pct"/>
                  <w:vAlign w:val="bottom"/>
                </w:tcPr>
                <w:p w14:paraId="65BC4955" w14:textId="6FAC3AA6" w:rsidR="00890181" w:rsidRDefault="00890181" w:rsidP="00890181">
                  <w:pPr>
                    <w:pStyle w:val="TableBodyText"/>
                    <w:jc w:val="left"/>
                  </w:pPr>
                  <w:r w:rsidRPr="006F1364">
                    <w:t>72</w:t>
                  </w:r>
                </w:p>
              </w:tc>
              <w:tc>
                <w:tcPr>
                  <w:tcW w:w="2546" w:type="pct"/>
                  <w:vAlign w:val="center"/>
                </w:tcPr>
                <w:p w14:paraId="03561F2B" w14:textId="2EA1DFD7" w:rsidR="00890181" w:rsidRDefault="00890181" w:rsidP="00890181">
                  <w:pPr>
                    <w:pStyle w:val="TableBodyText"/>
                    <w:jc w:val="left"/>
                  </w:pPr>
                  <w:r>
                    <w:t>Primary and secondary education</w:t>
                  </w:r>
                </w:p>
              </w:tc>
              <w:tc>
                <w:tcPr>
                  <w:tcW w:w="1583" w:type="pct"/>
                </w:tcPr>
                <w:p w14:paraId="19F66D92" w14:textId="2B7AF1F5" w:rsidR="00890181" w:rsidRDefault="00890181" w:rsidP="00890181">
                  <w:pPr>
                    <w:pStyle w:val="TableBodyText"/>
                    <w:ind w:right="28"/>
                  </w:pPr>
                  <w:r>
                    <w:t>8010</w:t>
                  </w:r>
                </w:p>
              </w:tc>
            </w:tr>
            <w:tr w:rsidR="00890181" w14:paraId="1A13C452" w14:textId="77777777" w:rsidTr="00890181">
              <w:trPr>
                <w:gridAfter w:val="1"/>
                <w:wAfter w:w="248" w:type="pct"/>
              </w:trPr>
              <w:tc>
                <w:tcPr>
                  <w:tcW w:w="623" w:type="pct"/>
                  <w:vAlign w:val="bottom"/>
                </w:tcPr>
                <w:p w14:paraId="3CE1EF86" w14:textId="0C00304B" w:rsidR="00890181" w:rsidRDefault="00890181" w:rsidP="00890181">
                  <w:pPr>
                    <w:pStyle w:val="TableBodyText"/>
                    <w:jc w:val="left"/>
                  </w:pPr>
                  <w:r w:rsidRPr="006F1364">
                    <w:t>73</w:t>
                  </w:r>
                </w:p>
              </w:tc>
              <w:tc>
                <w:tcPr>
                  <w:tcW w:w="2546" w:type="pct"/>
                  <w:vAlign w:val="center"/>
                </w:tcPr>
                <w:p w14:paraId="42AEAAE4" w14:textId="614F7C86" w:rsidR="00890181" w:rsidRDefault="00890181" w:rsidP="00890181">
                  <w:pPr>
                    <w:pStyle w:val="TableBodyText"/>
                    <w:jc w:val="left"/>
                  </w:pPr>
                  <w:r>
                    <w:t>Technical, vocational and tertiary education</w:t>
                  </w:r>
                </w:p>
              </w:tc>
              <w:tc>
                <w:tcPr>
                  <w:tcW w:w="1583" w:type="pct"/>
                </w:tcPr>
                <w:p w14:paraId="41DEC40B" w14:textId="73C14D97" w:rsidR="00890181" w:rsidRDefault="00890181" w:rsidP="00890181">
                  <w:pPr>
                    <w:pStyle w:val="TableBodyText"/>
                    <w:ind w:right="28"/>
                  </w:pPr>
                  <w:r>
                    <w:t>8110</w:t>
                  </w:r>
                </w:p>
              </w:tc>
            </w:tr>
            <w:tr w:rsidR="00890181" w14:paraId="7FBE4F96" w14:textId="77777777" w:rsidTr="00890181">
              <w:trPr>
                <w:gridAfter w:val="1"/>
                <w:wAfter w:w="248" w:type="pct"/>
              </w:trPr>
              <w:tc>
                <w:tcPr>
                  <w:tcW w:w="623" w:type="pct"/>
                  <w:vAlign w:val="bottom"/>
                </w:tcPr>
                <w:p w14:paraId="035F4DF7" w14:textId="48B3AF2B" w:rsidR="00890181" w:rsidRDefault="00890181" w:rsidP="00890181">
                  <w:pPr>
                    <w:pStyle w:val="TableBodyText"/>
                    <w:jc w:val="left"/>
                  </w:pPr>
                  <w:r w:rsidRPr="006F1364">
                    <w:t>74</w:t>
                  </w:r>
                </w:p>
              </w:tc>
              <w:tc>
                <w:tcPr>
                  <w:tcW w:w="2546" w:type="pct"/>
                  <w:vAlign w:val="center"/>
                </w:tcPr>
                <w:p w14:paraId="7A3EBDD7" w14:textId="1AC6DAD9" w:rsidR="00890181" w:rsidRDefault="00890181" w:rsidP="00890181">
                  <w:pPr>
                    <w:pStyle w:val="TableBodyText"/>
                    <w:jc w:val="left"/>
                  </w:pPr>
                  <w:r>
                    <w:t>Health care services</w:t>
                  </w:r>
                </w:p>
              </w:tc>
              <w:tc>
                <w:tcPr>
                  <w:tcW w:w="1583" w:type="pct"/>
                </w:tcPr>
                <w:p w14:paraId="5405DB63" w14:textId="2B119412" w:rsidR="00890181" w:rsidRDefault="00890181" w:rsidP="00890181">
                  <w:pPr>
                    <w:pStyle w:val="TableBodyText"/>
                    <w:ind w:right="28"/>
                  </w:pPr>
                  <w:r>
                    <w:t>8401</w:t>
                  </w:r>
                </w:p>
              </w:tc>
            </w:tr>
            <w:tr w:rsidR="00890181" w14:paraId="5366E988" w14:textId="77777777" w:rsidTr="00890181">
              <w:trPr>
                <w:gridAfter w:val="1"/>
                <w:wAfter w:w="248" w:type="pct"/>
              </w:trPr>
              <w:tc>
                <w:tcPr>
                  <w:tcW w:w="623" w:type="pct"/>
                  <w:vAlign w:val="bottom"/>
                </w:tcPr>
                <w:p w14:paraId="4300198A" w14:textId="75DC87EF" w:rsidR="00890181" w:rsidRDefault="00890181" w:rsidP="00890181">
                  <w:pPr>
                    <w:pStyle w:val="TableBodyText"/>
                    <w:jc w:val="left"/>
                  </w:pPr>
                  <w:r w:rsidRPr="006F1364">
                    <w:t>75</w:t>
                  </w:r>
                </w:p>
              </w:tc>
              <w:tc>
                <w:tcPr>
                  <w:tcW w:w="2546" w:type="pct"/>
                  <w:vAlign w:val="center"/>
                </w:tcPr>
                <w:p w14:paraId="75E09A1F" w14:textId="4ADACA28" w:rsidR="00890181" w:rsidRDefault="00890181" w:rsidP="00890181">
                  <w:pPr>
                    <w:pStyle w:val="TableBodyText"/>
                    <w:jc w:val="left"/>
                  </w:pPr>
                  <w:r>
                    <w:t>Residential care and social assistance services</w:t>
                  </w:r>
                </w:p>
              </w:tc>
              <w:tc>
                <w:tcPr>
                  <w:tcW w:w="1583" w:type="pct"/>
                </w:tcPr>
                <w:p w14:paraId="4485930B" w14:textId="42ED9DA7" w:rsidR="00890181" w:rsidRDefault="00890181" w:rsidP="00890181">
                  <w:pPr>
                    <w:pStyle w:val="TableBodyText"/>
                    <w:ind w:right="28"/>
                  </w:pPr>
                  <w:r>
                    <w:t>8601</w:t>
                  </w:r>
                </w:p>
              </w:tc>
            </w:tr>
            <w:tr w:rsidR="00890181" w14:paraId="629526B1" w14:textId="77777777" w:rsidTr="00890181">
              <w:trPr>
                <w:gridAfter w:val="1"/>
                <w:wAfter w:w="248" w:type="pct"/>
              </w:trPr>
              <w:tc>
                <w:tcPr>
                  <w:tcW w:w="623" w:type="pct"/>
                  <w:vAlign w:val="bottom"/>
                </w:tcPr>
                <w:p w14:paraId="2E19ECC2" w14:textId="355F3D98" w:rsidR="00890181" w:rsidRDefault="00890181" w:rsidP="00890181">
                  <w:pPr>
                    <w:pStyle w:val="TableBodyText"/>
                    <w:jc w:val="left"/>
                  </w:pPr>
                  <w:r w:rsidRPr="006F1364">
                    <w:t>76</w:t>
                  </w:r>
                </w:p>
              </w:tc>
              <w:tc>
                <w:tcPr>
                  <w:tcW w:w="2546" w:type="pct"/>
                  <w:vAlign w:val="center"/>
                </w:tcPr>
                <w:p w14:paraId="339CACF6" w14:textId="7C6B8AF8" w:rsidR="00890181" w:rsidRDefault="00890181" w:rsidP="00890181">
                  <w:pPr>
                    <w:pStyle w:val="TableBodyText"/>
                    <w:jc w:val="left"/>
                  </w:pPr>
                  <w:r>
                    <w:t>Arts and recreation services</w:t>
                  </w:r>
                </w:p>
              </w:tc>
              <w:tc>
                <w:tcPr>
                  <w:tcW w:w="1583" w:type="pct"/>
                </w:tcPr>
                <w:p w14:paraId="1CA43515" w14:textId="7B23A2AA" w:rsidR="00890181" w:rsidRDefault="00890181" w:rsidP="00890181">
                  <w:pPr>
                    <w:pStyle w:val="TableBodyText"/>
                    <w:ind w:right="28"/>
                  </w:pPr>
                  <w:r>
                    <w:t>8210</w:t>
                  </w:r>
                  <w:r>
                    <w:noBreakHyphen/>
                    <w:t>9201</w:t>
                  </w:r>
                </w:p>
              </w:tc>
            </w:tr>
            <w:tr w:rsidR="00890181" w14:paraId="4BFCD1BB" w14:textId="77777777" w:rsidTr="00890181">
              <w:trPr>
                <w:gridAfter w:val="1"/>
                <w:wAfter w:w="248" w:type="pct"/>
              </w:trPr>
              <w:tc>
                <w:tcPr>
                  <w:tcW w:w="623" w:type="pct"/>
                  <w:vAlign w:val="bottom"/>
                </w:tcPr>
                <w:p w14:paraId="0EFA39C2" w14:textId="08D88000" w:rsidR="00890181" w:rsidRDefault="00890181" w:rsidP="00890181">
                  <w:pPr>
                    <w:pStyle w:val="TableBodyText"/>
                    <w:jc w:val="left"/>
                  </w:pPr>
                  <w:r w:rsidRPr="006F1364">
                    <w:t>77</w:t>
                  </w:r>
                </w:p>
              </w:tc>
              <w:tc>
                <w:tcPr>
                  <w:tcW w:w="2546" w:type="pct"/>
                  <w:vAlign w:val="center"/>
                </w:tcPr>
                <w:p w14:paraId="308678B5" w14:textId="1B48EFCB" w:rsidR="00890181" w:rsidRDefault="00890181" w:rsidP="00890181">
                  <w:pPr>
                    <w:pStyle w:val="TableBodyText"/>
                    <w:jc w:val="left"/>
                  </w:pPr>
                  <w:r>
                    <w:t>Automotive repair and maintenance</w:t>
                  </w:r>
                </w:p>
              </w:tc>
              <w:tc>
                <w:tcPr>
                  <w:tcW w:w="1583" w:type="pct"/>
                </w:tcPr>
                <w:p w14:paraId="31D17832" w14:textId="7A1B17D1" w:rsidR="00890181" w:rsidRDefault="00890181" w:rsidP="00890181">
                  <w:pPr>
                    <w:pStyle w:val="TableBodyText"/>
                    <w:ind w:right="28"/>
                  </w:pPr>
                  <w:r>
                    <w:t>9401</w:t>
                  </w:r>
                </w:p>
              </w:tc>
            </w:tr>
            <w:tr w:rsidR="00890181" w14:paraId="1130C571" w14:textId="77777777" w:rsidTr="00890181">
              <w:trPr>
                <w:gridAfter w:val="1"/>
                <w:wAfter w:w="248" w:type="pct"/>
              </w:trPr>
              <w:tc>
                <w:tcPr>
                  <w:tcW w:w="623" w:type="pct"/>
                  <w:vAlign w:val="bottom"/>
                </w:tcPr>
                <w:p w14:paraId="3D06DC49" w14:textId="186947C9" w:rsidR="00890181" w:rsidRDefault="00890181" w:rsidP="00890181">
                  <w:pPr>
                    <w:pStyle w:val="TableBodyText"/>
                    <w:jc w:val="left"/>
                  </w:pPr>
                  <w:r w:rsidRPr="006F1364">
                    <w:t>78</w:t>
                  </w:r>
                </w:p>
              </w:tc>
              <w:tc>
                <w:tcPr>
                  <w:tcW w:w="2546" w:type="pct"/>
                  <w:vAlign w:val="center"/>
                </w:tcPr>
                <w:p w14:paraId="4B3D9ED5" w14:textId="365A6FDB" w:rsidR="00890181" w:rsidRDefault="00890181" w:rsidP="00890181">
                  <w:pPr>
                    <w:pStyle w:val="TableBodyText"/>
                    <w:jc w:val="left"/>
                  </w:pPr>
                  <w:r>
                    <w:t>Other repair and maintenance</w:t>
                  </w:r>
                </w:p>
              </w:tc>
              <w:tc>
                <w:tcPr>
                  <w:tcW w:w="1583" w:type="pct"/>
                </w:tcPr>
                <w:p w14:paraId="160321B4" w14:textId="021AF6FA" w:rsidR="00890181" w:rsidRDefault="00890181" w:rsidP="00890181">
                  <w:pPr>
                    <w:pStyle w:val="TableBodyText"/>
                    <w:ind w:right="28"/>
                  </w:pPr>
                  <w:r>
                    <w:t>9402</w:t>
                  </w:r>
                </w:p>
              </w:tc>
            </w:tr>
            <w:tr w:rsidR="00890181" w14:paraId="3F5CE6BB" w14:textId="77777777" w:rsidTr="00890181">
              <w:trPr>
                <w:gridAfter w:val="1"/>
                <w:wAfter w:w="248" w:type="pct"/>
              </w:trPr>
              <w:tc>
                <w:tcPr>
                  <w:tcW w:w="623" w:type="pct"/>
                  <w:tcBorders>
                    <w:bottom w:val="single" w:sz="4" w:space="0" w:color="BFBFBF"/>
                  </w:tcBorders>
                  <w:vAlign w:val="bottom"/>
                </w:tcPr>
                <w:p w14:paraId="17134BBB" w14:textId="044300B9" w:rsidR="00890181" w:rsidRDefault="00890181" w:rsidP="00890181">
                  <w:pPr>
                    <w:pStyle w:val="TableBodyText"/>
                    <w:jc w:val="left"/>
                  </w:pPr>
                  <w:r>
                    <w:t>79</w:t>
                  </w:r>
                </w:p>
              </w:tc>
              <w:tc>
                <w:tcPr>
                  <w:tcW w:w="2546" w:type="pct"/>
                  <w:tcBorders>
                    <w:bottom w:val="single" w:sz="4" w:space="0" w:color="BFBFBF"/>
                  </w:tcBorders>
                  <w:vAlign w:val="center"/>
                </w:tcPr>
                <w:p w14:paraId="5A4D09F1" w14:textId="4898E5D3" w:rsidR="00890181" w:rsidRDefault="00890181" w:rsidP="00890181">
                  <w:pPr>
                    <w:pStyle w:val="TableBodyText"/>
                    <w:jc w:val="left"/>
                  </w:pPr>
                  <w:r>
                    <w:t>Personal and other services</w:t>
                  </w:r>
                </w:p>
              </w:tc>
              <w:tc>
                <w:tcPr>
                  <w:tcW w:w="1583" w:type="pct"/>
                  <w:tcBorders>
                    <w:bottom w:val="single" w:sz="4" w:space="0" w:color="BFBFBF"/>
                  </w:tcBorders>
                </w:tcPr>
                <w:p w14:paraId="5883478E" w14:textId="4F17853F" w:rsidR="00890181" w:rsidRDefault="00890181" w:rsidP="00890181">
                  <w:pPr>
                    <w:pStyle w:val="TableBodyText"/>
                    <w:ind w:right="28"/>
                  </w:pPr>
                  <w:r>
                    <w:t>9501, 9502</w:t>
                  </w:r>
                </w:p>
              </w:tc>
            </w:tr>
            <w:tr w:rsidR="00890181" w:rsidRPr="006F01E3" w14:paraId="6528A7EB" w14:textId="77777777" w:rsidTr="00890181">
              <w:tblPrEx>
                <w:tblBorders>
                  <w:top w:val="single" w:sz="6" w:space="0" w:color="auto"/>
                  <w:left w:val="single" w:sz="6" w:space="0" w:color="auto"/>
                  <w:bottom w:val="single" w:sz="6" w:space="0" w:color="auto"/>
                  <w:right w:val="single" w:sz="6" w:space="0" w:color="auto"/>
                </w:tblBorders>
                <w:tblCellMar>
                  <w:top w:w="0" w:type="dxa"/>
                  <w:left w:w="142" w:type="dxa"/>
                  <w:right w:w="142" w:type="dxa"/>
                </w:tblCellMar>
              </w:tblPrEx>
              <w:trPr>
                <w:cantSplit/>
              </w:trPr>
              <w:tc>
                <w:tcPr>
                  <w:tcW w:w="5000" w:type="pct"/>
                  <w:gridSpan w:val="4"/>
                  <w:tcBorders>
                    <w:top w:val="nil"/>
                    <w:left w:val="nil"/>
                    <w:bottom w:val="nil"/>
                    <w:right w:val="nil"/>
                  </w:tcBorders>
                  <w:shd w:val="clear" w:color="auto" w:fill="auto"/>
                </w:tcPr>
                <w:p w14:paraId="5B9E5B7D" w14:textId="2E42C1E2" w:rsidR="00890181" w:rsidRPr="006F01E3" w:rsidRDefault="00890181" w:rsidP="006F01E3">
                  <w:pPr>
                    <w:pStyle w:val="Source"/>
                    <w:spacing w:before="120"/>
                  </w:pPr>
                  <w:r w:rsidRPr="006F01E3">
                    <w:t xml:space="preserve">Source: </w:t>
                  </w:r>
                  <w:proofErr w:type="spellStart"/>
                  <w:r w:rsidRPr="006F01E3">
                    <w:t>CoPS</w:t>
                  </w:r>
                  <w:proofErr w:type="spellEnd"/>
                  <w:r w:rsidRPr="006F01E3">
                    <w:t> (2015))</w:t>
                  </w:r>
                </w:p>
              </w:tc>
            </w:tr>
          </w:tbl>
          <w:p w14:paraId="63BED695" w14:textId="77777777" w:rsidR="00890181" w:rsidRDefault="00890181" w:rsidP="00890181">
            <w:pPr>
              <w:pStyle w:val="Box"/>
            </w:pPr>
          </w:p>
        </w:tc>
      </w:tr>
      <w:tr w:rsidR="00890181" w:rsidRPr="000863A5" w14:paraId="7D616006" w14:textId="77777777" w:rsidTr="00890181">
        <w:tc>
          <w:tcPr>
            <w:tcW w:w="8771" w:type="dxa"/>
            <w:tcBorders>
              <w:top w:val="single" w:sz="6" w:space="0" w:color="78A22F"/>
              <w:left w:val="nil"/>
              <w:bottom w:val="nil"/>
              <w:right w:val="nil"/>
            </w:tcBorders>
          </w:tcPr>
          <w:p w14:paraId="12A5CACA" w14:textId="18E8DC8B" w:rsidR="00890181" w:rsidRPr="00626D32" w:rsidRDefault="00890181" w:rsidP="00890181">
            <w:pPr>
              <w:pStyle w:val="BoxSpaceBelow"/>
            </w:pPr>
          </w:p>
        </w:tc>
      </w:tr>
    </w:tbl>
    <w:p w14:paraId="23990CFB" w14:textId="48051C6E" w:rsidR="00890181" w:rsidRDefault="00890181" w:rsidP="00890181">
      <w:pPr>
        <w:pStyle w:val="BodyText"/>
      </w:pPr>
    </w:p>
    <w:p w14:paraId="02BBD3D9" w14:textId="1BEC49F6" w:rsidR="00890181" w:rsidRDefault="00890181" w:rsidP="00890181">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890181" w14:paraId="67E9AB3C" w14:textId="77777777" w:rsidTr="00986D7D">
        <w:tc>
          <w:tcPr>
            <w:tcW w:w="8771" w:type="dxa"/>
            <w:tcBorders>
              <w:top w:val="single" w:sz="6" w:space="0" w:color="78A22F"/>
              <w:left w:val="nil"/>
              <w:bottom w:val="nil"/>
              <w:right w:val="nil"/>
            </w:tcBorders>
            <w:shd w:val="clear" w:color="auto" w:fill="auto"/>
          </w:tcPr>
          <w:p w14:paraId="6E8E65F0" w14:textId="2D1AD17D" w:rsidR="00890181" w:rsidRPr="00784A05" w:rsidRDefault="002E4B99" w:rsidP="00986D7D">
            <w:pPr>
              <w:pStyle w:val="TableTitle"/>
            </w:pPr>
            <w:r>
              <w:rPr>
                <w:b w:val="0"/>
              </w:rPr>
              <w:t>Table 1</w:t>
            </w:r>
            <w:r w:rsidR="00890181">
              <w:rPr>
                <w:b w:val="0"/>
              </w:rPr>
              <w:t>.2</w:t>
            </w:r>
            <w:r w:rsidR="00890181">
              <w:tab/>
            </w:r>
            <w:r w:rsidR="00986D7D">
              <w:t>Occupational classification</w:t>
            </w:r>
          </w:p>
        </w:tc>
      </w:tr>
      <w:tr w:rsidR="00890181" w14:paraId="4016335E" w14:textId="77777777" w:rsidTr="00986D7D">
        <w:trPr>
          <w:cantSplit/>
        </w:trPr>
        <w:tc>
          <w:tcPr>
            <w:tcW w:w="8771" w:type="dxa"/>
            <w:tcBorders>
              <w:top w:val="nil"/>
              <w:left w:val="nil"/>
              <w:bottom w:val="nil"/>
              <w:right w:val="nil"/>
            </w:tcBorders>
            <w:shd w:val="clear" w:color="auto" w:fill="auto"/>
          </w:tcPr>
          <w:tbl>
            <w:tblPr>
              <w:tblW w:w="0" w:type="auto"/>
              <w:tblCellMar>
                <w:top w:w="28" w:type="dxa"/>
                <w:left w:w="0" w:type="dxa"/>
                <w:right w:w="0" w:type="dxa"/>
              </w:tblCellMar>
              <w:tblLook w:val="0000" w:firstRow="0" w:lastRow="0" w:firstColumn="0" w:lastColumn="0" w:noHBand="0" w:noVBand="0"/>
            </w:tblPr>
            <w:tblGrid>
              <w:gridCol w:w="400"/>
              <w:gridCol w:w="1390"/>
              <w:gridCol w:w="3433"/>
              <w:gridCol w:w="3264"/>
            </w:tblGrid>
            <w:tr w:rsidR="00890181" w14:paraId="16834C91" w14:textId="77777777" w:rsidTr="00986D7D">
              <w:tc>
                <w:tcPr>
                  <w:tcW w:w="0" w:type="auto"/>
                  <w:tcBorders>
                    <w:top w:val="single" w:sz="6" w:space="0" w:color="BFBFBF"/>
                    <w:bottom w:val="single" w:sz="6" w:space="0" w:color="BFBFBF"/>
                  </w:tcBorders>
                </w:tcPr>
                <w:p w14:paraId="0605AB83" w14:textId="78E370A4" w:rsidR="00890181" w:rsidRDefault="00986D7D" w:rsidP="00890181">
                  <w:pPr>
                    <w:pStyle w:val="TableColumnHeading"/>
                    <w:jc w:val="left"/>
                  </w:pPr>
                  <w:r>
                    <w:t>No</w:t>
                  </w:r>
                  <w:r w:rsidR="002E4B99">
                    <w:t>.</w:t>
                  </w:r>
                </w:p>
              </w:tc>
              <w:tc>
                <w:tcPr>
                  <w:tcW w:w="0" w:type="auto"/>
                  <w:tcBorders>
                    <w:top w:val="single" w:sz="6" w:space="0" w:color="BFBFBF"/>
                    <w:bottom w:val="single" w:sz="6" w:space="0" w:color="BFBFBF"/>
                  </w:tcBorders>
                  <w:shd w:val="clear" w:color="auto" w:fill="auto"/>
                  <w:tcMar>
                    <w:top w:w="28" w:type="dxa"/>
                  </w:tcMar>
                </w:tcPr>
                <w:p w14:paraId="0A5B112A" w14:textId="53127454" w:rsidR="00890181" w:rsidRDefault="00890181" w:rsidP="00890181">
                  <w:pPr>
                    <w:pStyle w:val="TableColumnHeading"/>
                    <w:jc w:val="left"/>
                  </w:pPr>
                  <w:r>
                    <w:t>Major group</w:t>
                  </w:r>
                </w:p>
              </w:tc>
              <w:tc>
                <w:tcPr>
                  <w:tcW w:w="3433" w:type="dxa"/>
                  <w:tcBorders>
                    <w:top w:val="single" w:sz="6" w:space="0" w:color="BFBFBF"/>
                    <w:bottom w:val="single" w:sz="6" w:space="0" w:color="BFBFBF"/>
                  </w:tcBorders>
                  <w:shd w:val="clear" w:color="auto" w:fill="auto"/>
                  <w:tcMar>
                    <w:top w:w="28" w:type="dxa"/>
                  </w:tcMar>
                  <w:vAlign w:val="center"/>
                </w:tcPr>
                <w:p w14:paraId="62AE2F1B" w14:textId="781A7A73" w:rsidR="00890181" w:rsidRDefault="00890181" w:rsidP="00986D7D">
                  <w:pPr>
                    <w:pStyle w:val="TableColumnHeading"/>
                    <w:jc w:val="left"/>
                  </w:pPr>
                  <w:r>
                    <w:t>Description</w:t>
                  </w:r>
                </w:p>
              </w:tc>
              <w:tc>
                <w:tcPr>
                  <w:tcW w:w="3264" w:type="dxa"/>
                  <w:tcBorders>
                    <w:top w:val="single" w:sz="6" w:space="0" w:color="BFBFBF"/>
                    <w:bottom w:val="single" w:sz="6" w:space="0" w:color="BFBFBF"/>
                  </w:tcBorders>
                  <w:shd w:val="clear" w:color="auto" w:fill="auto"/>
                  <w:tcMar>
                    <w:top w:w="28" w:type="dxa"/>
                  </w:tcMar>
                  <w:vAlign w:val="center"/>
                </w:tcPr>
                <w:p w14:paraId="4F51F726" w14:textId="2AD8971F" w:rsidR="00890181" w:rsidRDefault="00890181" w:rsidP="00986D7D">
                  <w:pPr>
                    <w:pStyle w:val="TableColumnHeading"/>
                    <w:ind w:right="28"/>
                    <w:jc w:val="left"/>
                  </w:pPr>
                  <w:r>
                    <w:t>Predominant skill levels</w:t>
                  </w:r>
                </w:p>
              </w:tc>
            </w:tr>
            <w:tr w:rsidR="00986D7D" w14:paraId="7DAFD48D" w14:textId="77777777" w:rsidTr="00986D7D">
              <w:trPr>
                <w:trHeight w:val="1361"/>
              </w:trPr>
              <w:tc>
                <w:tcPr>
                  <w:tcW w:w="0" w:type="auto"/>
                  <w:tcBorders>
                    <w:top w:val="single" w:sz="6" w:space="0" w:color="BFBFBF"/>
                  </w:tcBorders>
                  <w:shd w:val="clear" w:color="auto" w:fill="D9D9D9" w:themeFill="background1" w:themeFillShade="D9"/>
                </w:tcPr>
                <w:p w14:paraId="40A0078A" w14:textId="68E86A6E" w:rsidR="00986D7D" w:rsidRDefault="00986D7D" w:rsidP="00986D7D">
                  <w:pPr>
                    <w:pStyle w:val="TableUnitsRow"/>
                    <w:jc w:val="left"/>
                  </w:pPr>
                  <w:r>
                    <w:t>1</w:t>
                  </w:r>
                </w:p>
              </w:tc>
              <w:tc>
                <w:tcPr>
                  <w:tcW w:w="0" w:type="auto"/>
                  <w:tcBorders>
                    <w:top w:val="single" w:sz="6" w:space="0" w:color="BFBFBF"/>
                  </w:tcBorders>
                  <w:shd w:val="clear" w:color="auto" w:fill="D9D9D9" w:themeFill="background1" w:themeFillShade="D9"/>
                </w:tcPr>
                <w:p w14:paraId="461D0F65" w14:textId="3747E86F" w:rsidR="00986D7D" w:rsidRDefault="00986D7D" w:rsidP="00986D7D">
                  <w:pPr>
                    <w:pStyle w:val="TableUnitsRow"/>
                    <w:jc w:val="left"/>
                  </w:pPr>
                  <w:r>
                    <w:t>Managers</w:t>
                  </w:r>
                </w:p>
              </w:tc>
              <w:tc>
                <w:tcPr>
                  <w:tcW w:w="3433" w:type="dxa"/>
                  <w:tcBorders>
                    <w:top w:val="single" w:sz="6" w:space="0" w:color="BFBFBF"/>
                  </w:tcBorders>
                  <w:shd w:val="clear" w:color="auto" w:fill="D9D9D9" w:themeFill="background1" w:themeFillShade="D9"/>
                </w:tcPr>
                <w:p w14:paraId="63E482C9" w14:textId="74C53BAE" w:rsidR="00986D7D" w:rsidRDefault="00986D7D" w:rsidP="00986D7D">
                  <w:pPr>
                    <w:pStyle w:val="TableUnitsRow"/>
                    <w:jc w:val="left"/>
                  </w:pPr>
                  <w:r w:rsidRPr="000318BB">
                    <w:t xml:space="preserve">Plan, organise, direct, control, coordinate and review the operations of government, commercial, agricultural, industrial, </w:t>
                  </w:r>
                  <w:proofErr w:type="spellStart"/>
                  <w:r w:rsidRPr="000318BB">
                    <w:t>non</w:t>
                  </w:r>
                  <w:r>
                    <w:noBreakHyphen/>
                  </w:r>
                  <w:r w:rsidRPr="000318BB">
                    <w:t>profit</w:t>
                  </w:r>
                  <w:proofErr w:type="spellEnd"/>
                  <w:r w:rsidRPr="000318BB">
                    <w:t xml:space="preserve"> and other organisations, and departments.</w:t>
                  </w:r>
                  <w:r>
                    <w:t xml:space="preserve"> </w:t>
                  </w:r>
                </w:p>
              </w:tc>
              <w:tc>
                <w:tcPr>
                  <w:tcW w:w="3264" w:type="dxa"/>
                  <w:tcBorders>
                    <w:top w:val="single" w:sz="6" w:space="0" w:color="BFBFBF"/>
                  </w:tcBorders>
                  <w:shd w:val="clear" w:color="auto" w:fill="D9D9D9" w:themeFill="background1" w:themeFillShade="D9"/>
                </w:tcPr>
                <w:p w14:paraId="6B92298E" w14:textId="77777777" w:rsidR="00986D7D" w:rsidRDefault="00986D7D" w:rsidP="00986D7D">
                  <w:pPr>
                    <w:pStyle w:val="TableBullet"/>
                  </w:pPr>
                  <w:r>
                    <w:t>Bachelor of higher qualification; Associate Degree; or</w:t>
                  </w:r>
                  <w:r w:rsidRPr="00F337FE">
                    <w:t xml:space="preserve"> </w:t>
                  </w:r>
                </w:p>
                <w:p w14:paraId="507A44D7" w14:textId="6151279E" w:rsidR="00986D7D" w:rsidRDefault="00986D7D" w:rsidP="00986D7D">
                  <w:pPr>
                    <w:pStyle w:val="TableBullet"/>
                  </w:pPr>
                  <w:r w:rsidRPr="00F337FE">
                    <w:t>Advanced Diploma or Diploma, or at least three years of relevant experience</w:t>
                  </w:r>
                  <w:r>
                    <w:t>.</w:t>
                  </w:r>
                </w:p>
              </w:tc>
            </w:tr>
            <w:tr w:rsidR="00986D7D" w14:paraId="1AEB4ABB" w14:textId="77777777" w:rsidTr="00986D7D">
              <w:trPr>
                <w:trHeight w:val="1474"/>
              </w:trPr>
              <w:tc>
                <w:tcPr>
                  <w:tcW w:w="0" w:type="auto"/>
                </w:tcPr>
                <w:p w14:paraId="2E20C6B1" w14:textId="0169BBFB" w:rsidR="00986D7D" w:rsidRDefault="00986D7D" w:rsidP="00986D7D">
                  <w:pPr>
                    <w:pStyle w:val="TableBodyText"/>
                    <w:jc w:val="left"/>
                  </w:pPr>
                  <w:r>
                    <w:t>2</w:t>
                  </w:r>
                </w:p>
              </w:tc>
              <w:tc>
                <w:tcPr>
                  <w:tcW w:w="0" w:type="auto"/>
                </w:tcPr>
                <w:p w14:paraId="3A7333B1" w14:textId="505D4F05" w:rsidR="00986D7D" w:rsidRDefault="00986D7D" w:rsidP="00986D7D">
                  <w:pPr>
                    <w:pStyle w:val="TableBodyText"/>
                    <w:jc w:val="left"/>
                  </w:pPr>
                  <w:r>
                    <w:t>Professionals</w:t>
                  </w:r>
                </w:p>
              </w:tc>
              <w:tc>
                <w:tcPr>
                  <w:tcW w:w="3433" w:type="dxa"/>
                </w:tcPr>
                <w:p w14:paraId="7092DA66" w14:textId="121B6138" w:rsidR="00986D7D" w:rsidRDefault="00986D7D" w:rsidP="00986D7D">
                  <w:pPr>
                    <w:pStyle w:val="TableBodyText"/>
                    <w:jc w:val="left"/>
                  </w:pPr>
                  <w:r w:rsidRPr="000318BB">
                    <w:t>Perform analytical, conceptual and creative tasks through the application of theoretical knowledge and experience in the fields of the arts, media, business, design, engineering, the physical and life sciences, transport, education, health, information and communication technology, the law, social sciences and social welfare.</w:t>
                  </w:r>
                </w:p>
              </w:tc>
              <w:tc>
                <w:tcPr>
                  <w:tcW w:w="3264" w:type="dxa"/>
                </w:tcPr>
                <w:p w14:paraId="4CD177BC" w14:textId="6185249D" w:rsidR="00986D7D" w:rsidRDefault="00986D7D" w:rsidP="00986D7D">
                  <w:pPr>
                    <w:pStyle w:val="TableBullet"/>
                  </w:pPr>
                  <w:r>
                    <w:t>Bachelor or higher qualification.</w:t>
                  </w:r>
                </w:p>
              </w:tc>
            </w:tr>
            <w:tr w:rsidR="00986D7D" w14:paraId="463F5C28" w14:textId="77777777" w:rsidTr="00986D7D">
              <w:trPr>
                <w:trHeight w:val="1701"/>
              </w:trPr>
              <w:tc>
                <w:tcPr>
                  <w:tcW w:w="0" w:type="auto"/>
                  <w:shd w:val="clear" w:color="auto" w:fill="D9D9D9" w:themeFill="background1" w:themeFillShade="D9"/>
                </w:tcPr>
                <w:p w14:paraId="2B308965" w14:textId="4BDA87AE" w:rsidR="00986D7D" w:rsidRDefault="00986D7D" w:rsidP="00986D7D">
                  <w:pPr>
                    <w:pStyle w:val="TableBodyText"/>
                    <w:jc w:val="left"/>
                  </w:pPr>
                  <w:r>
                    <w:t>3</w:t>
                  </w:r>
                </w:p>
              </w:tc>
              <w:tc>
                <w:tcPr>
                  <w:tcW w:w="0" w:type="auto"/>
                  <w:shd w:val="clear" w:color="auto" w:fill="D9D9D9" w:themeFill="background1" w:themeFillShade="D9"/>
                </w:tcPr>
                <w:p w14:paraId="0013A237" w14:textId="19940697" w:rsidR="00986D7D" w:rsidRDefault="00986D7D" w:rsidP="00986D7D">
                  <w:pPr>
                    <w:pStyle w:val="TableBodyText"/>
                    <w:jc w:val="left"/>
                  </w:pPr>
                  <w:r>
                    <w:t>Technicians and trades workers</w:t>
                  </w:r>
                </w:p>
              </w:tc>
              <w:tc>
                <w:tcPr>
                  <w:tcW w:w="3433" w:type="dxa"/>
                  <w:shd w:val="clear" w:color="auto" w:fill="D9D9D9" w:themeFill="background1" w:themeFillShade="D9"/>
                </w:tcPr>
                <w:p w14:paraId="0C42C624" w14:textId="641902E5" w:rsidR="00986D7D" w:rsidRDefault="00986D7D" w:rsidP="00986D7D">
                  <w:pPr>
                    <w:pStyle w:val="TableBodyText"/>
                    <w:jc w:val="left"/>
                  </w:pPr>
                  <w:r w:rsidRPr="000318BB">
                    <w:t>Perform a variety of skilled tasks, applying broad or in</w:t>
                  </w:r>
                  <w:r>
                    <w:noBreakHyphen/>
                  </w:r>
                  <w:r w:rsidRPr="000318BB">
                    <w:t>depth technical, trade or industry specific knowledge, often in support of scientific, engineering, building and manufacturing activities.</w:t>
                  </w:r>
                </w:p>
              </w:tc>
              <w:tc>
                <w:tcPr>
                  <w:tcW w:w="3264" w:type="dxa"/>
                  <w:shd w:val="clear" w:color="auto" w:fill="D9D9D9" w:themeFill="background1" w:themeFillShade="D9"/>
                </w:tcPr>
                <w:p w14:paraId="0D3326DF" w14:textId="77777777" w:rsidR="00986D7D" w:rsidRPr="00F337FE" w:rsidRDefault="00986D7D" w:rsidP="00986D7D">
                  <w:pPr>
                    <w:pStyle w:val="TableBullet"/>
                  </w:pPr>
                  <w:r w:rsidRPr="00F337FE">
                    <w:t>Associate Degree, Advanced Diploma or Diploma, or at least three years of experience</w:t>
                  </w:r>
                  <w:r>
                    <w:t>; or</w:t>
                  </w:r>
                </w:p>
                <w:p w14:paraId="7E670330" w14:textId="77777777" w:rsidR="00986D7D" w:rsidRDefault="00986D7D" w:rsidP="00986D7D">
                  <w:pPr>
                    <w:pStyle w:val="TableBullet"/>
                  </w:pPr>
                  <w:r w:rsidRPr="00F337FE">
                    <w:t>Certificate III including at least two years of on</w:t>
                  </w:r>
                  <w:r>
                    <w:noBreakHyphen/>
                  </w:r>
                  <w:r w:rsidRPr="00F337FE">
                    <w:t>the</w:t>
                  </w:r>
                  <w:r>
                    <w:noBreakHyphen/>
                  </w:r>
                  <w:r w:rsidRPr="00F337FE">
                    <w:t>job training</w:t>
                  </w:r>
                  <w:r>
                    <w:t>; or</w:t>
                  </w:r>
                </w:p>
                <w:p w14:paraId="78B8025B" w14:textId="50F241E5" w:rsidR="00986D7D" w:rsidRDefault="00986D7D" w:rsidP="00986D7D">
                  <w:pPr>
                    <w:pStyle w:val="TableBullet"/>
                  </w:pPr>
                  <w:r w:rsidRPr="00F337FE">
                    <w:t>Certificate IV or at least three years of relevant experience</w:t>
                  </w:r>
                  <w:r>
                    <w:t>.</w:t>
                  </w:r>
                </w:p>
              </w:tc>
            </w:tr>
            <w:tr w:rsidR="00986D7D" w14:paraId="2007BC8F" w14:textId="77777777" w:rsidTr="00986D7D">
              <w:trPr>
                <w:trHeight w:val="2799"/>
              </w:trPr>
              <w:tc>
                <w:tcPr>
                  <w:tcW w:w="0" w:type="auto"/>
                </w:tcPr>
                <w:p w14:paraId="6FAB3039" w14:textId="78D6D8F6" w:rsidR="00986D7D" w:rsidRDefault="00986D7D" w:rsidP="00986D7D">
                  <w:pPr>
                    <w:pStyle w:val="TableBodyText"/>
                    <w:jc w:val="left"/>
                  </w:pPr>
                  <w:r>
                    <w:t>4</w:t>
                  </w:r>
                </w:p>
              </w:tc>
              <w:tc>
                <w:tcPr>
                  <w:tcW w:w="0" w:type="auto"/>
                </w:tcPr>
                <w:p w14:paraId="1565FE0F" w14:textId="654E4F59" w:rsidR="00986D7D" w:rsidRDefault="00986D7D" w:rsidP="00986D7D">
                  <w:pPr>
                    <w:pStyle w:val="TableBodyText"/>
                    <w:jc w:val="left"/>
                  </w:pPr>
                  <w:r>
                    <w:t>Community and personal service workers</w:t>
                  </w:r>
                </w:p>
              </w:tc>
              <w:tc>
                <w:tcPr>
                  <w:tcW w:w="3433" w:type="dxa"/>
                </w:tcPr>
                <w:p w14:paraId="04D048F7" w14:textId="08EE473A" w:rsidR="00986D7D" w:rsidRDefault="00986D7D" w:rsidP="00986D7D">
                  <w:pPr>
                    <w:pStyle w:val="TableBodyText"/>
                    <w:jc w:val="left"/>
                  </w:pPr>
                  <w:r w:rsidRPr="000318BB">
                    <w:t>Assist Health Professionals in the provision of patient care, provide information and support on a range of social welfare matters, and provide other services in the areas of aged care and childcare, education support, hospitality, defence, policing and emergency services, security, travel and tourism, fitness, sports and personal services.</w:t>
                  </w:r>
                </w:p>
              </w:tc>
              <w:tc>
                <w:tcPr>
                  <w:tcW w:w="3264" w:type="dxa"/>
                </w:tcPr>
                <w:p w14:paraId="269C3195" w14:textId="77777777" w:rsidR="00986D7D" w:rsidRDefault="00986D7D" w:rsidP="00986D7D">
                  <w:pPr>
                    <w:pStyle w:val="TableBullet"/>
                  </w:pPr>
                  <w:r w:rsidRPr="00F337FE">
                    <w:t>Associate Degree, Advanced Diploma or Diploma, or at least three years of relevant experience</w:t>
                  </w:r>
                  <w:r>
                    <w:t>; or</w:t>
                  </w:r>
                  <w:r w:rsidRPr="00F337FE">
                    <w:t xml:space="preserve"> </w:t>
                  </w:r>
                </w:p>
                <w:p w14:paraId="5126F69F" w14:textId="77777777" w:rsidR="00986D7D" w:rsidRDefault="00986D7D" w:rsidP="00986D7D">
                  <w:pPr>
                    <w:pStyle w:val="TableBullet"/>
                  </w:pPr>
                  <w:r w:rsidRPr="00F337FE">
                    <w:t>Certificate III including at least two years of on</w:t>
                  </w:r>
                  <w:r>
                    <w:noBreakHyphen/>
                  </w:r>
                  <w:r w:rsidRPr="00F337FE">
                    <w:t>the</w:t>
                  </w:r>
                  <w:r>
                    <w:noBreakHyphen/>
                  </w:r>
                  <w:r w:rsidRPr="00F337FE">
                    <w:t>job training</w:t>
                  </w:r>
                  <w:r>
                    <w:t>; or</w:t>
                  </w:r>
                </w:p>
                <w:p w14:paraId="5ED01544" w14:textId="77777777" w:rsidR="00986D7D" w:rsidRDefault="00986D7D" w:rsidP="00986D7D">
                  <w:pPr>
                    <w:pStyle w:val="TableBullet"/>
                  </w:pPr>
                  <w:r w:rsidRPr="00F337FE">
                    <w:t>Certificate IV, or at least three years of relevant experience</w:t>
                  </w:r>
                  <w:r>
                    <w:t>; or</w:t>
                  </w:r>
                </w:p>
                <w:p w14:paraId="6FCCB3EE" w14:textId="77777777" w:rsidR="00986D7D" w:rsidRDefault="00986D7D" w:rsidP="00986D7D">
                  <w:pPr>
                    <w:pStyle w:val="TableBullet"/>
                  </w:pPr>
                  <w:r w:rsidRPr="00F337FE">
                    <w:t>Certificate II or III, or at least one year of relevant experience</w:t>
                  </w:r>
                  <w:r>
                    <w:t>; or</w:t>
                  </w:r>
                </w:p>
                <w:p w14:paraId="458BD218" w14:textId="2AB02FC4" w:rsidR="00986D7D" w:rsidRDefault="00986D7D" w:rsidP="00986D7D">
                  <w:pPr>
                    <w:pStyle w:val="TableBullet"/>
                  </w:pPr>
                  <w:proofErr w:type="spellStart"/>
                  <w:r w:rsidRPr="00F337FE">
                    <w:t>AQF</w:t>
                  </w:r>
                  <w:proofErr w:type="spellEnd"/>
                  <w:r w:rsidRPr="00F337FE">
                    <w:t xml:space="preserve"> Certificate I, or compulsory secondary education</w:t>
                  </w:r>
                  <w:r>
                    <w:t>.</w:t>
                  </w:r>
                </w:p>
              </w:tc>
            </w:tr>
            <w:tr w:rsidR="00986D7D" w14:paraId="04CE3704" w14:textId="77777777" w:rsidTr="00986D7D">
              <w:tc>
                <w:tcPr>
                  <w:tcW w:w="0" w:type="auto"/>
                  <w:shd w:val="clear" w:color="auto" w:fill="D9D9D9" w:themeFill="background1" w:themeFillShade="D9"/>
                </w:tcPr>
                <w:p w14:paraId="7D386937" w14:textId="0DA1F785" w:rsidR="00986D7D" w:rsidRDefault="00986D7D" w:rsidP="00890181">
                  <w:pPr>
                    <w:pStyle w:val="TableBodyText"/>
                    <w:jc w:val="left"/>
                  </w:pPr>
                  <w:r>
                    <w:t>5</w:t>
                  </w:r>
                </w:p>
              </w:tc>
              <w:tc>
                <w:tcPr>
                  <w:tcW w:w="0" w:type="auto"/>
                  <w:shd w:val="clear" w:color="auto" w:fill="D9D9D9" w:themeFill="background1" w:themeFillShade="D9"/>
                </w:tcPr>
                <w:p w14:paraId="782966C7" w14:textId="19A16111" w:rsidR="00986D7D" w:rsidRDefault="00986D7D" w:rsidP="00890181">
                  <w:pPr>
                    <w:pStyle w:val="TableBodyText"/>
                    <w:jc w:val="left"/>
                  </w:pPr>
                  <w:r>
                    <w:t>Clerical and administrative workers</w:t>
                  </w:r>
                </w:p>
              </w:tc>
              <w:tc>
                <w:tcPr>
                  <w:tcW w:w="3433" w:type="dxa"/>
                  <w:shd w:val="clear" w:color="auto" w:fill="D9D9D9" w:themeFill="background1" w:themeFillShade="D9"/>
                </w:tcPr>
                <w:p w14:paraId="6758CD9C" w14:textId="3582E430" w:rsidR="00986D7D" w:rsidRDefault="00986D7D" w:rsidP="00986D7D">
                  <w:pPr>
                    <w:pStyle w:val="TableBodyText"/>
                    <w:jc w:val="left"/>
                  </w:pPr>
                  <w:r w:rsidRPr="00975EA1">
                    <w:t>Provide support to Managers, Professionals and organisations by organising, storing, manipulating and retrieving information.</w:t>
                  </w:r>
                </w:p>
              </w:tc>
              <w:tc>
                <w:tcPr>
                  <w:tcW w:w="3264" w:type="dxa"/>
                  <w:shd w:val="clear" w:color="auto" w:fill="D9D9D9" w:themeFill="background1" w:themeFillShade="D9"/>
                </w:tcPr>
                <w:p w14:paraId="572ADB07" w14:textId="77777777" w:rsidR="00986D7D" w:rsidRDefault="00986D7D" w:rsidP="00986D7D">
                  <w:pPr>
                    <w:pStyle w:val="TableBullet"/>
                  </w:pPr>
                  <w:r w:rsidRPr="00F337FE">
                    <w:t>Associate Degree, Advanced Diploma or Diploma, or at least three years of relevant experience; or </w:t>
                  </w:r>
                </w:p>
                <w:p w14:paraId="22217F20" w14:textId="77777777" w:rsidR="00986D7D" w:rsidRDefault="00986D7D" w:rsidP="00986D7D">
                  <w:pPr>
                    <w:pStyle w:val="TableBullet"/>
                  </w:pPr>
                  <w:r w:rsidRPr="00F337FE">
                    <w:t>Certificate III including at least two years of on</w:t>
                  </w:r>
                  <w:r>
                    <w:noBreakHyphen/>
                  </w:r>
                  <w:r w:rsidRPr="00F337FE">
                    <w:t>the</w:t>
                  </w:r>
                  <w:r>
                    <w:noBreakHyphen/>
                  </w:r>
                  <w:r w:rsidRPr="00F337FE">
                    <w:t>job training, or Certificate IV, or at least three years of relevant experience; or </w:t>
                  </w:r>
                </w:p>
                <w:p w14:paraId="7A16B175" w14:textId="77777777" w:rsidR="00986D7D" w:rsidRPr="00390779" w:rsidRDefault="00986D7D" w:rsidP="00986D7D">
                  <w:pPr>
                    <w:pStyle w:val="TableBullet"/>
                  </w:pPr>
                  <w:r w:rsidRPr="00F337FE">
                    <w:t>Certificate II or III, or at least one year of relevant experience; or</w:t>
                  </w:r>
                  <w:r w:rsidRPr="00390779">
                    <w:t> </w:t>
                  </w:r>
                </w:p>
                <w:p w14:paraId="54D4DA79" w14:textId="53A2D69B" w:rsidR="00986D7D" w:rsidRDefault="00986D7D" w:rsidP="00986D7D">
                  <w:pPr>
                    <w:pStyle w:val="TableBullet"/>
                  </w:pPr>
                  <w:r w:rsidRPr="00F337FE">
                    <w:t>Certificate I, or compulsory secondary education</w:t>
                  </w:r>
                  <w:r w:rsidRPr="00390779">
                    <w:t>.</w:t>
                  </w:r>
                </w:p>
              </w:tc>
            </w:tr>
          </w:tbl>
          <w:p w14:paraId="4D22835C" w14:textId="77777777" w:rsidR="00890181" w:rsidRDefault="00890181" w:rsidP="00890181">
            <w:pPr>
              <w:pStyle w:val="Box"/>
            </w:pPr>
          </w:p>
        </w:tc>
      </w:tr>
      <w:tr w:rsidR="00890181" w14:paraId="33FD6E73" w14:textId="77777777" w:rsidTr="00986D7D">
        <w:trPr>
          <w:cantSplit/>
        </w:trPr>
        <w:tc>
          <w:tcPr>
            <w:tcW w:w="8771" w:type="dxa"/>
            <w:tcBorders>
              <w:top w:val="nil"/>
              <w:left w:val="nil"/>
              <w:bottom w:val="nil"/>
              <w:right w:val="nil"/>
            </w:tcBorders>
            <w:shd w:val="clear" w:color="auto" w:fill="auto"/>
          </w:tcPr>
          <w:p w14:paraId="6DECE440" w14:textId="27542D5F" w:rsidR="00890181" w:rsidRDefault="00986D7D" w:rsidP="00986D7D">
            <w:pPr>
              <w:pStyle w:val="Continued"/>
            </w:pPr>
            <w:r>
              <w:t>(Continued next page)</w:t>
            </w:r>
          </w:p>
        </w:tc>
      </w:tr>
      <w:tr w:rsidR="00890181" w14:paraId="6AB1FA72" w14:textId="77777777" w:rsidTr="00986D7D">
        <w:trPr>
          <w:cantSplit/>
        </w:trPr>
        <w:tc>
          <w:tcPr>
            <w:tcW w:w="8771" w:type="dxa"/>
            <w:tcBorders>
              <w:top w:val="nil"/>
              <w:left w:val="nil"/>
              <w:bottom w:val="single" w:sz="6" w:space="0" w:color="78A22F"/>
              <w:right w:val="nil"/>
            </w:tcBorders>
            <w:shd w:val="clear" w:color="auto" w:fill="auto"/>
          </w:tcPr>
          <w:p w14:paraId="1C830DB8" w14:textId="77777777" w:rsidR="00890181" w:rsidRDefault="00890181" w:rsidP="00890181">
            <w:pPr>
              <w:pStyle w:val="Box"/>
              <w:spacing w:before="0" w:line="120" w:lineRule="exact"/>
            </w:pPr>
          </w:p>
        </w:tc>
      </w:tr>
      <w:tr w:rsidR="00890181" w:rsidRPr="000863A5" w14:paraId="1D62AB5E" w14:textId="77777777" w:rsidTr="00986D7D">
        <w:tc>
          <w:tcPr>
            <w:tcW w:w="8771" w:type="dxa"/>
            <w:tcBorders>
              <w:top w:val="single" w:sz="6" w:space="0" w:color="78A22F"/>
              <w:left w:val="nil"/>
              <w:bottom w:val="nil"/>
              <w:right w:val="nil"/>
            </w:tcBorders>
          </w:tcPr>
          <w:p w14:paraId="48E1E6DE" w14:textId="73BF4E51" w:rsidR="00890181" w:rsidRPr="00626D32" w:rsidRDefault="00890181" w:rsidP="00890181">
            <w:pPr>
              <w:pStyle w:val="BoxSpaceBelow"/>
            </w:pPr>
          </w:p>
        </w:tc>
      </w:tr>
    </w:tbl>
    <w:p w14:paraId="65D0FB14" w14:textId="69B0EA74" w:rsidR="00986D7D" w:rsidRDefault="00986D7D" w:rsidP="00986D7D">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71"/>
      </w:tblGrid>
      <w:tr w:rsidR="00986D7D" w14:paraId="41176DF5" w14:textId="77777777" w:rsidTr="008C6DAB">
        <w:tc>
          <w:tcPr>
            <w:tcW w:w="8771" w:type="dxa"/>
            <w:tcBorders>
              <w:top w:val="single" w:sz="6" w:space="0" w:color="78A22F"/>
              <w:left w:val="nil"/>
              <w:bottom w:val="nil"/>
              <w:right w:val="nil"/>
            </w:tcBorders>
            <w:shd w:val="clear" w:color="auto" w:fill="auto"/>
          </w:tcPr>
          <w:p w14:paraId="4C35A568" w14:textId="0FBCC772" w:rsidR="00986D7D" w:rsidRPr="00784A05" w:rsidRDefault="002E4B99" w:rsidP="00986D7D">
            <w:pPr>
              <w:pStyle w:val="TableTitle"/>
            </w:pPr>
            <w:r>
              <w:rPr>
                <w:b w:val="0"/>
              </w:rPr>
              <w:t>Table 1</w:t>
            </w:r>
            <w:r w:rsidR="00986D7D">
              <w:rPr>
                <w:b w:val="0"/>
              </w:rPr>
              <w:t>.2</w:t>
            </w:r>
            <w:r w:rsidR="00986D7D">
              <w:tab/>
            </w:r>
            <w:r w:rsidR="00986D7D" w:rsidRPr="00D05F07">
              <w:rPr>
                <w:b w:val="0"/>
                <w:sz w:val="18"/>
                <w:szCs w:val="18"/>
              </w:rPr>
              <w:t>(continued)</w:t>
            </w:r>
          </w:p>
        </w:tc>
      </w:tr>
      <w:tr w:rsidR="00986D7D" w14:paraId="22793A4E" w14:textId="77777777" w:rsidTr="008C6DAB">
        <w:trPr>
          <w:cantSplit/>
        </w:trPr>
        <w:tc>
          <w:tcPr>
            <w:tcW w:w="8771" w:type="dxa"/>
            <w:tcBorders>
              <w:top w:val="nil"/>
              <w:left w:val="nil"/>
              <w:bottom w:val="nil"/>
              <w:right w:val="nil"/>
            </w:tcBorders>
            <w:shd w:val="clear" w:color="auto" w:fill="auto"/>
          </w:tcPr>
          <w:tbl>
            <w:tblPr>
              <w:tblW w:w="0" w:type="auto"/>
              <w:tblCellMar>
                <w:top w:w="28" w:type="dxa"/>
                <w:left w:w="0" w:type="dxa"/>
                <w:right w:w="0" w:type="dxa"/>
              </w:tblCellMar>
              <w:tblLook w:val="0000" w:firstRow="0" w:lastRow="0" w:firstColumn="0" w:lastColumn="0" w:noHBand="0" w:noVBand="0"/>
            </w:tblPr>
            <w:tblGrid>
              <w:gridCol w:w="400"/>
              <w:gridCol w:w="1390"/>
              <w:gridCol w:w="3433"/>
              <w:gridCol w:w="3264"/>
            </w:tblGrid>
            <w:tr w:rsidR="00986D7D" w14:paraId="2D21B18D" w14:textId="77777777" w:rsidTr="008C6DAB">
              <w:tc>
                <w:tcPr>
                  <w:tcW w:w="0" w:type="auto"/>
                  <w:tcBorders>
                    <w:top w:val="single" w:sz="6" w:space="0" w:color="BFBFBF"/>
                    <w:bottom w:val="single" w:sz="6" w:space="0" w:color="BFBFBF"/>
                  </w:tcBorders>
                </w:tcPr>
                <w:p w14:paraId="3AE22E6A" w14:textId="583C1802" w:rsidR="00986D7D" w:rsidRDefault="00986D7D" w:rsidP="008C6DAB">
                  <w:pPr>
                    <w:pStyle w:val="TableColumnHeading"/>
                    <w:jc w:val="left"/>
                  </w:pPr>
                  <w:r>
                    <w:t>No</w:t>
                  </w:r>
                  <w:r w:rsidR="002E4B99">
                    <w:t>.</w:t>
                  </w:r>
                </w:p>
              </w:tc>
              <w:tc>
                <w:tcPr>
                  <w:tcW w:w="0" w:type="auto"/>
                  <w:tcBorders>
                    <w:top w:val="single" w:sz="6" w:space="0" w:color="BFBFBF"/>
                    <w:bottom w:val="single" w:sz="6" w:space="0" w:color="BFBFBF"/>
                  </w:tcBorders>
                  <w:shd w:val="clear" w:color="auto" w:fill="auto"/>
                  <w:tcMar>
                    <w:top w:w="28" w:type="dxa"/>
                  </w:tcMar>
                </w:tcPr>
                <w:p w14:paraId="121B6D41" w14:textId="77777777" w:rsidR="00986D7D" w:rsidRDefault="00986D7D" w:rsidP="008C6DAB">
                  <w:pPr>
                    <w:pStyle w:val="TableColumnHeading"/>
                    <w:jc w:val="left"/>
                  </w:pPr>
                  <w:r>
                    <w:t>Major group</w:t>
                  </w:r>
                </w:p>
              </w:tc>
              <w:tc>
                <w:tcPr>
                  <w:tcW w:w="3433" w:type="dxa"/>
                  <w:tcBorders>
                    <w:top w:val="single" w:sz="6" w:space="0" w:color="BFBFBF"/>
                    <w:bottom w:val="single" w:sz="6" w:space="0" w:color="BFBFBF"/>
                  </w:tcBorders>
                  <w:shd w:val="clear" w:color="auto" w:fill="auto"/>
                  <w:tcMar>
                    <w:top w:w="28" w:type="dxa"/>
                  </w:tcMar>
                  <w:vAlign w:val="center"/>
                </w:tcPr>
                <w:p w14:paraId="413B1ACC" w14:textId="77777777" w:rsidR="00986D7D" w:rsidRDefault="00986D7D" w:rsidP="008C6DAB">
                  <w:pPr>
                    <w:pStyle w:val="TableColumnHeading"/>
                    <w:jc w:val="left"/>
                  </w:pPr>
                  <w:r>
                    <w:t>Description</w:t>
                  </w:r>
                </w:p>
              </w:tc>
              <w:tc>
                <w:tcPr>
                  <w:tcW w:w="3264" w:type="dxa"/>
                  <w:tcBorders>
                    <w:top w:val="single" w:sz="6" w:space="0" w:color="BFBFBF"/>
                    <w:bottom w:val="single" w:sz="6" w:space="0" w:color="BFBFBF"/>
                  </w:tcBorders>
                  <w:shd w:val="clear" w:color="auto" w:fill="auto"/>
                  <w:tcMar>
                    <w:top w:w="28" w:type="dxa"/>
                  </w:tcMar>
                  <w:vAlign w:val="center"/>
                </w:tcPr>
                <w:p w14:paraId="137FE931" w14:textId="77777777" w:rsidR="00986D7D" w:rsidRDefault="00986D7D" w:rsidP="008C6DAB">
                  <w:pPr>
                    <w:pStyle w:val="TableColumnHeading"/>
                    <w:ind w:right="28"/>
                    <w:jc w:val="left"/>
                  </w:pPr>
                  <w:r>
                    <w:t>Predominant skill levels</w:t>
                  </w:r>
                </w:p>
              </w:tc>
            </w:tr>
            <w:tr w:rsidR="00986D7D" w14:paraId="30AFFB14" w14:textId="77777777" w:rsidTr="00986D7D">
              <w:trPr>
                <w:trHeight w:val="2741"/>
              </w:trPr>
              <w:tc>
                <w:tcPr>
                  <w:tcW w:w="0" w:type="auto"/>
                  <w:tcBorders>
                    <w:top w:val="single" w:sz="6" w:space="0" w:color="BFBFBF"/>
                  </w:tcBorders>
                </w:tcPr>
                <w:p w14:paraId="00A54345" w14:textId="544C6A3D" w:rsidR="00986D7D" w:rsidRDefault="00986D7D" w:rsidP="008C6DAB">
                  <w:pPr>
                    <w:pStyle w:val="TableUnitsRow"/>
                    <w:jc w:val="left"/>
                  </w:pPr>
                  <w:r>
                    <w:t>6</w:t>
                  </w:r>
                </w:p>
              </w:tc>
              <w:tc>
                <w:tcPr>
                  <w:tcW w:w="0" w:type="auto"/>
                  <w:tcBorders>
                    <w:top w:val="single" w:sz="6" w:space="0" w:color="BFBFBF"/>
                  </w:tcBorders>
                </w:tcPr>
                <w:p w14:paraId="5F1267C2" w14:textId="1294785C" w:rsidR="00986D7D" w:rsidRDefault="00986D7D" w:rsidP="008C6DAB">
                  <w:pPr>
                    <w:pStyle w:val="TableUnitsRow"/>
                    <w:jc w:val="left"/>
                  </w:pPr>
                  <w:r>
                    <w:t>Sales workers</w:t>
                  </w:r>
                </w:p>
              </w:tc>
              <w:tc>
                <w:tcPr>
                  <w:tcW w:w="3433" w:type="dxa"/>
                  <w:tcBorders>
                    <w:top w:val="single" w:sz="6" w:space="0" w:color="BFBFBF"/>
                  </w:tcBorders>
                </w:tcPr>
                <w:p w14:paraId="64DA1EDC" w14:textId="29F8AC02" w:rsidR="00986D7D" w:rsidRPr="00975EA1" w:rsidRDefault="00986D7D" w:rsidP="008C6DAB">
                  <w:pPr>
                    <w:pStyle w:val="TableBodyText"/>
                    <w:jc w:val="left"/>
                  </w:pPr>
                  <w:r>
                    <w:t>S</w:t>
                  </w:r>
                  <w:r w:rsidRPr="00975EA1">
                    <w:t>ell goods, services and property, and provide sales support in areas such as operating cash registers and displaying and demonstrating goods.</w:t>
                  </w:r>
                </w:p>
                <w:p w14:paraId="6023786F" w14:textId="1EDEDC07" w:rsidR="00986D7D" w:rsidRDefault="00986D7D" w:rsidP="008C6DAB">
                  <w:pPr>
                    <w:pStyle w:val="TableUnitsRow"/>
                    <w:jc w:val="left"/>
                  </w:pPr>
                  <w:r w:rsidRPr="00975EA1">
                    <w:t>ICT and Technical Sales Representatives are excluded from this major group.</w:t>
                  </w:r>
                  <w:r>
                    <w:t xml:space="preserve"> </w:t>
                  </w:r>
                </w:p>
              </w:tc>
              <w:tc>
                <w:tcPr>
                  <w:tcW w:w="3264" w:type="dxa"/>
                  <w:tcBorders>
                    <w:top w:val="single" w:sz="6" w:space="0" w:color="BFBFBF"/>
                  </w:tcBorders>
                </w:tcPr>
                <w:p w14:paraId="66ABC6EA" w14:textId="77777777" w:rsidR="00986D7D" w:rsidRPr="00390779" w:rsidRDefault="00986D7D" w:rsidP="00986D7D">
                  <w:pPr>
                    <w:pStyle w:val="TableBullet"/>
                  </w:pPr>
                  <w:r w:rsidRPr="00390779">
                    <w:t>Associate Degree, Advanced Diploma or Diploma, or at least three years of relevant experience; or </w:t>
                  </w:r>
                </w:p>
                <w:p w14:paraId="66FAFF0F" w14:textId="77777777" w:rsidR="00986D7D" w:rsidRDefault="00986D7D" w:rsidP="00986D7D">
                  <w:pPr>
                    <w:pStyle w:val="TableBullet"/>
                  </w:pPr>
                  <w:r w:rsidRPr="00390779">
                    <w:t>Certificate III including at least two years of on</w:t>
                  </w:r>
                  <w:r>
                    <w:noBreakHyphen/>
                  </w:r>
                  <w:r w:rsidRPr="00390779">
                    <w:t>the</w:t>
                  </w:r>
                  <w:r>
                    <w:noBreakHyphen/>
                  </w:r>
                  <w:r w:rsidRPr="00390779">
                    <w:t>job training</w:t>
                  </w:r>
                  <w:r>
                    <w:t>;</w:t>
                  </w:r>
                  <w:r w:rsidRPr="00390779">
                    <w:t xml:space="preserve"> or</w:t>
                  </w:r>
                </w:p>
                <w:p w14:paraId="4617CC8C" w14:textId="77777777" w:rsidR="00986D7D" w:rsidRPr="00390779" w:rsidRDefault="00986D7D" w:rsidP="00986D7D">
                  <w:pPr>
                    <w:pStyle w:val="TableBullet"/>
                  </w:pPr>
                  <w:r w:rsidRPr="00390779">
                    <w:t>Certificate IV, or at least three years of relevant experience; or</w:t>
                  </w:r>
                  <w:r>
                    <w:t xml:space="preserve"> </w:t>
                  </w:r>
                </w:p>
                <w:p w14:paraId="1A0EF87E" w14:textId="77777777" w:rsidR="00986D7D" w:rsidRPr="00390779" w:rsidRDefault="00986D7D" w:rsidP="00986D7D">
                  <w:pPr>
                    <w:pStyle w:val="TableBullet"/>
                  </w:pPr>
                  <w:r w:rsidRPr="00390779">
                    <w:t>Certificate II or III, or at least one year of relevant experience; or </w:t>
                  </w:r>
                </w:p>
                <w:p w14:paraId="0AC4885C" w14:textId="0256D646" w:rsidR="00986D7D" w:rsidRDefault="00986D7D" w:rsidP="00986D7D">
                  <w:pPr>
                    <w:pStyle w:val="TableBullet"/>
                  </w:pPr>
                  <w:r w:rsidRPr="00390779">
                    <w:t>Certificate I, or compulsory secondary education.</w:t>
                  </w:r>
                </w:p>
              </w:tc>
            </w:tr>
            <w:tr w:rsidR="00986D7D" w14:paraId="4CDD2251" w14:textId="77777777" w:rsidTr="00986D7D">
              <w:trPr>
                <w:trHeight w:val="1250"/>
              </w:trPr>
              <w:tc>
                <w:tcPr>
                  <w:tcW w:w="0" w:type="auto"/>
                  <w:shd w:val="clear" w:color="auto" w:fill="D9D9D9" w:themeFill="background1" w:themeFillShade="D9"/>
                </w:tcPr>
                <w:p w14:paraId="6A3FF6F2" w14:textId="346BB50C" w:rsidR="00986D7D" w:rsidRDefault="00986D7D" w:rsidP="008C6DAB">
                  <w:pPr>
                    <w:pStyle w:val="TableBodyText"/>
                    <w:jc w:val="left"/>
                  </w:pPr>
                  <w:r>
                    <w:t>7</w:t>
                  </w:r>
                </w:p>
              </w:tc>
              <w:tc>
                <w:tcPr>
                  <w:tcW w:w="0" w:type="auto"/>
                  <w:shd w:val="clear" w:color="auto" w:fill="D9D9D9" w:themeFill="background1" w:themeFillShade="D9"/>
                </w:tcPr>
                <w:p w14:paraId="32F18319" w14:textId="230D5C30" w:rsidR="00986D7D" w:rsidRDefault="00986D7D" w:rsidP="008C6DAB">
                  <w:pPr>
                    <w:pStyle w:val="TableBodyText"/>
                    <w:jc w:val="left"/>
                  </w:pPr>
                  <w:r>
                    <w:t>Machinery operators and drivers</w:t>
                  </w:r>
                </w:p>
              </w:tc>
              <w:tc>
                <w:tcPr>
                  <w:tcW w:w="3433" w:type="dxa"/>
                  <w:shd w:val="clear" w:color="auto" w:fill="D9D9D9" w:themeFill="background1" w:themeFillShade="D9"/>
                </w:tcPr>
                <w:p w14:paraId="763F201C" w14:textId="0D41D3E3" w:rsidR="00986D7D" w:rsidRDefault="00986D7D" w:rsidP="008C6DAB">
                  <w:pPr>
                    <w:pStyle w:val="TableBodyText"/>
                    <w:jc w:val="left"/>
                  </w:pPr>
                  <w:r>
                    <w:t>O</w:t>
                  </w:r>
                  <w:r w:rsidRPr="00975EA1">
                    <w:t>perate machines, plant, vehicles and other equipment to perform a range of agricultural, manufacturing and construction functions, move materials, and transport passengers and freight.</w:t>
                  </w:r>
                </w:p>
              </w:tc>
              <w:tc>
                <w:tcPr>
                  <w:tcW w:w="3264" w:type="dxa"/>
                  <w:shd w:val="clear" w:color="auto" w:fill="D9D9D9" w:themeFill="background1" w:themeFillShade="D9"/>
                </w:tcPr>
                <w:p w14:paraId="6EBFBDB1" w14:textId="5866FA4B" w:rsidR="00986D7D" w:rsidRDefault="00986D7D" w:rsidP="00986D7D">
                  <w:pPr>
                    <w:pStyle w:val="TableBullet"/>
                  </w:pPr>
                  <w:r w:rsidRPr="00390779">
                    <w:t>Certificate II or III</w:t>
                  </w:r>
                  <w:r>
                    <w:t xml:space="preserve">. </w:t>
                  </w:r>
                </w:p>
              </w:tc>
            </w:tr>
            <w:tr w:rsidR="00986D7D" w14:paraId="3544FBDD" w14:textId="77777777" w:rsidTr="00986D7D">
              <w:tc>
                <w:tcPr>
                  <w:tcW w:w="0" w:type="auto"/>
                  <w:tcBorders>
                    <w:bottom w:val="single" w:sz="4" w:space="0" w:color="BFBFBF"/>
                  </w:tcBorders>
                </w:tcPr>
                <w:p w14:paraId="5A7A505F" w14:textId="0C4709CB" w:rsidR="00986D7D" w:rsidRDefault="00986D7D" w:rsidP="008C6DAB">
                  <w:pPr>
                    <w:pStyle w:val="TableBodyText"/>
                    <w:jc w:val="left"/>
                  </w:pPr>
                  <w:r>
                    <w:t>8</w:t>
                  </w:r>
                </w:p>
              </w:tc>
              <w:tc>
                <w:tcPr>
                  <w:tcW w:w="0" w:type="auto"/>
                  <w:tcBorders>
                    <w:bottom w:val="single" w:sz="4" w:space="0" w:color="BFBFBF"/>
                  </w:tcBorders>
                </w:tcPr>
                <w:p w14:paraId="216A2946" w14:textId="1C4F692B" w:rsidR="00986D7D" w:rsidRDefault="00986D7D" w:rsidP="008C6DAB">
                  <w:pPr>
                    <w:pStyle w:val="TableBodyText"/>
                    <w:jc w:val="left"/>
                  </w:pPr>
                  <w:r>
                    <w:t>Labourers</w:t>
                  </w:r>
                </w:p>
              </w:tc>
              <w:tc>
                <w:tcPr>
                  <w:tcW w:w="3433" w:type="dxa"/>
                  <w:tcBorders>
                    <w:bottom w:val="single" w:sz="4" w:space="0" w:color="BFBFBF"/>
                  </w:tcBorders>
                </w:tcPr>
                <w:p w14:paraId="00BE3754" w14:textId="192A2EEC" w:rsidR="00986D7D" w:rsidRDefault="00986D7D" w:rsidP="00986D7D">
                  <w:pPr>
                    <w:pStyle w:val="TableBodyText"/>
                    <w:jc w:val="left"/>
                  </w:pPr>
                  <w:r>
                    <w:t>P</w:t>
                  </w:r>
                  <w:r w:rsidRPr="00975EA1">
                    <w:t>erform a variety of routine and repetitive physical tasks using hand and power tools, and machines either as an individual or as part of a team assisting more skilled workers such as Trades Workers, and Machinery Operators and Drivers.</w:t>
                  </w:r>
                </w:p>
              </w:tc>
              <w:tc>
                <w:tcPr>
                  <w:tcW w:w="3264" w:type="dxa"/>
                  <w:tcBorders>
                    <w:bottom w:val="single" w:sz="4" w:space="0" w:color="BFBFBF"/>
                  </w:tcBorders>
                </w:tcPr>
                <w:p w14:paraId="7ED69F68" w14:textId="77777777" w:rsidR="00986D7D" w:rsidRDefault="00986D7D" w:rsidP="00986D7D">
                  <w:pPr>
                    <w:pStyle w:val="TableBullet"/>
                  </w:pPr>
                  <w:r w:rsidRPr="00390779">
                    <w:t>Certificate II or III, or at least one year of relevant experience (</w:t>
                  </w:r>
                  <w:proofErr w:type="spellStart"/>
                  <w:r w:rsidRPr="00390779">
                    <w:t>ANZSCO</w:t>
                  </w:r>
                  <w:proofErr w:type="spellEnd"/>
                  <w:r w:rsidRPr="00390779">
                    <w:t xml:space="preserve"> Skill Level 4); or </w:t>
                  </w:r>
                </w:p>
                <w:p w14:paraId="082CAF12" w14:textId="019CF84D" w:rsidR="00986D7D" w:rsidRDefault="00986D7D" w:rsidP="00986D7D">
                  <w:pPr>
                    <w:pStyle w:val="TableBullet"/>
                  </w:pPr>
                  <w:r w:rsidRPr="00390779">
                    <w:t>Certificate I, or compulsory secondary education</w:t>
                  </w:r>
                  <w:r>
                    <w:t xml:space="preserve">. </w:t>
                  </w:r>
                </w:p>
              </w:tc>
            </w:tr>
          </w:tbl>
          <w:p w14:paraId="6BD6975A" w14:textId="77777777" w:rsidR="00986D7D" w:rsidRDefault="00986D7D" w:rsidP="008C6DAB">
            <w:pPr>
              <w:pStyle w:val="Box"/>
            </w:pPr>
          </w:p>
        </w:tc>
      </w:tr>
      <w:tr w:rsidR="00986D7D" w14:paraId="5D564CB7" w14:textId="77777777" w:rsidTr="008C6DAB">
        <w:trPr>
          <w:cantSplit/>
        </w:trPr>
        <w:tc>
          <w:tcPr>
            <w:tcW w:w="8771" w:type="dxa"/>
            <w:tcBorders>
              <w:top w:val="nil"/>
              <w:left w:val="nil"/>
              <w:bottom w:val="nil"/>
              <w:right w:val="nil"/>
            </w:tcBorders>
            <w:shd w:val="clear" w:color="auto" w:fill="auto"/>
          </w:tcPr>
          <w:p w14:paraId="7309E2FF" w14:textId="556110B0" w:rsidR="00986D7D" w:rsidRDefault="00986D7D" w:rsidP="008C6DAB">
            <w:pPr>
              <w:pStyle w:val="Source"/>
            </w:pPr>
            <w:r>
              <w:rPr>
                <w:i/>
              </w:rPr>
              <w:t>Source</w:t>
            </w:r>
            <w:r w:rsidRPr="00167F06">
              <w:t xml:space="preserve">: </w:t>
            </w:r>
            <w:r>
              <w:t xml:space="preserve">ABS, </w:t>
            </w:r>
            <w:r w:rsidRPr="0037676B">
              <w:rPr>
                <w:i/>
              </w:rPr>
              <w:t>Australian and new Zealand Standard Classification of Occupations, 2013</w:t>
            </w:r>
            <w:r>
              <w:t>, cat. no. 1220.0, Version 1.2, June 2013.</w:t>
            </w:r>
          </w:p>
        </w:tc>
      </w:tr>
      <w:tr w:rsidR="00986D7D" w14:paraId="2A9100B3" w14:textId="77777777" w:rsidTr="008C6DAB">
        <w:trPr>
          <w:cantSplit/>
        </w:trPr>
        <w:tc>
          <w:tcPr>
            <w:tcW w:w="8771" w:type="dxa"/>
            <w:tcBorders>
              <w:top w:val="nil"/>
              <w:left w:val="nil"/>
              <w:bottom w:val="single" w:sz="6" w:space="0" w:color="78A22F"/>
              <w:right w:val="nil"/>
            </w:tcBorders>
            <w:shd w:val="clear" w:color="auto" w:fill="auto"/>
          </w:tcPr>
          <w:p w14:paraId="52CA00E4" w14:textId="77777777" w:rsidR="00986D7D" w:rsidRDefault="00986D7D" w:rsidP="008C6DAB">
            <w:pPr>
              <w:pStyle w:val="Box"/>
              <w:spacing w:before="0" w:line="120" w:lineRule="exact"/>
            </w:pPr>
          </w:p>
        </w:tc>
      </w:tr>
      <w:tr w:rsidR="00986D7D" w:rsidRPr="000863A5" w14:paraId="502489EE" w14:textId="77777777" w:rsidTr="008C6DAB">
        <w:tc>
          <w:tcPr>
            <w:tcW w:w="8771" w:type="dxa"/>
            <w:tcBorders>
              <w:top w:val="single" w:sz="6" w:space="0" w:color="78A22F"/>
              <w:left w:val="nil"/>
              <w:bottom w:val="nil"/>
              <w:right w:val="nil"/>
            </w:tcBorders>
          </w:tcPr>
          <w:p w14:paraId="17D48CA6" w14:textId="11B336C6" w:rsidR="00986D7D" w:rsidRPr="00626D32" w:rsidRDefault="00986D7D" w:rsidP="008C6DAB">
            <w:pPr>
              <w:pStyle w:val="BoxSpaceBelow"/>
            </w:pPr>
          </w:p>
        </w:tc>
      </w:tr>
    </w:tbl>
    <w:p w14:paraId="02844A18" w14:textId="77777777" w:rsidR="00CC6E40" w:rsidRPr="00D05F07" w:rsidRDefault="00CC6E40" w:rsidP="00D05F07">
      <w:pPr>
        <w:pStyle w:val="BodyText"/>
      </w:pPr>
      <w:r w:rsidRPr="00D05F07">
        <w:br w:type="page"/>
      </w:r>
    </w:p>
    <w:p w14:paraId="02844A19" w14:textId="3AABA215" w:rsidR="00AF597D" w:rsidRDefault="002E4B99" w:rsidP="00AF597D">
      <w:pPr>
        <w:pStyle w:val="Heading2"/>
      </w:pPr>
      <w:r>
        <w:lastRenderedPageBreak/>
        <w:t>Attachment 2</w:t>
      </w:r>
      <w:r w:rsidR="00AF597D">
        <w:tab/>
        <w:t xml:space="preserve">Coding details of </w:t>
      </w:r>
      <w:proofErr w:type="spellStart"/>
      <w:r w:rsidR="00776C79">
        <w:t>VURM</w:t>
      </w:r>
      <w:proofErr w:type="spellEnd"/>
      <w:r w:rsidR="00E22F86">
        <w:noBreakHyphen/>
        <w:t>MI</w:t>
      </w:r>
      <w:r w:rsidR="00AF597D">
        <w:t xml:space="preserve"> extensions </w:t>
      </w:r>
    </w:p>
    <w:p w14:paraId="02844A1A" w14:textId="33725A23" w:rsidR="00CE249C" w:rsidRDefault="00CE249C" w:rsidP="00CE249C">
      <w:pPr>
        <w:pStyle w:val="BodyText"/>
      </w:pPr>
      <w:r>
        <w:t>Th</w:t>
      </w:r>
      <w:r w:rsidR="00883DCD">
        <w:t>is</w:t>
      </w:r>
      <w:r>
        <w:t xml:space="preserve"> appendix provide</w:t>
      </w:r>
      <w:r w:rsidR="00883DCD">
        <w:t>s</w:t>
      </w:r>
      <w:r>
        <w:t xml:space="preserve"> coding changes to the standard </w:t>
      </w:r>
      <w:proofErr w:type="spellStart"/>
      <w:r w:rsidR="00776C79">
        <w:t>VURM</w:t>
      </w:r>
      <w:proofErr w:type="spellEnd"/>
      <w:r>
        <w:t xml:space="preserve"> to implement extensions for the Migrant Intake </w:t>
      </w:r>
      <w:r w:rsidR="004D4E21">
        <w:t>i</w:t>
      </w:r>
      <w:r>
        <w:t xml:space="preserve">nquiry </w:t>
      </w:r>
      <w:r w:rsidR="009A7435">
        <w:t>with respect to</w:t>
      </w:r>
      <w:r w:rsidR="002E4B99" w:rsidRPr="002E4B99">
        <w:t xml:space="preserve"> </w:t>
      </w:r>
      <w:r w:rsidR="002E4B99">
        <w:t>the modelling of</w:t>
      </w:r>
      <w:r w:rsidR="009A7435">
        <w:t>:</w:t>
      </w:r>
    </w:p>
    <w:p w14:paraId="02844A1B" w14:textId="6356C245" w:rsidR="009A7435" w:rsidRDefault="009A7435" w:rsidP="009A7435">
      <w:pPr>
        <w:pStyle w:val="ListBullet"/>
      </w:pPr>
      <w:r>
        <w:t xml:space="preserve">migrant </w:t>
      </w:r>
      <w:r w:rsidR="000F2538">
        <w:t>labour</w:t>
      </w:r>
      <w:r w:rsidR="002029F5">
        <w:t xml:space="preserve"> force</w:t>
      </w:r>
      <w:r>
        <w:t xml:space="preserve"> characteristics</w:t>
      </w:r>
    </w:p>
    <w:p w14:paraId="02844A1C" w14:textId="4E0C507C" w:rsidR="009A7435" w:rsidRDefault="009A7435" w:rsidP="009A7435">
      <w:pPr>
        <w:pStyle w:val="ListBullet"/>
      </w:pPr>
      <w:r>
        <w:t>the implications of dem</w:t>
      </w:r>
      <w:r w:rsidR="006445F4">
        <w:t>ographic change on health, aged</w:t>
      </w:r>
      <w:r w:rsidR="00E4769E">
        <w:t xml:space="preserve"> </w:t>
      </w:r>
      <w:r>
        <w:t>care and education.</w:t>
      </w:r>
    </w:p>
    <w:p w14:paraId="02844A1D" w14:textId="77777777" w:rsidR="00CE249C" w:rsidRDefault="009A7435" w:rsidP="00986D7D">
      <w:pPr>
        <w:pStyle w:val="Heading3"/>
        <w:spacing w:before="360"/>
      </w:pPr>
      <w:r>
        <w:t>E</w:t>
      </w:r>
      <w:r w:rsidR="00CE249C">
        <w:t xml:space="preserve">xtension for the modelling of migrant </w:t>
      </w:r>
      <w:r w:rsidR="000F2538">
        <w:t>labour</w:t>
      </w:r>
      <w:r w:rsidR="002029F5">
        <w:t xml:space="preserve"> force</w:t>
      </w:r>
      <w:r w:rsidR="00CE249C">
        <w:t xml:space="preserve"> characteristics</w:t>
      </w:r>
    </w:p>
    <w:p w14:paraId="02844A1E" w14:textId="2905893B" w:rsidR="009A7435" w:rsidRDefault="009F02EB" w:rsidP="009A7435">
      <w:pPr>
        <w:pStyle w:val="BodyText"/>
      </w:pPr>
      <w:r>
        <w:t>The modelling of NOM has been extended to allow t</w:t>
      </w:r>
      <w:r w:rsidR="00F13DD8">
        <w:t>he changes in NOM (</w:t>
      </w:r>
      <w:r>
        <w:t>equations </w:t>
      </w:r>
      <w:proofErr w:type="spellStart"/>
      <w:r w:rsidR="00F13DD8">
        <w:t>E_om</w:t>
      </w:r>
      <w:r>
        <w:t>2</w:t>
      </w:r>
      <w:proofErr w:type="spellEnd"/>
      <w:r w:rsidR="00F13DD8">
        <w:t xml:space="preserve"> in </w:t>
      </w:r>
      <w:r>
        <w:t>box </w:t>
      </w:r>
      <w:r w:rsidR="00672626">
        <w:t>2</w:t>
      </w:r>
      <w:r w:rsidR="00986D7D">
        <w:t>.1</w:t>
      </w:r>
      <w:r w:rsidR="00F13DD8">
        <w:t xml:space="preserve">) </w:t>
      </w:r>
      <w:r>
        <w:t xml:space="preserve">to be based on </w:t>
      </w:r>
      <w:r w:rsidR="00F13DD8">
        <w:t xml:space="preserve">the share of </w:t>
      </w:r>
      <w:r>
        <w:t xml:space="preserve">the Australian population </w:t>
      </w:r>
      <w:r w:rsidR="00F13DD8">
        <w:t xml:space="preserve">in each age, gender and </w:t>
      </w:r>
      <w:r w:rsidR="008E53C9">
        <w:t xml:space="preserve">region </w:t>
      </w:r>
      <w:r w:rsidR="00F13DD8">
        <w:t xml:space="preserve">cohort. </w:t>
      </w:r>
      <w:r>
        <w:t xml:space="preserve">Previously NOM was based on the age, gender and </w:t>
      </w:r>
      <w:r w:rsidR="008E53C9">
        <w:t xml:space="preserve">region </w:t>
      </w:r>
      <w:r>
        <w:t>profile of NOM. Now a scenario can be based on either the NOM profile or on the Australian population profile.</w:t>
      </w:r>
      <w:r w:rsidR="00D341EE">
        <w:t xml:space="preserve"> </w:t>
      </w:r>
    </w:p>
    <w:p w14:paraId="36CB2306" w14:textId="4316128B" w:rsidR="00365EE5" w:rsidRDefault="00365EE5">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365EE5" w14:paraId="1127776D" w14:textId="77777777" w:rsidTr="00EB0968">
        <w:tc>
          <w:tcPr>
            <w:tcW w:w="8771" w:type="dxa"/>
            <w:tcBorders>
              <w:top w:val="single" w:sz="6" w:space="0" w:color="78A22F"/>
              <w:left w:val="nil"/>
              <w:bottom w:val="nil"/>
              <w:right w:val="nil"/>
            </w:tcBorders>
            <w:shd w:val="clear" w:color="auto" w:fill="F2F2F2"/>
          </w:tcPr>
          <w:p w14:paraId="2A0B5E25" w14:textId="7CBC1A85" w:rsidR="00365EE5" w:rsidRDefault="00365EE5" w:rsidP="00986D7D">
            <w:pPr>
              <w:pStyle w:val="BoxTitle"/>
            </w:pPr>
            <w:r>
              <w:rPr>
                <w:b w:val="0"/>
              </w:rPr>
              <w:t xml:space="preserve">Box </w:t>
            </w:r>
            <w:r w:rsidR="00672626">
              <w:rPr>
                <w:b w:val="0"/>
              </w:rPr>
              <w:t>2</w:t>
            </w:r>
            <w:r w:rsidR="00612FEF" w:rsidRPr="00986D7D">
              <w:rPr>
                <w:b w:val="0"/>
              </w:rPr>
              <w:t>.</w:t>
            </w:r>
            <w:r w:rsidR="00986D7D" w:rsidRPr="00986D7D">
              <w:rPr>
                <w:b w:val="0"/>
              </w:rPr>
              <w:t>1</w:t>
            </w:r>
            <w:r>
              <w:tab/>
              <w:t>Coding details for the modelling of the age, gender and state profile of NOM</w:t>
            </w:r>
          </w:p>
        </w:tc>
      </w:tr>
      <w:tr w:rsidR="00365EE5" w14:paraId="2B897362" w14:textId="77777777" w:rsidTr="00EB0968">
        <w:trPr>
          <w:cantSplit/>
        </w:trPr>
        <w:tc>
          <w:tcPr>
            <w:tcW w:w="8771" w:type="dxa"/>
            <w:tcBorders>
              <w:top w:val="nil"/>
              <w:left w:val="nil"/>
              <w:bottom w:val="nil"/>
              <w:right w:val="nil"/>
            </w:tcBorders>
            <w:shd w:val="clear" w:color="auto" w:fill="F2F2F2"/>
          </w:tcPr>
          <w:p w14:paraId="321D5D1A" w14:textId="6E6120C6" w:rsidR="00365EE5" w:rsidRDefault="00365EE5" w:rsidP="00365EE5">
            <w:pPr>
              <w:pStyle w:val="Box"/>
            </w:pPr>
            <w:r w:rsidRPr="009D311C">
              <w:rPr>
                <w:rFonts w:ascii="Consolas" w:hAnsi="Consolas" w:cs="Consolas"/>
                <w:i/>
                <w:iCs/>
                <w:color w:val="0000F0"/>
              </w:rPr>
              <w:t>! Allocate projected NOM using existing population shares !</w:t>
            </w:r>
            <w:r w:rsidRPr="009D311C">
              <w:rPr>
                <w:rFonts w:ascii="Consolas" w:hAnsi="Consolas" w:cs="Consolas"/>
                <w:color w:val="000000"/>
              </w:rPr>
              <w:br/>
            </w:r>
            <w:r w:rsidRPr="009D311C">
              <w:rPr>
                <w:rFonts w:ascii="Consolas" w:hAnsi="Consolas" w:cs="Consolas"/>
                <w:b/>
                <w:bCs/>
                <w:color w:val="000000"/>
              </w:rPr>
              <w:t>Equation</w:t>
            </w:r>
            <w:r w:rsidRPr="009D311C">
              <w:rPr>
                <w:rFonts w:ascii="Consolas" w:hAnsi="Consolas" w:cs="Consolas"/>
                <w:color w:val="000000"/>
              </w:rPr>
              <w:t xml:space="preserve"> </w:t>
            </w:r>
            <w:proofErr w:type="spellStart"/>
            <w:r w:rsidRPr="009D311C">
              <w:rPr>
                <w:rFonts w:ascii="Consolas" w:hAnsi="Consolas" w:cs="Consolas"/>
                <w:color w:val="008000"/>
              </w:rPr>
              <w:t>E_om2</w:t>
            </w:r>
            <w:proofErr w:type="spellEnd"/>
            <w:r w:rsidRPr="009D311C">
              <w:rPr>
                <w:rFonts w:ascii="Consolas" w:hAnsi="Consolas" w:cs="Consolas"/>
                <w:color w:val="000000"/>
              </w:rPr>
              <w:t xml:space="preserve"> </w:t>
            </w:r>
            <w:r w:rsidRPr="009D311C">
              <w:rPr>
                <w:rFonts w:ascii="Consolas" w:hAnsi="Consolas" w:cs="Consolas"/>
                <w:i/>
                <w:iCs/>
                <w:color w:val="000000"/>
              </w:rPr>
              <w:t># Net overseas migration on an age at migration basis (000) #</w:t>
            </w:r>
            <w:r w:rsidRPr="009D311C">
              <w:rPr>
                <w:rFonts w:ascii="Consolas" w:hAnsi="Consolas" w:cs="Consolas"/>
                <w:color w:val="000000"/>
              </w:rPr>
              <w:br/>
              <w:t>(</w:t>
            </w:r>
            <w:proofErr w:type="spellStart"/>
            <w:r w:rsidRPr="009D311C">
              <w:rPr>
                <w:rFonts w:ascii="Consolas" w:hAnsi="Consolas" w:cs="Consolas"/>
                <w:b/>
                <w:bCs/>
                <w:color w:val="000000"/>
              </w:rPr>
              <w:t>all</w:t>
            </w:r>
            <w:r w:rsidRPr="009D311C">
              <w:rPr>
                <w:rFonts w:ascii="Consolas" w:hAnsi="Consolas" w:cs="Consolas"/>
                <w:color w:val="000000"/>
              </w:rPr>
              <w:t>,</w:t>
            </w:r>
            <w:r w:rsidRPr="009D311C">
              <w:rPr>
                <w:rFonts w:ascii="Consolas" w:hAnsi="Consolas" w:cs="Consolas"/>
                <w:color w:val="008000"/>
              </w:rPr>
              <w:t>x</w:t>
            </w:r>
            <w:r w:rsidRPr="009D311C">
              <w:rPr>
                <w:rFonts w:ascii="Consolas" w:hAnsi="Consolas" w:cs="Consolas"/>
                <w:color w:val="000000"/>
              </w:rPr>
              <w:t>,</w:t>
            </w:r>
            <w:r w:rsidRPr="009D311C">
              <w:rPr>
                <w:rFonts w:ascii="Consolas" w:hAnsi="Consolas" w:cs="Consolas"/>
                <w:color w:val="008000"/>
              </w:rPr>
              <w:t>AGE</w:t>
            </w:r>
            <w:proofErr w:type="spellEnd"/>
            <w:r w:rsidRPr="009D311C">
              <w:rPr>
                <w:rFonts w:ascii="Consolas" w:hAnsi="Consolas" w:cs="Consolas"/>
                <w:color w:val="000000"/>
              </w:rPr>
              <w:t>)(</w:t>
            </w:r>
            <w:proofErr w:type="spellStart"/>
            <w:r w:rsidRPr="009D311C">
              <w:rPr>
                <w:rFonts w:ascii="Consolas" w:hAnsi="Consolas" w:cs="Consolas"/>
                <w:b/>
                <w:bCs/>
                <w:color w:val="000000"/>
              </w:rPr>
              <w:t>all</w:t>
            </w:r>
            <w:r w:rsidRPr="009D311C">
              <w:rPr>
                <w:rFonts w:ascii="Consolas" w:hAnsi="Consolas" w:cs="Consolas"/>
                <w:color w:val="000000"/>
              </w:rPr>
              <w:t>,</w:t>
            </w:r>
            <w:r w:rsidRPr="009D311C">
              <w:rPr>
                <w:rFonts w:ascii="Consolas" w:hAnsi="Consolas" w:cs="Consolas"/>
                <w:color w:val="008000"/>
              </w:rPr>
              <w:t>g</w:t>
            </w:r>
            <w:r w:rsidRPr="009D311C">
              <w:rPr>
                <w:rFonts w:ascii="Consolas" w:hAnsi="Consolas" w:cs="Consolas"/>
                <w:color w:val="000000"/>
              </w:rPr>
              <w:t>,</w:t>
            </w:r>
            <w:r w:rsidRPr="009D311C">
              <w:rPr>
                <w:rFonts w:ascii="Consolas" w:hAnsi="Consolas" w:cs="Consolas"/>
                <w:color w:val="008000"/>
              </w:rPr>
              <w:t>GENDER</w:t>
            </w:r>
            <w:proofErr w:type="spellEnd"/>
            <w:r w:rsidRPr="009D311C">
              <w:rPr>
                <w:rFonts w:ascii="Consolas" w:hAnsi="Consolas" w:cs="Consolas"/>
                <w:color w:val="000000"/>
              </w:rPr>
              <w:t>)(</w:t>
            </w:r>
            <w:proofErr w:type="spellStart"/>
            <w:r w:rsidRPr="009D311C">
              <w:rPr>
                <w:rFonts w:ascii="Consolas" w:hAnsi="Consolas" w:cs="Consolas"/>
                <w:b/>
                <w:bCs/>
                <w:color w:val="000000"/>
              </w:rPr>
              <w:t>all</w:t>
            </w:r>
            <w:r w:rsidRPr="009D311C">
              <w:rPr>
                <w:rFonts w:ascii="Consolas" w:hAnsi="Consolas" w:cs="Consolas"/>
                <w:color w:val="000000"/>
              </w:rPr>
              <w:t>,</w:t>
            </w:r>
            <w:r w:rsidRPr="009D311C">
              <w:rPr>
                <w:rFonts w:ascii="Consolas" w:hAnsi="Consolas" w:cs="Consolas"/>
                <w:color w:val="008000"/>
              </w:rPr>
              <w:t>q</w:t>
            </w:r>
            <w:r w:rsidRPr="009D311C">
              <w:rPr>
                <w:rFonts w:ascii="Consolas" w:hAnsi="Consolas" w:cs="Consolas"/>
                <w:color w:val="000000"/>
              </w:rPr>
              <w:t>,</w:t>
            </w:r>
            <w:r w:rsidRPr="009D311C">
              <w:rPr>
                <w:rFonts w:ascii="Consolas" w:hAnsi="Consolas" w:cs="Consolas"/>
                <w:color w:val="008000"/>
              </w:rPr>
              <w:t>REGDST</w:t>
            </w:r>
            <w:proofErr w:type="spellEnd"/>
            <w:r w:rsidRPr="009D311C">
              <w:rPr>
                <w:rFonts w:ascii="Consolas" w:hAnsi="Consolas" w:cs="Consolas"/>
                <w:color w:val="000000"/>
              </w:rPr>
              <w:t>)</w:t>
            </w:r>
            <w:r w:rsidRPr="009D311C">
              <w:rPr>
                <w:rFonts w:ascii="Consolas" w:hAnsi="Consolas" w:cs="Consolas"/>
                <w:color w:val="000000"/>
              </w:rPr>
              <w:br/>
            </w:r>
            <w:r w:rsidRPr="009D311C">
              <w:rPr>
                <w:rFonts w:ascii="Consolas" w:hAnsi="Consolas" w:cs="Consolas"/>
                <w:color w:val="008000"/>
              </w:rPr>
              <w:t>om</w:t>
            </w:r>
            <w:r w:rsidRPr="009D311C">
              <w:rPr>
                <w:rFonts w:ascii="Consolas" w:hAnsi="Consolas" w:cs="Consolas"/>
                <w:color w:val="000000"/>
              </w:rPr>
              <w:t>(</w:t>
            </w:r>
            <w:proofErr w:type="spellStart"/>
            <w:r w:rsidRPr="009D311C">
              <w:rPr>
                <w:rFonts w:ascii="Consolas" w:hAnsi="Consolas" w:cs="Consolas"/>
                <w:color w:val="008000"/>
              </w:rPr>
              <w:t>x</w:t>
            </w:r>
            <w:r w:rsidRPr="009D311C">
              <w:rPr>
                <w:rFonts w:ascii="Consolas" w:hAnsi="Consolas" w:cs="Consolas"/>
                <w:color w:val="000000"/>
              </w:rPr>
              <w:t>,</w:t>
            </w:r>
            <w:r w:rsidRPr="009D311C">
              <w:rPr>
                <w:rFonts w:ascii="Consolas" w:hAnsi="Consolas" w:cs="Consolas"/>
                <w:color w:val="008000"/>
              </w:rPr>
              <w:t>g</w:t>
            </w:r>
            <w:r w:rsidRPr="009D311C">
              <w:rPr>
                <w:rFonts w:ascii="Consolas" w:hAnsi="Consolas" w:cs="Consolas"/>
                <w:color w:val="000000"/>
              </w:rPr>
              <w:t>,</w:t>
            </w:r>
            <w:r w:rsidRPr="009D311C">
              <w:rPr>
                <w:rFonts w:ascii="Consolas" w:hAnsi="Consolas" w:cs="Consolas"/>
                <w:color w:val="008000"/>
              </w:rPr>
              <w:t>q</w:t>
            </w:r>
            <w:proofErr w:type="spellEnd"/>
            <w:r w:rsidRPr="009D311C">
              <w:rPr>
                <w:rFonts w:ascii="Consolas" w:hAnsi="Consolas" w:cs="Consolas"/>
                <w:color w:val="000000"/>
              </w:rPr>
              <w:t>)=(1-</w:t>
            </w:r>
            <w:r w:rsidRPr="009D311C">
              <w:rPr>
                <w:rFonts w:ascii="Consolas" w:hAnsi="Consolas" w:cs="Consolas"/>
                <w:color w:val="008000"/>
              </w:rPr>
              <w:t>PROJECTION</w:t>
            </w:r>
            <w:r w:rsidRPr="009D311C">
              <w:rPr>
                <w:rFonts w:ascii="Consolas" w:hAnsi="Consolas" w:cs="Consolas"/>
                <w:color w:val="000000"/>
              </w:rPr>
              <w:t>)*</w:t>
            </w:r>
            <w:proofErr w:type="spellStart"/>
            <w:r w:rsidRPr="009D311C">
              <w:rPr>
                <w:rFonts w:ascii="Consolas" w:hAnsi="Consolas" w:cs="Consolas"/>
                <w:color w:val="008000"/>
              </w:rPr>
              <w:t>actualnom</w:t>
            </w:r>
            <w:proofErr w:type="spellEnd"/>
            <w:r w:rsidRPr="009D311C">
              <w:rPr>
                <w:rFonts w:ascii="Consolas" w:hAnsi="Consolas" w:cs="Consolas"/>
                <w:color w:val="000000"/>
              </w:rPr>
              <w:t>(</w:t>
            </w:r>
            <w:proofErr w:type="spellStart"/>
            <w:r w:rsidRPr="009D311C">
              <w:rPr>
                <w:rFonts w:ascii="Consolas" w:hAnsi="Consolas" w:cs="Consolas"/>
                <w:color w:val="008000"/>
              </w:rPr>
              <w:t>x</w:t>
            </w:r>
            <w:r w:rsidRPr="009D311C">
              <w:rPr>
                <w:rFonts w:ascii="Consolas" w:hAnsi="Consolas" w:cs="Consolas"/>
                <w:color w:val="000000"/>
              </w:rPr>
              <w:t>,</w:t>
            </w:r>
            <w:r w:rsidRPr="009D311C">
              <w:rPr>
                <w:rFonts w:ascii="Consolas" w:hAnsi="Consolas" w:cs="Consolas"/>
                <w:color w:val="008000"/>
              </w:rPr>
              <w:t>g</w:t>
            </w:r>
            <w:r w:rsidRPr="009D311C">
              <w:rPr>
                <w:rFonts w:ascii="Consolas" w:hAnsi="Consolas" w:cs="Consolas"/>
                <w:color w:val="000000"/>
              </w:rPr>
              <w:t>,</w:t>
            </w:r>
            <w:r w:rsidRPr="009D311C">
              <w:rPr>
                <w:rFonts w:ascii="Consolas" w:hAnsi="Consolas" w:cs="Consolas"/>
                <w:color w:val="008000"/>
              </w:rPr>
              <w:t>q</w:t>
            </w:r>
            <w:proofErr w:type="spellEnd"/>
            <w:r w:rsidRPr="009D311C">
              <w:rPr>
                <w:rFonts w:ascii="Consolas" w:hAnsi="Consolas" w:cs="Consolas"/>
                <w:color w:val="000000"/>
              </w:rPr>
              <w:t>)</w:t>
            </w:r>
            <w:r w:rsidRPr="00365EE5" w:rsidDel="00365EE5">
              <w:rPr>
                <w:rFonts w:ascii="Consolas" w:hAnsi="Consolas" w:cs="Consolas"/>
                <w:color w:val="008000"/>
              </w:rPr>
              <w:t xml:space="preserve"> </w:t>
            </w:r>
            <w:r>
              <w:rPr>
                <w:rFonts w:ascii="Consolas" w:hAnsi="Consolas" w:cs="Consolas"/>
                <w:color w:val="000000"/>
              </w:rPr>
              <w:t>+</w:t>
            </w:r>
            <w:r w:rsidRPr="009D311C">
              <w:rPr>
                <w:rFonts w:ascii="Consolas" w:hAnsi="Consolas" w:cs="Consolas"/>
                <w:color w:val="008000"/>
              </w:rPr>
              <w:t>PROJECTION</w:t>
            </w:r>
            <w:r w:rsidRPr="009D311C">
              <w:rPr>
                <w:rFonts w:ascii="Consolas" w:hAnsi="Consolas" w:cs="Consolas"/>
                <w:color w:val="000000"/>
              </w:rPr>
              <w:t>*</w:t>
            </w:r>
            <w:proofErr w:type="spellStart"/>
            <w:r w:rsidRPr="009D311C">
              <w:rPr>
                <w:rFonts w:ascii="Consolas" w:hAnsi="Consolas" w:cs="Consolas"/>
                <w:color w:val="008000"/>
              </w:rPr>
              <w:t>COHORT@1</w:t>
            </w:r>
            <w:proofErr w:type="spellEnd"/>
            <w:r w:rsidRPr="009D311C">
              <w:rPr>
                <w:rFonts w:ascii="Consolas" w:hAnsi="Consolas" w:cs="Consolas"/>
                <w:color w:val="000000"/>
              </w:rPr>
              <w:t>(</w:t>
            </w:r>
            <w:proofErr w:type="spellStart"/>
            <w:r w:rsidRPr="009D311C">
              <w:rPr>
                <w:rFonts w:ascii="Consolas" w:hAnsi="Consolas" w:cs="Consolas"/>
                <w:color w:val="008000"/>
              </w:rPr>
              <w:t>x</w:t>
            </w:r>
            <w:r w:rsidRPr="009D311C">
              <w:rPr>
                <w:rFonts w:ascii="Consolas" w:hAnsi="Consolas" w:cs="Consolas"/>
                <w:color w:val="000000"/>
              </w:rPr>
              <w:t>,</w:t>
            </w:r>
            <w:r w:rsidRPr="009D311C">
              <w:rPr>
                <w:rFonts w:ascii="Consolas" w:hAnsi="Consolas" w:cs="Consolas"/>
                <w:color w:val="008000"/>
              </w:rPr>
              <w:t>g</w:t>
            </w:r>
            <w:r w:rsidRPr="009D311C">
              <w:rPr>
                <w:rFonts w:ascii="Consolas" w:hAnsi="Consolas" w:cs="Consolas"/>
                <w:color w:val="000000"/>
              </w:rPr>
              <w:t>,</w:t>
            </w:r>
            <w:r w:rsidRPr="009D311C">
              <w:rPr>
                <w:rFonts w:ascii="Consolas" w:hAnsi="Consolas" w:cs="Consolas"/>
                <w:color w:val="008000"/>
              </w:rPr>
              <w:t>q</w:t>
            </w:r>
            <w:proofErr w:type="spellEnd"/>
            <w:r w:rsidRPr="009D311C">
              <w:rPr>
                <w:rFonts w:ascii="Consolas" w:hAnsi="Consolas" w:cs="Consolas"/>
                <w:color w:val="000000"/>
              </w:rPr>
              <w:t>)/</w:t>
            </w:r>
            <w:proofErr w:type="spellStart"/>
            <w:r w:rsidRPr="009D311C">
              <w:rPr>
                <w:rFonts w:ascii="Consolas" w:hAnsi="Consolas" w:cs="Consolas"/>
                <w:color w:val="008000"/>
              </w:rPr>
              <w:t>C_NATPOP</w:t>
            </w:r>
            <w:proofErr w:type="spellEnd"/>
            <w:r w:rsidRPr="009D311C">
              <w:rPr>
                <w:rFonts w:ascii="Consolas" w:hAnsi="Consolas" w:cs="Consolas"/>
                <w:color w:val="000000"/>
              </w:rPr>
              <w:t>*</w:t>
            </w:r>
            <w:proofErr w:type="spellStart"/>
            <w:r w:rsidRPr="009D311C">
              <w:rPr>
                <w:rFonts w:ascii="Consolas" w:hAnsi="Consolas" w:cs="Consolas"/>
                <w:color w:val="008000"/>
              </w:rPr>
              <w:t>projectnom</w:t>
            </w:r>
            <w:proofErr w:type="spellEnd"/>
            <w:r w:rsidRPr="009D311C">
              <w:rPr>
                <w:rFonts w:ascii="Consolas" w:hAnsi="Consolas" w:cs="Consolas"/>
                <w:color w:val="000000"/>
              </w:rPr>
              <w:t xml:space="preserve"> + </w:t>
            </w:r>
            <w:proofErr w:type="spellStart"/>
            <w:r w:rsidRPr="009D311C">
              <w:rPr>
                <w:rFonts w:ascii="Consolas" w:hAnsi="Consolas" w:cs="Consolas"/>
                <w:color w:val="008000"/>
              </w:rPr>
              <w:t>f_om2</w:t>
            </w:r>
            <w:proofErr w:type="spellEnd"/>
            <w:r w:rsidRPr="009D311C">
              <w:rPr>
                <w:rFonts w:ascii="Consolas" w:hAnsi="Consolas" w:cs="Consolas"/>
                <w:color w:val="000000"/>
              </w:rPr>
              <w:t>(</w:t>
            </w:r>
            <w:proofErr w:type="spellStart"/>
            <w:r w:rsidRPr="009D311C">
              <w:rPr>
                <w:rFonts w:ascii="Consolas" w:hAnsi="Consolas" w:cs="Consolas"/>
                <w:color w:val="008000"/>
              </w:rPr>
              <w:t>x</w:t>
            </w:r>
            <w:r w:rsidRPr="009D311C">
              <w:rPr>
                <w:rFonts w:ascii="Consolas" w:hAnsi="Consolas" w:cs="Consolas"/>
                <w:color w:val="000000"/>
              </w:rPr>
              <w:t>,</w:t>
            </w:r>
            <w:r w:rsidRPr="009D311C">
              <w:rPr>
                <w:rFonts w:ascii="Consolas" w:hAnsi="Consolas" w:cs="Consolas"/>
                <w:color w:val="008000"/>
              </w:rPr>
              <w:t>g</w:t>
            </w:r>
            <w:r w:rsidRPr="009D311C">
              <w:rPr>
                <w:rFonts w:ascii="Consolas" w:hAnsi="Consolas" w:cs="Consolas"/>
                <w:color w:val="000000"/>
              </w:rPr>
              <w:t>,</w:t>
            </w:r>
            <w:r w:rsidRPr="009D311C">
              <w:rPr>
                <w:rFonts w:ascii="Consolas" w:hAnsi="Consolas" w:cs="Consolas"/>
                <w:color w:val="008000"/>
              </w:rPr>
              <w:t>q</w:t>
            </w:r>
            <w:proofErr w:type="spellEnd"/>
            <w:r w:rsidRPr="009D311C">
              <w:rPr>
                <w:rFonts w:ascii="Consolas" w:hAnsi="Consolas" w:cs="Consolas"/>
                <w:color w:val="000000"/>
              </w:rPr>
              <w:t>);</w:t>
            </w:r>
          </w:p>
        </w:tc>
      </w:tr>
      <w:tr w:rsidR="00365EE5" w14:paraId="7B280BB1" w14:textId="77777777" w:rsidTr="00EB0968">
        <w:trPr>
          <w:cantSplit/>
        </w:trPr>
        <w:tc>
          <w:tcPr>
            <w:tcW w:w="8771" w:type="dxa"/>
            <w:tcBorders>
              <w:top w:val="nil"/>
              <w:left w:val="nil"/>
              <w:bottom w:val="nil"/>
              <w:right w:val="nil"/>
            </w:tcBorders>
            <w:shd w:val="clear" w:color="auto" w:fill="F2F2F2"/>
          </w:tcPr>
          <w:p w14:paraId="531C2E46" w14:textId="1FD73BDD" w:rsidR="00365EE5" w:rsidRDefault="00365EE5" w:rsidP="00FF3429">
            <w:pPr>
              <w:pStyle w:val="BoxSource"/>
            </w:pPr>
            <w:r>
              <w:rPr>
                <w:i/>
              </w:rPr>
              <w:t>Source</w:t>
            </w:r>
            <w:r w:rsidRPr="00167F06">
              <w:t xml:space="preserve">: </w:t>
            </w:r>
            <w:proofErr w:type="spellStart"/>
            <w:r w:rsidR="00FF3429">
              <w:t>VURM</w:t>
            </w:r>
            <w:proofErr w:type="spellEnd"/>
            <w:r w:rsidR="00FF3429">
              <w:noBreakHyphen/>
              <w:t>MI</w:t>
            </w:r>
            <w:r w:rsidR="00EB0968">
              <w:t>.</w:t>
            </w:r>
          </w:p>
        </w:tc>
      </w:tr>
      <w:tr w:rsidR="00365EE5" w14:paraId="4DC7396C" w14:textId="77777777" w:rsidTr="00EB0968">
        <w:trPr>
          <w:cantSplit/>
        </w:trPr>
        <w:tc>
          <w:tcPr>
            <w:tcW w:w="8771" w:type="dxa"/>
            <w:tcBorders>
              <w:top w:val="nil"/>
              <w:left w:val="nil"/>
              <w:bottom w:val="single" w:sz="6" w:space="0" w:color="78A22F"/>
              <w:right w:val="nil"/>
            </w:tcBorders>
            <w:shd w:val="clear" w:color="auto" w:fill="F2F2F2"/>
          </w:tcPr>
          <w:p w14:paraId="4A558474" w14:textId="77777777" w:rsidR="00365EE5" w:rsidRDefault="00365EE5">
            <w:pPr>
              <w:pStyle w:val="Box"/>
              <w:spacing w:before="0" w:line="120" w:lineRule="exact"/>
            </w:pPr>
          </w:p>
        </w:tc>
      </w:tr>
      <w:tr w:rsidR="00365EE5" w:rsidRPr="000863A5" w14:paraId="6F92A62B" w14:textId="77777777" w:rsidTr="00EB0968">
        <w:tc>
          <w:tcPr>
            <w:tcW w:w="8771" w:type="dxa"/>
            <w:tcBorders>
              <w:top w:val="single" w:sz="6" w:space="0" w:color="78A22F"/>
              <w:left w:val="nil"/>
              <w:bottom w:val="nil"/>
              <w:right w:val="nil"/>
            </w:tcBorders>
          </w:tcPr>
          <w:p w14:paraId="6EF2B18F" w14:textId="1F2DD46C" w:rsidR="00365EE5" w:rsidRPr="00626D32" w:rsidRDefault="00365EE5" w:rsidP="00EB0968">
            <w:pPr>
              <w:pStyle w:val="BoxSpaceBelow"/>
            </w:pPr>
          </w:p>
        </w:tc>
      </w:tr>
    </w:tbl>
    <w:p w14:paraId="02844A2B" w14:textId="4CA256D1" w:rsidR="009F02EB" w:rsidRDefault="009F02EB" w:rsidP="009F02EB">
      <w:pPr>
        <w:pStyle w:val="BodyText"/>
      </w:pPr>
      <w:r>
        <w:t>A further extension allows the modelling of the occupational profile of NOM. This is represented by altering the occupational mix of the change in the national labour supply (</w:t>
      </w:r>
      <w:proofErr w:type="spellStart"/>
      <w:r>
        <w:t>occtwist</w:t>
      </w:r>
      <w:proofErr w:type="spellEnd"/>
      <w:r>
        <w:t xml:space="preserve">(o) in equation </w:t>
      </w:r>
      <w:proofErr w:type="spellStart"/>
      <w:r>
        <w:t>E_natlab</w:t>
      </w:r>
      <w:proofErr w:type="spellEnd"/>
      <w:r>
        <w:t xml:space="preserve"> in box </w:t>
      </w:r>
      <w:r w:rsidR="00672626">
        <w:t>2</w:t>
      </w:r>
      <w:r>
        <w:t>.</w:t>
      </w:r>
      <w:r w:rsidR="00986D7D">
        <w:t>2</w:t>
      </w:r>
      <w:r>
        <w:t xml:space="preserve">). The shocks to the occupational mix must be calibrated to sum to zero. This is enforced in the model code (by equation </w:t>
      </w:r>
      <w:proofErr w:type="spellStart"/>
      <w:r>
        <w:t>E_occtwist</w:t>
      </w:r>
      <w:proofErr w:type="spellEnd"/>
      <w:r>
        <w:t>). Set definitions are not shown in the box, but ‘</w:t>
      </w:r>
      <w:proofErr w:type="spellStart"/>
      <w:r>
        <w:t>occset</w:t>
      </w:r>
      <w:proofErr w:type="spellEnd"/>
      <w:r>
        <w:t xml:space="preserve">’ in equation </w:t>
      </w:r>
      <w:proofErr w:type="spellStart"/>
      <w:r>
        <w:t>E_occtwist</w:t>
      </w:r>
      <w:proofErr w:type="spellEnd"/>
      <w:r>
        <w:t xml:space="preserve"> is defined in the code and database as Labourers and ‘</w:t>
      </w:r>
      <w:proofErr w:type="spellStart"/>
      <w:r>
        <w:t>occset2</w:t>
      </w:r>
      <w:proofErr w:type="spellEnd"/>
      <w:r>
        <w:t xml:space="preserve">’ are the seven other occupations. </w:t>
      </w:r>
    </w:p>
    <w:p w14:paraId="1BC0FE3F" w14:textId="12BB10E4" w:rsidR="005D5D19" w:rsidRDefault="005D5D19">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5D5D19" w14:paraId="0600C723" w14:textId="77777777" w:rsidTr="008A5B66">
        <w:tc>
          <w:tcPr>
            <w:tcW w:w="8771" w:type="dxa"/>
            <w:tcBorders>
              <w:top w:val="single" w:sz="6" w:space="0" w:color="78A22F"/>
              <w:left w:val="nil"/>
              <w:bottom w:val="nil"/>
              <w:right w:val="nil"/>
            </w:tcBorders>
            <w:shd w:val="clear" w:color="auto" w:fill="F2F2F2"/>
          </w:tcPr>
          <w:p w14:paraId="55E67AC5" w14:textId="3AF9D158" w:rsidR="005D5D19" w:rsidRDefault="005D5D19">
            <w:pPr>
              <w:pStyle w:val="BoxTitle"/>
            </w:pPr>
            <w:r>
              <w:rPr>
                <w:b w:val="0"/>
              </w:rPr>
              <w:t xml:space="preserve">Box </w:t>
            </w:r>
            <w:r w:rsidR="00672626">
              <w:rPr>
                <w:b w:val="0"/>
              </w:rPr>
              <w:t>2</w:t>
            </w:r>
            <w:r w:rsidR="00612FEF">
              <w:rPr>
                <w:b w:val="0"/>
              </w:rPr>
              <w:t>.</w:t>
            </w:r>
            <w:r w:rsidR="00986D7D">
              <w:rPr>
                <w:b w:val="0"/>
                <w:noProof/>
              </w:rPr>
              <w:t>2</w:t>
            </w:r>
            <w:r>
              <w:tab/>
            </w:r>
            <w:r w:rsidRPr="006F4196">
              <w:rPr>
                <w:sz w:val="22"/>
              </w:rPr>
              <w:t xml:space="preserve">Coding details for the modelling of </w:t>
            </w:r>
            <w:r>
              <w:rPr>
                <w:sz w:val="22"/>
              </w:rPr>
              <w:t>the occupational profile of NOM</w:t>
            </w:r>
          </w:p>
        </w:tc>
      </w:tr>
      <w:tr w:rsidR="005D5D19" w14:paraId="5FB593D2" w14:textId="77777777" w:rsidTr="008A5B66">
        <w:trPr>
          <w:cantSplit/>
        </w:trPr>
        <w:tc>
          <w:tcPr>
            <w:tcW w:w="8771" w:type="dxa"/>
            <w:tcBorders>
              <w:top w:val="nil"/>
              <w:left w:val="nil"/>
              <w:bottom w:val="nil"/>
              <w:right w:val="nil"/>
            </w:tcBorders>
            <w:shd w:val="clear" w:color="auto" w:fill="F2F2F2"/>
          </w:tcPr>
          <w:p w14:paraId="635435B9" w14:textId="77777777" w:rsidR="005D5D19" w:rsidRDefault="005D5D19" w:rsidP="005D5D19">
            <w:pPr>
              <w:pStyle w:val="Box"/>
              <w:rPr>
                <w:rFonts w:ascii="Consolas" w:hAnsi="Consolas" w:cs="Consolas"/>
                <w:color w:val="000000"/>
              </w:rPr>
            </w:pPr>
            <w:r w:rsidRPr="007A17CD">
              <w:rPr>
                <w:rFonts w:ascii="Consolas" w:hAnsi="Consolas" w:cs="Consolas"/>
                <w:b/>
                <w:bCs/>
                <w:color w:val="000000"/>
              </w:rPr>
              <w:t>Equation</w:t>
            </w:r>
            <w:r w:rsidRPr="007A17CD">
              <w:rPr>
                <w:rFonts w:ascii="Consolas" w:hAnsi="Consolas" w:cs="Consolas"/>
                <w:color w:val="000000"/>
              </w:rPr>
              <w:t xml:space="preserve"> </w:t>
            </w:r>
            <w:proofErr w:type="spellStart"/>
            <w:r w:rsidRPr="007A17CD">
              <w:rPr>
                <w:rFonts w:ascii="Consolas" w:hAnsi="Consolas" w:cs="Consolas"/>
                <w:color w:val="008000"/>
              </w:rPr>
              <w:t>E_natlab</w:t>
            </w:r>
            <w:proofErr w:type="spellEnd"/>
            <w:r w:rsidRPr="007A17CD">
              <w:rPr>
                <w:rFonts w:ascii="Consolas" w:hAnsi="Consolas" w:cs="Consolas"/>
                <w:color w:val="000000"/>
              </w:rPr>
              <w:t xml:space="preserve"> </w:t>
            </w:r>
            <w:r w:rsidRPr="007A17CD">
              <w:rPr>
                <w:rFonts w:ascii="Consolas" w:hAnsi="Consolas" w:cs="Consolas"/>
                <w:i/>
                <w:iCs/>
                <w:color w:val="000000"/>
              </w:rPr>
              <w:t># National supply of labour by occupation #</w:t>
            </w:r>
            <w:r w:rsidRPr="007A17CD">
              <w:rPr>
                <w:rFonts w:ascii="Consolas" w:hAnsi="Consolas" w:cs="Consolas"/>
                <w:color w:val="000000"/>
              </w:rPr>
              <w:br/>
              <w:t>(</w:t>
            </w:r>
            <w:proofErr w:type="spellStart"/>
            <w:r w:rsidRPr="007A17CD">
              <w:rPr>
                <w:rFonts w:ascii="Consolas" w:hAnsi="Consolas" w:cs="Consolas"/>
                <w:b/>
                <w:bCs/>
                <w:color w:val="000000"/>
              </w:rPr>
              <w:t>all</w:t>
            </w:r>
            <w:r w:rsidRPr="007A17CD">
              <w:rPr>
                <w:rFonts w:ascii="Consolas" w:hAnsi="Consolas" w:cs="Consolas"/>
                <w:color w:val="000000"/>
              </w:rPr>
              <w:t>,</w:t>
            </w:r>
            <w:r w:rsidRPr="007A17CD">
              <w:rPr>
                <w:rFonts w:ascii="Consolas" w:hAnsi="Consolas" w:cs="Consolas"/>
                <w:color w:val="008000"/>
              </w:rPr>
              <w:t>o</w:t>
            </w:r>
            <w:r w:rsidRPr="007A17CD">
              <w:rPr>
                <w:rFonts w:ascii="Consolas" w:hAnsi="Consolas" w:cs="Consolas"/>
                <w:color w:val="000000"/>
              </w:rPr>
              <w:t>,</w:t>
            </w:r>
            <w:r w:rsidRPr="007A17CD">
              <w:rPr>
                <w:rFonts w:ascii="Consolas" w:hAnsi="Consolas" w:cs="Consolas"/>
                <w:color w:val="008000"/>
              </w:rPr>
              <w:t>OCC</w:t>
            </w:r>
            <w:proofErr w:type="spellEnd"/>
            <w:r w:rsidRPr="007A17CD">
              <w:rPr>
                <w:rFonts w:ascii="Consolas" w:hAnsi="Consolas" w:cs="Consolas"/>
                <w:color w:val="000000"/>
              </w:rPr>
              <w:t>)</w:t>
            </w:r>
            <w:r w:rsidRPr="007A17CD">
              <w:rPr>
                <w:rFonts w:ascii="Consolas" w:hAnsi="Consolas" w:cs="Consolas"/>
                <w:color w:val="000000"/>
              </w:rPr>
              <w:br/>
            </w:r>
            <w:proofErr w:type="spellStart"/>
            <w:r w:rsidRPr="007A17CD">
              <w:rPr>
                <w:rFonts w:ascii="Consolas" w:hAnsi="Consolas" w:cs="Consolas"/>
                <w:color w:val="008000"/>
              </w:rPr>
              <w:t>natlab</w:t>
            </w:r>
            <w:proofErr w:type="spellEnd"/>
            <w:r w:rsidRPr="007A17CD">
              <w:rPr>
                <w:rFonts w:ascii="Consolas" w:hAnsi="Consolas" w:cs="Consolas"/>
                <w:color w:val="000000"/>
              </w:rPr>
              <w:t>(</w:t>
            </w:r>
            <w:r w:rsidRPr="007A17CD">
              <w:rPr>
                <w:rFonts w:ascii="Consolas" w:hAnsi="Consolas" w:cs="Consolas"/>
                <w:color w:val="008000"/>
              </w:rPr>
              <w:t>o</w:t>
            </w:r>
            <w:r w:rsidRPr="007A17CD">
              <w:rPr>
                <w:rFonts w:ascii="Consolas" w:hAnsi="Consolas" w:cs="Consolas"/>
                <w:color w:val="000000"/>
              </w:rPr>
              <w:t xml:space="preserve">) = </w:t>
            </w:r>
            <w:proofErr w:type="spellStart"/>
            <w:r w:rsidRPr="007A17CD">
              <w:rPr>
                <w:rFonts w:ascii="Consolas" w:hAnsi="Consolas" w:cs="Consolas"/>
                <w:color w:val="008000"/>
              </w:rPr>
              <w:t>natlab_o</w:t>
            </w:r>
            <w:proofErr w:type="spellEnd"/>
            <w:r w:rsidRPr="007A17CD">
              <w:rPr>
                <w:rFonts w:ascii="Consolas" w:hAnsi="Consolas" w:cs="Consolas"/>
                <w:color w:val="000000"/>
              </w:rPr>
              <w:t xml:space="preserve"> + </w:t>
            </w:r>
            <w:proofErr w:type="spellStart"/>
            <w:r w:rsidRPr="007A17CD">
              <w:rPr>
                <w:rFonts w:ascii="Consolas" w:hAnsi="Consolas" w:cs="Consolas"/>
                <w:color w:val="008000"/>
              </w:rPr>
              <w:t>SIGMALABO</w:t>
            </w:r>
            <w:proofErr w:type="spellEnd"/>
            <w:r w:rsidRPr="007A17CD">
              <w:rPr>
                <w:rFonts w:ascii="Consolas" w:hAnsi="Consolas" w:cs="Consolas"/>
                <w:color w:val="000000"/>
              </w:rPr>
              <w:t>*</w:t>
            </w:r>
            <w:r w:rsidRPr="007A17CD">
              <w:rPr>
                <w:rFonts w:ascii="Consolas" w:hAnsi="Consolas" w:cs="Consolas"/>
                <w:b/>
                <w:bCs/>
                <w:color w:val="000000"/>
              </w:rPr>
              <w:t>[</w:t>
            </w:r>
            <w:proofErr w:type="spellStart"/>
            <w:r w:rsidRPr="007A17CD">
              <w:rPr>
                <w:rFonts w:ascii="Consolas" w:hAnsi="Consolas" w:cs="Consolas"/>
                <w:color w:val="008000"/>
              </w:rPr>
              <w:t>natpwage_i</w:t>
            </w:r>
            <w:proofErr w:type="spellEnd"/>
            <w:r w:rsidRPr="007A17CD">
              <w:rPr>
                <w:rFonts w:ascii="Consolas" w:hAnsi="Consolas" w:cs="Consolas"/>
                <w:color w:val="000000"/>
              </w:rPr>
              <w:t>(</w:t>
            </w:r>
            <w:r w:rsidRPr="007A17CD">
              <w:rPr>
                <w:rFonts w:ascii="Consolas" w:hAnsi="Consolas" w:cs="Consolas"/>
                <w:color w:val="008000"/>
              </w:rPr>
              <w:t>o</w:t>
            </w:r>
            <w:r w:rsidRPr="007A17CD">
              <w:rPr>
                <w:rFonts w:ascii="Consolas" w:hAnsi="Consolas" w:cs="Consolas"/>
                <w:color w:val="000000"/>
              </w:rPr>
              <w:t xml:space="preserve">) - </w:t>
            </w:r>
            <w:proofErr w:type="spellStart"/>
            <w:r w:rsidRPr="007A17CD">
              <w:rPr>
                <w:rFonts w:ascii="Consolas" w:hAnsi="Consolas" w:cs="Consolas"/>
                <w:color w:val="008000"/>
              </w:rPr>
              <w:t>natpwage_io</w:t>
            </w:r>
            <w:proofErr w:type="spellEnd"/>
            <w:r w:rsidRPr="007A17CD">
              <w:rPr>
                <w:rFonts w:ascii="Consolas" w:hAnsi="Consolas" w:cs="Consolas"/>
                <w:b/>
                <w:bCs/>
                <w:color w:val="000000"/>
              </w:rPr>
              <w:t>]</w:t>
            </w:r>
            <w:r w:rsidRPr="007A17CD">
              <w:rPr>
                <w:rFonts w:ascii="Consolas" w:hAnsi="Consolas" w:cs="Consolas"/>
                <w:color w:val="000000"/>
              </w:rPr>
              <w:t xml:space="preserve"> + </w:t>
            </w:r>
            <w:proofErr w:type="spellStart"/>
            <w:r w:rsidRPr="007A17CD">
              <w:rPr>
                <w:rFonts w:ascii="Consolas" w:hAnsi="Consolas" w:cs="Consolas"/>
                <w:color w:val="008000"/>
              </w:rPr>
              <w:t>occtwist</w:t>
            </w:r>
            <w:proofErr w:type="spellEnd"/>
            <w:r w:rsidRPr="007A17CD">
              <w:rPr>
                <w:rFonts w:ascii="Consolas" w:hAnsi="Consolas" w:cs="Consolas"/>
                <w:color w:val="000000"/>
              </w:rPr>
              <w:t>(</w:t>
            </w:r>
            <w:r w:rsidRPr="007A17CD">
              <w:rPr>
                <w:rFonts w:ascii="Consolas" w:hAnsi="Consolas" w:cs="Consolas"/>
                <w:color w:val="008000"/>
              </w:rPr>
              <w:t>o</w:t>
            </w:r>
            <w:r w:rsidRPr="007A17CD">
              <w:rPr>
                <w:rFonts w:ascii="Consolas" w:hAnsi="Consolas" w:cs="Consolas"/>
                <w:color w:val="000000"/>
              </w:rPr>
              <w:t>);</w:t>
            </w:r>
          </w:p>
          <w:p w14:paraId="66E44EF2" w14:textId="309DD4DF" w:rsidR="005D5D19" w:rsidRDefault="005D5D19" w:rsidP="005D5D19">
            <w:pPr>
              <w:pStyle w:val="Box"/>
            </w:pPr>
            <w:r w:rsidRPr="007A17CD">
              <w:rPr>
                <w:rFonts w:ascii="Consolas" w:hAnsi="Consolas" w:cs="Consolas"/>
                <w:b/>
                <w:bCs/>
                <w:color w:val="000000"/>
              </w:rPr>
              <w:t>Equation</w:t>
            </w:r>
            <w:r w:rsidRPr="007A17CD">
              <w:rPr>
                <w:rFonts w:ascii="Consolas" w:hAnsi="Consolas" w:cs="Consolas"/>
                <w:color w:val="000000"/>
              </w:rPr>
              <w:t xml:space="preserve"> </w:t>
            </w:r>
            <w:proofErr w:type="spellStart"/>
            <w:r w:rsidRPr="007A17CD">
              <w:rPr>
                <w:rFonts w:ascii="Consolas" w:hAnsi="Consolas" w:cs="Consolas"/>
                <w:color w:val="008000"/>
              </w:rPr>
              <w:t>E_occtwist</w:t>
            </w:r>
            <w:proofErr w:type="spellEnd"/>
            <w:r w:rsidRPr="007A17CD">
              <w:rPr>
                <w:rFonts w:ascii="Consolas" w:hAnsi="Consolas" w:cs="Consolas"/>
                <w:color w:val="000000"/>
              </w:rPr>
              <w:t xml:space="preserve"> </w:t>
            </w:r>
            <w:r w:rsidRPr="007A17CD">
              <w:rPr>
                <w:rFonts w:ascii="Consolas" w:hAnsi="Consolas" w:cs="Consolas"/>
                <w:i/>
                <w:iCs/>
                <w:color w:val="000000"/>
              </w:rPr>
              <w:t># twist between skill types #</w:t>
            </w:r>
            <w:r w:rsidRPr="007A17CD">
              <w:rPr>
                <w:rFonts w:ascii="Consolas" w:hAnsi="Consolas" w:cs="Consolas"/>
                <w:color w:val="000000"/>
              </w:rPr>
              <w:br/>
              <w:t>(</w:t>
            </w:r>
            <w:proofErr w:type="spellStart"/>
            <w:r w:rsidRPr="007A17CD">
              <w:rPr>
                <w:rFonts w:ascii="Consolas" w:hAnsi="Consolas" w:cs="Consolas"/>
                <w:b/>
                <w:bCs/>
                <w:color w:val="000000"/>
              </w:rPr>
              <w:t>all</w:t>
            </w:r>
            <w:r w:rsidRPr="007A17CD">
              <w:rPr>
                <w:rFonts w:ascii="Consolas" w:hAnsi="Consolas" w:cs="Consolas"/>
                <w:color w:val="000000"/>
              </w:rPr>
              <w:t>,</w:t>
            </w:r>
            <w:r w:rsidRPr="007A17CD">
              <w:rPr>
                <w:rFonts w:ascii="Consolas" w:hAnsi="Consolas" w:cs="Consolas"/>
                <w:color w:val="008000"/>
              </w:rPr>
              <w:t>o</w:t>
            </w:r>
            <w:r w:rsidRPr="007A17CD">
              <w:rPr>
                <w:rFonts w:ascii="Consolas" w:hAnsi="Consolas" w:cs="Consolas"/>
                <w:color w:val="000000"/>
              </w:rPr>
              <w:t>,</w:t>
            </w:r>
            <w:r w:rsidRPr="007A17CD">
              <w:rPr>
                <w:rFonts w:ascii="Consolas" w:hAnsi="Consolas" w:cs="Consolas"/>
                <w:color w:val="008000"/>
              </w:rPr>
              <w:t>OCCSET</w:t>
            </w:r>
            <w:proofErr w:type="spellEnd"/>
            <w:r w:rsidRPr="007A17CD">
              <w:rPr>
                <w:rFonts w:ascii="Consolas" w:hAnsi="Consolas" w:cs="Consolas"/>
                <w:color w:val="000000"/>
              </w:rPr>
              <w:t>)</w:t>
            </w:r>
            <w:r w:rsidRPr="007A17CD">
              <w:rPr>
                <w:rFonts w:ascii="Consolas" w:hAnsi="Consolas" w:cs="Consolas"/>
                <w:color w:val="000000"/>
              </w:rPr>
              <w:br/>
            </w:r>
            <w:proofErr w:type="spellStart"/>
            <w:r w:rsidRPr="007A17CD">
              <w:rPr>
                <w:rFonts w:ascii="Consolas" w:hAnsi="Consolas" w:cs="Consolas"/>
                <w:color w:val="008000"/>
              </w:rPr>
              <w:t>occtwist</w:t>
            </w:r>
            <w:proofErr w:type="spellEnd"/>
            <w:r w:rsidRPr="007A17CD">
              <w:rPr>
                <w:rFonts w:ascii="Consolas" w:hAnsi="Consolas" w:cs="Consolas"/>
                <w:color w:val="000000"/>
              </w:rPr>
              <w:t>(</w:t>
            </w:r>
            <w:r w:rsidRPr="007A17CD">
              <w:rPr>
                <w:rFonts w:ascii="Consolas" w:hAnsi="Consolas" w:cs="Consolas"/>
                <w:color w:val="008000"/>
              </w:rPr>
              <w:t>o</w:t>
            </w:r>
            <w:r w:rsidRPr="007A17CD">
              <w:rPr>
                <w:rFonts w:ascii="Consolas" w:hAnsi="Consolas" w:cs="Consolas"/>
                <w:color w:val="000000"/>
              </w:rPr>
              <w:t>) = 0*</w:t>
            </w:r>
            <w:proofErr w:type="spellStart"/>
            <w:r w:rsidRPr="007A17CD">
              <w:rPr>
                <w:rFonts w:ascii="Consolas" w:hAnsi="Consolas" w:cs="Consolas"/>
                <w:color w:val="008000"/>
              </w:rPr>
              <w:t>d_unity</w:t>
            </w:r>
            <w:proofErr w:type="spellEnd"/>
            <w:r w:rsidRPr="007A17CD">
              <w:rPr>
                <w:rFonts w:ascii="Consolas" w:hAnsi="Consolas" w:cs="Consolas"/>
                <w:color w:val="000000"/>
              </w:rPr>
              <w:t xml:space="preserve"> - </w:t>
            </w:r>
            <w:r w:rsidRPr="007A17CD">
              <w:rPr>
                <w:rFonts w:ascii="Consolas" w:hAnsi="Consolas" w:cs="Consolas"/>
                <w:b/>
                <w:bCs/>
                <w:color w:val="000000"/>
              </w:rPr>
              <w:t>sum{</w:t>
            </w:r>
            <w:proofErr w:type="spellStart"/>
            <w:r w:rsidRPr="007A17CD">
              <w:rPr>
                <w:rFonts w:ascii="Consolas" w:hAnsi="Consolas" w:cs="Consolas"/>
                <w:color w:val="008000"/>
              </w:rPr>
              <w:t>o2</w:t>
            </w:r>
            <w:r w:rsidRPr="007A17CD">
              <w:rPr>
                <w:rFonts w:ascii="Consolas" w:hAnsi="Consolas" w:cs="Consolas"/>
                <w:color w:val="000000"/>
              </w:rPr>
              <w:t>,</w:t>
            </w:r>
            <w:r w:rsidRPr="007A17CD">
              <w:rPr>
                <w:rFonts w:ascii="Consolas" w:hAnsi="Consolas" w:cs="Consolas"/>
                <w:color w:val="008000"/>
              </w:rPr>
              <w:t>OCCSET2</w:t>
            </w:r>
            <w:proofErr w:type="spellEnd"/>
            <w:r w:rsidRPr="007A17CD">
              <w:rPr>
                <w:rFonts w:ascii="Consolas" w:hAnsi="Consolas" w:cs="Consolas"/>
                <w:color w:val="000000"/>
              </w:rPr>
              <w:t xml:space="preserve">, </w:t>
            </w:r>
            <w:proofErr w:type="spellStart"/>
            <w:r w:rsidRPr="007A17CD">
              <w:rPr>
                <w:rFonts w:ascii="Consolas" w:hAnsi="Consolas" w:cs="Consolas"/>
                <w:color w:val="008000"/>
              </w:rPr>
              <w:t>occtwist</w:t>
            </w:r>
            <w:proofErr w:type="spellEnd"/>
            <w:r w:rsidRPr="007A17CD">
              <w:rPr>
                <w:rFonts w:ascii="Consolas" w:hAnsi="Consolas" w:cs="Consolas"/>
                <w:color w:val="000000"/>
              </w:rPr>
              <w:t>(</w:t>
            </w:r>
            <w:proofErr w:type="spellStart"/>
            <w:r w:rsidRPr="007A17CD">
              <w:rPr>
                <w:rFonts w:ascii="Consolas" w:hAnsi="Consolas" w:cs="Consolas"/>
                <w:color w:val="008000"/>
              </w:rPr>
              <w:t>o2</w:t>
            </w:r>
            <w:proofErr w:type="spellEnd"/>
            <w:r w:rsidRPr="007A17CD">
              <w:rPr>
                <w:rFonts w:ascii="Consolas" w:hAnsi="Consolas" w:cs="Consolas"/>
                <w:color w:val="000000"/>
              </w:rPr>
              <w:t>)</w:t>
            </w:r>
            <w:r w:rsidRPr="007A17CD">
              <w:rPr>
                <w:rFonts w:ascii="Consolas" w:hAnsi="Consolas" w:cs="Consolas"/>
                <w:b/>
                <w:bCs/>
                <w:color w:val="000000"/>
              </w:rPr>
              <w:t>}</w:t>
            </w:r>
            <w:r w:rsidRPr="007A17CD">
              <w:rPr>
                <w:rFonts w:ascii="Consolas" w:hAnsi="Consolas" w:cs="Consolas"/>
                <w:color w:val="000000"/>
              </w:rPr>
              <w:t xml:space="preserve"> ;</w:t>
            </w:r>
          </w:p>
        </w:tc>
      </w:tr>
      <w:tr w:rsidR="005D5D19" w14:paraId="7179F59C" w14:textId="77777777" w:rsidTr="008A5B66">
        <w:trPr>
          <w:cantSplit/>
        </w:trPr>
        <w:tc>
          <w:tcPr>
            <w:tcW w:w="8771" w:type="dxa"/>
            <w:tcBorders>
              <w:top w:val="nil"/>
              <w:left w:val="nil"/>
              <w:bottom w:val="nil"/>
              <w:right w:val="nil"/>
            </w:tcBorders>
            <w:shd w:val="clear" w:color="auto" w:fill="F2F2F2"/>
          </w:tcPr>
          <w:p w14:paraId="53F4CD6F" w14:textId="12562561" w:rsidR="005D5D19" w:rsidRDefault="00FF3429" w:rsidP="004D4E21">
            <w:pPr>
              <w:pStyle w:val="BoxSource"/>
            </w:pPr>
            <w:r>
              <w:rPr>
                <w:i/>
              </w:rPr>
              <w:t>Source</w:t>
            </w:r>
            <w:r w:rsidRPr="00167F06">
              <w:t xml:space="preserve">: </w:t>
            </w:r>
            <w:proofErr w:type="spellStart"/>
            <w:r>
              <w:t>VURM</w:t>
            </w:r>
            <w:proofErr w:type="spellEnd"/>
            <w:r>
              <w:noBreakHyphen/>
              <w:t>MI.</w:t>
            </w:r>
          </w:p>
        </w:tc>
      </w:tr>
      <w:tr w:rsidR="005D5D19" w14:paraId="4A928832" w14:textId="77777777" w:rsidTr="008A5B66">
        <w:trPr>
          <w:cantSplit/>
        </w:trPr>
        <w:tc>
          <w:tcPr>
            <w:tcW w:w="8771" w:type="dxa"/>
            <w:tcBorders>
              <w:top w:val="nil"/>
              <w:left w:val="nil"/>
              <w:bottom w:val="single" w:sz="6" w:space="0" w:color="78A22F"/>
              <w:right w:val="nil"/>
            </w:tcBorders>
            <w:shd w:val="clear" w:color="auto" w:fill="F2F2F2"/>
          </w:tcPr>
          <w:p w14:paraId="6ED05D27" w14:textId="77777777" w:rsidR="005D5D19" w:rsidRDefault="005D5D19">
            <w:pPr>
              <w:pStyle w:val="Box"/>
              <w:spacing w:before="0" w:line="120" w:lineRule="exact"/>
            </w:pPr>
          </w:p>
        </w:tc>
      </w:tr>
      <w:tr w:rsidR="005D5D19" w:rsidRPr="000863A5" w14:paraId="28914813" w14:textId="77777777" w:rsidTr="008A5B66">
        <w:tc>
          <w:tcPr>
            <w:tcW w:w="8771" w:type="dxa"/>
            <w:tcBorders>
              <w:top w:val="single" w:sz="6" w:space="0" w:color="78A22F"/>
              <w:left w:val="nil"/>
              <w:bottom w:val="nil"/>
              <w:right w:val="nil"/>
            </w:tcBorders>
          </w:tcPr>
          <w:p w14:paraId="727FB6B6" w14:textId="529C70A5" w:rsidR="005D5D19" w:rsidRPr="00626D32" w:rsidRDefault="005D5D19" w:rsidP="008A5B66">
            <w:pPr>
              <w:pStyle w:val="BoxSpaceBelow"/>
            </w:pPr>
          </w:p>
        </w:tc>
      </w:tr>
    </w:tbl>
    <w:p w14:paraId="02844A3A" w14:textId="424F4975" w:rsidR="00AF597D" w:rsidRDefault="00040184" w:rsidP="00AF597D">
      <w:pPr>
        <w:pStyle w:val="Heading3"/>
      </w:pPr>
      <w:r>
        <w:lastRenderedPageBreak/>
        <w:t>E</w:t>
      </w:r>
      <w:r w:rsidR="00AF597D">
        <w:t>xtension for the modelling of the implications of demographic change on health</w:t>
      </w:r>
      <w:r w:rsidR="001D3A60">
        <w:t>, aged</w:t>
      </w:r>
      <w:r w:rsidR="00E4769E">
        <w:t xml:space="preserve"> </w:t>
      </w:r>
      <w:r w:rsidR="001D3A60">
        <w:t>care</w:t>
      </w:r>
      <w:r w:rsidR="00AF597D">
        <w:t xml:space="preserve"> and education</w:t>
      </w:r>
    </w:p>
    <w:p w14:paraId="02844A3B" w14:textId="1E8409CC" w:rsidR="00AE04AD" w:rsidRDefault="00AE04AD" w:rsidP="006F4196">
      <w:pPr>
        <w:pStyle w:val="BodyText"/>
      </w:pPr>
      <w:r>
        <w:t xml:space="preserve">The modelling of </w:t>
      </w:r>
      <w:r w:rsidR="002E4B99">
        <w:t xml:space="preserve">state and territory governments </w:t>
      </w:r>
      <w:r>
        <w:t xml:space="preserve">and the Australian Government final consumption expenditure in </w:t>
      </w:r>
      <w:proofErr w:type="spellStart"/>
      <w:r w:rsidR="00776C79">
        <w:t>VURM</w:t>
      </w:r>
      <w:proofErr w:type="spellEnd"/>
      <w:r>
        <w:t xml:space="preserve"> has been extended to include:</w:t>
      </w:r>
    </w:p>
    <w:p w14:paraId="02844A3C" w14:textId="77777777" w:rsidR="00AE04AD" w:rsidRDefault="00AE04AD" w:rsidP="00886E03">
      <w:pPr>
        <w:pStyle w:val="ListBullet"/>
      </w:pPr>
      <w:r>
        <w:t>linking of government expenditure to demographic change over the entire population age structure</w:t>
      </w:r>
    </w:p>
    <w:p w14:paraId="02844A3D" w14:textId="1D544D6D" w:rsidR="00AE04AD" w:rsidRDefault="00AE04AD" w:rsidP="00886E03">
      <w:pPr>
        <w:pStyle w:val="ListBullet"/>
      </w:pPr>
      <w:r>
        <w:t xml:space="preserve">the two </w:t>
      </w:r>
      <w:proofErr w:type="spellStart"/>
      <w:r w:rsidR="00776C79">
        <w:t>VURM</w:t>
      </w:r>
      <w:proofErr w:type="spellEnd"/>
      <w:r>
        <w:t xml:space="preserve"> education commodities </w:t>
      </w:r>
      <w:r w:rsidRPr="00AE04AD">
        <w:sym w:font="Symbol" w:char="F0BE"/>
      </w:r>
      <w:r w:rsidRPr="00AE04AD">
        <w:t xml:space="preserve"> school and non</w:t>
      </w:r>
      <w:r w:rsidR="004D4E21">
        <w:noBreakHyphen/>
      </w:r>
      <w:r w:rsidRPr="00AE04AD">
        <w:t>school education</w:t>
      </w:r>
      <w:r>
        <w:t xml:space="preserve"> </w:t>
      </w:r>
      <w:r w:rsidRPr="00AE04AD">
        <w:sym w:font="Symbol" w:char="F0BE"/>
      </w:r>
      <w:r w:rsidRPr="00AE04AD">
        <w:t xml:space="preserve"> </w:t>
      </w:r>
      <w:r w:rsidR="005E03EA">
        <w:t>and aged</w:t>
      </w:r>
      <w:r w:rsidR="00E4769E">
        <w:t xml:space="preserve"> </w:t>
      </w:r>
      <w:r w:rsidR="005E03EA">
        <w:t>care services</w:t>
      </w:r>
      <w:r>
        <w:t xml:space="preserve"> are added into the set of </w:t>
      </w:r>
      <w:r w:rsidR="004E0F37">
        <w:t>commodities</w:t>
      </w:r>
      <w:r>
        <w:t xml:space="preserve"> for which government expenditure is </w:t>
      </w:r>
      <w:r w:rsidR="004E0F37">
        <w:t>linked</w:t>
      </w:r>
      <w:r>
        <w:t xml:space="preserve"> to demographic change</w:t>
      </w:r>
    </w:p>
    <w:p w14:paraId="02844A3E" w14:textId="0E6E2812" w:rsidR="001D3A60" w:rsidRPr="00AE04AD" w:rsidRDefault="006445F4" w:rsidP="00886E03">
      <w:pPr>
        <w:pStyle w:val="ListBullet"/>
      </w:pPr>
      <w:r>
        <w:t xml:space="preserve">linking changes in the </w:t>
      </w:r>
      <w:r w:rsidR="005F5428">
        <w:t>per person</w:t>
      </w:r>
      <w:r>
        <w:t xml:space="preserve"> government expenditure </w:t>
      </w:r>
      <w:r w:rsidR="00901CBD">
        <w:t>for aged</w:t>
      </w:r>
      <w:r w:rsidR="00E4769E">
        <w:t xml:space="preserve"> </w:t>
      </w:r>
      <w:r w:rsidR="00901CBD">
        <w:t xml:space="preserve">care </w:t>
      </w:r>
      <w:r>
        <w:t xml:space="preserve">by age and gender to </w:t>
      </w:r>
      <w:r w:rsidR="001D3A60">
        <w:t xml:space="preserve">improvements </w:t>
      </w:r>
      <w:r>
        <w:t>in the mortality rate</w:t>
      </w:r>
    </w:p>
    <w:p w14:paraId="02844A3F" w14:textId="744A388D" w:rsidR="00AE04AD" w:rsidRDefault="005F5428" w:rsidP="00886E03">
      <w:pPr>
        <w:pStyle w:val="ListBullet"/>
      </w:pPr>
      <w:r>
        <w:t>per person</w:t>
      </w:r>
      <w:r w:rsidR="00AE04AD">
        <w:t xml:space="preserve"> </w:t>
      </w:r>
      <w:r w:rsidR="0038560E">
        <w:t xml:space="preserve">government </w:t>
      </w:r>
      <w:r w:rsidR="00AE04AD">
        <w:t>expenditure</w:t>
      </w:r>
      <w:r w:rsidR="000E0488">
        <w:t>s</w:t>
      </w:r>
      <w:r w:rsidR="00AE04AD">
        <w:t xml:space="preserve"> by age and gender for health</w:t>
      </w:r>
      <w:r w:rsidR="005E03EA">
        <w:t>, aged</w:t>
      </w:r>
      <w:r w:rsidR="00E4769E">
        <w:t xml:space="preserve"> </w:t>
      </w:r>
      <w:r w:rsidR="005E03EA">
        <w:t>care</w:t>
      </w:r>
      <w:r w:rsidR="00AE04AD">
        <w:t xml:space="preserve"> and education services are drawn from the Commission’s research report on the implications of an </w:t>
      </w:r>
      <w:r w:rsidR="004E0F37">
        <w:t>ageing</w:t>
      </w:r>
      <w:r w:rsidR="00AE04AD">
        <w:t xml:space="preserve"> population (</w:t>
      </w:r>
      <w:r w:rsidR="00E31024">
        <w:t>PC </w:t>
      </w:r>
      <w:r w:rsidR="00AE04AD">
        <w:t>2013).</w:t>
      </w:r>
    </w:p>
    <w:p w14:paraId="02844A40" w14:textId="1366FB24" w:rsidR="00DE4FE6" w:rsidRDefault="00AE04AD" w:rsidP="00AE04AD">
      <w:pPr>
        <w:pStyle w:val="BodyText"/>
      </w:pPr>
      <w:r>
        <w:t xml:space="preserve">To apply this extension, equations </w:t>
      </w:r>
      <w:proofErr w:type="spellStart"/>
      <w:r>
        <w:rPr>
          <w:i/>
        </w:rPr>
        <w:t>E_x5aB3</w:t>
      </w:r>
      <w:proofErr w:type="spellEnd"/>
      <w:r>
        <w:rPr>
          <w:i/>
        </w:rPr>
        <w:t xml:space="preserve"> and </w:t>
      </w:r>
      <w:proofErr w:type="spellStart"/>
      <w:r>
        <w:rPr>
          <w:i/>
        </w:rPr>
        <w:t>E_x6aB3</w:t>
      </w:r>
      <w:proofErr w:type="spellEnd"/>
      <w:r>
        <w:rPr>
          <w:i/>
        </w:rPr>
        <w:t xml:space="preserve"> </w:t>
      </w:r>
      <w:r>
        <w:t xml:space="preserve">have been implemented in </w:t>
      </w:r>
      <w:proofErr w:type="spellStart"/>
      <w:r w:rsidR="00776C79">
        <w:t>VURM</w:t>
      </w:r>
      <w:proofErr w:type="spellEnd"/>
      <w:r>
        <w:noBreakHyphen/>
        <w:t xml:space="preserve">MI. These equations link </w:t>
      </w:r>
      <w:r w:rsidR="002E4B99">
        <w:t xml:space="preserve">state and territory governments </w:t>
      </w:r>
      <w:r>
        <w:t>and the Australian Government</w:t>
      </w:r>
      <w:r w:rsidR="00F174F0">
        <w:t>’</w:t>
      </w:r>
      <w:r w:rsidR="0038560E">
        <w:t>s</w:t>
      </w:r>
      <w:r>
        <w:t xml:space="preserve"> final consumption expenditure to demographic changes to the age structure of the population, health</w:t>
      </w:r>
      <w:r w:rsidR="00901CBD">
        <w:t>, aged</w:t>
      </w:r>
      <w:r w:rsidR="00E4769E">
        <w:t xml:space="preserve"> </w:t>
      </w:r>
      <w:r w:rsidR="00901CBD">
        <w:t>care</w:t>
      </w:r>
      <w:r>
        <w:t xml:space="preserve"> and education government spending per person and changes in national aggregate real household final consumption spending </w:t>
      </w:r>
      <w:r w:rsidR="005F5428">
        <w:t>per person</w:t>
      </w:r>
      <w:r>
        <w:t>.</w:t>
      </w:r>
      <w:r w:rsidR="00901CBD">
        <w:t xml:space="preserve"> Equations </w:t>
      </w:r>
      <w:proofErr w:type="spellStart"/>
      <w:r w:rsidR="00901CBD">
        <w:rPr>
          <w:i/>
        </w:rPr>
        <w:t>E_x5pc</w:t>
      </w:r>
      <w:proofErr w:type="spellEnd"/>
      <w:r w:rsidR="00901CBD">
        <w:rPr>
          <w:i/>
        </w:rPr>
        <w:t xml:space="preserve"> </w:t>
      </w:r>
      <w:r w:rsidR="00901CBD">
        <w:t xml:space="preserve">and </w:t>
      </w:r>
      <w:proofErr w:type="spellStart"/>
      <w:r w:rsidR="00901CBD">
        <w:rPr>
          <w:i/>
        </w:rPr>
        <w:t>E_x6pc</w:t>
      </w:r>
      <w:proofErr w:type="spellEnd"/>
      <w:r w:rsidR="00901CBD">
        <w:rPr>
          <w:i/>
        </w:rPr>
        <w:t xml:space="preserve"> </w:t>
      </w:r>
      <w:r w:rsidR="00901CBD">
        <w:t xml:space="preserve">link </w:t>
      </w:r>
      <w:r w:rsidR="005F5428">
        <w:t>per person</w:t>
      </w:r>
      <w:r w:rsidR="00901CBD">
        <w:t xml:space="preserve"> </w:t>
      </w:r>
      <w:r w:rsidR="002E4B99">
        <w:t xml:space="preserve">state and territory governments </w:t>
      </w:r>
      <w:r w:rsidR="00901CBD">
        <w:t>and the Australian Government’s expenditure for aged</w:t>
      </w:r>
      <w:r w:rsidR="00E4769E">
        <w:t xml:space="preserve"> </w:t>
      </w:r>
      <w:r w:rsidR="00901CBD">
        <w:t>care to improvements in the mortality rate by age and gender (box </w:t>
      </w:r>
      <w:r w:rsidR="00672626">
        <w:t>2</w:t>
      </w:r>
      <w:r w:rsidR="00073D00">
        <w:t>.</w:t>
      </w:r>
      <w:r w:rsidR="00986D7D">
        <w:t>3</w:t>
      </w:r>
      <w:r w:rsidR="00901CBD">
        <w:t>).</w:t>
      </w:r>
    </w:p>
    <w:p w14:paraId="02844A41" w14:textId="707B33EA" w:rsidR="00662E77" w:rsidRDefault="00662E77">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71"/>
      </w:tblGrid>
      <w:tr w:rsidR="00662E77" w14:paraId="748B172D" w14:textId="77777777" w:rsidTr="00662E77">
        <w:tc>
          <w:tcPr>
            <w:tcW w:w="8771" w:type="dxa"/>
            <w:tcBorders>
              <w:top w:val="single" w:sz="6" w:space="0" w:color="78A22F"/>
              <w:left w:val="nil"/>
              <w:bottom w:val="nil"/>
              <w:right w:val="nil"/>
            </w:tcBorders>
            <w:shd w:val="clear" w:color="auto" w:fill="F2F2F2"/>
          </w:tcPr>
          <w:p w14:paraId="5FC71C07" w14:textId="26D62AC7" w:rsidR="00662E77" w:rsidRDefault="00662E77">
            <w:pPr>
              <w:pStyle w:val="BoxTitle"/>
            </w:pPr>
            <w:r>
              <w:rPr>
                <w:b w:val="0"/>
              </w:rPr>
              <w:t xml:space="preserve">Box </w:t>
            </w:r>
            <w:r w:rsidR="00672626">
              <w:rPr>
                <w:b w:val="0"/>
              </w:rPr>
              <w:t>2</w:t>
            </w:r>
            <w:r w:rsidR="00612FEF">
              <w:rPr>
                <w:b w:val="0"/>
              </w:rPr>
              <w:t>.</w:t>
            </w:r>
            <w:r w:rsidR="00986D7D">
              <w:rPr>
                <w:b w:val="0"/>
                <w:noProof/>
              </w:rPr>
              <w:t>3</w:t>
            </w:r>
            <w:r>
              <w:tab/>
              <w:t>Coding details for the modelling of the implications of demographic change on health, aged</w:t>
            </w:r>
            <w:r w:rsidR="00E4769E">
              <w:t xml:space="preserve"> </w:t>
            </w:r>
            <w:r>
              <w:t>care and education</w:t>
            </w:r>
          </w:p>
        </w:tc>
      </w:tr>
      <w:tr w:rsidR="00662E77" w14:paraId="3650CED3" w14:textId="77777777" w:rsidTr="00662E77">
        <w:trPr>
          <w:cantSplit/>
        </w:trPr>
        <w:tc>
          <w:tcPr>
            <w:tcW w:w="8771" w:type="dxa"/>
            <w:tcBorders>
              <w:top w:val="nil"/>
              <w:left w:val="nil"/>
              <w:bottom w:val="nil"/>
              <w:right w:val="nil"/>
            </w:tcBorders>
            <w:shd w:val="clear" w:color="auto" w:fill="F2F2F2"/>
          </w:tcPr>
          <w:p w14:paraId="41EA7391" w14:textId="77777777" w:rsidR="00662E77" w:rsidRDefault="00662E77" w:rsidP="00662E77">
            <w:pPr>
              <w:pStyle w:val="Box"/>
              <w:jc w:val="left"/>
              <w:rPr>
                <w:rFonts w:ascii="Consolas" w:hAnsi="Consolas" w:cs="Consolas"/>
                <w:color w:val="000000"/>
              </w:rPr>
            </w:pPr>
            <w:proofErr w:type="spellStart"/>
            <w:r>
              <w:rPr>
                <w:rFonts w:ascii="Consolas" w:hAnsi="Consolas" w:cs="Consolas"/>
                <w:b/>
                <w:bCs/>
                <w:color w:val="000000"/>
              </w:rPr>
              <w:t>Equation</w:t>
            </w:r>
            <w:r>
              <w:rPr>
                <w:rFonts w:ascii="Consolas" w:hAnsi="Consolas" w:cs="Consolas"/>
                <w:color w:val="008000"/>
              </w:rPr>
              <w:t>E_x5aB3</w:t>
            </w:r>
            <w:proofErr w:type="spellEnd"/>
            <w:r>
              <w:rPr>
                <w:rFonts w:ascii="Consolas" w:hAnsi="Consolas" w:cs="Consolas"/>
                <w:color w:val="000000"/>
              </w:rPr>
              <w:br/>
            </w:r>
            <w:r>
              <w:rPr>
                <w:rFonts w:ascii="Consolas" w:hAnsi="Consolas" w:cs="Consolas"/>
                <w:i/>
                <w:iCs/>
                <w:color w:val="000000"/>
              </w:rPr>
              <w:t># Real state government consumption of commodities associated with ageing #</w:t>
            </w:r>
            <w:r>
              <w:rPr>
                <w:rFonts w:ascii="Consolas" w:hAnsi="Consolas" w:cs="Consolas"/>
                <w:color w:val="000000"/>
              </w:rPr>
              <w:b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AGECOM</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s</w:t>
            </w:r>
            <w:r>
              <w:rPr>
                <w:rFonts w:ascii="Consolas" w:hAnsi="Consolas" w:cs="Consolas"/>
                <w:color w:val="000000"/>
              </w:rPr>
              <w:t>,</w:t>
            </w:r>
            <w:r>
              <w:rPr>
                <w:rFonts w:ascii="Consolas" w:hAnsi="Consolas" w:cs="Consolas"/>
                <w:color w:val="008000"/>
              </w:rPr>
              <w:t>ALLSRC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x5a</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s</w:t>
            </w:r>
            <w:r>
              <w:rPr>
                <w:rFonts w:ascii="Consolas" w:hAnsi="Consolas" w:cs="Consolas"/>
                <w:color w:val="000000"/>
              </w:rPr>
              <w:t>,</w:t>
            </w:r>
            <w:r>
              <w:rPr>
                <w:rFonts w:ascii="Consolas" w:hAnsi="Consolas" w:cs="Consolas"/>
                <w:color w:val="008000"/>
              </w:rPr>
              <w:t>q</w:t>
            </w:r>
            <w:proofErr w:type="spellEnd"/>
            <w:r>
              <w:rPr>
                <w:rFonts w:ascii="Consolas" w:hAnsi="Consolas" w:cs="Consolas"/>
                <w:color w:val="000000"/>
              </w:rPr>
              <w:t xml:space="preserve">)= </w:t>
            </w:r>
            <w:proofErr w:type="spellStart"/>
            <w:r>
              <w:rPr>
                <w:rFonts w:ascii="Consolas" w:hAnsi="Consolas" w:cs="Consolas"/>
                <w:color w:val="008000"/>
              </w:rPr>
              <w:t>natx3tot</w:t>
            </w:r>
            <w:proofErr w:type="spellEnd"/>
            <w:r>
              <w:rPr>
                <w:rFonts w:ascii="Consolas" w:hAnsi="Consolas" w:cs="Consolas"/>
                <w:color w:val="008000"/>
              </w:rPr>
              <w:t xml:space="preserve"> </w:t>
            </w:r>
            <w:r>
              <w:rPr>
                <w:rFonts w:ascii="Consolas" w:hAnsi="Consolas" w:cs="Consolas"/>
                <w:color w:val="000000"/>
              </w:rPr>
              <w:t xml:space="preserve">– </w:t>
            </w:r>
            <w:proofErr w:type="spellStart"/>
            <w:r>
              <w:rPr>
                <w:rFonts w:ascii="Consolas" w:hAnsi="Consolas" w:cs="Consolas"/>
                <w:color w:val="008000"/>
              </w:rPr>
              <w:t>natpop</w:t>
            </w:r>
            <w:proofErr w:type="spellEnd"/>
            <w:r>
              <w:rPr>
                <w:rFonts w:ascii="Consolas" w:hAnsi="Consolas" w:cs="Consolas"/>
                <w:color w:val="008000"/>
              </w:rPr>
              <w:t xml:space="preserve"> </w:t>
            </w:r>
            <w:r>
              <w:rPr>
                <w:rFonts w:ascii="Consolas" w:hAnsi="Consolas" w:cs="Consolas"/>
                <w:color w:val="000000"/>
              </w:rPr>
              <w:t xml:space="preserve">+ </w:t>
            </w:r>
            <w:r>
              <w:rPr>
                <w:rFonts w:ascii="Consolas" w:hAnsi="Consolas" w:cs="Consolas"/>
                <w:color w:val="000000"/>
              </w:rPr>
              <w:br/>
              <w:t xml:space="preserve">    1/</w:t>
            </w:r>
            <w:proofErr w:type="spellStart"/>
            <w:r>
              <w:rPr>
                <w:rFonts w:ascii="Consolas" w:hAnsi="Consolas" w:cs="Consolas"/>
                <w:b/>
                <w:bCs/>
                <w:color w:val="000000"/>
              </w:rPr>
              <w:t>ID01</w:t>
            </w:r>
            <w:proofErr w:type="spellEnd"/>
            <w:r>
              <w:rPr>
                <w:rFonts w:ascii="Consolas" w:hAnsi="Consolas" w:cs="Consolas"/>
                <w:b/>
                <w:bCs/>
                <w:color w:val="000000"/>
              </w:rPr>
              <w:t>[sum{</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AGE</w:t>
            </w:r>
            <w:r>
              <w:rPr>
                <w:rFonts w:ascii="Consolas" w:hAnsi="Consolas" w:cs="Consolas"/>
                <w:color w:val="000000"/>
              </w:rPr>
              <w:t>,</w:t>
            </w:r>
            <w:r>
              <w:rPr>
                <w:rFonts w:ascii="Consolas" w:hAnsi="Consolas" w:cs="Consolas"/>
                <w:b/>
                <w:bCs/>
                <w:color w:val="000000"/>
              </w:rPr>
              <w:t>sum</w:t>
            </w:r>
            <w:proofErr w:type="spellEnd"/>
            <w:r>
              <w:rPr>
                <w:rFonts w:ascii="Consolas" w:hAnsi="Consolas" w:cs="Consolas"/>
                <w:b/>
                <w:bCs/>
                <w:color w:val="000000"/>
              </w:rPr>
              <w:t>{</w:t>
            </w:r>
            <w:proofErr w:type="spellStart"/>
            <w:r>
              <w:rPr>
                <w:rFonts w:ascii="Consolas" w:hAnsi="Consolas" w:cs="Consolas"/>
                <w:color w:val="008000"/>
              </w:rPr>
              <w:t>g</w:t>
            </w:r>
            <w:r>
              <w:rPr>
                <w:rFonts w:ascii="Consolas" w:hAnsi="Consolas" w:cs="Consolas"/>
                <w:color w:val="000000"/>
              </w:rPr>
              <w:t>,</w:t>
            </w:r>
            <w:r>
              <w:rPr>
                <w:rFonts w:ascii="Consolas" w:hAnsi="Consolas" w:cs="Consolas"/>
                <w:color w:val="008000"/>
              </w:rPr>
              <w:t>GENDER</w:t>
            </w:r>
            <w:proofErr w:type="spellEnd"/>
            <w:r>
              <w:rPr>
                <w:rFonts w:ascii="Consolas" w:hAnsi="Consolas" w:cs="Consolas"/>
                <w:color w:val="000000"/>
              </w:rPr>
              <w:t xml:space="preserve">, </w:t>
            </w:r>
            <w:proofErr w:type="spellStart"/>
            <w:r>
              <w:rPr>
                <w:rFonts w:ascii="Consolas" w:hAnsi="Consolas" w:cs="Consolas"/>
                <w:color w:val="008000"/>
              </w:rPr>
              <w:t>C_X5PC</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x</w:t>
            </w:r>
            <w:r>
              <w:rPr>
                <w:rFonts w:ascii="Consolas" w:hAnsi="Consolas" w:cs="Consolas"/>
                <w:color w:val="000000"/>
              </w:rPr>
              <w:t>,</w:t>
            </w:r>
            <w:r>
              <w:rPr>
                <w:rFonts w:ascii="Consolas" w:hAnsi="Consolas" w:cs="Consolas"/>
                <w:color w:val="008000"/>
              </w:rPr>
              <w:t>g</w:t>
            </w:r>
            <w:proofErr w:type="spellEnd"/>
            <w:r>
              <w:rPr>
                <w:rFonts w:ascii="Consolas" w:hAnsi="Consolas" w:cs="Consolas"/>
                <w:color w:val="000000"/>
              </w:rPr>
              <w:t>)*</w:t>
            </w:r>
            <w:proofErr w:type="spellStart"/>
            <w:r>
              <w:rPr>
                <w:rFonts w:ascii="Consolas" w:hAnsi="Consolas" w:cs="Consolas"/>
                <w:color w:val="008000"/>
              </w:rPr>
              <w:t>COHORT@1</w:t>
            </w:r>
            <w:proofErr w:type="spellEnd"/>
            <w:r>
              <w:rPr>
                <w:rFonts w:ascii="Consolas" w:hAnsi="Consolas" w:cs="Consolas"/>
                <w:color w:val="000000"/>
              </w:rPr>
              <w:t>(</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g</w:t>
            </w:r>
            <w:r>
              <w:rPr>
                <w:rFonts w:ascii="Consolas" w:hAnsi="Consolas" w:cs="Consolas"/>
                <w:color w:val="000000"/>
              </w:rPr>
              <w:t>,</w:t>
            </w:r>
            <w:r>
              <w:rPr>
                <w:rFonts w:ascii="Consolas" w:hAnsi="Consolas" w:cs="Consolas"/>
                <w:color w:val="008000"/>
              </w:rPr>
              <w:t>q</w:t>
            </w:r>
            <w:proofErr w:type="spellEnd"/>
            <w:r>
              <w:rPr>
                <w:rFonts w:ascii="Consolas" w:hAnsi="Consolas" w:cs="Consolas"/>
                <w:color w:val="000000"/>
              </w:rPr>
              <w:t>)</w:t>
            </w:r>
            <w:r>
              <w:rPr>
                <w:rFonts w:ascii="Consolas" w:hAnsi="Consolas" w:cs="Consolas"/>
                <w:b/>
                <w:bCs/>
                <w:color w:val="000000"/>
              </w:rPr>
              <w:t>}}]</w:t>
            </w:r>
            <w:r>
              <w:rPr>
                <w:rFonts w:ascii="Consolas" w:hAnsi="Consolas" w:cs="Consolas"/>
                <w:color w:val="000000"/>
              </w:rPr>
              <w:t>*</w:t>
            </w:r>
            <w:r>
              <w:rPr>
                <w:rFonts w:ascii="Consolas" w:hAnsi="Consolas" w:cs="Consolas"/>
                <w:color w:val="000000"/>
              </w:rPr>
              <w:br/>
              <w:t xml:space="preserve">    </w:t>
            </w:r>
            <w:r>
              <w:rPr>
                <w:rFonts w:ascii="Consolas" w:hAnsi="Consolas" w:cs="Consolas"/>
                <w:b/>
                <w:bCs/>
                <w:color w:val="000000"/>
              </w:rPr>
              <w:t>sum{</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AGE</w:t>
            </w:r>
            <w:r>
              <w:rPr>
                <w:rFonts w:ascii="Consolas" w:hAnsi="Consolas" w:cs="Consolas"/>
                <w:color w:val="000000"/>
              </w:rPr>
              <w:t>,</w:t>
            </w:r>
            <w:r>
              <w:rPr>
                <w:rFonts w:ascii="Consolas" w:hAnsi="Consolas" w:cs="Consolas"/>
                <w:b/>
                <w:bCs/>
                <w:color w:val="000000"/>
              </w:rPr>
              <w:t>sum</w:t>
            </w:r>
            <w:proofErr w:type="spellEnd"/>
            <w:r>
              <w:rPr>
                <w:rFonts w:ascii="Consolas" w:hAnsi="Consolas" w:cs="Consolas"/>
                <w:b/>
                <w:bCs/>
                <w:color w:val="000000"/>
              </w:rPr>
              <w:t>{</w:t>
            </w:r>
            <w:proofErr w:type="spellStart"/>
            <w:r>
              <w:rPr>
                <w:rFonts w:ascii="Consolas" w:hAnsi="Consolas" w:cs="Consolas"/>
                <w:color w:val="008000"/>
              </w:rPr>
              <w:t>g</w:t>
            </w:r>
            <w:r>
              <w:rPr>
                <w:rFonts w:ascii="Consolas" w:hAnsi="Consolas" w:cs="Consolas"/>
                <w:color w:val="000000"/>
              </w:rPr>
              <w:t>,</w:t>
            </w:r>
            <w:r>
              <w:rPr>
                <w:rFonts w:ascii="Consolas" w:hAnsi="Consolas" w:cs="Consolas"/>
                <w:color w:val="008000"/>
              </w:rPr>
              <w:t>GENDER</w:t>
            </w:r>
            <w:proofErr w:type="spellEnd"/>
            <w:r>
              <w:rPr>
                <w:rFonts w:ascii="Consolas" w:hAnsi="Consolas" w:cs="Consolas"/>
                <w:color w:val="000000"/>
              </w:rPr>
              <w:t xml:space="preserve">, </w:t>
            </w:r>
            <w:r>
              <w:rPr>
                <w:rFonts w:ascii="Consolas" w:hAnsi="Consolas" w:cs="Consolas"/>
                <w:b/>
                <w:bCs/>
                <w:color w:val="000000"/>
              </w:rPr>
              <w:t>[</w:t>
            </w:r>
            <w:proofErr w:type="spellStart"/>
            <w:r>
              <w:rPr>
                <w:rFonts w:ascii="Consolas" w:hAnsi="Consolas" w:cs="Consolas"/>
                <w:color w:val="008000"/>
              </w:rPr>
              <w:t>C_X5PC</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x</w:t>
            </w:r>
            <w:r>
              <w:rPr>
                <w:rFonts w:ascii="Consolas" w:hAnsi="Consolas" w:cs="Consolas"/>
                <w:color w:val="000000"/>
              </w:rPr>
              <w:t>,</w:t>
            </w:r>
            <w:r>
              <w:rPr>
                <w:rFonts w:ascii="Consolas" w:hAnsi="Consolas" w:cs="Consolas"/>
                <w:color w:val="008000"/>
              </w:rPr>
              <w:t>g</w:t>
            </w:r>
            <w:proofErr w:type="spellEnd"/>
            <w:r>
              <w:rPr>
                <w:rFonts w:ascii="Consolas" w:hAnsi="Consolas" w:cs="Consolas"/>
                <w:color w:val="000000"/>
              </w:rPr>
              <w:t>)*</w:t>
            </w:r>
            <w:proofErr w:type="spellStart"/>
            <w:r>
              <w:rPr>
                <w:rFonts w:ascii="Consolas" w:hAnsi="Consolas" w:cs="Consolas"/>
                <w:color w:val="008000"/>
              </w:rPr>
              <w:t>COHORT@1</w:t>
            </w:r>
            <w:proofErr w:type="spellEnd"/>
            <w:r>
              <w:rPr>
                <w:rFonts w:ascii="Consolas" w:hAnsi="Consolas" w:cs="Consolas"/>
                <w:color w:val="000000"/>
              </w:rPr>
              <w:t>(</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g</w:t>
            </w:r>
            <w:r>
              <w:rPr>
                <w:rFonts w:ascii="Consolas" w:hAnsi="Consolas" w:cs="Consolas"/>
                <w:color w:val="000000"/>
              </w:rPr>
              <w:t>,</w:t>
            </w:r>
            <w:r>
              <w:rPr>
                <w:rFonts w:ascii="Consolas" w:hAnsi="Consolas" w:cs="Consolas"/>
                <w:color w:val="008000"/>
              </w:rPr>
              <w:t>q</w:t>
            </w:r>
            <w:proofErr w:type="spellEnd"/>
            <w:r>
              <w:rPr>
                <w:rFonts w:ascii="Consolas" w:hAnsi="Consolas" w:cs="Consolas"/>
                <w:color w:val="000000"/>
              </w:rPr>
              <w:t>)</w:t>
            </w:r>
            <w:r>
              <w:rPr>
                <w:rFonts w:ascii="Consolas" w:hAnsi="Consolas" w:cs="Consolas"/>
                <w:b/>
                <w:bCs/>
                <w:color w:val="000000"/>
              </w:rPr>
              <w:t>]</w:t>
            </w:r>
            <w:r>
              <w:rPr>
                <w:rFonts w:ascii="Consolas" w:hAnsi="Consolas" w:cs="Consolas"/>
                <w:color w:val="000000"/>
              </w:rPr>
              <w:t>*</w:t>
            </w:r>
            <w:r>
              <w:rPr>
                <w:rFonts w:ascii="Consolas" w:hAnsi="Consolas" w:cs="Consolas"/>
                <w:color w:val="000000"/>
              </w:rPr>
              <w:br/>
              <w:t xml:space="preserve">    </w:t>
            </w:r>
            <w:r>
              <w:rPr>
                <w:rFonts w:ascii="Consolas" w:hAnsi="Consolas" w:cs="Consolas"/>
                <w:b/>
                <w:bCs/>
                <w:color w:val="000000"/>
              </w:rPr>
              <w:t>[</w:t>
            </w:r>
            <w:proofErr w:type="spellStart"/>
            <w:r>
              <w:rPr>
                <w:rFonts w:ascii="Consolas" w:hAnsi="Consolas" w:cs="Consolas"/>
                <w:color w:val="008000"/>
              </w:rPr>
              <w:t>x5pc</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x</w:t>
            </w:r>
            <w:r>
              <w:rPr>
                <w:rFonts w:ascii="Consolas" w:hAnsi="Consolas" w:cs="Consolas"/>
                <w:color w:val="000000"/>
              </w:rPr>
              <w:t>,</w:t>
            </w:r>
            <w:r>
              <w:rPr>
                <w:rFonts w:ascii="Consolas" w:hAnsi="Consolas" w:cs="Consolas"/>
                <w:color w:val="008000"/>
              </w:rPr>
              <w:t>g</w:t>
            </w:r>
            <w:proofErr w:type="spellEnd"/>
            <w:r>
              <w:rPr>
                <w:rFonts w:ascii="Consolas" w:hAnsi="Consolas" w:cs="Consolas"/>
                <w:color w:val="000000"/>
              </w:rPr>
              <w:t xml:space="preserve">) + </w:t>
            </w:r>
            <w:proofErr w:type="spellStart"/>
            <w:r>
              <w:rPr>
                <w:rFonts w:ascii="Consolas" w:hAnsi="Consolas" w:cs="Consolas"/>
                <w:color w:val="008000"/>
              </w:rPr>
              <w:t>f_x5pc</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q</w:t>
            </w:r>
            <w:proofErr w:type="spellEnd"/>
            <w:r>
              <w:rPr>
                <w:rFonts w:ascii="Consolas" w:hAnsi="Consolas" w:cs="Consolas"/>
                <w:color w:val="000000"/>
              </w:rPr>
              <w:t xml:space="preserve">) + </w:t>
            </w:r>
            <w:proofErr w:type="spellStart"/>
            <w:r>
              <w:rPr>
                <w:rFonts w:ascii="Consolas" w:hAnsi="Consolas" w:cs="Consolas"/>
                <w:color w:val="008000"/>
              </w:rPr>
              <w:t>f_natx5pc</w:t>
            </w:r>
            <w:proofErr w:type="spellEnd"/>
            <w:r>
              <w:rPr>
                <w:rFonts w:ascii="Consolas" w:hAnsi="Consolas" w:cs="Consolas"/>
                <w:color w:val="000000"/>
              </w:rPr>
              <w:t>(</w:t>
            </w:r>
            <w:r>
              <w:rPr>
                <w:rFonts w:ascii="Consolas" w:hAnsi="Consolas" w:cs="Consolas"/>
                <w:color w:val="008000"/>
              </w:rPr>
              <w:t>c</w:t>
            </w:r>
            <w:r>
              <w:rPr>
                <w:rFonts w:ascii="Consolas" w:hAnsi="Consolas" w:cs="Consolas"/>
                <w:color w:val="000000"/>
              </w:rPr>
              <w:t xml:space="preserve">) + </w:t>
            </w:r>
            <w:proofErr w:type="spellStart"/>
            <w:r>
              <w:rPr>
                <w:rFonts w:ascii="Consolas" w:hAnsi="Consolas" w:cs="Consolas"/>
                <w:color w:val="008000"/>
              </w:rPr>
              <w:t>f5tot</w:t>
            </w:r>
            <w:proofErr w:type="spellEnd"/>
            <w:r>
              <w:rPr>
                <w:rFonts w:ascii="Consolas" w:hAnsi="Consolas" w:cs="Consolas"/>
                <w:color w:val="000000"/>
              </w:rPr>
              <w:t>(</w:t>
            </w:r>
            <w:r>
              <w:rPr>
                <w:rFonts w:ascii="Consolas" w:hAnsi="Consolas" w:cs="Consolas"/>
                <w:color w:val="008000"/>
              </w:rPr>
              <w:t>q</w:t>
            </w:r>
            <w:r>
              <w:rPr>
                <w:rFonts w:ascii="Consolas" w:hAnsi="Consolas" w:cs="Consolas"/>
                <w:color w:val="000000"/>
              </w:rPr>
              <w:t xml:space="preserve">) + </w:t>
            </w:r>
            <w:proofErr w:type="spellStart"/>
            <w:r>
              <w:rPr>
                <w:rFonts w:ascii="Consolas" w:hAnsi="Consolas" w:cs="Consolas"/>
                <w:color w:val="008000"/>
              </w:rPr>
              <w:t>natf5tot</w:t>
            </w:r>
            <w:proofErr w:type="spellEnd"/>
            <w:r>
              <w:rPr>
                <w:rFonts w:ascii="Consolas" w:hAnsi="Consolas" w:cs="Consolas"/>
                <w:b/>
                <w:bCs/>
                <w:color w:val="000000"/>
              </w:rPr>
              <w:t>]}}</w:t>
            </w:r>
            <w:r>
              <w:rPr>
                <w:rFonts w:ascii="Consolas" w:hAnsi="Consolas" w:cs="Consolas"/>
                <w:color w:val="000000"/>
              </w:rPr>
              <w:t xml:space="preserve"> + </w:t>
            </w:r>
            <w:r>
              <w:rPr>
                <w:rFonts w:ascii="Consolas" w:hAnsi="Consolas" w:cs="Consolas"/>
                <w:color w:val="000000"/>
              </w:rPr>
              <w:br/>
              <w:t xml:space="preserve">    100/</w:t>
            </w:r>
            <w:proofErr w:type="spellStart"/>
            <w:r>
              <w:rPr>
                <w:rFonts w:ascii="Consolas" w:hAnsi="Consolas" w:cs="Consolas"/>
                <w:b/>
                <w:bCs/>
                <w:color w:val="000000"/>
              </w:rPr>
              <w:t>ID01</w:t>
            </w:r>
            <w:proofErr w:type="spellEnd"/>
            <w:r>
              <w:rPr>
                <w:rFonts w:ascii="Consolas" w:hAnsi="Consolas" w:cs="Consolas"/>
                <w:b/>
                <w:bCs/>
                <w:color w:val="000000"/>
              </w:rPr>
              <w:t>[sum{</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AGE</w:t>
            </w:r>
            <w:r>
              <w:rPr>
                <w:rFonts w:ascii="Consolas" w:hAnsi="Consolas" w:cs="Consolas"/>
                <w:color w:val="000000"/>
              </w:rPr>
              <w:t>,</w:t>
            </w:r>
            <w:r>
              <w:rPr>
                <w:rFonts w:ascii="Consolas" w:hAnsi="Consolas" w:cs="Consolas"/>
                <w:b/>
                <w:bCs/>
                <w:color w:val="000000"/>
              </w:rPr>
              <w:t>sum</w:t>
            </w:r>
            <w:proofErr w:type="spellEnd"/>
            <w:r>
              <w:rPr>
                <w:rFonts w:ascii="Consolas" w:hAnsi="Consolas" w:cs="Consolas"/>
                <w:b/>
                <w:bCs/>
                <w:color w:val="000000"/>
              </w:rPr>
              <w:t>{</w:t>
            </w:r>
            <w:proofErr w:type="spellStart"/>
            <w:r>
              <w:rPr>
                <w:rFonts w:ascii="Consolas" w:hAnsi="Consolas" w:cs="Consolas"/>
                <w:color w:val="008000"/>
              </w:rPr>
              <w:t>g</w:t>
            </w:r>
            <w:r>
              <w:rPr>
                <w:rFonts w:ascii="Consolas" w:hAnsi="Consolas" w:cs="Consolas"/>
                <w:color w:val="000000"/>
              </w:rPr>
              <w:t>,</w:t>
            </w:r>
            <w:r>
              <w:rPr>
                <w:rFonts w:ascii="Consolas" w:hAnsi="Consolas" w:cs="Consolas"/>
                <w:color w:val="008000"/>
              </w:rPr>
              <w:t>GENDER</w:t>
            </w:r>
            <w:proofErr w:type="spellEnd"/>
            <w:r>
              <w:rPr>
                <w:rFonts w:ascii="Consolas" w:hAnsi="Consolas" w:cs="Consolas"/>
                <w:color w:val="000000"/>
              </w:rPr>
              <w:t xml:space="preserve">, </w:t>
            </w:r>
            <w:proofErr w:type="spellStart"/>
            <w:r>
              <w:rPr>
                <w:rFonts w:ascii="Consolas" w:hAnsi="Consolas" w:cs="Consolas"/>
                <w:color w:val="008000"/>
              </w:rPr>
              <w:t>C_X5PC</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x</w:t>
            </w:r>
            <w:r>
              <w:rPr>
                <w:rFonts w:ascii="Consolas" w:hAnsi="Consolas" w:cs="Consolas"/>
                <w:color w:val="000000"/>
              </w:rPr>
              <w:t>,</w:t>
            </w:r>
            <w:r>
              <w:rPr>
                <w:rFonts w:ascii="Consolas" w:hAnsi="Consolas" w:cs="Consolas"/>
                <w:color w:val="008000"/>
              </w:rPr>
              <w:t>g</w:t>
            </w:r>
            <w:proofErr w:type="spellEnd"/>
            <w:r>
              <w:rPr>
                <w:rFonts w:ascii="Consolas" w:hAnsi="Consolas" w:cs="Consolas"/>
                <w:color w:val="000000"/>
              </w:rPr>
              <w:t>)*</w:t>
            </w:r>
            <w:proofErr w:type="spellStart"/>
            <w:r>
              <w:rPr>
                <w:rFonts w:ascii="Consolas" w:hAnsi="Consolas" w:cs="Consolas"/>
                <w:color w:val="008000"/>
              </w:rPr>
              <w:t>COHORT@1</w:t>
            </w:r>
            <w:proofErr w:type="spellEnd"/>
            <w:r>
              <w:rPr>
                <w:rFonts w:ascii="Consolas" w:hAnsi="Consolas" w:cs="Consolas"/>
                <w:color w:val="000000"/>
              </w:rPr>
              <w:t>(</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g</w:t>
            </w:r>
            <w:r>
              <w:rPr>
                <w:rFonts w:ascii="Consolas" w:hAnsi="Consolas" w:cs="Consolas"/>
                <w:color w:val="000000"/>
              </w:rPr>
              <w:t>,</w:t>
            </w:r>
            <w:r>
              <w:rPr>
                <w:rFonts w:ascii="Consolas" w:hAnsi="Consolas" w:cs="Consolas"/>
                <w:color w:val="008000"/>
              </w:rPr>
              <w:t>q</w:t>
            </w:r>
            <w:proofErr w:type="spellEnd"/>
            <w:r>
              <w:rPr>
                <w:rFonts w:ascii="Consolas" w:hAnsi="Consolas" w:cs="Consolas"/>
                <w:color w:val="000000"/>
              </w:rPr>
              <w:t>)</w:t>
            </w:r>
            <w:r>
              <w:rPr>
                <w:rFonts w:ascii="Consolas" w:hAnsi="Consolas" w:cs="Consolas"/>
                <w:b/>
                <w:bCs/>
                <w:color w:val="000000"/>
              </w:rPr>
              <w:t>}}]</w:t>
            </w:r>
            <w:r>
              <w:rPr>
                <w:rFonts w:ascii="Consolas" w:hAnsi="Consolas" w:cs="Consolas"/>
                <w:color w:val="000000"/>
              </w:rPr>
              <w:t>*</w:t>
            </w:r>
            <w:r>
              <w:rPr>
                <w:rFonts w:ascii="Consolas" w:hAnsi="Consolas" w:cs="Consolas"/>
                <w:color w:val="000000"/>
              </w:rPr>
              <w:br/>
              <w:t xml:space="preserve">    </w:t>
            </w:r>
            <w:r>
              <w:rPr>
                <w:rFonts w:ascii="Consolas" w:hAnsi="Consolas" w:cs="Consolas"/>
                <w:b/>
                <w:bCs/>
                <w:color w:val="000000"/>
              </w:rPr>
              <w:t>sum{</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AGE</w:t>
            </w:r>
            <w:r>
              <w:rPr>
                <w:rFonts w:ascii="Consolas" w:hAnsi="Consolas" w:cs="Consolas"/>
                <w:color w:val="000000"/>
              </w:rPr>
              <w:t>,</w:t>
            </w:r>
            <w:r>
              <w:rPr>
                <w:rFonts w:ascii="Consolas" w:hAnsi="Consolas" w:cs="Consolas"/>
                <w:b/>
                <w:bCs/>
                <w:color w:val="000000"/>
              </w:rPr>
              <w:t>sum</w:t>
            </w:r>
            <w:proofErr w:type="spellEnd"/>
            <w:r>
              <w:rPr>
                <w:rFonts w:ascii="Consolas" w:hAnsi="Consolas" w:cs="Consolas"/>
                <w:b/>
                <w:bCs/>
                <w:color w:val="000000"/>
              </w:rPr>
              <w:t>{</w:t>
            </w:r>
            <w:proofErr w:type="spellStart"/>
            <w:r>
              <w:rPr>
                <w:rFonts w:ascii="Consolas" w:hAnsi="Consolas" w:cs="Consolas"/>
                <w:color w:val="008000"/>
              </w:rPr>
              <w:t>g</w:t>
            </w:r>
            <w:r>
              <w:rPr>
                <w:rFonts w:ascii="Consolas" w:hAnsi="Consolas" w:cs="Consolas"/>
                <w:color w:val="000000"/>
              </w:rPr>
              <w:t>,</w:t>
            </w:r>
            <w:r>
              <w:rPr>
                <w:rFonts w:ascii="Consolas" w:hAnsi="Consolas" w:cs="Consolas"/>
                <w:color w:val="008000"/>
              </w:rPr>
              <w:t>GENDER</w:t>
            </w:r>
            <w:proofErr w:type="spellEnd"/>
            <w:r>
              <w:rPr>
                <w:rFonts w:ascii="Consolas" w:hAnsi="Consolas" w:cs="Consolas"/>
                <w:color w:val="000000"/>
              </w:rPr>
              <w:t xml:space="preserve">, </w:t>
            </w:r>
            <w:r>
              <w:rPr>
                <w:rFonts w:ascii="Consolas" w:hAnsi="Consolas" w:cs="Consolas"/>
                <w:b/>
                <w:bCs/>
                <w:color w:val="000000"/>
              </w:rPr>
              <w:t>[</w:t>
            </w:r>
            <w:proofErr w:type="spellStart"/>
            <w:r>
              <w:rPr>
                <w:rFonts w:ascii="Consolas" w:hAnsi="Consolas" w:cs="Consolas"/>
                <w:color w:val="008000"/>
              </w:rPr>
              <w:t>C_X5PC</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x</w:t>
            </w:r>
            <w:r>
              <w:rPr>
                <w:rFonts w:ascii="Consolas" w:hAnsi="Consolas" w:cs="Consolas"/>
                <w:color w:val="000000"/>
              </w:rPr>
              <w:t>,</w:t>
            </w:r>
            <w:r>
              <w:rPr>
                <w:rFonts w:ascii="Consolas" w:hAnsi="Consolas" w:cs="Consolas"/>
                <w:color w:val="008000"/>
              </w:rPr>
              <w:t>g</w:t>
            </w:r>
            <w:proofErr w:type="spellEnd"/>
            <w:r>
              <w:rPr>
                <w:rFonts w:ascii="Consolas" w:hAnsi="Consolas" w:cs="Consolas"/>
                <w:color w:val="000000"/>
              </w:rPr>
              <w:t>)*</w:t>
            </w:r>
            <w:proofErr w:type="spellStart"/>
            <w:r>
              <w:rPr>
                <w:rFonts w:ascii="Consolas" w:hAnsi="Consolas" w:cs="Consolas"/>
                <w:color w:val="008000"/>
              </w:rPr>
              <w:t>popchange</w:t>
            </w:r>
            <w:proofErr w:type="spellEnd"/>
            <w:r>
              <w:rPr>
                <w:rFonts w:ascii="Consolas" w:hAnsi="Consolas" w:cs="Consolas"/>
                <w:color w:val="000000"/>
              </w:rPr>
              <w:t>(</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g</w:t>
            </w:r>
            <w:r>
              <w:rPr>
                <w:rFonts w:ascii="Consolas" w:hAnsi="Consolas" w:cs="Consolas"/>
                <w:color w:val="000000"/>
              </w:rPr>
              <w:t>,</w:t>
            </w:r>
            <w:r>
              <w:rPr>
                <w:rFonts w:ascii="Consolas" w:hAnsi="Consolas" w:cs="Consolas"/>
                <w:color w:val="008000"/>
              </w:rPr>
              <w:t>q</w:t>
            </w:r>
            <w:proofErr w:type="spellEnd"/>
            <w:r>
              <w:rPr>
                <w:rFonts w:ascii="Consolas" w:hAnsi="Consolas" w:cs="Consolas"/>
                <w:color w:val="000000"/>
              </w:rPr>
              <w:t>)</w:t>
            </w:r>
            <w:r>
              <w:rPr>
                <w:rFonts w:ascii="Consolas" w:hAnsi="Consolas" w:cs="Consolas"/>
                <w:b/>
                <w:bCs/>
                <w:color w:val="000000"/>
              </w:rPr>
              <w:t>]}}</w:t>
            </w:r>
            <w:r>
              <w:rPr>
                <w:rFonts w:ascii="Consolas" w:hAnsi="Consolas" w:cs="Consolas"/>
                <w:color w:val="000000"/>
              </w:rPr>
              <w:t xml:space="preserve"> +</w:t>
            </w:r>
            <w:r>
              <w:rPr>
                <w:rFonts w:ascii="Consolas" w:hAnsi="Consolas" w:cs="Consolas"/>
                <w:color w:val="000000"/>
              </w:rPr>
              <w:br/>
              <w:t xml:space="preserve">    </w:t>
            </w:r>
            <w:proofErr w:type="spellStart"/>
            <w:r>
              <w:rPr>
                <w:rFonts w:ascii="Consolas" w:hAnsi="Consolas" w:cs="Consolas"/>
                <w:color w:val="008000"/>
              </w:rPr>
              <w:t>f_x5a</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s</w:t>
            </w:r>
            <w:r>
              <w:rPr>
                <w:rFonts w:ascii="Consolas" w:hAnsi="Consolas" w:cs="Consolas"/>
                <w:color w:val="000000"/>
              </w:rPr>
              <w:t>,</w:t>
            </w:r>
            <w:r>
              <w:rPr>
                <w:rFonts w:ascii="Consolas" w:hAnsi="Consolas" w:cs="Consolas"/>
                <w:color w:val="008000"/>
              </w:rPr>
              <w:t>q</w:t>
            </w:r>
            <w:proofErr w:type="spellEnd"/>
            <w:r>
              <w:rPr>
                <w:rFonts w:ascii="Consolas" w:hAnsi="Consolas" w:cs="Consolas"/>
                <w:color w:val="000000"/>
              </w:rPr>
              <w:t>) ;</w:t>
            </w:r>
          </w:p>
          <w:p w14:paraId="5A605E23" w14:textId="77777777" w:rsidR="00662E77" w:rsidRDefault="00662E77" w:rsidP="00662E77">
            <w:pPr>
              <w:pStyle w:val="Box"/>
              <w:jc w:val="left"/>
              <w:rPr>
                <w:rFonts w:ascii="Consolas" w:hAnsi="Consolas" w:cs="Consolas"/>
                <w:color w:val="000000"/>
              </w:rPr>
            </w:pPr>
            <w:r>
              <w:rPr>
                <w:rFonts w:ascii="Consolas" w:hAnsi="Consolas" w:cs="Consolas"/>
                <w:b/>
                <w:bCs/>
                <w:color w:val="000000"/>
              </w:rPr>
              <w:t>Equation</w:t>
            </w:r>
            <w:r>
              <w:rPr>
                <w:rFonts w:ascii="Consolas" w:hAnsi="Consolas" w:cs="Consolas"/>
                <w:color w:val="000000"/>
              </w:rPr>
              <w:t xml:space="preserve"> </w:t>
            </w:r>
            <w:proofErr w:type="spellStart"/>
            <w:r>
              <w:rPr>
                <w:rFonts w:ascii="Consolas" w:hAnsi="Consolas" w:cs="Consolas"/>
                <w:color w:val="008000"/>
              </w:rPr>
              <w:t>E_x6aB3</w:t>
            </w:r>
            <w:proofErr w:type="spellEnd"/>
            <w:r>
              <w:rPr>
                <w:rFonts w:ascii="Consolas" w:hAnsi="Consolas" w:cs="Consolas"/>
                <w:color w:val="000000"/>
              </w:rPr>
              <w:br/>
            </w:r>
            <w:r>
              <w:rPr>
                <w:rFonts w:ascii="Consolas" w:hAnsi="Consolas" w:cs="Consolas"/>
                <w:i/>
                <w:iCs/>
                <w:color w:val="000000"/>
              </w:rPr>
              <w:t>#  Real Federal government consumption of commodities associated with ageing#</w:t>
            </w:r>
            <w:r>
              <w:rPr>
                <w:rFonts w:ascii="Consolas" w:hAnsi="Consolas" w:cs="Consolas"/>
                <w:color w:val="000000"/>
              </w:rPr>
              <w:b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AGECOM</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s</w:t>
            </w:r>
            <w:r>
              <w:rPr>
                <w:rFonts w:ascii="Consolas" w:hAnsi="Consolas" w:cs="Consolas"/>
                <w:color w:val="000000"/>
              </w:rPr>
              <w:t>,</w:t>
            </w:r>
            <w:r>
              <w:rPr>
                <w:rFonts w:ascii="Consolas" w:hAnsi="Consolas" w:cs="Consolas"/>
                <w:color w:val="008000"/>
              </w:rPr>
              <w:t>ALLSRC</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q</w:t>
            </w:r>
            <w:r>
              <w:rPr>
                <w:rFonts w:ascii="Consolas" w:hAnsi="Consolas" w:cs="Consolas"/>
                <w:color w:val="000000"/>
              </w:rPr>
              <w:t>,</w:t>
            </w:r>
            <w:r>
              <w:rPr>
                <w:rFonts w:ascii="Consolas" w:hAnsi="Consolas" w:cs="Consolas"/>
                <w:color w:val="008000"/>
              </w:rPr>
              <w:t>REGDST</w:t>
            </w:r>
            <w:proofErr w:type="spellEnd"/>
            <w:r>
              <w:rPr>
                <w:rFonts w:ascii="Consolas" w:hAnsi="Consolas" w:cs="Consolas"/>
                <w:color w:val="000000"/>
              </w:rPr>
              <w:t>)</w:t>
            </w:r>
            <w:r>
              <w:rPr>
                <w:rFonts w:ascii="Consolas" w:hAnsi="Consolas" w:cs="Consolas"/>
                <w:color w:val="000000"/>
              </w:rPr>
              <w:br/>
            </w:r>
            <w:proofErr w:type="spellStart"/>
            <w:r>
              <w:rPr>
                <w:rFonts w:ascii="Consolas" w:hAnsi="Consolas" w:cs="Consolas"/>
                <w:color w:val="008000"/>
              </w:rPr>
              <w:t>x6a</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s</w:t>
            </w:r>
            <w:r>
              <w:rPr>
                <w:rFonts w:ascii="Consolas" w:hAnsi="Consolas" w:cs="Consolas"/>
                <w:color w:val="000000"/>
              </w:rPr>
              <w:t>,</w:t>
            </w:r>
            <w:r>
              <w:rPr>
                <w:rFonts w:ascii="Consolas" w:hAnsi="Consolas" w:cs="Consolas"/>
                <w:color w:val="008000"/>
              </w:rPr>
              <w:t>q</w:t>
            </w:r>
            <w:proofErr w:type="spellEnd"/>
            <w:r>
              <w:rPr>
                <w:rFonts w:ascii="Consolas" w:hAnsi="Consolas" w:cs="Consolas"/>
                <w:color w:val="000000"/>
              </w:rPr>
              <w:t xml:space="preserve">) = </w:t>
            </w:r>
            <w:proofErr w:type="spellStart"/>
            <w:r>
              <w:rPr>
                <w:rFonts w:ascii="Consolas" w:hAnsi="Consolas" w:cs="Consolas"/>
                <w:color w:val="008000"/>
              </w:rPr>
              <w:t>natx3tot</w:t>
            </w:r>
            <w:proofErr w:type="spellEnd"/>
            <w:r>
              <w:rPr>
                <w:rFonts w:ascii="Consolas" w:hAnsi="Consolas" w:cs="Consolas"/>
                <w:color w:val="000000"/>
              </w:rPr>
              <w:t xml:space="preserve"> - </w:t>
            </w:r>
            <w:proofErr w:type="spellStart"/>
            <w:r>
              <w:rPr>
                <w:rFonts w:ascii="Consolas" w:hAnsi="Consolas" w:cs="Consolas"/>
                <w:color w:val="008000"/>
              </w:rPr>
              <w:t>natpop</w:t>
            </w:r>
            <w:proofErr w:type="spellEnd"/>
            <w:r>
              <w:rPr>
                <w:rFonts w:ascii="Consolas" w:hAnsi="Consolas" w:cs="Consolas"/>
                <w:color w:val="000000"/>
              </w:rPr>
              <w:t xml:space="preserve"> +</w:t>
            </w:r>
            <w:r>
              <w:rPr>
                <w:rFonts w:ascii="Consolas" w:hAnsi="Consolas" w:cs="Consolas"/>
                <w:color w:val="000000"/>
              </w:rPr>
              <w:br/>
              <w:t xml:space="preserve">    1/</w:t>
            </w:r>
            <w:proofErr w:type="spellStart"/>
            <w:r>
              <w:rPr>
                <w:rFonts w:ascii="Consolas" w:hAnsi="Consolas" w:cs="Consolas"/>
                <w:b/>
                <w:bCs/>
                <w:color w:val="000000"/>
              </w:rPr>
              <w:t>ID01</w:t>
            </w:r>
            <w:proofErr w:type="spellEnd"/>
            <w:r>
              <w:rPr>
                <w:rFonts w:ascii="Consolas" w:hAnsi="Consolas" w:cs="Consolas"/>
                <w:b/>
                <w:bCs/>
                <w:color w:val="000000"/>
              </w:rPr>
              <w:t>[sum{</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AGE</w:t>
            </w:r>
            <w:r>
              <w:rPr>
                <w:rFonts w:ascii="Consolas" w:hAnsi="Consolas" w:cs="Consolas"/>
                <w:color w:val="000000"/>
              </w:rPr>
              <w:t>,</w:t>
            </w:r>
            <w:r>
              <w:rPr>
                <w:rFonts w:ascii="Consolas" w:hAnsi="Consolas" w:cs="Consolas"/>
                <w:b/>
                <w:bCs/>
                <w:color w:val="000000"/>
              </w:rPr>
              <w:t>sum</w:t>
            </w:r>
            <w:proofErr w:type="spellEnd"/>
            <w:r>
              <w:rPr>
                <w:rFonts w:ascii="Consolas" w:hAnsi="Consolas" w:cs="Consolas"/>
                <w:b/>
                <w:bCs/>
                <w:color w:val="000000"/>
              </w:rPr>
              <w:t>{</w:t>
            </w:r>
            <w:proofErr w:type="spellStart"/>
            <w:r>
              <w:rPr>
                <w:rFonts w:ascii="Consolas" w:hAnsi="Consolas" w:cs="Consolas"/>
                <w:color w:val="008000"/>
              </w:rPr>
              <w:t>g</w:t>
            </w:r>
            <w:r>
              <w:rPr>
                <w:rFonts w:ascii="Consolas" w:hAnsi="Consolas" w:cs="Consolas"/>
                <w:color w:val="000000"/>
              </w:rPr>
              <w:t>,</w:t>
            </w:r>
            <w:r>
              <w:rPr>
                <w:rFonts w:ascii="Consolas" w:hAnsi="Consolas" w:cs="Consolas"/>
                <w:color w:val="008000"/>
              </w:rPr>
              <w:t>GENDER</w:t>
            </w:r>
            <w:proofErr w:type="spellEnd"/>
            <w:r>
              <w:rPr>
                <w:rFonts w:ascii="Consolas" w:hAnsi="Consolas" w:cs="Consolas"/>
                <w:color w:val="000000"/>
              </w:rPr>
              <w:t xml:space="preserve">, </w:t>
            </w:r>
            <w:proofErr w:type="spellStart"/>
            <w:r>
              <w:rPr>
                <w:rFonts w:ascii="Consolas" w:hAnsi="Consolas" w:cs="Consolas"/>
                <w:color w:val="008000"/>
              </w:rPr>
              <w:t>C_X6PC</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x</w:t>
            </w:r>
            <w:r>
              <w:rPr>
                <w:rFonts w:ascii="Consolas" w:hAnsi="Consolas" w:cs="Consolas"/>
                <w:color w:val="000000"/>
              </w:rPr>
              <w:t>,</w:t>
            </w:r>
            <w:r>
              <w:rPr>
                <w:rFonts w:ascii="Consolas" w:hAnsi="Consolas" w:cs="Consolas"/>
                <w:color w:val="008000"/>
              </w:rPr>
              <w:t>g</w:t>
            </w:r>
            <w:proofErr w:type="spellEnd"/>
            <w:r>
              <w:rPr>
                <w:rFonts w:ascii="Consolas" w:hAnsi="Consolas" w:cs="Consolas"/>
                <w:color w:val="000000"/>
              </w:rPr>
              <w:t>)*</w:t>
            </w:r>
            <w:proofErr w:type="spellStart"/>
            <w:r>
              <w:rPr>
                <w:rFonts w:ascii="Consolas" w:hAnsi="Consolas" w:cs="Consolas"/>
                <w:color w:val="008000"/>
              </w:rPr>
              <w:t>COHORT@1</w:t>
            </w:r>
            <w:proofErr w:type="spellEnd"/>
            <w:r>
              <w:rPr>
                <w:rFonts w:ascii="Consolas" w:hAnsi="Consolas" w:cs="Consolas"/>
                <w:color w:val="000000"/>
              </w:rPr>
              <w:t>(</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g</w:t>
            </w:r>
            <w:r>
              <w:rPr>
                <w:rFonts w:ascii="Consolas" w:hAnsi="Consolas" w:cs="Consolas"/>
                <w:color w:val="000000"/>
              </w:rPr>
              <w:t>,</w:t>
            </w:r>
            <w:r>
              <w:rPr>
                <w:rFonts w:ascii="Consolas" w:hAnsi="Consolas" w:cs="Consolas"/>
                <w:color w:val="008000"/>
              </w:rPr>
              <w:t>q</w:t>
            </w:r>
            <w:proofErr w:type="spellEnd"/>
            <w:r>
              <w:rPr>
                <w:rFonts w:ascii="Consolas" w:hAnsi="Consolas" w:cs="Consolas"/>
                <w:color w:val="000000"/>
              </w:rPr>
              <w:t>)</w:t>
            </w:r>
            <w:r>
              <w:rPr>
                <w:rFonts w:ascii="Consolas" w:hAnsi="Consolas" w:cs="Consolas"/>
                <w:b/>
                <w:bCs/>
                <w:color w:val="000000"/>
              </w:rPr>
              <w:t>}}]</w:t>
            </w:r>
            <w:r>
              <w:rPr>
                <w:rFonts w:ascii="Consolas" w:hAnsi="Consolas" w:cs="Consolas"/>
                <w:color w:val="000000"/>
              </w:rPr>
              <w:t>*</w:t>
            </w:r>
            <w:r>
              <w:rPr>
                <w:rFonts w:ascii="Consolas" w:hAnsi="Consolas" w:cs="Consolas"/>
                <w:color w:val="000000"/>
              </w:rPr>
              <w:br/>
              <w:t xml:space="preserve">    </w:t>
            </w:r>
            <w:r>
              <w:rPr>
                <w:rFonts w:ascii="Consolas" w:hAnsi="Consolas" w:cs="Consolas"/>
                <w:b/>
                <w:bCs/>
                <w:color w:val="000000"/>
              </w:rPr>
              <w:t>sum{</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AGE</w:t>
            </w:r>
            <w:r>
              <w:rPr>
                <w:rFonts w:ascii="Consolas" w:hAnsi="Consolas" w:cs="Consolas"/>
                <w:color w:val="000000"/>
              </w:rPr>
              <w:t>,</w:t>
            </w:r>
            <w:r>
              <w:rPr>
                <w:rFonts w:ascii="Consolas" w:hAnsi="Consolas" w:cs="Consolas"/>
                <w:b/>
                <w:bCs/>
                <w:color w:val="000000"/>
              </w:rPr>
              <w:t>sum</w:t>
            </w:r>
            <w:proofErr w:type="spellEnd"/>
            <w:r>
              <w:rPr>
                <w:rFonts w:ascii="Consolas" w:hAnsi="Consolas" w:cs="Consolas"/>
                <w:b/>
                <w:bCs/>
                <w:color w:val="000000"/>
              </w:rPr>
              <w:t>{</w:t>
            </w:r>
            <w:proofErr w:type="spellStart"/>
            <w:r>
              <w:rPr>
                <w:rFonts w:ascii="Consolas" w:hAnsi="Consolas" w:cs="Consolas"/>
                <w:color w:val="008000"/>
              </w:rPr>
              <w:t>g</w:t>
            </w:r>
            <w:r>
              <w:rPr>
                <w:rFonts w:ascii="Consolas" w:hAnsi="Consolas" w:cs="Consolas"/>
                <w:color w:val="000000"/>
              </w:rPr>
              <w:t>,</w:t>
            </w:r>
            <w:r>
              <w:rPr>
                <w:rFonts w:ascii="Consolas" w:hAnsi="Consolas" w:cs="Consolas"/>
                <w:color w:val="008000"/>
              </w:rPr>
              <w:t>GENDER</w:t>
            </w:r>
            <w:proofErr w:type="spellEnd"/>
            <w:r>
              <w:rPr>
                <w:rFonts w:ascii="Consolas" w:hAnsi="Consolas" w:cs="Consolas"/>
                <w:color w:val="000000"/>
              </w:rPr>
              <w:t xml:space="preserve">, </w:t>
            </w:r>
            <w:r>
              <w:rPr>
                <w:rFonts w:ascii="Consolas" w:hAnsi="Consolas" w:cs="Consolas"/>
                <w:b/>
                <w:bCs/>
                <w:color w:val="000000"/>
              </w:rPr>
              <w:t>[</w:t>
            </w:r>
            <w:proofErr w:type="spellStart"/>
            <w:r>
              <w:rPr>
                <w:rFonts w:ascii="Consolas" w:hAnsi="Consolas" w:cs="Consolas"/>
                <w:color w:val="008000"/>
              </w:rPr>
              <w:t>C_X6PC</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x</w:t>
            </w:r>
            <w:r>
              <w:rPr>
                <w:rFonts w:ascii="Consolas" w:hAnsi="Consolas" w:cs="Consolas"/>
                <w:color w:val="000000"/>
              </w:rPr>
              <w:t>,</w:t>
            </w:r>
            <w:r>
              <w:rPr>
                <w:rFonts w:ascii="Consolas" w:hAnsi="Consolas" w:cs="Consolas"/>
                <w:color w:val="008000"/>
              </w:rPr>
              <w:t>g</w:t>
            </w:r>
            <w:proofErr w:type="spellEnd"/>
            <w:r>
              <w:rPr>
                <w:rFonts w:ascii="Consolas" w:hAnsi="Consolas" w:cs="Consolas"/>
                <w:color w:val="000000"/>
              </w:rPr>
              <w:t>)*</w:t>
            </w:r>
            <w:proofErr w:type="spellStart"/>
            <w:r>
              <w:rPr>
                <w:rFonts w:ascii="Consolas" w:hAnsi="Consolas" w:cs="Consolas"/>
                <w:color w:val="008000"/>
              </w:rPr>
              <w:t>COHORT@1</w:t>
            </w:r>
            <w:proofErr w:type="spellEnd"/>
            <w:r>
              <w:rPr>
                <w:rFonts w:ascii="Consolas" w:hAnsi="Consolas" w:cs="Consolas"/>
                <w:color w:val="000000"/>
              </w:rPr>
              <w:t>(</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g</w:t>
            </w:r>
            <w:r>
              <w:rPr>
                <w:rFonts w:ascii="Consolas" w:hAnsi="Consolas" w:cs="Consolas"/>
                <w:color w:val="000000"/>
              </w:rPr>
              <w:t>,</w:t>
            </w:r>
            <w:r>
              <w:rPr>
                <w:rFonts w:ascii="Consolas" w:hAnsi="Consolas" w:cs="Consolas"/>
                <w:color w:val="008000"/>
              </w:rPr>
              <w:t>q</w:t>
            </w:r>
            <w:proofErr w:type="spellEnd"/>
            <w:r>
              <w:rPr>
                <w:rFonts w:ascii="Consolas" w:hAnsi="Consolas" w:cs="Consolas"/>
                <w:color w:val="000000"/>
              </w:rPr>
              <w:t>)</w:t>
            </w:r>
            <w:r>
              <w:rPr>
                <w:rFonts w:ascii="Consolas" w:hAnsi="Consolas" w:cs="Consolas"/>
                <w:b/>
                <w:bCs/>
                <w:color w:val="000000"/>
              </w:rPr>
              <w:t>]</w:t>
            </w:r>
            <w:r>
              <w:rPr>
                <w:rFonts w:ascii="Consolas" w:hAnsi="Consolas" w:cs="Consolas"/>
                <w:color w:val="000000"/>
              </w:rPr>
              <w:t>*</w:t>
            </w:r>
            <w:r>
              <w:rPr>
                <w:rFonts w:ascii="Consolas" w:hAnsi="Consolas" w:cs="Consolas"/>
                <w:color w:val="000000"/>
              </w:rPr>
              <w:br/>
              <w:t xml:space="preserve">    </w:t>
            </w:r>
            <w:r>
              <w:rPr>
                <w:rFonts w:ascii="Consolas" w:hAnsi="Consolas" w:cs="Consolas"/>
                <w:b/>
                <w:bCs/>
                <w:color w:val="000000"/>
              </w:rPr>
              <w:t>[</w:t>
            </w:r>
            <w:proofErr w:type="spellStart"/>
            <w:r>
              <w:rPr>
                <w:rFonts w:ascii="Consolas" w:hAnsi="Consolas" w:cs="Consolas"/>
                <w:color w:val="008000"/>
              </w:rPr>
              <w:t>x6pc</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x</w:t>
            </w:r>
            <w:r>
              <w:rPr>
                <w:rFonts w:ascii="Consolas" w:hAnsi="Consolas" w:cs="Consolas"/>
                <w:color w:val="000000"/>
              </w:rPr>
              <w:t>,</w:t>
            </w:r>
            <w:r>
              <w:rPr>
                <w:rFonts w:ascii="Consolas" w:hAnsi="Consolas" w:cs="Consolas"/>
                <w:color w:val="008000"/>
              </w:rPr>
              <w:t>g</w:t>
            </w:r>
            <w:proofErr w:type="spellEnd"/>
            <w:r>
              <w:rPr>
                <w:rFonts w:ascii="Consolas" w:hAnsi="Consolas" w:cs="Consolas"/>
                <w:color w:val="000000"/>
              </w:rPr>
              <w:t xml:space="preserve">) + </w:t>
            </w:r>
            <w:proofErr w:type="spellStart"/>
            <w:r>
              <w:rPr>
                <w:rFonts w:ascii="Consolas" w:hAnsi="Consolas" w:cs="Consolas"/>
                <w:color w:val="008000"/>
              </w:rPr>
              <w:t>f_x6pc</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q</w:t>
            </w:r>
            <w:proofErr w:type="spellEnd"/>
            <w:r>
              <w:rPr>
                <w:rFonts w:ascii="Consolas" w:hAnsi="Consolas" w:cs="Consolas"/>
                <w:color w:val="000000"/>
              </w:rPr>
              <w:t xml:space="preserve">) + </w:t>
            </w:r>
            <w:proofErr w:type="spellStart"/>
            <w:r>
              <w:rPr>
                <w:rFonts w:ascii="Consolas" w:hAnsi="Consolas" w:cs="Consolas"/>
                <w:color w:val="008000"/>
              </w:rPr>
              <w:t>f_natx6pc</w:t>
            </w:r>
            <w:proofErr w:type="spellEnd"/>
            <w:r>
              <w:rPr>
                <w:rFonts w:ascii="Consolas" w:hAnsi="Consolas" w:cs="Consolas"/>
                <w:color w:val="000000"/>
              </w:rPr>
              <w:t>(</w:t>
            </w:r>
            <w:r>
              <w:rPr>
                <w:rFonts w:ascii="Consolas" w:hAnsi="Consolas" w:cs="Consolas"/>
                <w:color w:val="008000"/>
              </w:rPr>
              <w:t>c</w:t>
            </w:r>
            <w:r>
              <w:rPr>
                <w:rFonts w:ascii="Consolas" w:hAnsi="Consolas" w:cs="Consolas"/>
                <w:color w:val="000000"/>
              </w:rPr>
              <w:t xml:space="preserve">) + </w:t>
            </w:r>
            <w:proofErr w:type="spellStart"/>
            <w:r>
              <w:rPr>
                <w:rFonts w:ascii="Consolas" w:hAnsi="Consolas" w:cs="Consolas"/>
                <w:color w:val="008000"/>
              </w:rPr>
              <w:t>f6tot</w:t>
            </w:r>
            <w:proofErr w:type="spellEnd"/>
            <w:r>
              <w:rPr>
                <w:rFonts w:ascii="Consolas" w:hAnsi="Consolas" w:cs="Consolas"/>
                <w:color w:val="000000"/>
              </w:rPr>
              <w:t>(</w:t>
            </w:r>
            <w:r>
              <w:rPr>
                <w:rFonts w:ascii="Consolas" w:hAnsi="Consolas" w:cs="Consolas"/>
                <w:color w:val="008000"/>
              </w:rPr>
              <w:t>q</w:t>
            </w:r>
            <w:r>
              <w:rPr>
                <w:rFonts w:ascii="Consolas" w:hAnsi="Consolas" w:cs="Consolas"/>
                <w:color w:val="000000"/>
              </w:rPr>
              <w:t xml:space="preserve">) + </w:t>
            </w:r>
            <w:proofErr w:type="spellStart"/>
            <w:r>
              <w:rPr>
                <w:rFonts w:ascii="Consolas" w:hAnsi="Consolas" w:cs="Consolas"/>
                <w:color w:val="008000"/>
              </w:rPr>
              <w:t>natf6tot</w:t>
            </w:r>
            <w:proofErr w:type="spellEnd"/>
            <w:r>
              <w:rPr>
                <w:rFonts w:ascii="Consolas" w:hAnsi="Consolas" w:cs="Consolas"/>
                <w:b/>
                <w:bCs/>
                <w:color w:val="000000"/>
              </w:rPr>
              <w:t>]}}</w:t>
            </w:r>
            <w:r>
              <w:rPr>
                <w:rFonts w:ascii="Consolas" w:hAnsi="Consolas" w:cs="Consolas"/>
                <w:color w:val="000000"/>
              </w:rPr>
              <w:t xml:space="preserve"> +</w:t>
            </w:r>
            <w:r>
              <w:rPr>
                <w:rFonts w:ascii="Consolas" w:hAnsi="Consolas" w:cs="Consolas"/>
                <w:color w:val="000000"/>
              </w:rPr>
              <w:br/>
              <w:t xml:space="preserve">    100/</w:t>
            </w:r>
            <w:proofErr w:type="spellStart"/>
            <w:r>
              <w:rPr>
                <w:rFonts w:ascii="Consolas" w:hAnsi="Consolas" w:cs="Consolas"/>
                <w:b/>
                <w:bCs/>
                <w:color w:val="000000"/>
              </w:rPr>
              <w:t>ID01</w:t>
            </w:r>
            <w:proofErr w:type="spellEnd"/>
            <w:r>
              <w:rPr>
                <w:rFonts w:ascii="Consolas" w:hAnsi="Consolas" w:cs="Consolas"/>
                <w:b/>
                <w:bCs/>
                <w:color w:val="000000"/>
              </w:rPr>
              <w:t>[sum{</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AGE</w:t>
            </w:r>
            <w:r>
              <w:rPr>
                <w:rFonts w:ascii="Consolas" w:hAnsi="Consolas" w:cs="Consolas"/>
                <w:color w:val="000000"/>
              </w:rPr>
              <w:t>,</w:t>
            </w:r>
            <w:r>
              <w:rPr>
                <w:rFonts w:ascii="Consolas" w:hAnsi="Consolas" w:cs="Consolas"/>
                <w:b/>
                <w:bCs/>
                <w:color w:val="000000"/>
              </w:rPr>
              <w:t>sum</w:t>
            </w:r>
            <w:proofErr w:type="spellEnd"/>
            <w:r>
              <w:rPr>
                <w:rFonts w:ascii="Consolas" w:hAnsi="Consolas" w:cs="Consolas"/>
                <w:b/>
                <w:bCs/>
                <w:color w:val="000000"/>
              </w:rPr>
              <w:t>{</w:t>
            </w:r>
            <w:proofErr w:type="spellStart"/>
            <w:r>
              <w:rPr>
                <w:rFonts w:ascii="Consolas" w:hAnsi="Consolas" w:cs="Consolas"/>
                <w:color w:val="008000"/>
              </w:rPr>
              <w:t>g</w:t>
            </w:r>
            <w:r>
              <w:rPr>
                <w:rFonts w:ascii="Consolas" w:hAnsi="Consolas" w:cs="Consolas"/>
                <w:color w:val="000000"/>
              </w:rPr>
              <w:t>,</w:t>
            </w:r>
            <w:r>
              <w:rPr>
                <w:rFonts w:ascii="Consolas" w:hAnsi="Consolas" w:cs="Consolas"/>
                <w:color w:val="008000"/>
              </w:rPr>
              <w:t>GENDER</w:t>
            </w:r>
            <w:proofErr w:type="spellEnd"/>
            <w:r>
              <w:rPr>
                <w:rFonts w:ascii="Consolas" w:hAnsi="Consolas" w:cs="Consolas"/>
                <w:color w:val="000000"/>
              </w:rPr>
              <w:t xml:space="preserve">, </w:t>
            </w:r>
            <w:proofErr w:type="spellStart"/>
            <w:r>
              <w:rPr>
                <w:rFonts w:ascii="Consolas" w:hAnsi="Consolas" w:cs="Consolas"/>
                <w:color w:val="008000"/>
              </w:rPr>
              <w:t>C_X6PC</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x</w:t>
            </w:r>
            <w:r>
              <w:rPr>
                <w:rFonts w:ascii="Consolas" w:hAnsi="Consolas" w:cs="Consolas"/>
                <w:color w:val="000000"/>
              </w:rPr>
              <w:t>,</w:t>
            </w:r>
            <w:r>
              <w:rPr>
                <w:rFonts w:ascii="Consolas" w:hAnsi="Consolas" w:cs="Consolas"/>
                <w:color w:val="008000"/>
              </w:rPr>
              <w:t>g</w:t>
            </w:r>
            <w:proofErr w:type="spellEnd"/>
            <w:r>
              <w:rPr>
                <w:rFonts w:ascii="Consolas" w:hAnsi="Consolas" w:cs="Consolas"/>
                <w:color w:val="000000"/>
              </w:rPr>
              <w:t>)*</w:t>
            </w:r>
            <w:proofErr w:type="spellStart"/>
            <w:r>
              <w:rPr>
                <w:rFonts w:ascii="Consolas" w:hAnsi="Consolas" w:cs="Consolas"/>
                <w:color w:val="008000"/>
              </w:rPr>
              <w:t>COHORT@1</w:t>
            </w:r>
            <w:proofErr w:type="spellEnd"/>
            <w:r>
              <w:rPr>
                <w:rFonts w:ascii="Consolas" w:hAnsi="Consolas" w:cs="Consolas"/>
                <w:color w:val="000000"/>
              </w:rPr>
              <w:t>(</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g</w:t>
            </w:r>
            <w:r>
              <w:rPr>
                <w:rFonts w:ascii="Consolas" w:hAnsi="Consolas" w:cs="Consolas"/>
                <w:color w:val="000000"/>
              </w:rPr>
              <w:t>,</w:t>
            </w:r>
            <w:r>
              <w:rPr>
                <w:rFonts w:ascii="Consolas" w:hAnsi="Consolas" w:cs="Consolas"/>
                <w:color w:val="008000"/>
              </w:rPr>
              <w:t>q</w:t>
            </w:r>
            <w:proofErr w:type="spellEnd"/>
            <w:r>
              <w:rPr>
                <w:rFonts w:ascii="Consolas" w:hAnsi="Consolas" w:cs="Consolas"/>
                <w:color w:val="000000"/>
              </w:rPr>
              <w:t>)</w:t>
            </w:r>
            <w:r>
              <w:rPr>
                <w:rFonts w:ascii="Consolas" w:hAnsi="Consolas" w:cs="Consolas"/>
                <w:b/>
                <w:bCs/>
                <w:color w:val="000000"/>
              </w:rPr>
              <w:t>}}]</w:t>
            </w:r>
            <w:r>
              <w:rPr>
                <w:rFonts w:ascii="Consolas" w:hAnsi="Consolas" w:cs="Consolas"/>
                <w:color w:val="000000"/>
              </w:rPr>
              <w:t>*</w:t>
            </w:r>
            <w:r>
              <w:rPr>
                <w:rFonts w:ascii="Consolas" w:hAnsi="Consolas" w:cs="Consolas"/>
                <w:color w:val="000000"/>
              </w:rPr>
              <w:br/>
              <w:t xml:space="preserve">    </w:t>
            </w:r>
            <w:r>
              <w:rPr>
                <w:rFonts w:ascii="Consolas" w:hAnsi="Consolas" w:cs="Consolas"/>
                <w:b/>
                <w:bCs/>
                <w:color w:val="000000"/>
              </w:rPr>
              <w:t>sum{</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AGE</w:t>
            </w:r>
            <w:r>
              <w:rPr>
                <w:rFonts w:ascii="Consolas" w:hAnsi="Consolas" w:cs="Consolas"/>
                <w:color w:val="000000"/>
              </w:rPr>
              <w:t>,</w:t>
            </w:r>
            <w:r>
              <w:rPr>
                <w:rFonts w:ascii="Consolas" w:hAnsi="Consolas" w:cs="Consolas"/>
                <w:b/>
                <w:bCs/>
                <w:color w:val="000000"/>
              </w:rPr>
              <w:t>sum</w:t>
            </w:r>
            <w:proofErr w:type="spellEnd"/>
            <w:r>
              <w:rPr>
                <w:rFonts w:ascii="Consolas" w:hAnsi="Consolas" w:cs="Consolas"/>
                <w:b/>
                <w:bCs/>
                <w:color w:val="000000"/>
              </w:rPr>
              <w:t>{</w:t>
            </w:r>
            <w:proofErr w:type="spellStart"/>
            <w:r>
              <w:rPr>
                <w:rFonts w:ascii="Consolas" w:hAnsi="Consolas" w:cs="Consolas"/>
                <w:color w:val="008000"/>
              </w:rPr>
              <w:t>g</w:t>
            </w:r>
            <w:r>
              <w:rPr>
                <w:rFonts w:ascii="Consolas" w:hAnsi="Consolas" w:cs="Consolas"/>
                <w:color w:val="000000"/>
              </w:rPr>
              <w:t>,</w:t>
            </w:r>
            <w:r>
              <w:rPr>
                <w:rFonts w:ascii="Consolas" w:hAnsi="Consolas" w:cs="Consolas"/>
                <w:color w:val="008000"/>
              </w:rPr>
              <w:t>GENDER</w:t>
            </w:r>
            <w:proofErr w:type="spellEnd"/>
            <w:r>
              <w:rPr>
                <w:rFonts w:ascii="Consolas" w:hAnsi="Consolas" w:cs="Consolas"/>
                <w:color w:val="000000"/>
              </w:rPr>
              <w:t xml:space="preserve">, </w:t>
            </w:r>
            <w:r>
              <w:rPr>
                <w:rFonts w:ascii="Consolas" w:hAnsi="Consolas" w:cs="Consolas"/>
                <w:b/>
                <w:bCs/>
                <w:color w:val="000000"/>
              </w:rPr>
              <w:t>[</w:t>
            </w:r>
            <w:proofErr w:type="spellStart"/>
            <w:r>
              <w:rPr>
                <w:rFonts w:ascii="Consolas" w:hAnsi="Consolas" w:cs="Consolas"/>
                <w:color w:val="008000"/>
              </w:rPr>
              <w:t>C_X6PC</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x</w:t>
            </w:r>
            <w:r>
              <w:rPr>
                <w:rFonts w:ascii="Consolas" w:hAnsi="Consolas" w:cs="Consolas"/>
                <w:color w:val="000000"/>
              </w:rPr>
              <w:t>,</w:t>
            </w:r>
            <w:r>
              <w:rPr>
                <w:rFonts w:ascii="Consolas" w:hAnsi="Consolas" w:cs="Consolas"/>
                <w:color w:val="008000"/>
              </w:rPr>
              <w:t>g</w:t>
            </w:r>
            <w:proofErr w:type="spellEnd"/>
            <w:r>
              <w:rPr>
                <w:rFonts w:ascii="Consolas" w:hAnsi="Consolas" w:cs="Consolas"/>
                <w:color w:val="000000"/>
              </w:rPr>
              <w:t>)*</w:t>
            </w:r>
            <w:proofErr w:type="spellStart"/>
            <w:r>
              <w:rPr>
                <w:rFonts w:ascii="Consolas" w:hAnsi="Consolas" w:cs="Consolas"/>
                <w:color w:val="008000"/>
              </w:rPr>
              <w:t>popchange</w:t>
            </w:r>
            <w:proofErr w:type="spellEnd"/>
            <w:r>
              <w:rPr>
                <w:rFonts w:ascii="Consolas" w:hAnsi="Consolas" w:cs="Consolas"/>
                <w:color w:val="000000"/>
              </w:rPr>
              <w:t>(</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g</w:t>
            </w:r>
            <w:r>
              <w:rPr>
                <w:rFonts w:ascii="Consolas" w:hAnsi="Consolas" w:cs="Consolas"/>
                <w:color w:val="000000"/>
              </w:rPr>
              <w:t>,</w:t>
            </w:r>
            <w:r>
              <w:rPr>
                <w:rFonts w:ascii="Consolas" w:hAnsi="Consolas" w:cs="Consolas"/>
                <w:color w:val="008000"/>
              </w:rPr>
              <w:t>q</w:t>
            </w:r>
            <w:proofErr w:type="spellEnd"/>
            <w:r>
              <w:rPr>
                <w:rFonts w:ascii="Consolas" w:hAnsi="Consolas" w:cs="Consolas"/>
                <w:color w:val="000000"/>
              </w:rPr>
              <w:t>)</w:t>
            </w:r>
            <w:r>
              <w:rPr>
                <w:rFonts w:ascii="Consolas" w:hAnsi="Consolas" w:cs="Consolas"/>
                <w:b/>
                <w:bCs/>
                <w:color w:val="000000"/>
              </w:rPr>
              <w:t>]}}</w:t>
            </w:r>
            <w:r>
              <w:rPr>
                <w:rFonts w:ascii="Consolas" w:hAnsi="Consolas" w:cs="Consolas"/>
                <w:color w:val="000000"/>
              </w:rPr>
              <w:t xml:space="preserve"> +</w:t>
            </w:r>
            <w:r>
              <w:rPr>
                <w:rFonts w:ascii="Consolas" w:hAnsi="Consolas" w:cs="Consolas"/>
                <w:color w:val="000000"/>
              </w:rPr>
              <w:br/>
              <w:t xml:space="preserve">    </w:t>
            </w:r>
            <w:proofErr w:type="spellStart"/>
            <w:r>
              <w:rPr>
                <w:rFonts w:ascii="Consolas" w:hAnsi="Consolas" w:cs="Consolas"/>
                <w:color w:val="008000"/>
              </w:rPr>
              <w:t>f_x6a</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s</w:t>
            </w:r>
            <w:r>
              <w:rPr>
                <w:rFonts w:ascii="Consolas" w:hAnsi="Consolas" w:cs="Consolas"/>
                <w:color w:val="000000"/>
              </w:rPr>
              <w:t>,</w:t>
            </w:r>
            <w:r>
              <w:rPr>
                <w:rFonts w:ascii="Consolas" w:hAnsi="Consolas" w:cs="Consolas"/>
                <w:color w:val="008000"/>
              </w:rPr>
              <w:t>q</w:t>
            </w:r>
            <w:proofErr w:type="spellEnd"/>
            <w:r>
              <w:rPr>
                <w:rFonts w:ascii="Consolas" w:hAnsi="Consolas" w:cs="Consolas"/>
                <w:color w:val="000000"/>
              </w:rPr>
              <w:t>);</w:t>
            </w:r>
          </w:p>
          <w:p w14:paraId="3E084419" w14:textId="3250F003" w:rsidR="00662E77" w:rsidRDefault="00662E77" w:rsidP="00662E77">
            <w:pPr>
              <w:pStyle w:val="Box"/>
              <w:jc w:val="left"/>
              <w:rPr>
                <w:rFonts w:ascii="Consolas" w:hAnsi="Consolas" w:cs="Consolas"/>
                <w:color w:val="000000"/>
              </w:rPr>
            </w:pPr>
            <w:r>
              <w:rPr>
                <w:rFonts w:ascii="Consolas" w:hAnsi="Consolas" w:cs="Consolas"/>
                <w:b/>
                <w:bCs/>
                <w:color w:val="000000"/>
              </w:rPr>
              <w:t>Equation</w:t>
            </w:r>
            <w:r>
              <w:rPr>
                <w:rFonts w:ascii="Consolas" w:hAnsi="Consolas" w:cs="Consolas"/>
                <w:color w:val="000000"/>
              </w:rPr>
              <w:t xml:space="preserve"> </w:t>
            </w:r>
            <w:proofErr w:type="spellStart"/>
            <w:r>
              <w:rPr>
                <w:rFonts w:ascii="Consolas" w:hAnsi="Consolas" w:cs="Consolas"/>
                <w:color w:val="008000"/>
              </w:rPr>
              <w:t>E_x5pc</w:t>
            </w:r>
            <w:proofErr w:type="spellEnd"/>
            <w:r>
              <w:rPr>
                <w:rFonts w:ascii="Consolas" w:hAnsi="Consolas" w:cs="Consolas"/>
                <w:color w:val="000000"/>
              </w:rPr>
              <w:t xml:space="preserve"> </w:t>
            </w:r>
            <w:r>
              <w:rPr>
                <w:rFonts w:ascii="Consolas" w:hAnsi="Consolas" w:cs="Consolas"/>
                <w:i/>
                <w:iCs/>
                <w:color w:val="000000"/>
              </w:rPr>
              <w:t># Percentage change in state aged</w:t>
            </w:r>
            <w:r w:rsidR="00E759E4">
              <w:rPr>
                <w:rFonts w:ascii="Consolas" w:hAnsi="Consolas" w:cs="Consolas"/>
                <w:i/>
                <w:iCs/>
                <w:color w:val="000000"/>
              </w:rPr>
              <w:t xml:space="preserve"> </w:t>
            </w:r>
            <w:r>
              <w:rPr>
                <w:rFonts w:ascii="Consolas" w:hAnsi="Consolas" w:cs="Consolas"/>
                <w:i/>
                <w:iCs/>
                <w:color w:val="000000"/>
              </w:rPr>
              <w:t>care activity per person #</w:t>
            </w:r>
            <w:r>
              <w:rPr>
                <w:rFonts w:ascii="Consolas" w:hAnsi="Consolas" w:cs="Consolas"/>
                <w:color w:val="000000"/>
              </w:rPr>
              <w:b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AGECARE</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x</w:t>
            </w:r>
            <w:r>
              <w:rPr>
                <w:rFonts w:ascii="Consolas" w:hAnsi="Consolas" w:cs="Consolas"/>
                <w:color w:val="000000"/>
              </w:rPr>
              <w:t>,</w:t>
            </w:r>
            <w:r>
              <w:rPr>
                <w:rFonts w:ascii="Consolas" w:hAnsi="Consolas" w:cs="Consolas"/>
                <w:color w:val="008000"/>
              </w:rPr>
              <w:t>AGE</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g</w:t>
            </w:r>
            <w:r>
              <w:rPr>
                <w:rFonts w:ascii="Consolas" w:hAnsi="Consolas" w:cs="Consolas"/>
                <w:color w:val="000000"/>
              </w:rPr>
              <w:t>,</w:t>
            </w:r>
            <w:r>
              <w:rPr>
                <w:rFonts w:ascii="Consolas" w:hAnsi="Consolas" w:cs="Consolas"/>
                <w:color w:val="008000"/>
              </w:rPr>
              <w:t>GENDER</w:t>
            </w:r>
            <w:proofErr w:type="spellEnd"/>
            <w:r>
              <w:rPr>
                <w:rFonts w:ascii="Consolas" w:hAnsi="Consolas" w:cs="Consolas"/>
                <w:color w:val="000000"/>
              </w:rPr>
              <w:t>)</w:t>
            </w:r>
            <w:r>
              <w:rPr>
                <w:rFonts w:ascii="Consolas" w:hAnsi="Consolas" w:cs="Consolas"/>
                <w:color w:val="000000"/>
              </w:rPr>
              <w:br/>
            </w:r>
            <w:r>
              <w:rPr>
                <w:rFonts w:ascii="Consolas" w:hAnsi="Consolas" w:cs="Consolas"/>
                <w:color w:val="008000"/>
              </w:rPr>
              <w:t>MORT</w:t>
            </w:r>
            <w:r>
              <w:rPr>
                <w:rFonts w:ascii="Consolas" w:hAnsi="Consolas" w:cs="Consolas"/>
                <w:color w:val="000000"/>
              </w:rPr>
              <w:t>(</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g</w:t>
            </w:r>
            <w:r>
              <w:rPr>
                <w:rFonts w:ascii="Consolas" w:hAnsi="Consolas" w:cs="Consolas"/>
                <w:color w:val="000000"/>
              </w:rPr>
              <w:t>,</w:t>
            </w:r>
            <w:r>
              <w:rPr>
                <w:rFonts w:ascii="Consolas" w:hAnsi="Consolas" w:cs="Consolas"/>
                <w:i/>
                <w:iCs/>
                <w:color w:val="800000"/>
              </w:rPr>
              <w:t>"NSW</w:t>
            </w:r>
            <w:proofErr w:type="spellEnd"/>
            <w:r>
              <w:rPr>
                <w:rFonts w:ascii="Consolas" w:hAnsi="Consolas" w:cs="Consolas"/>
                <w:i/>
                <w:iCs/>
                <w:color w:val="800000"/>
              </w:rPr>
              <w:t>"</w:t>
            </w:r>
            <w:r>
              <w:rPr>
                <w:rFonts w:ascii="Consolas" w:hAnsi="Consolas" w:cs="Consolas"/>
                <w:color w:val="000000"/>
              </w:rPr>
              <w:t>)*</w:t>
            </w:r>
            <w:proofErr w:type="spellStart"/>
            <w:r>
              <w:rPr>
                <w:rFonts w:ascii="Consolas" w:hAnsi="Consolas" w:cs="Consolas"/>
                <w:color w:val="008000"/>
              </w:rPr>
              <w:t>x5pc</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x</w:t>
            </w:r>
            <w:r>
              <w:rPr>
                <w:rFonts w:ascii="Consolas" w:hAnsi="Consolas" w:cs="Consolas"/>
                <w:color w:val="000000"/>
              </w:rPr>
              <w:t>,</w:t>
            </w:r>
            <w:r>
              <w:rPr>
                <w:rFonts w:ascii="Consolas" w:hAnsi="Consolas" w:cs="Consolas"/>
                <w:color w:val="008000"/>
              </w:rPr>
              <w:t>g</w:t>
            </w:r>
            <w:proofErr w:type="spellEnd"/>
            <w:r>
              <w:rPr>
                <w:rFonts w:ascii="Consolas" w:hAnsi="Consolas" w:cs="Consolas"/>
                <w:color w:val="000000"/>
              </w:rPr>
              <w:t>) = 100*</w:t>
            </w:r>
            <w:proofErr w:type="spellStart"/>
            <w:r>
              <w:rPr>
                <w:rFonts w:ascii="Consolas" w:hAnsi="Consolas" w:cs="Consolas"/>
                <w:color w:val="008000"/>
              </w:rPr>
              <w:t>d_mort</w:t>
            </w:r>
            <w:proofErr w:type="spellEnd"/>
            <w:r>
              <w:rPr>
                <w:rFonts w:ascii="Consolas" w:hAnsi="Consolas" w:cs="Consolas"/>
                <w:color w:val="000000"/>
              </w:rPr>
              <w:t>(</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g</w:t>
            </w:r>
            <w:r>
              <w:rPr>
                <w:rFonts w:ascii="Consolas" w:hAnsi="Consolas" w:cs="Consolas"/>
                <w:color w:val="000000"/>
              </w:rPr>
              <w:t>,</w:t>
            </w:r>
            <w:r>
              <w:rPr>
                <w:rFonts w:ascii="Consolas" w:hAnsi="Consolas" w:cs="Consolas"/>
                <w:i/>
                <w:iCs/>
                <w:color w:val="800000"/>
              </w:rPr>
              <w:t>"NSW</w:t>
            </w:r>
            <w:proofErr w:type="spellEnd"/>
            <w:r>
              <w:rPr>
                <w:rFonts w:ascii="Consolas" w:hAnsi="Consolas" w:cs="Consolas"/>
                <w:i/>
                <w:iCs/>
                <w:color w:val="800000"/>
              </w:rPr>
              <w:t>"</w:t>
            </w:r>
            <w:r>
              <w:rPr>
                <w:rFonts w:ascii="Consolas" w:hAnsi="Consolas" w:cs="Consolas"/>
                <w:color w:val="000000"/>
              </w:rPr>
              <w:t>) ;</w:t>
            </w:r>
          </w:p>
          <w:p w14:paraId="17050300" w14:textId="173EA0BA" w:rsidR="00662E77" w:rsidRDefault="00662E77" w:rsidP="00662E77">
            <w:pPr>
              <w:pStyle w:val="Box"/>
            </w:pPr>
            <w:r>
              <w:rPr>
                <w:rFonts w:ascii="Consolas" w:hAnsi="Consolas" w:cs="Consolas"/>
                <w:b/>
                <w:bCs/>
                <w:color w:val="000000"/>
              </w:rPr>
              <w:t>Equation</w:t>
            </w:r>
            <w:r>
              <w:rPr>
                <w:rFonts w:ascii="Consolas" w:hAnsi="Consolas" w:cs="Consolas"/>
                <w:color w:val="000000"/>
              </w:rPr>
              <w:t xml:space="preserve"> </w:t>
            </w:r>
            <w:proofErr w:type="spellStart"/>
            <w:r>
              <w:rPr>
                <w:rFonts w:ascii="Consolas" w:hAnsi="Consolas" w:cs="Consolas"/>
                <w:color w:val="008000"/>
              </w:rPr>
              <w:t>E_x6pc</w:t>
            </w:r>
            <w:proofErr w:type="spellEnd"/>
            <w:r>
              <w:rPr>
                <w:rFonts w:ascii="Consolas" w:hAnsi="Consolas" w:cs="Consolas"/>
                <w:color w:val="000000"/>
              </w:rPr>
              <w:t xml:space="preserve"> </w:t>
            </w:r>
            <w:r>
              <w:rPr>
                <w:rFonts w:ascii="Consolas" w:hAnsi="Consolas" w:cs="Consolas"/>
                <w:i/>
                <w:iCs/>
                <w:color w:val="000000"/>
              </w:rPr>
              <w:t># Percentage change in federal aged</w:t>
            </w:r>
            <w:r w:rsidR="00E759E4">
              <w:rPr>
                <w:rFonts w:ascii="Consolas" w:hAnsi="Consolas" w:cs="Consolas"/>
                <w:i/>
                <w:iCs/>
                <w:color w:val="000000"/>
              </w:rPr>
              <w:t xml:space="preserve"> </w:t>
            </w:r>
            <w:r>
              <w:rPr>
                <w:rFonts w:ascii="Consolas" w:hAnsi="Consolas" w:cs="Consolas"/>
                <w:i/>
                <w:iCs/>
                <w:color w:val="000000"/>
              </w:rPr>
              <w:t>care activity per person #</w:t>
            </w:r>
            <w:r>
              <w:rPr>
                <w:rFonts w:ascii="Consolas" w:hAnsi="Consolas" w:cs="Consolas"/>
                <w:color w:val="000000"/>
              </w:rPr>
              <w:b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c</w:t>
            </w:r>
            <w:r>
              <w:rPr>
                <w:rFonts w:ascii="Consolas" w:hAnsi="Consolas" w:cs="Consolas"/>
                <w:color w:val="000000"/>
              </w:rPr>
              <w:t>,</w:t>
            </w:r>
            <w:r>
              <w:rPr>
                <w:rFonts w:ascii="Consolas" w:hAnsi="Consolas" w:cs="Consolas"/>
                <w:color w:val="008000"/>
              </w:rPr>
              <w:t>AGECARE</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x</w:t>
            </w:r>
            <w:r>
              <w:rPr>
                <w:rFonts w:ascii="Consolas" w:hAnsi="Consolas" w:cs="Consolas"/>
                <w:color w:val="000000"/>
              </w:rPr>
              <w:t>,</w:t>
            </w:r>
            <w:r>
              <w:rPr>
                <w:rFonts w:ascii="Consolas" w:hAnsi="Consolas" w:cs="Consolas"/>
                <w:color w:val="008000"/>
              </w:rPr>
              <w:t>AGE</w:t>
            </w:r>
            <w:proofErr w:type="spellEnd"/>
            <w:r>
              <w:rPr>
                <w:rFonts w:ascii="Consolas" w:hAnsi="Consolas" w:cs="Consolas"/>
                <w:color w:val="000000"/>
              </w:rPr>
              <w:t>)(</w:t>
            </w:r>
            <w:proofErr w:type="spellStart"/>
            <w:r>
              <w:rPr>
                <w:rFonts w:ascii="Consolas" w:hAnsi="Consolas" w:cs="Consolas"/>
                <w:b/>
                <w:bCs/>
                <w:color w:val="000000"/>
              </w:rPr>
              <w:t>all</w:t>
            </w:r>
            <w:r>
              <w:rPr>
                <w:rFonts w:ascii="Consolas" w:hAnsi="Consolas" w:cs="Consolas"/>
                <w:color w:val="000000"/>
              </w:rPr>
              <w:t>,</w:t>
            </w:r>
            <w:r>
              <w:rPr>
                <w:rFonts w:ascii="Consolas" w:hAnsi="Consolas" w:cs="Consolas"/>
                <w:color w:val="008000"/>
              </w:rPr>
              <w:t>g</w:t>
            </w:r>
            <w:r>
              <w:rPr>
                <w:rFonts w:ascii="Consolas" w:hAnsi="Consolas" w:cs="Consolas"/>
                <w:color w:val="000000"/>
              </w:rPr>
              <w:t>,</w:t>
            </w:r>
            <w:r>
              <w:rPr>
                <w:rFonts w:ascii="Consolas" w:hAnsi="Consolas" w:cs="Consolas"/>
                <w:color w:val="008000"/>
              </w:rPr>
              <w:t>GENDER</w:t>
            </w:r>
            <w:proofErr w:type="spellEnd"/>
            <w:r>
              <w:rPr>
                <w:rFonts w:ascii="Consolas" w:hAnsi="Consolas" w:cs="Consolas"/>
                <w:color w:val="000000"/>
              </w:rPr>
              <w:t>)</w:t>
            </w:r>
            <w:r>
              <w:rPr>
                <w:rFonts w:ascii="Consolas" w:hAnsi="Consolas" w:cs="Consolas"/>
                <w:color w:val="000000"/>
              </w:rPr>
              <w:br/>
            </w:r>
            <w:r>
              <w:rPr>
                <w:rFonts w:ascii="Consolas" w:hAnsi="Consolas" w:cs="Consolas"/>
                <w:color w:val="008000"/>
              </w:rPr>
              <w:t>MORT</w:t>
            </w:r>
            <w:r>
              <w:rPr>
                <w:rFonts w:ascii="Consolas" w:hAnsi="Consolas" w:cs="Consolas"/>
                <w:color w:val="000000"/>
              </w:rPr>
              <w:t>(</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g</w:t>
            </w:r>
            <w:r>
              <w:rPr>
                <w:rFonts w:ascii="Consolas" w:hAnsi="Consolas" w:cs="Consolas"/>
                <w:color w:val="000000"/>
              </w:rPr>
              <w:t>,</w:t>
            </w:r>
            <w:r>
              <w:rPr>
                <w:rFonts w:ascii="Consolas" w:hAnsi="Consolas" w:cs="Consolas"/>
                <w:i/>
                <w:iCs/>
                <w:color w:val="800000"/>
              </w:rPr>
              <w:t>"NSW</w:t>
            </w:r>
            <w:proofErr w:type="spellEnd"/>
            <w:r>
              <w:rPr>
                <w:rFonts w:ascii="Consolas" w:hAnsi="Consolas" w:cs="Consolas"/>
                <w:i/>
                <w:iCs/>
                <w:color w:val="800000"/>
              </w:rPr>
              <w:t>"</w:t>
            </w:r>
            <w:r>
              <w:rPr>
                <w:rFonts w:ascii="Consolas" w:hAnsi="Consolas" w:cs="Consolas"/>
                <w:color w:val="000000"/>
              </w:rPr>
              <w:t>)*</w:t>
            </w:r>
            <w:proofErr w:type="spellStart"/>
            <w:r>
              <w:rPr>
                <w:rFonts w:ascii="Consolas" w:hAnsi="Consolas" w:cs="Consolas"/>
                <w:color w:val="008000"/>
              </w:rPr>
              <w:t>x6pc</w:t>
            </w:r>
            <w:proofErr w:type="spellEnd"/>
            <w:r>
              <w:rPr>
                <w:rFonts w:ascii="Consolas" w:hAnsi="Consolas" w:cs="Consolas"/>
                <w:color w:val="000000"/>
              </w:rPr>
              <w:t>(</w:t>
            </w:r>
            <w:proofErr w:type="spellStart"/>
            <w:r>
              <w:rPr>
                <w:rFonts w:ascii="Consolas" w:hAnsi="Consolas" w:cs="Consolas"/>
                <w:color w:val="008000"/>
              </w:rPr>
              <w:t>c</w:t>
            </w:r>
            <w:r>
              <w:rPr>
                <w:rFonts w:ascii="Consolas" w:hAnsi="Consolas" w:cs="Consolas"/>
                <w:color w:val="000000"/>
              </w:rPr>
              <w:t>,</w:t>
            </w:r>
            <w:r>
              <w:rPr>
                <w:rFonts w:ascii="Consolas" w:hAnsi="Consolas" w:cs="Consolas"/>
                <w:color w:val="008000"/>
              </w:rPr>
              <w:t>x</w:t>
            </w:r>
            <w:r>
              <w:rPr>
                <w:rFonts w:ascii="Consolas" w:hAnsi="Consolas" w:cs="Consolas"/>
                <w:color w:val="000000"/>
              </w:rPr>
              <w:t>,</w:t>
            </w:r>
            <w:r>
              <w:rPr>
                <w:rFonts w:ascii="Consolas" w:hAnsi="Consolas" w:cs="Consolas"/>
                <w:color w:val="008000"/>
              </w:rPr>
              <w:t>g</w:t>
            </w:r>
            <w:proofErr w:type="spellEnd"/>
            <w:r>
              <w:rPr>
                <w:rFonts w:ascii="Consolas" w:hAnsi="Consolas" w:cs="Consolas"/>
                <w:color w:val="000000"/>
              </w:rPr>
              <w:t>) = 100*</w:t>
            </w:r>
            <w:proofErr w:type="spellStart"/>
            <w:r>
              <w:rPr>
                <w:rFonts w:ascii="Consolas" w:hAnsi="Consolas" w:cs="Consolas"/>
                <w:color w:val="008000"/>
              </w:rPr>
              <w:t>d_mort</w:t>
            </w:r>
            <w:proofErr w:type="spellEnd"/>
            <w:r>
              <w:rPr>
                <w:rFonts w:ascii="Consolas" w:hAnsi="Consolas" w:cs="Consolas"/>
                <w:color w:val="000000"/>
              </w:rPr>
              <w:t>(</w:t>
            </w:r>
            <w:proofErr w:type="spellStart"/>
            <w:r>
              <w:rPr>
                <w:rFonts w:ascii="Consolas" w:hAnsi="Consolas" w:cs="Consolas"/>
                <w:color w:val="008000"/>
              </w:rPr>
              <w:t>x</w:t>
            </w:r>
            <w:r>
              <w:rPr>
                <w:rFonts w:ascii="Consolas" w:hAnsi="Consolas" w:cs="Consolas"/>
                <w:color w:val="000000"/>
              </w:rPr>
              <w:t>,</w:t>
            </w:r>
            <w:r>
              <w:rPr>
                <w:rFonts w:ascii="Consolas" w:hAnsi="Consolas" w:cs="Consolas"/>
                <w:color w:val="008000"/>
              </w:rPr>
              <w:t>g</w:t>
            </w:r>
            <w:r>
              <w:rPr>
                <w:rFonts w:ascii="Consolas" w:hAnsi="Consolas" w:cs="Consolas"/>
                <w:color w:val="000000"/>
              </w:rPr>
              <w:t>,</w:t>
            </w:r>
            <w:r>
              <w:rPr>
                <w:rFonts w:ascii="Consolas" w:hAnsi="Consolas" w:cs="Consolas"/>
                <w:i/>
                <w:iCs/>
                <w:color w:val="800000"/>
              </w:rPr>
              <w:t>"NSW</w:t>
            </w:r>
            <w:proofErr w:type="spellEnd"/>
            <w:r>
              <w:rPr>
                <w:rFonts w:ascii="Consolas" w:hAnsi="Consolas" w:cs="Consolas"/>
                <w:i/>
                <w:iCs/>
                <w:color w:val="800000"/>
              </w:rPr>
              <w:t>"</w:t>
            </w:r>
            <w:r>
              <w:rPr>
                <w:rFonts w:ascii="Consolas" w:hAnsi="Consolas" w:cs="Consolas"/>
                <w:color w:val="000000"/>
              </w:rPr>
              <w:t>);</w:t>
            </w:r>
          </w:p>
        </w:tc>
      </w:tr>
      <w:tr w:rsidR="00662E77" w14:paraId="0FB99653" w14:textId="77777777" w:rsidTr="00662E77">
        <w:trPr>
          <w:cantSplit/>
        </w:trPr>
        <w:tc>
          <w:tcPr>
            <w:tcW w:w="8771" w:type="dxa"/>
            <w:tcBorders>
              <w:top w:val="nil"/>
              <w:left w:val="nil"/>
              <w:bottom w:val="nil"/>
              <w:right w:val="nil"/>
            </w:tcBorders>
            <w:shd w:val="clear" w:color="auto" w:fill="F2F2F2"/>
          </w:tcPr>
          <w:p w14:paraId="551B347E" w14:textId="71DBB633" w:rsidR="00662E77" w:rsidRDefault="00FF3429" w:rsidP="00662E77">
            <w:pPr>
              <w:pStyle w:val="BoxSource"/>
            </w:pPr>
            <w:r>
              <w:rPr>
                <w:i/>
              </w:rPr>
              <w:t>Source</w:t>
            </w:r>
            <w:r w:rsidRPr="00167F06">
              <w:t xml:space="preserve">: </w:t>
            </w:r>
            <w:proofErr w:type="spellStart"/>
            <w:r>
              <w:t>VURM</w:t>
            </w:r>
            <w:proofErr w:type="spellEnd"/>
            <w:r>
              <w:noBreakHyphen/>
              <w:t>MI.</w:t>
            </w:r>
          </w:p>
        </w:tc>
      </w:tr>
      <w:tr w:rsidR="00662E77" w14:paraId="76717DB3" w14:textId="77777777" w:rsidTr="00662E77">
        <w:trPr>
          <w:cantSplit/>
        </w:trPr>
        <w:tc>
          <w:tcPr>
            <w:tcW w:w="8771" w:type="dxa"/>
            <w:tcBorders>
              <w:top w:val="nil"/>
              <w:left w:val="nil"/>
              <w:bottom w:val="single" w:sz="6" w:space="0" w:color="78A22F"/>
              <w:right w:val="nil"/>
            </w:tcBorders>
            <w:shd w:val="clear" w:color="auto" w:fill="F2F2F2"/>
          </w:tcPr>
          <w:p w14:paraId="5DC8ABBE" w14:textId="77777777" w:rsidR="00662E77" w:rsidRDefault="00662E77">
            <w:pPr>
              <w:pStyle w:val="Box"/>
              <w:spacing w:before="0" w:line="120" w:lineRule="exact"/>
            </w:pPr>
          </w:p>
        </w:tc>
      </w:tr>
      <w:tr w:rsidR="00662E77" w:rsidRPr="000863A5" w14:paraId="6A4F771E" w14:textId="77777777" w:rsidTr="00662E77">
        <w:tc>
          <w:tcPr>
            <w:tcW w:w="8771" w:type="dxa"/>
            <w:tcBorders>
              <w:top w:val="single" w:sz="6" w:space="0" w:color="78A22F"/>
              <w:left w:val="nil"/>
              <w:bottom w:val="nil"/>
              <w:right w:val="nil"/>
            </w:tcBorders>
          </w:tcPr>
          <w:p w14:paraId="7AF02885" w14:textId="065D5B2B" w:rsidR="00662E77" w:rsidRPr="00626D32" w:rsidRDefault="00662E77" w:rsidP="00662E77">
            <w:pPr>
              <w:pStyle w:val="BoxSpaceBelow"/>
            </w:pPr>
          </w:p>
        </w:tc>
      </w:tr>
    </w:tbl>
    <w:p w14:paraId="02844A51" w14:textId="77777777" w:rsidR="008366DD" w:rsidRDefault="008366DD" w:rsidP="008366DD">
      <w:pPr>
        <w:pStyle w:val="BodyText"/>
        <w:rPr>
          <w:rFonts w:ascii="Arial" w:hAnsi="Arial"/>
          <w:sz w:val="26"/>
        </w:rPr>
      </w:pPr>
      <w:r>
        <w:br w:type="page"/>
      </w:r>
    </w:p>
    <w:p w14:paraId="02844A52" w14:textId="62EE55CC" w:rsidR="009A7435" w:rsidRDefault="00BB273C" w:rsidP="00D05F07">
      <w:pPr>
        <w:pStyle w:val="Heading2"/>
      </w:pPr>
      <w:r w:rsidRPr="00CC3A65">
        <w:lastRenderedPageBreak/>
        <w:t>Reference</w:t>
      </w:r>
      <w:r w:rsidR="00BB2E7B" w:rsidRPr="00CC3A65">
        <w:t>s</w:t>
      </w:r>
    </w:p>
    <w:p w14:paraId="73CE46E2" w14:textId="5D30165B" w:rsidR="00065829" w:rsidRPr="00065829" w:rsidRDefault="00065829" w:rsidP="00DB6B9A">
      <w:pPr>
        <w:pStyle w:val="Reference"/>
      </w:pPr>
      <w:r w:rsidRPr="00065829">
        <w:t xml:space="preserve">ABS (Australian Bureau of Statistics) </w:t>
      </w:r>
      <w:proofErr w:type="spellStart"/>
      <w:r w:rsidRPr="00065829">
        <w:t>2014a</w:t>
      </w:r>
      <w:proofErr w:type="spellEnd"/>
      <w:r w:rsidRPr="00065829">
        <w:t xml:space="preserve">, </w:t>
      </w:r>
      <w:r w:rsidRPr="00065829">
        <w:rPr>
          <w:i/>
          <w:iCs/>
        </w:rPr>
        <w:t>Australian Demographic Statistics, September</w:t>
      </w:r>
      <w:r w:rsidRPr="00065829">
        <w:t>, Cat. no. 3101.0, Canberra.</w:t>
      </w:r>
    </w:p>
    <w:p w14:paraId="4B8246D5" w14:textId="439E227B" w:rsidR="00065829" w:rsidRPr="00065829" w:rsidRDefault="00065829" w:rsidP="00DB6B9A">
      <w:pPr>
        <w:pStyle w:val="Reference"/>
      </w:pPr>
      <w:r w:rsidRPr="00065829">
        <w:t>——</w:t>
      </w:r>
      <w:r w:rsidR="00DB6B9A">
        <w:t> </w:t>
      </w:r>
      <w:proofErr w:type="spellStart"/>
      <w:r w:rsidRPr="00065829">
        <w:t>2014b</w:t>
      </w:r>
      <w:proofErr w:type="spellEnd"/>
      <w:r w:rsidRPr="00065829">
        <w:t xml:space="preserve">, </w:t>
      </w:r>
      <w:r w:rsidRPr="00065829">
        <w:rPr>
          <w:i/>
          <w:iCs/>
        </w:rPr>
        <w:t>Australian Historical Population Statistics, August 2008</w:t>
      </w:r>
      <w:r w:rsidRPr="00065829">
        <w:t>, Cat. no. 3105.0.65.001, Canberra.</w:t>
      </w:r>
    </w:p>
    <w:p w14:paraId="5FE44772" w14:textId="77777777" w:rsidR="00065829" w:rsidRPr="00065829" w:rsidRDefault="00065829" w:rsidP="00DB6B9A">
      <w:pPr>
        <w:pStyle w:val="Reference"/>
      </w:pPr>
      <w:r w:rsidRPr="00065829">
        <w:t xml:space="preserve">Adams, P., Dixon, J. and </w:t>
      </w:r>
      <w:proofErr w:type="spellStart"/>
      <w:r w:rsidRPr="00065829">
        <w:t>Horridge</w:t>
      </w:r>
      <w:proofErr w:type="spellEnd"/>
      <w:r w:rsidRPr="00065829">
        <w:t xml:space="preserve">, M. 2015, </w:t>
      </w:r>
      <w:r w:rsidRPr="00065829">
        <w:rPr>
          <w:i/>
          <w:iCs/>
        </w:rPr>
        <w:t>The Victoria University Regional Model (</w:t>
      </w:r>
      <w:proofErr w:type="spellStart"/>
      <w:r w:rsidRPr="00065829">
        <w:rPr>
          <w:i/>
          <w:iCs/>
        </w:rPr>
        <w:t>VURM</w:t>
      </w:r>
      <w:proofErr w:type="spellEnd"/>
      <w:r w:rsidRPr="00065829">
        <w:rPr>
          <w:i/>
          <w:iCs/>
        </w:rPr>
        <w:t>): Technical Documentation, Version 1.0</w:t>
      </w:r>
      <w:r w:rsidRPr="00065829">
        <w:t>, Centre of Policy Studies, Victoria University, http://</w:t>
      </w:r>
      <w:proofErr w:type="spellStart"/>
      <w:r w:rsidRPr="00065829">
        <w:t>www.copsmodels.com</w:t>
      </w:r>
      <w:proofErr w:type="spellEnd"/>
      <w:r w:rsidRPr="00065829">
        <w:t>/ftp/</w:t>
      </w:r>
      <w:proofErr w:type="spellStart"/>
      <w:r w:rsidRPr="00065829">
        <w:t>workpapr</w:t>
      </w:r>
      <w:proofErr w:type="spellEnd"/>
      <w:r w:rsidRPr="00065829">
        <w:t>/g-</w:t>
      </w:r>
      <w:proofErr w:type="spellStart"/>
      <w:r w:rsidRPr="00065829">
        <w:t>254.pdf</w:t>
      </w:r>
      <w:proofErr w:type="spellEnd"/>
      <w:r w:rsidRPr="00065829">
        <w:t xml:space="preserve"> (accessed 7 April 2016).</w:t>
      </w:r>
    </w:p>
    <w:p w14:paraId="5395DA19" w14:textId="2DA59945" w:rsidR="00065829" w:rsidRPr="00065829" w:rsidRDefault="00065829" w:rsidP="00DB6B9A">
      <w:pPr>
        <w:pStyle w:val="Reference"/>
      </w:pPr>
      <w:proofErr w:type="spellStart"/>
      <w:r w:rsidRPr="00065829">
        <w:t>CoPS</w:t>
      </w:r>
      <w:proofErr w:type="spellEnd"/>
      <w:r w:rsidRPr="00065829">
        <w:t xml:space="preserve"> (Centre of Policy Studies) 2015, </w:t>
      </w:r>
      <w:r w:rsidRPr="00065829">
        <w:rPr>
          <w:i/>
          <w:iCs/>
        </w:rPr>
        <w:t>Construction of the 2009</w:t>
      </w:r>
      <w:r w:rsidR="007F2960">
        <w:rPr>
          <w:i/>
          <w:iCs/>
        </w:rPr>
        <w:noBreakHyphen/>
      </w:r>
      <w:r w:rsidRPr="00065829">
        <w:rPr>
          <w:i/>
          <w:iCs/>
        </w:rPr>
        <w:t xml:space="preserve">10 Database for the </w:t>
      </w:r>
      <w:proofErr w:type="spellStart"/>
      <w:r w:rsidRPr="00065829">
        <w:rPr>
          <w:i/>
          <w:iCs/>
        </w:rPr>
        <w:t>VURM</w:t>
      </w:r>
      <w:proofErr w:type="spellEnd"/>
      <w:r w:rsidRPr="00065829">
        <w:rPr>
          <w:i/>
          <w:iCs/>
        </w:rPr>
        <w:t xml:space="preserve"> (Victoria University Regional Model) (Version 1.0)</w:t>
      </w:r>
      <w:r w:rsidRPr="00065829">
        <w:t>, 27 August, Victoria University, Melbourne.</w:t>
      </w:r>
    </w:p>
    <w:p w14:paraId="36DCCA53" w14:textId="77777777" w:rsidR="00065829" w:rsidRPr="00065829" w:rsidRDefault="00065829" w:rsidP="00DB6B9A">
      <w:pPr>
        <w:pStyle w:val="Reference"/>
      </w:pPr>
      <w:proofErr w:type="spellStart"/>
      <w:r w:rsidRPr="00065829">
        <w:t>Cuxson</w:t>
      </w:r>
      <w:proofErr w:type="spellEnd"/>
      <w:r w:rsidRPr="00065829">
        <w:t xml:space="preserve">, G., Temple, J., Fry, J. and Leong, L. 2008, </w:t>
      </w:r>
      <w:r w:rsidRPr="00065829">
        <w:rPr>
          <w:i/>
          <w:iCs/>
        </w:rPr>
        <w:t>Modified Demographic and Economic Model (Modem) 2.0</w:t>
      </w:r>
      <w:r w:rsidRPr="00065829">
        <w:t>, Productivity Commission Documentation, October, Productivity Commission, Melbourne.</w:t>
      </w:r>
    </w:p>
    <w:p w14:paraId="4F4A9271" w14:textId="47DC33C9" w:rsidR="00065829" w:rsidRPr="00065829" w:rsidRDefault="00065829" w:rsidP="00DB6B9A">
      <w:pPr>
        <w:pStyle w:val="Reference"/>
      </w:pPr>
      <w:proofErr w:type="spellStart"/>
      <w:r w:rsidRPr="00065829">
        <w:t>DIBP</w:t>
      </w:r>
      <w:proofErr w:type="spellEnd"/>
      <w:r w:rsidRPr="00065829">
        <w:t xml:space="preserve"> (Department of Immigration and Border Protection) 2014, </w:t>
      </w:r>
      <w:r w:rsidRPr="00065829">
        <w:rPr>
          <w:i/>
          <w:iCs/>
        </w:rPr>
        <w:t>Australia’s Migration Trends 2012</w:t>
      </w:r>
      <w:r w:rsidR="007F2960">
        <w:rPr>
          <w:i/>
          <w:iCs/>
        </w:rPr>
        <w:noBreakHyphen/>
      </w:r>
      <w:r w:rsidRPr="00065829">
        <w:rPr>
          <w:i/>
          <w:iCs/>
        </w:rPr>
        <w:t>13</w:t>
      </w:r>
      <w:r w:rsidRPr="00065829">
        <w:t>, Canberra.</w:t>
      </w:r>
    </w:p>
    <w:p w14:paraId="7AE0CD0B" w14:textId="77777777" w:rsidR="00065829" w:rsidRPr="00065829" w:rsidRDefault="00065829" w:rsidP="00DB6B9A">
      <w:pPr>
        <w:pStyle w:val="Reference"/>
      </w:pPr>
      <w:proofErr w:type="spellStart"/>
      <w:r w:rsidRPr="00065829">
        <w:t>Giesecke</w:t>
      </w:r>
      <w:proofErr w:type="spellEnd"/>
      <w:r w:rsidRPr="00065829">
        <w:t xml:space="preserve">, J. 2006, ‘The economic impact of a general increase in skilled immigration’, </w:t>
      </w:r>
      <w:r w:rsidRPr="00065829">
        <w:rPr>
          <w:i/>
          <w:iCs/>
        </w:rPr>
        <w:t>People and Place</w:t>
      </w:r>
      <w:r w:rsidRPr="00065829">
        <w:t>, vol. 14, no. 3, pp. 48–63.</w:t>
      </w:r>
    </w:p>
    <w:p w14:paraId="1D271097" w14:textId="77777777" w:rsidR="00065829" w:rsidRPr="00065829" w:rsidRDefault="00065829" w:rsidP="00DB6B9A">
      <w:pPr>
        <w:pStyle w:val="Reference"/>
      </w:pPr>
      <w:r w:rsidRPr="00065829">
        <w:t xml:space="preserve">Lattimore, R. and </w:t>
      </w:r>
      <w:proofErr w:type="spellStart"/>
      <w:r w:rsidRPr="00065829">
        <w:t>Pobke</w:t>
      </w:r>
      <w:proofErr w:type="spellEnd"/>
      <w:r w:rsidRPr="00065829">
        <w:t xml:space="preserve">, C. 2008, </w:t>
      </w:r>
      <w:r w:rsidRPr="00065829">
        <w:rPr>
          <w:i/>
          <w:iCs/>
        </w:rPr>
        <w:t>Recent Trends in Australian Fertility</w:t>
      </w:r>
      <w:r w:rsidRPr="00065829">
        <w:t>, Productivity Commission Staff Working Paper, Canberra.</w:t>
      </w:r>
    </w:p>
    <w:p w14:paraId="7EB4326A" w14:textId="77777777" w:rsidR="00065829" w:rsidRPr="00065829" w:rsidRDefault="00065829" w:rsidP="00DB6B9A">
      <w:pPr>
        <w:pStyle w:val="Reference"/>
      </w:pPr>
      <w:r w:rsidRPr="00065829">
        <w:t xml:space="preserve">Migration Council Australia and Independent Economics 2015, </w:t>
      </w:r>
      <w:r w:rsidRPr="00065829">
        <w:rPr>
          <w:i/>
          <w:iCs/>
        </w:rPr>
        <w:t>The Economic Impact of Migration</w:t>
      </w:r>
      <w:r w:rsidRPr="00065829">
        <w:t>, Migration Council Australia, Canberra.</w:t>
      </w:r>
    </w:p>
    <w:p w14:paraId="61FF0A3C" w14:textId="77777777" w:rsidR="00065829" w:rsidRPr="00065829" w:rsidRDefault="00065829" w:rsidP="00DB6B9A">
      <w:pPr>
        <w:pStyle w:val="Reference"/>
      </w:pPr>
      <w:r w:rsidRPr="00065829">
        <w:t xml:space="preserve">PC (Productivity Commission) forthcoming, </w:t>
      </w:r>
      <w:proofErr w:type="spellStart"/>
      <w:r w:rsidRPr="00065829">
        <w:rPr>
          <w:i/>
          <w:iCs/>
        </w:rPr>
        <w:t>VURM</w:t>
      </w:r>
      <w:proofErr w:type="spellEnd"/>
      <w:r w:rsidRPr="00065829">
        <w:rPr>
          <w:i/>
          <w:iCs/>
        </w:rPr>
        <w:t xml:space="preserve"> (Victoria University Regional Model) reference case</w:t>
      </w:r>
      <w:r w:rsidRPr="00065829">
        <w:t>, Canberra.</w:t>
      </w:r>
    </w:p>
    <w:p w14:paraId="1038980F" w14:textId="3D9D10BD" w:rsidR="00065829" w:rsidRPr="00065829" w:rsidRDefault="00034306" w:rsidP="00DB6B9A">
      <w:pPr>
        <w:pStyle w:val="Reference"/>
      </w:pPr>
      <w:r>
        <w:t>—</w:t>
      </w:r>
      <w:r w:rsidR="00DB6B9A">
        <w:t>— </w:t>
      </w:r>
      <w:r w:rsidR="00065829" w:rsidRPr="00065829">
        <w:t xml:space="preserve">2005, </w:t>
      </w:r>
      <w:r w:rsidR="00065829" w:rsidRPr="00065829">
        <w:rPr>
          <w:i/>
          <w:iCs/>
        </w:rPr>
        <w:t>Economic Implications of an Ageing Australia</w:t>
      </w:r>
      <w:r w:rsidR="00065829" w:rsidRPr="00065829">
        <w:t>, Research report, Canberra.</w:t>
      </w:r>
    </w:p>
    <w:p w14:paraId="662E3F61" w14:textId="4E46CD91" w:rsidR="00065829" w:rsidRPr="00065829" w:rsidRDefault="00DB6B9A" w:rsidP="00DB6B9A">
      <w:pPr>
        <w:pStyle w:val="Reference"/>
      </w:pPr>
      <w:r>
        <w:t>—— </w:t>
      </w:r>
      <w:proofErr w:type="spellStart"/>
      <w:r w:rsidR="00065829" w:rsidRPr="00065829">
        <w:t>2006a</w:t>
      </w:r>
      <w:proofErr w:type="spellEnd"/>
      <w:r w:rsidR="00065829" w:rsidRPr="00065829">
        <w:t xml:space="preserve">, </w:t>
      </w:r>
      <w:r w:rsidR="00065829" w:rsidRPr="00065829">
        <w:rPr>
          <w:i/>
          <w:iCs/>
        </w:rPr>
        <w:t>Economic Impacts of Migration and Population Growth</w:t>
      </w:r>
      <w:r w:rsidR="00065829" w:rsidRPr="00065829">
        <w:t>, Research report, Canberra.</w:t>
      </w:r>
    </w:p>
    <w:p w14:paraId="17425477" w14:textId="1126A7E1" w:rsidR="00065829" w:rsidRPr="00065829" w:rsidRDefault="00DB6B9A" w:rsidP="00DB6B9A">
      <w:pPr>
        <w:pStyle w:val="Reference"/>
      </w:pPr>
      <w:r>
        <w:t>—— </w:t>
      </w:r>
      <w:proofErr w:type="spellStart"/>
      <w:r>
        <w:t>2</w:t>
      </w:r>
      <w:r w:rsidR="00065829" w:rsidRPr="00065829">
        <w:t>006b</w:t>
      </w:r>
      <w:proofErr w:type="spellEnd"/>
      <w:r w:rsidR="00065829" w:rsidRPr="00065829">
        <w:t xml:space="preserve">, </w:t>
      </w:r>
      <w:r w:rsidR="00065829" w:rsidRPr="00065829">
        <w:rPr>
          <w:i/>
          <w:iCs/>
        </w:rPr>
        <w:t>Potential Benefits of the National Reform Agenda</w:t>
      </w:r>
      <w:r w:rsidR="00065829" w:rsidRPr="00065829">
        <w:t>, Commission Research Paper, Canberra.</w:t>
      </w:r>
    </w:p>
    <w:p w14:paraId="66AF261B" w14:textId="77CE7548" w:rsidR="00065829" w:rsidRPr="00065829" w:rsidRDefault="00065829" w:rsidP="00DB6B9A">
      <w:pPr>
        <w:pStyle w:val="Reference"/>
      </w:pPr>
      <w:r w:rsidRPr="00065829">
        <w:t>——</w:t>
      </w:r>
      <w:r w:rsidR="00DB6B9A">
        <w:t> </w:t>
      </w:r>
      <w:r w:rsidRPr="00065829">
        <w:t xml:space="preserve">2012, </w:t>
      </w:r>
      <w:proofErr w:type="spellStart"/>
      <w:r w:rsidRPr="00065829">
        <w:rPr>
          <w:i/>
          <w:iCs/>
        </w:rPr>
        <w:t>Economywide</w:t>
      </w:r>
      <w:proofErr w:type="spellEnd"/>
      <w:r w:rsidRPr="00065829">
        <w:rPr>
          <w:i/>
          <w:iCs/>
        </w:rPr>
        <w:t xml:space="preserve"> modelling of impacts of </w:t>
      </w:r>
      <w:proofErr w:type="spellStart"/>
      <w:r w:rsidRPr="00065829">
        <w:rPr>
          <w:i/>
          <w:iCs/>
        </w:rPr>
        <w:t>COAG</w:t>
      </w:r>
      <w:proofErr w:type="spellEnd"/>
      <w:r w:rsidRPr="00065829">
        <w:rPr>
          <w:i/>
          <w:iCs/>
        </w:rPr>
        <w:t xml:space="preserve"> reforms, Supplement to Impacts of </w:t>
      </w:r>
      <w:proofErr w:type="spellStart"/>
      <w:r w:rsidRPr="00065829">
        <w:rPr>
          <w:i/>
          <w:iCs/>
        </w:rPr>
        <w:t>COAG</w:t>
      </w:r>
      <w:proofErr w:type="spellEnd"/>
      <w:r w:rsidRPr="00065829">
        <w:rPr>
          <w:i/>
          <w:iCs/>
        </w:rPr>
        <w:t xml:space="preserve"> Reforms: Business Regulation and VET</w:t>
      </w:r>
      <w:r w:rsidRPr="00065829">
        <w:t>, Canberra.</w:t>
      </w:r>
    </w:p>
    <w:p w14:paraId="6855C195" w14:textId="3D5D3095" w:rsidR="00065829" w:rsidRPr="00065829" w:rsidRDefault="00DB6B9A" w:rsidP="00DB6B9A">
      <w:pPr>
        <w:pStyle w:val="Reference"/>
      </w:pPr>
      <w:r>
        <w:t>—— </w:t>
      </w:r>
      <w:r w:rsidR="00065829" w:rsidRPr="00065829">
        <w:t xml:space="preserve">2013, </w:t>
      </w:r>
      <w:r w:rsidR="00065829" w:rsidRPr="00065829">
        <w:rPr>
          <w:i/>
          <w:iCs/>
        </w:rPr>
        <w:t>An Ageing Australia: Preparing for the Future</w:t>
      </w:r>
      <w:r w:rsidR="00065829" w:rsidRPr="00065829">
        <w:t>, Commission Research Paper, Canberra.</w:t>
      </w:r>
    </w:p>
    <w:p w14:paraId="3CF060EC" w14:textId="77777777" w:rsidR="00065829" w:rsidRPr="00065829" w:rsidRDefault="00065829" w:rsidP="00DB6B9A">
      <w:pPr>
        <w:pStyle w:val="Reference"/>
      </w:pPr>
      <w:r w:rsidRPr="00065829">
        <w:t xml:space="preserve">Phillips, J., </w:t>
      </w:r>
      <w:proofErr w:type="spellStart"/>
      <w:r w:rsidRPr="00065829">
        <w:t>Klapdor</w:t>
      </w:r>
      <w:proofErr w:type="spellEnd"/>
      <w:r w:rsidRPr="00065829">
        <w:t xml:space="preserve">, M. and Simon-Davies, J. 2010, </w:t>
      </w:r>
      <w:r w:rsidRPr="00065829">
        <w:rPr>
          <w:i/>
          <w:iCs/>
        </w:rPr>
        <w:t>Migration to Australia Since Federation: A Guide to the Statistics</w:t>
      </w:r>
      <w:r w:rsidRPr="00065829">
        <w:t>, Background Note, Department of Parliamentary Services, Canberra.</w:t>
      </w:r>
    </w:p>
    <w:p w14:paraId="6CC317DF" w14:textId="77777777" w:rsidR="00065829" w:rsidRPr="00065829" w:rsidRDefault="00065829" w:rsidP="00DB6B9A">
      <w:pPr>
        <w:pStyle w:val="Reference"/>
      </w:pPr>
      <w:r w:rsidRPr="00065829">
        <w:lastRenderedPageBreak/>
        <w:t xml:space="preserve">The CIE (The Centre for International Economics) 2013, </w:t>
      </w:r>
      <w:r w:rsidRPr="00065829">
        <w:rPr>
          <w:i/>
          <w:iCs/>
        </w:rPr>
        <w:t>The Economic Impacts of Migration: An Analysis of NSW</w:t>
      </w:r>
      <w:r w:rsidRPr="00065829">
        <w:t>, Report prepared for NSW Trade and Investment, Regional Infrastructure and Services, Sydney.</w:t>
      </w:r>
    </w:p>
    <w:p w14:paraId="6BEE71F2" w14:textId="7C866C3C" w:rsidR="00431E59" w:rsidRPr="00BB273C" w:rsidRDefault="00065829" w:rsidP="00DB6B9A">
      <w:pPr>
        <w:pStyle w:val="Reference"/>
      </w:pPr>
      <w:r w:rsidRPr="00065829">
        <w:t xml:space="preserve">Tran, </w:t>
      </w:r>
      <w:proofErr w:type="spellStart"/>
      <w:r w:rsidRPr="00065829">
        <w:t>N.H</w:t>
      </w:r>
      <w:proofErr w:type="spellEnd"/>
      <w:r w:rsidRPr="00065829">
        <w:t xml:space="preserve">., </w:t>
      </w:r>
      <w:proofErr w:type="spellStart"/>
      <w:r w:rsidRPr="00065829">
        <w:t>Roos</w:t>
      </w:r>
      <w:proofErr w:type="spellEnd"/>
      <w:r w:rsidRPr="00065829">
        <w:t xml:space="preserve">, </w:t>
      </w:r>
      <w:proofErr w:type="spellStart"/>
      <w:r w:rsidRPr="00065829">
        <w:t>E.L</w:t>
      </w:r>
      <w:proofErr w:type="spellEnd"/>
      <w:r w:rsidRPr="00065829">
        <w:t xml:space="preserve">., </w:t>
      </w:r>
      <w:proofErr w:type="spellStart"/>
      <w:r w:rsidRPr="00065829">
        <w:t>Giesecke</w:t>
      </w:r>
      <w:proofErr w:type="spellEnd"/>
      <w:r w:rsidRPr="00065829">
        <w:t xml:space="preserve">, </w:t>
      </w:r>
      <w:proofErr w:type="spellStart"/>
      <w:r w:rsidRPr="00065829">
        <w:t>J.A</w:t>
      </w:r>
      <w:proofErr w:type="spellEnd"/>
      <w:r w:rsidRPr="00065829">
        <w:t xml:space="preserve">. and Madden, </w:t>
      </w:r>
      <w:proofErr w:type="spellStart"/>
      <w:r w:rsidRPr="00065829">
        <w:t>J.R</w:t>
      </w:r>
      <w:proofErr w:type="spellEnd"/>
      <w:r w:rsidRPr="00065829">
        <w:t xml:space="preserve">. </w:t>
      </w:r>
      <w:r w:rsidR="00DB6B9A">
        <w:t>(</w:t>
      </w:r>
      <w:r w:rsidRPr="00065829">
        <w:t>forthcoming</w:t>
      </w:r>
      <w:r w:rsidR="00DB6B9A">
        <w:t>)</w:t>
      </w:r>
      <w:r w:rsidRPr="00065829">
        <w:t xml:space="preserve">, ‘Can regionally-targeted temporary visas be an effective policy instrument? - a general equilibrium analysis’, in </w:t>
      </w:r>
      <w:proofErr w:type="spellStart"/>
      <w:r w:rsidRPr="00065829">
        <w:t>Poot</w:t>
      </w:r>
      <w:proofErr w:type="spellEnd"/>
      <w:r w:rsidRPr="00065829">
        <w:t xml:space="preserve">, J. and </w:t>
      </w:r>
      <w:proofErr w:type="spellStart"/>
      <w:r w:rsidRPr="00065829">
        <w:t>Roskruge</w:t>
      </w:r>
      <w:proofErr w:type="spellEnd"/>
      <w:r w:rsidRPr="00065829">
        <w:t>, M. (</w:t>
      </w:r>
      <w:proofErr w:type="spellStart"/>
      <w:r w:rsidRPr="00065829">
        <w:t>eds</w:t>
      </w:r>
      <w:proofErr w:type="spellEnd"/>
      <w:r w:rsidRPr="00065829">
        <w:t xml:space="preserve">), </w:t>
      </w:r>
      <w:r w:rsidRPr="00065829">
        <w:rPr>
          <w:i/>
          <w:iCs/>
        </w:rPr>
        <w:t>Population Change and Impacts in Asia and the Pacific</w:t>
      </w:r>
      <w:r w:rsidRPr="00065829">
        <w:t xml:space="preserve">, 1st </w:t>
      </w:r>
      <w:proofErr w:type="spellStart"/>
      <w:r w:rsidRPr="00065829">
        <w:t>edn</w:t>
      </w:r>
      <w:proofErr w:type="spellEnd"/>
      <w:r w:rsidRPr="00065829">
        <w:t>, vol 26, New Frontiers in Regional Science: Asian Perspecti</w:t>
      </w:r>
      <w:r w:rsidR="00D05F07">
        <w:t>ves, Springer, New York.</w:t>
      </w:r>
    </w:p>
    <w:sectPr w:rsidR="00431E59" w:rsidRPr="00BB273C" w:rsidSect="00BF5A3C">
      <w:headerReference w:type="even" r:id="rId61"/>
      <w:headerReference w:type="default" r:id="rId62"/>
      <w:footerReference w:type="even" r:id="rId63"/>
      <w:footerReference w:type="default" r:id="rId64"/>
      <w:type w:val="oddPage"/>
      <w:pgSz w:w="11907" w:h="16840" w:code="9"/>
      <w:pgMar w:top="1984" w:right="1304" w:bottom="993" w:left="1814" w:header="1701" w:footer="397" w:gutter="0"/>
      <w:pgNumType w:start="1" w:chapStyle="1"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9E58E" w14:textId="77777777" w:rsidR="00BF16A9" w:rsidRDefault="00BF16A9">
      <w:r>
        <w:separator/>
      </w:r>
    </w:p>
  </w:endnote>
  <w:endnote w:type="continuationSeparator" w:id="0">
    <w:p w14:paraId="5F1E59EF" w14:textId="77777777" w:rsidR="00BF16A9" w:rsidRDefault="00BF16A9">
      <w:r>
        <w:continuationSeparator/>
      </w:r>
    </w:p>
  </w:endnote>
  <w:endnote w:type="continuationNotice" w:id="1">
    <w:p w14:paraId="33AA0225" w14:textId="77777777" w:rsidR="00BF16A9" w:rsidRDefault="00BF16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F16A9" w14:paraId="052150BB" w14:textId="77777777" w:rsidTr="003641C4">
      <w:trPr>
        <w:trHeight w:hRule="exact" w:val="567"/>
      </w:trPr>
      <w:tc>
        <w:tcPr>
          <w:tcW w:w="510" w:type="dxa"/>
        </w:tcPr>
        <w:p w14:paraId="46A022F9" w14:textId="77777777" w:rsidR="00BF16A9" w:rsidRDefault="00BF16A9" w:rsidP="003641C4">
          <w:pPr>
            <w:pStyle w:val="Footer"/>
            <w:ind w:right="360" w:firstLine="360"/>
          </w:pPr>
        </w:p>
      </w:tc>
      <w:tc>
        <w:tcPr>
          <w:tcW w:w="7767" w:type="dxa"/>
        </w:tcPr>
        <w:p w14:paraId="086A7936" w14:textId="3D14D268" w:rsidR="00BF16A9" w:rsidRPr="00BA5B14" w:rsidRDefault="00BF16A9" w:rsidP="003641C4">
          <w:pPr>
            <w:pStyle w:val="Footer"/>
            <w:jc w:val="right"/>
            <w:rPr>
              <w:rFonts w:cs="Arial"/>
            </w:rPr>
          </w:pPr>
          <w:r>
            <w:rPr>
              <w:rFonts w:cs="Arial"/>
            </w:rPr>
            <w:t xml:space="preserve">The </w:t>
          </w:r>
          <w:proofErr w:type="spellStart"/>
          <w:r>
            <w:rPr>
              <w:rFonts w:cs="Arial"/>
            </w:rPr>
            <w:t>economywide</w:t>
          </w:r>
          <w:proofErr w:type="spellEnd"/>
          <w:r>
            <w:rPr>
              <w:rFonts w:cs="Arial"/>
            </w:rPr>
            <w:t xml:space="preserve"> impacts of migration - general equilibrium modelling</w:t>
          </w:r>
          <w:bookmarkStart w:id="4" w:name="DraftReportOdd"/>
          <w:bookmarkEnd w:id="4"/>
        </w:p>
      </w:tc>
      <w:tc>
        <w:tcPr>
          <w:tcW w:w="510" w:type="dxa"/>
        </w:tcPr>
        <w:p w14:paraId="77B8BC6B" w14:textId="77777777" w:rsidR="00BF16A9" w:rsidRPr="00A24443" w:rsidRDefault="00BF16A9" w:rsidP="003641C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66243">
            <w:rPr>
              <w:rStyle w:val="PageNumber"/>
              <w:caps w:val="0"/>
              <w:noProof/>
            </w:rPr>
            <w:t>1</w:t>
          </w:r>
          <w:r w:rsidRPr="00A24443">
            <w:rPr>
              <w:rStyle w:val="PageNumber"/>
              <w:caps w:val="0"/>
            </w:rPr>
            <w:fldChar w:fldCharType="end"/>
          </w:r>
        </w:p>
      </w:tc>
    </w:tr>
  </w:tbl>
  <w:p w14:paraId="4C49C0D9" w14:textId="77777777" w:rsidR="00BF16A9" w:rsidRDefault="00BF16A9" w:rsidP="00135F40">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F5A3C" w:rsidDel="00964029" w14:paraId="065D19AC" w14:textId="77777777" w:rsidTr="005F48ED">
      <w:trPr>
        <w:trHeight w:hRule="exact" w:val="567"/>
      </w:trPr>
      <w:tc>
        <w:tcPr>
          <w:tcW w:w="510" w:type="dxa"/>
        </w:tcPr>
        <w:p w14:paraId="1726FD7B" w14:textId="77777777" w:rsidR="00BF5A3C" w:rsidRPr="00A24443" w:rsidDel="00964029" w:rsidRDefault="00BF5A3C" w:rsidP="0019293B">
          <w:pPr>
            <w:pStyle w:val="Footer"/>
            <w:tabs>
              <w:tab w:val="left" w:pos="0"/>
            </w:tabs>
            <w:ind w:right="0"/>
            <w:rPr>
              <w:rStyle w:val="PageNumber"/>
              <w:caps w:val="0"/>
            </w:rPr>
          </w:pPr>
          <w:r w:rsidRPr="00A24443" w:rsidDel="00964029">
            <w:rPr>
              <w:rStyle w:val="PageNumber"/>
              <w:caps w:val="0"/>
            </w:rPr>
            <w:fldChar w:fldCharType="begin"/>
          </w:r>
          <w:r w:rsidRPr="00A24443" w:rsidDel="00964029">
            <w:rPr>
              <w:rStyle w:val="PageNumber"/>
              <w:caps w:val="0"/>
            </w:rPr>
            <w:instrText xml:space="preserve">PAGE  </w:instrText>
          </w:r>
          <w:r w:rsidRPr="00A24443" w:rsidDel="00964029">
            <w:rPr>
              <w:rStyle w:val="PageNumber"/>
              <w:caps w:val="0"/>
            </w:rPr>
            <w:fldChar w:fldCharType="separate"/>
          </w:r>
          <w:r w:rsidR="00666243">
            <w:rPr>
              <w:rStyle w:val="PageNumber"/>
              <w:caps w:val="0"/>
              <w:noProof/>
            </w:rPr>
            <w:t>2</w:t>
          </w:r>
          <w:r w:rsidRPr="00A24443" w:rsidDel="00964029">
            <w:rPr>
              <w:rStyle w:val="PageNumber"/>
              <w:caps w:val="0"/>
            </w:rPr>
            <w:fldChar w:fldCharType="end"/>
          </w:r>
        </w:p>
      </w:tc>
      <w:tc>
        <w:tcPr>
          <w:tcW w:w="7767" w:type="dxa"/>
        </w:tcPr>
        <w:p w14:paraId="4DD71B32" w14:textId="77777777" w:rsidR="00BF5A3C" w:rsidRPr="0013739A" w:rsidDel="00964029" w:rsidRDefault="00BF5A3C" w:rsidP="0013739A">
          <w:pPr>
            <w:pStyle w:val="Footer"/>
            <w:rPr>
              <w:rFonts w:cs="Arial"/>
            </w:rPr>
          </w:pPr>
          <w:r>
            <w:rPr>
              <w:rFonts w:cs="Arial"/>
            </w:rPr>
            <w:t>MIGRANT INTAKE INTO AUSTRALIA - technical supplement B</w:t>
          </w:r>
        </w:p>
      </w:tc>
      <w:tc>
        <w:tcPr>
          <w:tcW w:w="510" w:type="dxa"/>
        </w:tcPr>
        <w:p w14:paraId="503B19E4" w14:textId="77777777" w:rsidR="00BF5A3C" w:rsidDel="00964029" w:rsidRDefault="00BF5A3C" w:rsidP="0019293B">
          <w:pPr>
            <w:pStyle w:val="Footer"/>
          </w:pPr>
        </w:p>
      </w:tc>
    </w:tr>
  </w:tbl>
  <w:p w14:paraId="3CAE86CB" w14:textId="77777777" w:rsidR="00BF5A3C" w:rsidRDefault="00BF5A3C" w:rsidP="0019293B">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BF5A3C" w14:paraId="099B59E1" w14:textId="77777777" w:rsidTr="003641C4">
      <w:trPr>
        <w:trHeight w:hRule="exact" w:val="567"/>
      </w:trPr>
      <w:tc>
        <w:tcPr>
          <w:tcW w:w="510" w:type="dxa"/>
        </w:tcPr>
        <w:p w14:paraId="75C058D9" w14:textId="77777777" w:rsidR="00BF5A3C" w:rsidRDefault="00BF5A3C" w:rsidP="003641C4">
          <w:pPr>
            <w:pStyle w:val="Footer"/>
            <w:ind w:right="360" w:firstLine="360"/>
          </w:pPr>
        </w:p>
      </w:tc>
      <w:tc>
        <w:tcPr>
          <w:tcW w:w="7767" w:type="dxa"/>
        </w:tcPr>
        <w:p w14:paraId="6F1D69DA" w14:textId="77777777" w:rsidR="00BF5A3C" w:rsidRPr="00BA5B14" w:rsidRDefault="00BF5A3C" w:rsidP="003641C4">
          <w:pPr>
            <w:pStyle w:val="Footer"/>
            <w:jc w:val="right"/>
            <w:rPr>
              <w:rFonts w:cs="Arial"/>
            </w:rPr>
          </w:pPr>
          <w:r>
            <w:rPr>
              <w:rFonts w:cs="Arial"/>
            </w:rPr>
            <w:t xml:space="preserve">The </w:t>
          </w:r>
          <w:proofErr w:type="spellStart"/>
          <w:r>
            <w:rPr>
              <w:rFonts w:cs="Arial"/>
            </w:rPr>
            <w:t>economywide</w:t>
          </w:r>
          <w:proofErr w:type="spellEnd"/>
          <w:r>
            <w:rPr>
              <w:rFonts w:cs="Arial"/>
            </w:rPr>
            <w:t xml:space="preserve"> impacts of migration - general equilibrium modelling</w:t>
          </w:r>
        </w:p>
      </w:tc>
      <w:tc>
        <w:tcPr>
          <w:tcW w:w="510" w:type="dxa"/>
        </w:tcPr>
        <w:p w14:paraId="5672B51F" w14:textId="77777777" w:rsidR="00BF5A3C" w:rsidRPr="00A24443" w:rsidRDefault="00BF5A3C" w:rsidP="003641C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66243">
            <w:rPr>
              <w:rStyle w:val="PageNumber"/>
              <w:caps w:val="0"/>
              <w:noProof/>
            </w:rPr>
            <w:t>1</w:t>
          </w:r>
          <w:r w:rsidRPr="00A24443">
            <w:rPr>
              <w:rStyle w:val="PageNumber"/>
              <w:caps w:val="0"/>
            </w:rPr>
            <w:fldChar w:fldCharType="end"/>
          </w:r>
        </w:p>
      </w:tc>
    </w:tr>
  </w:tbl>
  <w:p w14:paraId="27D3CAA1" w14:textId="77777777" w:rsidR="00BF5A3C" w:rsidRDefault="00BF5A3C" w:rsidP="00135F40">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B6EBE" w14:textId="77777777" w:rsidR="00BF16A9" w:rsidRDefault="00BF16A9">
      <w:r>
        <w:separator/>
      </w:r>
    </w:p>
  </w:footnote>
  <w:footnote w:type="continuationSeparator" w:id="0">
    <w:p w14:paraId="41E9EEA1" w14:textId="77777777" w:rsidR="00BF16A9" w:rsidRDefault="00BF16A9">
      <w:r>
        <w:continuationSeparator/>
      </w:r>
    </w:p>
  </w:footnote>
  <w:footnote w:type="continuationNotice" w:id="1">
    <w:p w14:paraId="7C7BF2E2" w14:textId="77777777" w:rsidR="00BF16A9" w:rsidRDefault="00BF16A9"/>
  </w:footnote>
  <w:footnote w:id="2">
    <w:p w14:paraId="4B16D827" w14:textId="5C707C03" w:rsidR="00BF16A9" w:rsidRDefault="00BF16A9" w:rsidP="00B26F93">
      <w:pPr>
        <w:pStyle w:val="FootnoteText"/>
      </w:pPr>
      <w:r w:rsidRPr="003D567A">
        <w:rPr>
          <w:rStyle w:val="FootnoteReference"/>
        </w:rPr>
        <w:footnoteRef/>
      </w:r>
      <w:r>
        <w:tab/>
        <w:t>All years in this technical supplement, unless otherwise indicated, are in Australian financial years, ending 30 June of the year quoted.</w:t>
      </w:r>
    </w:p>
  </w:footnote>
  <w:footnote w:id="3">
    <w:p w14:paraId="57009F24" w14:textId="0651C586" w:rsidR="00BF16A9" w:rsidRDefault="00BF16A9">
      <w:pPr>
        <w:pStyle w:val="FootnoteText"/>
      </w:pPr>
      <w:r>
        <w:rPr>
          <w:rStyle w:val="FootnoteReference"/>
        </w:rPr>
        <w:footnoteRef/>
      </w:r>
      <w:r>
        <w:tab/>
        <w:t>Occupations are described in Attachment 1.</w:t>
      </w:r>
    </w:p>
  </w:footnote>
  <w:footnote w:id="4">
    <w:p w14:paraId="014EB867" w14:textId="6341DEDC" w:rsidR="00BF16A9" w:rsidRDefault="00BF16A9">
      <w:pPr>
        <w:pStyle w:val="FootnoteText"/>
      </w:pPr>
      <w:r w:rsidRPr="003D567A">
        <w:rPr>
          <w:rStyle w:val="FootnoteReference"/>
        </w:rPr>
        <w:footnoteRef/>
      </w:r>
      <w:r>
        <w:tab/>
      </w:r>
      <w:proofErr w:type="spellStart"/>
      <w:r>
        <w:t>VURM</w:t>
      </w:r>
      <w:proofErr w:type="spellEnd"/>
      <w:r>
        <w:t xml:space="preserve"> was formerly known as the Monash Multi-Regional Forecasting (</w:t>
      </w:r>
      <w:proofErr w:type="spellStart"/>
      <w:r>
        <w:t>MMRF</w:t>
      </w:r>
      <w:proofErr w:type="spellEnd"/>
      <w:r>
        <w:t>) model.</w:t>
      </w:r>
    </w:p>
  </w:footnote>
  <w:footnote w:id="5">
    <w:p w14:paraId="1C81C006" w14:textId="3C771CEB" w:rsidR="00BF16A9" w:rsidRPr="00A31681" w:rsidRDefault="00BF16A9" w:rsidP="007D07DE">
      <w:pPr>
        <w:pStyle w:val="FootnoteText"/>
      </w:pPr>
      <w:r w:rsidRPr="003D567A">
        <w:rPr>
          <w:rStyle w:val="FootnoteReference"/>
        </w:rPr>
        <w:footnoteRef/>
      </w:r>
      <w:r>
        <w:tab/>
        <w:t>Final consumption expenditure of general government includes the n</w:t>
      </w:r>
      <w:r w:rsidRPr="008E1F48">
        <w:t xml:space="preserve">et expenditure on goods and services by public authorities </w:t>
      </w:r>
      <w:r>
        <w:t>(</w:t>
      </w:r>
      <w:r w:rsidRPr="008E1F48">
        <w:t>other than those classified as public corporations</w:t>
      </w:r>
      <w:r>
        <w:t>)</w:t>
      </w:r>
      <w:r w:rsidRPr="008E1F48">
        <w:t xml:space="preserve">, </w:t>
      </w:r>
      <w:r>
        <w:t xml:space="preserve">but excludes transfer payments such as social benefits and expenditure </w:t>
      </w:r>
      <w:r w:rsidRPr="008E1F48">
        <w:t>which result</w:t>
      </w:r>
      <w:r>
        <w:t>s</w:t>
      </w:r>
      <w:r w:rsidRPr="008E1F48">
        <w:t xml:space="preserve"> in the creation of fixed assets or inventories or in the acquisition of land and existing buildings or second-hand assets. It comprises expenditure on compensation of employees (other than </w:t>
      </w:r>
      <w:r>
        <w:t>any employees producing capital goods</w:t>
      </w:r>
      <w:r w:rsidRPr="008E1F48">
        <w:t>), goods and services (other than fixed assets and inventories) and consumption of fixed capital. Expenditure on repair and maintenance of roads is included</w:t>
      </w:r>
      <w:r>
        <w:t xml:space="preserve"> (ABS, </w:t>
      </w:r>
      <w:r w:rsidRPr="008E1F48">
        <w:rPr>
          <w:i/>
        </w:rPr>
        <w:t>Australian System of national Accounts, Concepts, Sources and Methods 2014</w:t>
      </w:r>
      <w:r>
        <w:t>, Cat. No. 5216.0, Glossary).</w:t>
      </w:r>
    </w:p>
  </w:footnote>
  <w:footnote w:id="6">
    <w:p w14:paraId="22BAABEE" w14:textId="43150963" w:rsidR="00BF16A9" w:rsidRDefault="00BF16A9">
      <w:pPr>
        <w:pStyle w:val="FootnoteText"/>
      </w:pPr>
      <w:r>
        <w:rPr>
          <w:rStyle w:val="FootnoteReference"/>
        </w:rPr>
        <w:footnoteRef/>
      </w:r>
      <w:r>
        <w:tab/>
        <w:t>Industries, commodities and occupations are listed in Attachment 1.</w:t>
      </w:r>
    </w:p>
  </w:footnote>
  <w:footnote w:id="7">
    <w:p w14:paraId="180C1C17" w14:textId="77777777" w:rsidR="00BF16A9" w:rsidRDefault="00BF16A9" w:rsidP="008C6DAB">
      <w:pPr>
        <w:pStyle w:val="FootnoteText"/>
      </w:pPr>
      <w:r w:rsidRPr="003D567A">
        <w:rPr>
          <w:rStyle w:val="FootnoteReference"/>
        </w:rPr>
        <w:footnoteRef/>
      </w:r>
      <w:r>
        <w:tab/>
        <w:t xml:space="preserve">NOM as a percentage share of population is represented by the model variable </w:t>
      </w:r>
      <w:proofErr w:type="spellStart"/>
      <w:r>
        <w:t>C_NOM2POP</w:t>
      </w:r>
      <w:proofErr w:type="spellEnd"/>
      <w:r>
        <w:t xml:space="preserve">. This variable took the value of 0.9 per cent in 2014 based on actual migrant flows and a projected value of 0.6 per cent from the years 2025 to 2060. The share is assumed to transition linearly from 2014 to 2025. </w:t>
      </w:r>
    </w:p>
  </w:footnote>
  <w:footnote w:id="8">
    <w:p w14:paraId="1BB1F1BB" w14:textId="4C88B857" w:rsidR="00BF16A9" w:rsidRDefault="00BF16A9">
      <w:pPr>
        <w:pStyle w:val="FootnoteText"/>
      </w:pPr>
      <w:r w:rsidRPr="003D567A">
        <w:rPr>
          <w:rStyle w:val="FootnoteReference"/>
        </w:rPr>
        <w:footnoteRef/>
      </w:r>
      <w:r>
        <w:tab/>
        <w:t>Comparative information on migrant participation is not available from a single source. Participation by permanent migrants by visa category (skilled, family and humanitarian migrants) by region of residence was derived from the ABS Australian Census and Migrants Integrated Dataset (</w:t>
      </w:r>
      <w:proofErr w:type="spellStart"/>
      <w:r>
        <w:t>ACMID</w:t>
      </w:r>
      <w:proofErr w:type="spellEnd"/>
      <w:r>
        <w:t>). Participation for temporary migrants by visa category (student and other temporary visa holders) was derived from the ABS Characteristics of Recent Migrants Survey (CORMS) data by region of residence for the two years 2010 and 2013. Aggregating data across visa categories indicates that participation rates for NOM by region were comparable to that of the Australian population more broadly.</w:t>
      </w:r>
    </w:p>
  </w:footnote>
  <w:footnote w:id="9">
    <w:p w14:paraId="331265F1" w14:textId="5B67DD7C" w:rsidR="00BF16A9" w:rsidRDefault="00BF16A9" w:rsidP="001C2CFA">
      <w:pPr>
        <w:pStyle w:val="FootnoteText"/>
      </w:pPr>
      <w:r w:rsidRPr="003D567A">
        <w:rPr>
          <w:rStyle w:val="FootnoteReference"/>
        </w:rPr>
        <w:footnoteRef/>
      </w:r>
      <w:r>
        <w:tab/>
        <w:t>Labour productivity is the ratio of the real value of output to the quantity of labour input — measured as real gross value added per hour worked in this technical supplement. Labour productivity depends on the efficiency with which labour and other inputs (such as capital and land) are combined to produce goods and services and on the availability of capital and other factors for each unit of labour.</w:t>
      </w:r>
    </w:p>
  </w:footnote>
  <w:footnote w:id="10">
    <w:p w14:paraId="4D1E4AF4" w14:textId="423151E0" w:rsidR="00BF16A9" w:rsidRDefault="00BF16A9">
      <w:pPr>
        <w:pStyle w:val="FootnoteText"/>
      </w:pPr>
      <w:r w:rsidRPr="003D567A">
        <w:rPr>
          <w:rStyle w:val="FootnoteReference"/>
        </w:rPr>
        <w:footnoteRef/>
      </w:r>
      <w:r>
        <w:tab/>
        <w:t>Employment measured in hours worked is the sum of the contributions made by the population, the adult share of the population, labour market participation, employment share and average hours worked per person. See box </w:t>
      </w:r>
      <w:proofErr w:type="spellStart"/>
      <w:r>
        <w:t>B.3</w:t>
      </w:r>
      <w:proofErr w:type="spellEnd"/>
      <w:r>
        <w:t xml:space="preserve"> for more detail.</w:t>
      </w:r>
    </w:p>
  </w:footnote>
  <w:footnote w:id="11">
    <w:p w14:paraId="7BD30503" w14:textId="58A8CA6C" w:rsidR="00BF16A9" w:rsidRDefault="00BF16A9">
      <w:pPr>
        <w:pStyle w:val="FootnoteText"/>
      </w:pPr>
      <w:r w:rsidRPr="003D567A">
        <w:rPr>
          <w:rStyle w:val="FootnoteReference"/>
        </w:rPr>
        <w:footnoteRef/>
      </w:r>
      <w:r>
        <w:tab/>
        <w:t>The real wage indicates the purchasing power of consumers and is the wage deflated by consumer prices. The real producer wage indicates the cost of labour to producers and is the wage and payroll tax paid by producers deflated by the GDP price deflator.</w:t>
      </w:r>
    </w:p>
  </w:footnote>
  <w:footnote w:id="12">
    <w:p w14:paraId="4D42CCFA" w14:textId="22E61691" w:rsidR="00BF16A9" w:rsidRDefault="00BF16A9" w:rsidP="00DC74C4">
      <w:pPr>
        <w:pStyle w:val="FootnoteText"/>
      </w:pPr>
      <w:r w:rsidRPr="003D567A">
        <w:rPr>
          <w:rStyle w:val="FootnoteReference"/>
        </w:rPr>
        <w:footnoteRef/>
      </w:r>
      <w:r>
        <w:tab/>
        <w:t>There is limited substitution between factors, some of which are a fixed resource. For example, agricultural land is a fixed resource which in effect means increases in labour and capital results in a less than proportionate increase in output.</w:t>
      </w:r>
    </w:p>
  </w:footnote>
  <w:footnote w:id="13">
    <w:p w14:paraId="5D04C123" w14:textId="4AC10847" w:rsidR="00BF16A9" w:rsidRDefault="00BF16A9">
      <w:pPr>
        <w:pStyle w:val="FootnoteText"/>
      </w:pPr>
      <w:r w:rsidRPr="003D567A">
        <w:rPr>
          <w:rStyle w:val="FootnoteReference"/>
        </w:rPr>
        <w:footnoteRef/>
      </w:r>
      <w:r>
        <w:tab/>
        <w:t xml:space="preserve">Some Australian Government expenditure, including on parts of defence and government administration, is allocated to the ACT even though the expenditure may occur in another state or territory. To the extent that the statistics underlying the </w:t>
      </w:r>
      <w:proofErr w:type="spellStart"/>
      <w:r>
        <w:t>VURM</w:t>
      </w:r>
      <w:proofErr w:type="spellEnd"/>
      <w:r>
        <w:t>-MI database do not reflect accurately the location of the government expenditure, specifically in terms of the amount of government related activities in the ACT, projections for activity and employment in the ACT are overstated, and projections in other states and territories are understated.</w:t>
      </w:r>
    </w:p>
  </w:footnote>
  <w:footnote w:id="14">
    <w:p w14:paraId="02844AFA" w14:textId="5261365A" w:rsidR="00BF16A9" w:rsidRDefault="00BF16A9" w:rsidP="00007189">
      <w:pPr>
        <w:pStyle w:val="FootnoteText"/>
      </w:pPr>
      <w:r w:rsidRPr="003D567A">
        <w:rPr>
          <w:rStyle w:val="FootnoteReference"/>
        </w:rPr>
        <w:footnoteRef/>
      </w:r>
      <w:r>
        <w:tab/>
        <w:t>The Commission’s general equilibrium modelling provides an illustrative projection of potential wage differences compared with the</w:t>
      </w:r>
      <w:r w:rsidRPr="005107E2">
        <w:t xml:space="preserve"> </w:t>
      </w:r>
      <w:r>
        <w:t>business</w:t>
      </w:r>
      <w:r>
        <w:noBreakHyphen/>
        <w:t>as</w:t>
      </w:r>
      <w:r>
        <w:noBreakHyphen/>
        <w:t xml:space="preserve">usual scenario over a 45 year period. The general equilibrium analysis differs from the econometric results presented in </w:t>
      </w:r>
      <w:r w:rsidRPr="000F24D5">
        <w:t>technical supplement </w:t>
      </w:r>
      <w:r>
        <w:t>A</w:t>
      </w:r>
      <w:r w:rsidRPr="00045955">
        <w:rPr>
          <w:b/>
          <w:color w:val="FF0000"/>
        </w:rPr>
        <w:t>.</w:t>
      </w:r>
      <w:r>
        <w:t xml:space="preserve"> Controlling for the influence of experience and education on labour market outcomes, the econometric analysis looks at the relationship between immigration and labour market outcomes between 2001 and 2014.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F16A9" w14:paraId="02844AEA" w14:textId="77777777">
      <w:tc>
        <w:tcPr>
          <w:tcW w:w="6634" w:type="dxa"/>
          <w:tcBorders>
            <w:top w:val="single" w:sz="6" w:space="0" w:color="auto"/>
          </w:tcBorders>
        </w:tcPr>
        <w:p w14:paraId="02844AE8" w14:textId="77777777" w:rsidR="00BF16A9" w:rsidRDefault="00BF16A9" w:rsidP="00E669E2">
          <w:pPr>
            <w:pStyle w:val="HeaderOdd"/>
          </w:pPr>
        </w:p>
      </w:tc>
      <w:tc>
        <w:tcPr>
          <w:tcW w:w="2155" w:type="dxa"/>
          <w:tcBorders>
            <w:top w:val="single" w:sz="24" w:space="0" w:color="auto"/>
          </w:tcBorders>
        </w:tcPr>
        <w:p w14:paraId="02844AE9" w14:textId="77777777" w:rsidR="00BF16A9" w:rsidRDefault="00BF16A9" w:rsidP="00E669E2">
          <w:pPr>
            <w:pStyle w:val="HeaderOdd"/>
          </w:pPr>
        </w:p>
      </w:tc>
    </w:tr>
  </w:tbl>
  <w:p w14:paraId="02844AEB" w14:textId="77777777" w:rsidR="00BF16A9" w:rsidRDefault="00BF16A9"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BF5A3C" w14:paraId="6CB0CF0F" w14:textId="77777777">
      <w:tc>
        <w:tcPr>
          <w:tcW w:w="2155" w:type="dxa"/>
          <w:tcBorders>
            <w:top w:val="single" w:sz="24" w:space="0" w:color="auto"/>
          </w:tcBorders>
        </w:tcPr>
        <w:p w14:paraId="52FF0D82" w14:textId="77777777" w:rsidR="00BF5A3C" w:rsidRDefault="00BF5A3C" w:rsidP="0019293B">
          <w:pPr>
            <w:pStyle w:val="HeaderEven"/>
          </w:pPr>
        </w:p>
      </w:tc>
      <w:tc>
        <w:tcPr>
          <w:tcW w:w="6634" w:type="dxa"/>
          <w:tcBorders>
            <w:top w:val="single" w:sz="6" w:space="0" w:color="auto"/>
          </w:tcBorders>
        </w:tcPr>
        <w:p w14:paraId="1DB610D7" w14:textId="77777777" w:rsidR="00BF5A3C" w:rsidRDefault="00BF5A3C" w:rsidP="0019293B">
          <w:pPr>
            <w:pStyle w:val="HeaderEven"/>
          </w:pPr>
        </w:p>
      </w:tc>
    </w:tr>
  </w:tbl>
  <w:p w14:paraId="5604732D" w14:textId="77777777" w:rsidR="00BF5A3C" w:rsidRDefault="00BF5A3C" w:rsidP="0019293B">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BF5A3C" w14:paraId="3F3669FD" w14:textId="77777777">
      <w:tc>
        <w:tcPr>
          <w:tcW w:w="6634" w:type="dxa"/>
          <w:tcBorders>
            <w:top w:val="single" w:sz="6" w:space="0" w:color="auto"/>
          </w:tcBorders>
        </w:tcPr>
        <w:p w14:paraId="2117D729" w14:textId="77777777" w:rsidR="00BF5A3C" w:rsidRDefault="00BF5A3C" w:rsidP="00E669E2">
          <w:pPr>
            <w:pStyle w:val="HeaderOdd"/>
          </w:pPr>
        </w:p>
      </w:tc>
      <w:tc>
        <w:tcPr>
          <w:tcW w:w="2155" w:type="dxa"/>
          <w:tcBorders>
            <w:top w:val="single" w:sz="24" w:space="0" w:color="auto"/>
          </w:tcBorders>
        </w:tcPr>
        <w:p w14:paraId="2AA60C66" w14:textId="77777777" w:rsidR="00BF5A3C" w:rsidRDefault="00BF5A3C" w:rsidP="00E669E2">
          <w:pPr>
            <w:pStyle w:val="HeaderOdd"/>
          </w:pPr>
        </w:p>
      </w:tc>
    </w:tr>
  </w:tbl>
  <w:p w14:paraId="258CECF2" w14:textId="77777777" w:rsidR="00BF5A3C" w:rsidRDefault="00BF5A3C"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nsid w:val="0C4312A2"/>
    <w:multiLevelType w:val="hybridMultilevel"/>
    <w:tmpl w:val="9B64B0C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C7F201C"/>
    <w:multiLevelType w:val="hybridMultilevel"/>
    <w:tmpl w:val="45A09E8A"/>
    <w:lvl w:ilvl="0" w:tplc="374479FC">
      <w:start w:val="1"/>
      <w:numFmt w:val="lowerLetter"/>
      <w:lvlText w:val="%1."/>
      <w:lvlJc w:val="left"/>
      <w:pPr>
        <w:ind w:left="720" w:hanging="360"/>
      </w:pPr>
      <w:rPr>
        <w:rFonts w:ascii="Times New Roman" w:hAnsi="Times New Roman"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nsid w:val="1ED61CC0"/>
    <w:multiLevelType w:val="hybridMultilevel"/>
    <w:tmpl w:val="52422F48"/>
    <w:lvl w:ilvl="0" w:tplc="3C362DB6">
      <w:start w:val="1"/>
      <w:numFmt w:val="lowerLetter"/>
      <w:lvlText w:val="%1."/>
      <w:lvlJc w:val="left"/>
      <w:pPr>
        <w:ind w:left="720" w:hanging="360"/>
      </w:pPr>
      <w:rPr>
        <w:rFonts w:ascii="Arial" w:hAnsi="Arial" w:hint="default"/>
        <w:b/>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3">
    <w:nsid w:val="242A1BA3"/>
    <w:multiLevelType w:val="multilevel"/>
    <w:tmpl w:val="02E41CB4"/>
    <w:lvl w:ilvl="0">
      <w:start w:val="2013"/>
      <w:numFmt w:val="decimal"/>
      <w:lvlText w:val="%1"/>
      <w:lvlJc w:val="left"/>
      <w:pPr>
        <w:ind w:left="720" w:hanging="720"/>
      </w:pPr>
      <w:rPr>
        <w:rFonts w:hint="default"/>
      </w:rPr>
    </w:lvl>
    <w:lvl w:ilvl="1">
      <w:start w:val="14"/>
      <w:numFmt w:val="decimal"/>
      <w:lvlText w:val="%1-%2"/>
      <w:lvlJc w:val="left"/>
      <w:pPr>
        <w:ind w:left="2194" w:hanging="72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616" w:hanging="72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9924" w:hanging="108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232" w:hanging="1440"/>
      </w:pPr>
      <w:rPr>
        <w:rFonts w:hint="default"/>
      </w:rPr>
    </w:lvl>
  </w:abstractNum>
  <w:abstractNum w:abstractNumId="14">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6">
    <w:nsid w:val="3E4101D4"/>
    <w:multiLevelType w:val="multilevel"/>
    <w:tmpl w:val="9B78D832"/>
    <w:lvl w:ilvl="0">
      <w:start w:val="2013"/>
      <w:numFmt w:val="decimal"/>
      <w:lvlText w:val="%1"/>
      <w:lvlJc w:val="left"/>
      <w:pPr>
        <w:ind w:left="804" w:hanging="804"/>
      </w:pPr>
      <w:rPr>
        <w:rFonts w:hint="default"/>
      </w:rPr>
    </w:lvl>
    <w:lvl w:ilvl="1">
      <w:start w:val="14"/>
      <w:numFmt w:val="decimal"/>
      <w:lvlText w:val="%1-%2"/>
      <w:lvlJc w:val="left"/>
      <w:pPr>
        <w:ind w:left="804" w:hanging="804"/>
      </w:pPr>
      <w:rPr>
        <w:rFonts w:hint="default"/>
      </w:rPr>
    </w:lvl>
    <w:lvl w:ilvl="2">
      <w:start w:val="1"/>
      <w:numFmt w:val="decimal"/>
      <w:lvlText w:val="%1-%2.%3"/>
      <w:lvlJc w:val="left"/>
      <w:pPr>
        <w:ind w:left="804" w:hanging="804"/>
      </w:pPr>
      <w:rPr>
        <w:rFonts w:hint="default"/>
      </w:rPr>
    </w:lvl>
    <w:lvl w:ilvl="3">
      <w:start w:val="1"/>
      <w:numFmt w:val="decimal"/>
      <w:lvlText w:val="%1-%2.%3.%4"/>
      <w:lvlJc w:val="left"/>
      <w:pPr>
        <w:ind w:left="804" w:hanging="80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3AA1825"/>
    <w:multiLevelType w:val="hybridMultilevel"/>
    <w:tmpl w:val="43965EC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6416F39"/>
    <w:multiLevelType w:val="hybridMultilevel"/>
    <w:tmpl w:val="1DD83B0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729284B"/>
    <w:multiLevelType w:val="hybridMultilevel"/>
    <w:tmpl w:val="8042D466"/>
    <w:lvl w:ilvl="0" w:tplc="08DC5CFC">
      <w:start w:val="1"/>
      <w:numFmt w:val="lowerLetter"/>
      <w:lvlText w:val="%1."/>
      <w:lvlJc w:val="left"/>
      <w:pPr>
        <w:ind w:left="1080" w:hanging="360"/>
      </w:pPr>
      <w:rPr>
        <w:rFonts w:hint="default"/>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C40023C"/>
    <w:multiLevelType w:val="hybridMultilevel"/>
    <w:tmpl w:val="71D097A8"/>
    <w:lvl w:ilvl="0" w:tplc="F864AC8E">
      <w:start w:val="1"/>
      <w:numFmt w:val="lowerLetter"/>
      <w:lvlText w:val="%1."/>
      <w:lvlJc w:val="left"/>
      <w:pPr>
        <w:ind w:left="1080" w:hanging="360"/>
      </w:pPr>
      <w:rPr>
        <w:rFonts w:ascii="Times New Roman" w:hAnsi="Times New Roman" w:hint="default"/>
        <w:b w:val="0"/>
        <w:sz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4F194A61"/>
    <w:multiLevelType w:val="hybridMultilevel"/>
    <w:tmpl w:val="E54EA34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5">
    <w:nsid w:val="54B56802"/>
    <w:multiLevelType w:val="hybridMultilevel"/>
    <w:tmpl w:val="41607DC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7">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8">
    <w:nsid w:val="5F0D3839"/>
    <w:multiLevelType w:val="hybridMultilevel"/>
    <w:tmpl w:val="02B42612"/>
    <w:lvl w:ilvl="0" w:tplc="72826ABA">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9">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1DF7B0B"/>
    <w:multiLevelType w:val="hybridMultilevel"/>
    <w:tmpl w:val="581C98B2"/>
    <w:lvl w:ilvl="0" w:tplc="C4F4508A">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31">
    <w:nsid w:val="62C32487"/>
    <w:multiLevelType w:val="hybridMultilevel"/>
    <w:tmpl w:val="F0AEF01A"/>
    <w:lvl w:ilvl="0" w:tplc="6C7C27F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3">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34">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35">
    <w:nsid w:val="7D5F66F8"/>
    <w:multiLevelType w:val="hybridMultilevel"/>
    <w:tmpl w:val="11A2E350"/>
    <w:lvl w:ilvl="0" w:tplc="0C2EBBE0">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2"/>
  </w:num>
  <w:num w:numId="3">
    <w:abstractNumId w:val="23"/>
  </w:num>
  <w:num w:numId="4">
    <w:abstractNumId w:val="3"/>
  </w:num>
  <w:num w:numId="5">
    <w:abstractNumId w:val="32"/>
  </w:num>
  <w:num w:numId="6">
    <w:abstractNumId w:val="26"/>
  </w:num>
  <w:num w:numId="7">
    <w:abstractNumId w:val="9"/>
  </w:num>
  <w:num w:numId="8">
    <w:abstractNumId w:val="24"/>
  </w:num>
  <w:num w:numId="9">
    <w:abstractNumId w:val="8"/>
  </w:num>
  <w:num w:numId="10">
    <w:abstractNumId w:val="7"/>
  </w:num>
  <w:num w:numId="11">
    <w:abstractNumId w:val="12"/>
  </w:num>
  <w:num w:numId="12">
    <w:abstractNumId w:val="14"/>
  </w:num>
  <w:num w:numId="13">
    <w:abstractNumId w:val="4"/>
  </w:num>
  <w:num w:numId="14">
    <w:abstractNumId w:val="27"/>
  </w:num>
  <w:num w:numId="15">
    <w:abstractNumId w:val="33"/>
  </w:num>
  <w:num w:numId="16">
    <w:abstractNumId w:val="20"/>
  </w:num>
  <w:num w:numId="17">
    <w:abstractNumId w:val="34"/>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9"/>
  </w:num>
  <w:num w:numId="21">
    <w:abstractNumId w:val="10"/>
  </w:num>
  <w:num w:numId="22">
    <w:abstractNumId w:val="23"/>
  </w:num>
  <w:num w:numId="23">
    <w:abstractNumId w:val="23"/>
  </w:num>
  <w:num w:numId="24">
    <w:abstractNumId w:val="23"/>
  </w:num>
  <w:num w:numId="25">
    <w:abstractNumId w:val="23"/>
  </w:num>
  <w:num w:numId="26">
    <w:abstractNumId w:val="11"/>
  </w:num>
  <w:num w:numId="27">
    <w:abstractNumId w:val="25"/>
  </w:num>
  <w:num w:numId="28">
    <w:abstractNumId w:val="17"/>
  </w:num>
  <w:num w:numId="29">
    <w:abstractNumId w:val="6"/>
  </w:num>
  <w:num w:numId="30">
    <w:abstractNumId w:val="13"/>
  </w:num>
  <w:num w:numId="31">
    <w:abstractNumId w:val="21"/>
  </w:num>
  <w:num w:numId="32">
    <w:abstractNumId w:val="22"/>
  </w:num>
  <w:num w:numId="33">
    <w:abstractNumId w:val="35"/>
  </w:num>
  <w:num w:numId="34">
    <w:abstractNumId w:val="30"/>
  </w:num>
  <w:num w:numId="35">
    <w:abstractNumId w:val="18"/>
  </w:num>
  <w:num w:numId="36">
    <w:abstractNumId w:val="16"/>
  </w:num>
  <w:num w:numId="37">
    <w:abstractNumId w:val="19"/>
  </w:num>
  <w:num w:numId="38">
    <w:abstractNumId w:val="31"/>
  </w:num>
  <w:num w:numId="39">
    <w:abstractNumId w:val="28"/>
  </w:num>
  <w:num w:numId="4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679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B"/>
    <w:docVar w:name="FindingOptions" w:val="1"/>
    <w:docVar w:name="RecOptions" w:val="111"/>
    <w:docVar w:name="ShortChapterTitle" w:val="The economywide impacts of migration - general equilibrium modelling"/>
    <w:docVar w:name="ShortReportTitle" w:val="MIGRANT INTAKE INTO AUSTRALIA - technical supplement B"/>
  </w:docVars>
  <w:rsids>
    <w:rsidRoot w:val="00351A93"/>
    <w:rsid w:val="00000C49"/>
    <w:rsid w:val="000011FA"/>
    <w:rsid w:val="00001634"/>
    <w:rsid w:val="00002A03"/>
    <w:rsid w:val="00003348"/>
    <w:rsid w:val="000062F4"/>
    <w:rsid w:val="00006863"/>
    <w:rsid w:val="00006C19"/>
    <w:rsid w:val="00007189"/>
    <w:rsid w:val="00010582"/>
    <w:rsid w:val="00011823"/>
    <w:rsid w:val="00011BE0"/>
    <w:rsid w:val="00011FE9"/>
    <w:rsid w:val="00012EF6"/>
    <w:rsid w:val="000139FB"/>
    <w:rsid w:val="00013C9B"/>
    <w:rsid w:val="00014979"/>
    <w:rsid w:val="00014BAC"/>
    <w:rsid w:val="0001557C"/>
    <w:rsid w:val="0001613A"/>
    <w:rsid w:val="00017B8C"/>
    <w:rsid w:val="000203BF"/>
    <w:rsid w:val="00021D34"/>
    <w:rsid w:val="00021F0A"/>
    <w:rsid w:val="0002225D"/>
    <w:rsid w:val="000227A7"/>
    <w:rsid w:val="000227D5"/>
    <w:rsid w:val="000245AA"/>
    <w:rsid w:val="00024F88"/>
    <w:rsid w:val="00025210"/>
    <w:rsid w:val="000254A3"/>
    <w:rsid w:val="00025A52"/>
    <w:rsid w:val="00026A13"/>
    <w:rsid w:val="00026B45"/>
    <w:rsid w:val="00030FBF"/>
    <w:rsid w:val="00032036"/>
    <w:rsid w:val="000330D3"/>
    <w:rsid w:val="00033629"/>
    <w:rsid w:val="00034306"/>
    <w:rsid w:val="000343C9"/>
    <w:rsid w:val="00036314"/>
    <w:rsid w:val="0003664B"/>
    <w:rsid w:val="00036D54"/>
    <w:rsid w:val="00036E68"/>
    <w:rsid w:val="00040184"/>
    <w:rsid w:val="000410F4"/>
    <w:rsid w:val="0004111F"/>
    <w:rsid w:val="00041517"/>
    <w:rsid w:val="00041E02"/>
    <w:rsid w:val="00041FEC"/>
    <w:rsid w:val="000420AB"/>
    <w:rsid w:val="000422D9"/>
    <w:rsid w:val="00043361"/>
    <w:rsid w:val="00043550"/>
    <w:rsid w:val="00043C9A"/>
    <w:rsid w:val="00044BC4"/>
    <w:rsid w:val="00045955"/>
    <w:rsid w:val="00050155"/>
    <w:rsid w:val="0005020F"/>
    <w:rsid w:val="00051788"/>
    <w:rsid w:val="00052E6A"/>
    <w:rsid w:val="00053171"/>
    <w:rsid w:val="00053B19"/>
    <w:rsid w:val="000543AC"/>
    <w:rsid w:val="00054FA4"/>
    <w:rsid w:val="00055077"/>
    <w:rsid w:val="00055DC8"/>
    <w:rsid w:val="000565B3"/>
    <w:rsid w:val="00056EFA"/>
    <w:rsid w:val="0006019F"/>
    <w:rsid w:val="0006063B"/>
    <w:rsid w:val="0006083D"/>
    <w:rsid w:val="0006351E"/>
    <w:rsid w:val="00064D59"/>
    <w:rsid w:val="000656B4"/>
    <w:rsid w:val="00065829"/>
    <w:rsid w:val="00065982"/>
    <w:rsid w:val="00065BCD"/>
    <w:rsid w:val="000661C7"/>
    <w:rsid w:val="00066D16"/>
    <w:rsid w:val="00067A5A"/>
    <w:rsid w:val="00067D10"/>
    <w:rsid w:val="00070778"/>
    <w:rsid w:val="00070A32"/>
    <w:rsid w:val="0007150B"/>
    <w:rsid w:val="000719D0"/>
    <w:rsid w:val="000730A4"/>
    <w:rsid w:val="00073ADC"/>
    <w:rsid w:val="00073D00"/>
    <w:rsid w:val="00074811"/>
    <w:rsid w:val="00074D91"/>
    <w:rsid w:val="00075A38"/>
    <w:rsid w:val="00075B21"/>
    <w:rsid w:val="000771E5"/>
    <w:rsid w:val="000802BF"/>
    <w:rsid w:val="0008117E"/>
    <w:rsid w:val="00081456"/>
    <w:rsid w:val="0008161F"/>
    <w:rsid w:val="00084233"/>
    <w:rsid w:val="00084A9C"/>
    <w:rsid w:val="000857E1"/>
    <w:rsid w:val="000858FA"/>
    <w:rsid w:val="00086350"/>
    <w:rsid w:val="00087D36"/>
    <w:rsid w:val="000905AD"/>
    <w:rsid w:val="000905CB"/>
    <w:rsid w:val="00090BC0"/>
    <w:rsid w:val="00092018"/>
    <w:rsid w:val="0009292A"/>
    <w:rsid w:val="000938F5"/>
    <w:rsid w:val="0009553F"/>
    <w:rsid w:val="00095663"/>
    <w:rsid w:val="00095748"/>
    <w:rsid w:val="00095F83"/>
    <w:rsid w:val="00096257"/>
    <w:rsid w:val="00096381"/>
    <w:rsid w:val="000967DA"/>
    <w:rsid w:val="000967DD"/>
    <w:rsid w:val="00096C42"/>
    <w:rsid w:val="00096CE3"/>
    <w:rsid w:val="00096E55"/>
    <w:rsid w:val="0009773F"/>
    <w:rsid w:val="0009783E"/>
    <w:rsid w:val="000979BD"/>
    <w:rsid w:val="000A0A2D"/>
    <w:rsid w:val="000A32FB"/>
    <w:rsid w:val="000A46BF"/>
    <w:rsid w:val="000A5C76"/>
    <w:rsid w:val="000A5FD8"/>
    <w:rsid w:val="000A671E"/>
    <w:rsid w:val="000A79E3"/>
    <w:rsid w:val="000B05AF"/>
    <w:rsid w:val="000B0B5D"/>
    <w:rsid w:val="000B0B86"/>
    <w:rsid w:val="000B1022"/>
    <w:rsid w:val="000B1FF8"/>
    <w:rsid w:val="000B3E23"/>
    <w:rsid w:val="000B601B"/>
    <w:rsid w:val="000B6E44"/>
    <w:rsid w:val="000B7EC1"/>
    <w:rsid w:val="000C0F82"/>
    <w:rsid w:val="000C207E"/>
    <w:rsid w:val="000C2D0F"/>
    <w:rsid w:val="000C3A63"/>
    <w:rsid w:val="000C3F03"/>
    <w:rsid w:val="000C4020"/>
    <w:rsid w:val="000C40FC"/>
    <w:rsid w:val="000C49E5"/>
    <w:rsid w:val="000C5AF7"/>
    <w:rsid w:val="000C699E"/>
    <w:rsid w:val="000C6AC8"/>
    <w:rsid w:val="000C775F"/>
    <w:rsid w:val="000D0C98"/>
    <w:rsid w:val="000D179B"/>
    <w:rsid w:val="000D2701"/>
    <w:rsid w:val="000D403C"/>
    <w:rsid w:val="000D41E9"/>
    <w:rsid w:val="000D59D1"/>
    <w:rsid w:val="000D7042"/>
    <w:rsid w:val="000D7493"/>
    <w:rsid w:val="000D7AA8"/>
    <w:rsid w:val="000E0488"/>
    <w:rsid w:val="000E2692"/>
    <w:rsid w:val="000E2CCA"/>
    <w:rsid w:val="000E63E1"/>
    <w:rsid w:val="000E74E7"/>
    <w:rsid w:val="000F0035"/>
    <w:rsid w:val="000F04E7"/>
    <w:rsid w:val="000F05D2"/>
    <w:rsid w:val="000F060A"/>
    <w:rsid w:val="000F1B7E"/>
    <w:rsid w:val="000F1F30"/>
    <w:rsid w:val="000F24D5"/>
    <w:rsid w:val="000F2538"/>
    <w:rsid w:val="000F28D0"/>
    <w:rsid w:val="000F3FDD"/>
    <w:rsid w:val="000F420B"/>
    <w:rsid w:val="000F43E9"/>
    <w:rsid w:val="000F4403"/>
    <w:rsid w:val="000F558A"/>
    <w:rsid w:val="000F5A43"/>
    <w:rsid w:val="000F7996"/>
    <w:rsid w:val="00101268"/>
    <w:rsid w:val="001012E9"/>
    <w:rsid w:val="0010198B"/>
    <w:rsid w:val="00101D58"/>
    <w:rsid w:val="00102BD8"/>
    <w:rsid w:val="00102E22"/>
    <w:rsid w:val="00104E53"/>
    <w:rsid w:val="00105AB5"/>
    <w:rsid w:val="00107E25"/>
    <w:rsid w:val="00110116"/>
    <w:rsid w:val="00110375"/>
    <w:rsid w:val="00111322"/>
    <w:rsid w:val="00111D27"/>
    <w:rsid w:val="001135AD"/>
    <w:rsid w:val="001137C2"/>
    <w:rsid w:val="00113A87"/>
    <w:rsid w:val="00114A87"/>
    <w:rsid w:val="001154E8"/>
    <w:rsid w:val="001159E9"/>
    <w:rsid w:val="00116D59"/>
    <w:rsid w:val="0011739F"/>
    <w:rsid w:val="00120072"/>
    <w:rsid w:val="001209AA"/>
    <w:rsid w:val="00120A9C"/>
    <w:rsid w:val="00120EBD"/>
    <w:rsid w:val="001220FC"/>
    <w:rsid w:val="00122E40"/>
    <w:rsid w:val="00123500"/>
    <w:rsid w:val="00123FC3"/>
    <w:rsid w:val="001242B8"/>
    <w:rsid w:val="00124DF5"/>
    <w:rsid w:val="001255E3"/>
    <w:rsid w:val="001257D6"/>
    <w:rsid w:val="00125850"/>
    <w:rsid w:val="00125A3B"/>
    <w:rsid w:val="00125C9F"/>
    <w:rsid w:val="001263FE"/>
    <w:rsid w:val="00126EB8"/>
    <w:rsid w:val="00126F76"/>
    <w:rsid w:val="001274D4"/>
    <w:rsid w:val="001318A0"/>
    <w:rsid w:val="00132034"/>
    <w:rsid w:val="001323BB"/>
    <w:rsid w:val="00132B40"/>
    <w:rsid w:val="00132E6B"/>
    <w:rsid w:val="00135329"/>
    <w:rsid w:val="00135B96"/>
    <w:rsid w:val="00135F40"/>
    <w:rsid w:val="001363AA"/>
    <w:rsid w:val="00136B09"/>
    <w:rsid w:val="0013739A"/>
    <w:rsid w:val="001374AB"/>
    <w:rsid w:val="00142165"/>
    <w:rsid w:val="00143ADB"/>
    <w:rsid w:val="00145A1D"/>
    <w:rsid w:val="001465EA"/>
    <w:rsid w:val="00146DC8"/>
    <w:rsid w:val="00147EEE"/>
    <w:rsid w:val="0015179A"/>
    <w:rsid w:val="0015215B"/>
    <w:rsid w:val="00153959"/>
    <w:rsid w:val="00153CAC"/>
    <w:rsid w:val="001548B4"/>
    <w:rsid w:val="00156F86"/>
    <w:rsid w:val="00160406"/>
    <w:rsid w:val="0016077D"/>
    <w:rsid w:val="00161098"/>
    <w:rsid w:val="00162434"/>
    <w:rsid w:val="00166B61"/>
    <w:rsid w:val="0016771D"/>
    <w:rsid w:val="0017229F"/>
    <w:rsid w:val="00173C12"/>
    <w:rsid w:val="0017410D"/>
    <w:rsid w:val="001742D4"/>
    <w:rsid w:val="00174D08"/>
    <w:rsid w:val="00176883"/>
    <w:rsid w:val="00177595"/>
    <w:rsid w:val="00177D6D"/>
    <w:rsid w:val="001800B2"/>
    <w:rsid w:val="00181947"/>
    <w:rsid w:val="00181A46"/>
    <w:rsid w:val="00181F4F"/>
    <w:rsid w:val="0018221C"/>
    <w:rsid w:val="0018285A"/>
    <w:rsid w:val="00182D7F"/>
    <w:rsid w:val="00182ECC"/>
    <w:rsid w:val="00183279"/>
    <w:rsid w:val="00183E82"/>
    <w:rsid w:val="00186808"/>
    <w:rsid w:val="00186FA2"/>
    <w:rsid w:val="0018719F"/>
    <w:rsid w:val="001878BB"/>
    <w:rsid w:val="00190572"/>
    <w:rsid w:val="00190BBA"/>
    <w:rsid w:val="0019103B"/>
    <w:rsid w:val="00191AE0"/>
    <w:rsid w:val="001923BE"/>
    <w:rsid w:val="001923DA"/>
    <w:rsid w:val="0019293B"/>
    <w:rsid w:val="00192D51"/>
    <w:rsid w:val="00193575"/>
    <w:rsid w:val="0019426B"/>
    <w:rsid w:val="001943B3"/>
    <w:rsid w:val="00194673"/>
    <w:rsid w:val="001952D8"/>
    <w:rsid w:val="00196D91"/>
    <w:rsid w:val="001A1AC2"/>
    <w:rsid w:val="001A1B71"/>
    <w:rsid w:val="001A3A40"/>
    <w:rsid w:val="001A3FFF"/>
    <w:rsid w:val="001A429A"/>
    <w:rsid w:val="001A6512"/>
    <w:rsid w:val="001A6A4B"/>
    <w:rsid w:val="001A6E6A"/>
    <w:rsid w:val="001A7EBF"/>
    <w:rsid w:val="001B169A"/>
    <w:rsid w:val="001B5759"/>
    <w:rsid w:val="001B5913"/>
    <w:rsid w:val="001B6EA7"/>
    <w:rsid w:val="001C00EE"/>
    <w:rsid w:val="001C0865"/>
    <w:rsid w:val="001C0AED"/>
    <w:rsid w:val="001C0C5F"/>
    <w:rsid w:val="001C0E7A"/>
    <w:rsid w:val="001C2CFA"/>
    <w:rsid w:val="001C3ABA"/>
    <w:rsid w:val="001C4E33"/>
    <w:rsid w:val="001C5111"/>
    <w:rsid w:val="001C53AD"/>
    <w:rsid w:val="001C57E1"/>
    <w:rsid w:val="001C6342"/>
    <w:rsid w:val="001C7C3A"/>
    <w:rsid w:val="001D0425"/>
    <w:rsid w:val="001D143D"/>
    <w:rsid w:val="001D1A64"/>
    <w:rsid w:val="001D1B5A"/>
    <w:rsid w:val="001D34B9"/>
    <w:rsid w:val="001D3646"/>
    <w:rsid w:val="001D3A60"/>
    <w:rsid w:val="001D3C04"/>
    <w:rsid w:val="001D3CCF"/>
    <w:rsid w:val="001D3CD2"/>
    <w:rsid w:val="001D3DA6"/>
    <w:rsid w:val="001D3FD4"/>
    <w:rsid w:val="001D5C73"/>
    <w:rsid w:val="001D6E03"/>
    <w:rsid w:val="001D6FC5"/>
    <w:rsid w:val="001D7E9B"/>
    <w:rsid w:val="001E1B96"/>
    <w:rsid w:val="001E228B"/>
    <w:rsid w:val="001E2D18"/>
    <w:rsid w:val="001E3DF3"/>
    <w:rsid w:val="001E6AAF"/>
    <w:rsid w:val="001E7AD7"/>
    <w:rsid w:val="001E7BE8"/>
    <w:rsid w:val="001E7D6C"/>
    <w:rsid w:val="001F0248"/>
    <w:rsid w:val="001F0594"/>
    <w:rsid w:val="001F0F03"/>
    <w:rsid w:val="001F12FB"/>
    <w:rsid w:val="001F1BF8"/>
    <w:rsid w:val="001F1E62"/>
    <w:rsid w:val="001F2298"/>
    <w:rsid w:val="001F3457"/>
    <w:rsid w:val="001F36E2"/>
    <w:rsid w:val="001F3D11"/>
    <w:rsid w:val="001F3EB3"/>
    <w:rsid w:val="001F4F86"/>
    <w:rsid w:val="001F67B5"/>
    <w:rsid w:val="00200422"/>
    <w:rsid w:val="00201985"/>
    <w:rsid w:val="002029F5"/>
    <w:rsid w:val="00202ABA"/>
    <w:rsid w:val="00202B0D"/>
    <w:rsid w:val="00202C2C"/>
    <w:rsid w:val="00203050"/>
    <w:rsid w:val="00203429"/>
    <w:rsid w:val="0020457F"/>
    <w:rsid w:val="00204B7E"/>
    <w:rsid w:val="00205947"/>
    <w:rsid w:val="00205DD9"/>
    <w:rsid w:val="002073B5"/>
    <w:rsid w:val="0021058E"/>
    <w:rsid w:val="002105DF"/>
    <w:rsid w:val="0021077B"/>
    <w:rsid w:val="0021137E"/>
    <w:rsid w:val="00211DB9"/>
    <w:rsid w:val="00212805"/>
    <w:rsid w:val="002130B9"/>
    <w:rsid w:val="002135AB"/>
    <w:rsid w:val="00213EF0"/>
    <w:rsid w:val="002144BE"/>
    <w:rsid w:val="00214782"/>
    <w:rsid w:val="00214BB4"/>
    <w:rsid w:val="00214DCB"/>
    <w:rsid w:val="002161C1"/>
    <w:rsid w:val="002204B2"/>
    <w:rsid w:val="00221B8E"/>
    <w:rsid w:val="00223218"/>
    <w:rsid w:val="002233D9"/>
    <w:rsid w:val="00223C2A"/>
    <w:rsid w:val="0022423E"/>
    <w:rsid w:val="0022532D"/>
    <w:rsid w:val="00227A43"/>
    <w:rsid w:val="00227C81"/>
    <w:rsid w:val="00227D70"/>
    <w:rsid w:val="002307B2"/>
    <w:rsid w:val="0023216B"/>
    <w:rsid w:val="002324CF"/>
    <w:rsid w:val="00232756"/>
    <w:rsid w:val="00235512"/>
    <w:rsid w:val="0023592A"/>
    <w:rsid w:val="00236097"/>
    <w:rsid w:val="00236B6D"/>
    <w:rsid w:val="0023731F"/>
    <w:rsid w:val="00240AA9"/>
    <w:rsid w:val="00242279"/>
    <w:rsid w:val="002423BB"/>
    <w:rsid w:val="0024299B"/>
    <w:rsid w:val="00243159"/>
    <w:rsid w:val="00243997"/>
    <w:rsid w:val="00244A48"/>
    <w:rsid w:val="0024516C"/>
    <w:rsid w:val="00245C82"/>
    <w:rsid w:val="002462CF"/>
    <w:rsid w:val="00246FC2"/>
    <w:rsid w:val="00247309"/>
    <w:rsid w:val="002476FD"/>
    <w:rsid w:val="00250430"/>
    <w:rsid w:val="002515A0"/>
    <w:rsid w:val="00251C30"/>
    <w:rsid w:val="00252721"/>
    <w:rsid w:val="00252906"/>
    <w:rsid w:val="0025344A"/>
    <w:rsid w:val="00253BE0"/>
    <w:rsid w:val="0025467C"/>
    <w:rsid w:val="002546F8"/>
    <w:rsid w:val="00255AB5"/>
    <w:rsid w:val="00256993"/>
    <w:rsid w:val="00256EF2"/>
    <w:rsid w:val="002575A1"/>
    <w:rsid w:val="0025793C"/>
    <w:rsid w:val="00257DCC"/>
    <w:rsid w:val="00260608"/>
    <w:rsid w:val="00261034"/>
    <w:rsid w:val="0026210E"/>
    <w:rsid w:val="002623F3"/>
    <w:rsid w:val="00262EE0"/>
    <w:rsid w:val="00262F3B"/>
    <w:rsid w:val="00263027"/>
    <w:rsid w:val="002652F3"/>
    <w:rsid w:val="002659B9"/>
    <w:rsid w:val="002663AA"/>
    <w:rsid w:val="00266C5D"/>
    <w:rsid w:val="002705D3"/>
    <w:rsid w:val="002714E3"/>
    <w:rsid w:val="00271EDA"/>
    <w:rsid w:val="00272337"/>
    <w:rsid w:val="002724BA"/>
    <w:rsid w:val="0027287F"/>
    <w:rsid w:val="00273501"/>
    <w:rsid w:val="00273B02"/>
    <w:rsid w:val="0027479A"/>
    <w:rsid w:val="00274A49"/>
    <w:rsid w:val="00275878"/>
    <w:rsid w:val="0027715C"/>
    <w:rsid w:val="002774C0"/>
    <w:rsid w:val="00280638"/>
    <w:rsid w:val="002806CC"/>
    <w:rsid w:val="00280DD7"/>
    <w:rsid w:val="00281213"/>
    <w:rsid w:val="00282A92"/>
    <w:rsid w:val="0028317B"/>
    <w:rsid w:val="00283762"/>
    <w:rsid w:val="0028391D"/>
    <w:rsid w:val="00284FDB"/>
    <w:rsid w:val="002851B5"/>
    <w:rsid w:val="002854E4"/>
    <w:rsid w:val="00285A49"/>
    <w:rsid w:val="002863DB"/>
    <w:rsid w:val="00286B36"/>
    <w:rsid w:val="00287D2B"/>
    <w:rsid w:val="00287E67"/>
    <w:rsid w:val="002903CB"/>
    <w:rsid w:val="00290B1E"/>
    <w:rsid w:val="002912EA"/>
    <w:rsid w:val="0029153C"/>
    <w:rsid w:val="00291B40"/>
    <w:rsid w:val="002924F1"/>
    <w:rsid w:val="002935EF"/>
    <w:rsid w:val="002945E7"/>
    <w:rsid w:val="00295A1F"/>
    <w:rsid w:val="00295BD7"/>
    <w:rsid w:val="0029743B"/>
    <w:rsid w:val="002A0091"/>
    <w:rsid w:val="002A0133"/>
    <w:rsid w:val="002A0F68"/>
    <w:rsid w:val="002A1E8E"/>
    <w:rsid w:val="002A2D24"/>
    <w:rsid w:val="002A4092"/>
    <w:rsid w:val="002A5222"/>
    <w:rsid w:val="002A5D24"/>
    <w:rsid w:val="002A67D9"/>
    <w:rsid w:val="002A72BE"/>
    <w:rsid w:val="002A7BBA"/>
    <w:rsid w:val="002B1CE2"/>
    <w:rsid w:val="002B1F86"/>
    <w:rsid w:val="002B311E"/>
    <w:rsid w:val="002B32B6"/>
    <w:rsid w:val="002B3AE3"/>
    <w:rsid w:val="002B4008"/>
    <w:rsid w:val="002B4B97"/>
    <w:rsid w:val="002B6AEE"/>
    <w:rsid w:val="002B6FC1"/>
    <w:rsid w:val="002C0D8E"/>
    <w:rsid w:val="002C105E"/>
    <w:rsid w:val="002C1222"/>
    <w:rsid w:val="002C1AB8"/>
    <w:rsid w:val="002C1CB8"/>
    <w:rsid w:val="002C2117"/>
    <w:rsid w:val="002C2F10"/>
    <w:rsid w:val="002C4365"/>
    <w:rsid w:val="002C439F"/>
    <w:rsid w:val="002C715D"/>
    <w:rsid w:val="002C7266"/>
    <w:rsid w:val="002D0C42"/>
    <w:rsid w:val="002D0E8E"/>
    <w:rsid w:val="002D2703"/>
    <w:rsid w:val="002D335E"/>
    <w:rsid w:val="002D3937"/>
    <w:rsid w:val="002D39A4"/>
    <w:rsid w:val="002D4D55"/>
    <w:rsid w:val="002D4F5F"/>
    <w:rsid w:val="002D52DE"/>
    <w:rsid w:val="002D6820"/>
    <w:rsid w:val="002D69C3"/>
    <w:rsid w:val="002E05F8"/>
    <w:rsid w:val="002E128F"/>
    <w:rsid w:val="002E18A8"/>
    <w:rsid w:val="002E4194"/>
    <w:rsid w:val="002E49FF"/>
    <w:rsid w:val="002E4B99"/>
    <w:rsid w:val="002E554F"/>
    <w:rsid w:val="002E5E9E"/>
    <w:rsid w:val="002E654D"/>
    <w:rsid w:val="002E666A"/>
    <w:rsid w:val="002E6D1C"/>
    <w:rsid w:val="002E749F"/>
    <w:rsid w:val="002E7977"/>
    <w:rsid w:val="002F02B7"/>
    <w:rsid w:val="002F0B35"/>
    <w:rsid w:val="002F19C8"/>
    <w:rsid w:val="002F215B"/>
    <w:rsid w:val="002F21C5"/>
    <w:rsid w:val="002F225E"/>
    <w:rsid w:val="002F427C"/>
    <w:rsid w:val="002F4FF3"/>
    <w:rsid w:val="002F5CAB"/>
    <w:rsid w:val="002F6C92"/>
    <w:rsid w:val="002F77FD"/>
    <w:rsid w:val="00300F88"/>
    <w:rsid w:val="00301189"/>
    <w:rsid w:val="003011E0"/>
    <w:rsid w:val="00301540"/>
    <w:rsid w:val="00301929"/>
    <w:rsid w:val="00301D35"/>
    <w:rsid w:val="00301E4A"/>
    <w:rsid w:val="00302758"/>
    <w:rsid w:val="00302F9D"/>
    <w:rsid w:val="0030306E"/>
    <w:rsid w:val="00303A57"/>
    <w:rsid w:val="00303ECC"/>
    <w:rsid w:val="00304671"/>
    <w:rsid w:val="003049D4"/>
    <w:rsid w:val="00305572"/>
    <w:rsid w:val="00305A53"/>
    <w:rsid w:val="003062A4"/>
    <w:rsid w:val="003068C1"/>
    <w:rsid w:val="00306A03"/>
    <w:rsid w:val="00306A64"/>
    <w:rsid w:val="00306B9B"/>
    <w:rsid w:val="00306E94"/>
    <w:rsid w:val="00307631"/>
    <w:rsid w:val="00307939"/>
    <w:rsid w:val="003104F4"/>
    <w:rsid w:val="00310E80"/>
    <w:rsid w:val="0031166D"/>
    <w:rsid w:val="0031246E"/>
    <w:rsid w:val="00312905"/>
    <w:rsid w:val="00312A63"/>
    <w:rsid w:val="00314282"/>
    <w:rsid w:val="003147C7"/>
    <w:rsid w:val="00315B08"/>
    <w:rsid w:val="003168B8"/>
    <w:rsid w:val="00316A8B"/>
    <w:rsid w:val="00316C53"/>
    <w:rsid w:val="003178C1"/>
    <w:rsid w:val="0032240F"/>
    <w:rsid w:val="00322CB8"/>
    <w:rsid w:val="00322D64"/>
    <w:rsid w:val="00322D6C"/>
    <w:rsid w:val="00323ABD"/>
    <w:rsid w:val="00323E09"/>
    <w:rsid w:val="003240AE"/>
    <w:rsid w:val="00324FF2"/>
    <w:rsid w:val="003258A8"/>
    <w:rsid w:val="003265A9"/>
    <w:rsid w:val="00327AB3"/>
    <w:rsid w:val="003308E2"/>
    <w:rsid w:val="003308E3"/>
    <w:rsid w:val="00331057"/>
    <w:rsid w:val="00333702"/>
    <w:rsid w:val="00333932"/>
    <w:rsid w:val="00334443"/>
    <w:rsid w:val="0033540B"/>
    <w:rsid w:val="003357D2"/>
    <w:rsid w:val="0033667B"/>
    <w:rsid w:val="00336BD3"/>
    <w:rsid w:val="00337DC7"/>
    <w:rsid w:val="00341291"/>
    <w:rsid w:val="00342EDE"/>
    <w:rsid w:val="00343EED"/>
    <w:rsid w:val="003454BF"/>
    <w:rsid w:val="00345BE3"/>
    <w:rsid w:val="0034678D"/>
    <w:rsid w:val="00346D75"/>
    <w:rsid w:val="00347F29"/>
    <w:rsid w:val="003518AA"/>
    <w:rsid w:val="00351A93"/>
    <w:rsid w:val="00352165"/>
    <w:rsid w:val="00353182"/>
    <w:rsid w:val="0035470A"/>
    <w:rsid w:val="003548BA"/>
    <w:rsid w:val="00354963"/>
    <w:rsid w:val="00354FA9"/>
    <w:rsid w:val="003553A7"/>
    <w:rsid w:val="0035556B"/>
    <w:rsid w:val="00355D17"/>
    <w:rsid w:val="00355F79"/>
    <w:rsid w:val="003565D9"/>
    <w:rsid w:val="00357472"/>
    <w:rsid w:val="003602E1"/>
    <w:rsid w:val="00362B14"/>
    <w:rsid w:val="003641C4"/>
    <w:rsid w:val="003648F0"/>
    <w:rsid w:val="00364CE1"/>
    <w:rsid w:val="00365EE5"/>
    <w:rsid w:val="003665AD"/>
    <w:rsid w:val="00367070"/>
    <w:rsid w:val="00367888"/>
    <w:rsid w:val="0037026F"/>
    <w:rsid w:val="00371172"/>
    <w:rsid w:val="003711B7"/>
    <w:rsid w:val="00371220"/>
    <w:rsid w:val="00371240"/>
    <w:rsid w:val="00371921"/>
    <w:rsid w:val="003724A4"/>
    <w:rsid w:val="003724E1"/>
    <w:rsid w:val="00373EF7"/>
    <w:rsid w:val="00373F86"/>
    <w:rsid w:val="00374731"/>
    <w:rsid w:val="00375A6F"/>
    <w:rsid w:val="0037600D"/>
    <w:rsid w:val="0037667E"/>
    <w:rsid w:val="0037676B"/>
    <w:rsid w:val="00376E59"/>
    <w:rsid w:val="003774FF"/>
    <w:rsid w:val="00377907"/>
    <w:rsid w:val="00377B52"/>
    <w:rsid w:val="00377EC1"/>
    <w:rsid w:val="00380340"/>
    <w:rsid w:val="00380463"/>
    <w:rsid w:val="00380C81"/>
    <w:rsid w:val="00383FB5"/>
    <w:rsid w:val="003841AB"/>
    <w:rsid w:val="0038560E"/>
    <w:rsid w:val="00385946"/>
    <w:rsid w:val="00385D01"/>
    <w:rsid w:val="00386213"/>
    <w:rsid w:val="00390122"/>
    <w:rsid w:val="003903D6"/>
    <w:rsid w:val="00390E9F"/>
    <w:rsid w:val="003919F9"/>
    <w:rsid w:val="003920CF"/>
    <w:rsid w:val="00392979"/>
    <w:rsid w:val="00393018"/>
    <w:rsid w:val="003931C4"/>
    <w:rsid w:val="0039329A"/>
    <w:rsid w:val="00393D6F"/>
    <w:rsid w:val="00394B15"/>
    <w:rsid w:val="00394C57"/>
    <w:rsid w:val="00395632"/>
    <w:rsid w:val="003975A0"/>
    <w:rsid w:val="003A1BCA"/>
    <w:rsid w:val="003A20C1"/>
    <w:rsid w:val="003A2B64"/>
    <w:rsid w:val="003A3AB9"/>
    <w:rsid w:val="003A3CF7"/>
    <w:rsid w:val="003A43C3"/>
    <w:rsid w:val="003A48AC"/>
    <w:rsid w:val="003A59D9"/>
    <w:rsid w:val="003A5D40"/>
    <w:rsid w:val="003A60E4"/>
    <w:rsid w:val="003A6C7F"/>
    <w:rsid w:val="003B0E91"/>
    <w:rsid w:val="003B1738"/>
    <w:rsid w:val="003B1E94"/>
    <w:rsid w:val="003B23C2"/>
    <w:rsid w:val="003B4088"/>
    <w:rsid w:val="003B4431"/>
    <w:rsid w:val="003B5060"/>
    <w:rsid w:val="003B5537"/>
    <w:rsid w:val="003B5590"/>
    <w:rsid w:val="003B61FE"/>
    <w:rsid w:val="003B6CFA"/>
    <w:rsid w:val="003C0C52"/>
    <w:rsid w:val="003C2037"/>
    <w:rsid w:val="003C26EE"/>
    <w:rsid w:val="003C38B5"/>
    <w:rsid w:val="003C54EB"/>
    <w:rsid w:val="003C5D99"/>
    <w:rsid w:val="003C7A96"/>
    <w:rsid w:val="003D03F5"/>
    <w:rsid w:val="003D1087"/>
    <w:rsid w:val="003D24D9"/>
    <w:rsid w:val="003D2B38"/>
    <w:rsid w:val="003D4B33"/>
    <w:rsid w:val="003D567A"/>
    <w:rsid w:val="003D5B7E"/>
    <w:rsid w:val="003D5CF8"/>
    <w:rsid w:val="003D6DD0"/>
    <w:rsid w:val="003E041E"/>
    <w:rsid w:val="003E0D24"/>
    <w:rsid w:val="003E138B"/>
    <w:rsid w:val="003E169B"/>
    <w:rsid w:val="003E289A"/>
    <w:rsid w:val="003E2F59"/>
    <w:rsid w:val="003E59EF"/>
    <w:rsid w:val="003E746B"/>
    <w:rsid w:val="003F0789"/>
    <w:rsid w:val="003F5162"/>
    <w:rsid w:val="003F51F9"/>
    <w:rsid w:val="003F5E9E"/>
    <w:rsid w:val="003F71CC"/>
    <w:rsid w:val="003F7BE4"/>
    <w:rsid w:val="003F7C47"/>
    <w:rsid w:val="00401882"/>
    <w:rsid w:val="00401DE8"/>
    <w:rsid w:val="004020F3"/>
    <w:rsid w:val="00402CEB"/>
    <w:rsid w:val="004031A4"/>
    <w:rsid w:val="0040668E"/>
    <w:rsid w:val="004100C8"/>
    <w:rsid w:val="0041097F"/>
    <w:rsid w:val="004118E6"/>
    <w:rsid w:val="00411D60"/>
    <w:rsid w:val="00411DBD"/>
    <w:rsid w:val="00411F08"/>
    <w:rsid w:val="0041251A"/>
    <w:rsid w:val="00412ACE"/>
    <w:rsid w:val="00412C67"/>
    <w:rsid w:val="004145D2"/>
    <w:rsid w:val="0041675F"/>
    <w:rsid w:val="004169A5"/>
    <w:rsid w:val="00416CB2"/>
    <w:rsid w:val="0042028D"/>
    <w:rsid w:val="00422775"/>
    <w:rsid w:val="0042322B"/>
    <w:rsid w:val="0042370B"/>
    <w:rsid w:val="00423D6B"/>
    <w:rsid w:val="00423F00"/>
    <w:rsid w:val="004244B9"/>
    <w:rsid w:val="004250DC"/>
    <w:rsid w:val="00425EB8"/>
    <w:rsid w:val="00426CB4"/>
    <w:rsid w:val="0042717B"/>
    <w:rsid w:val="00427E23"/>
    <w:rsid w:val="00430FB3"/>
    <w:rsid w:val="00431249"/>
    <w:rsid w:val="00431434"/>
    <w:rsid w:val="00431E59"/>
    <w:rsid w:val="004322F2"/>
    <w:rsid w:val="004327B9"/>
    <w:rsid w:val="00432EB6"/>
    <w:rsid w:val="00433F23"/>
    <w:rsid w:val="00434192"/>
    <w:rsid w:val="00434C19"/>
    <w:rsid w:val="004358EC"/>
    <w:rsid w:val="00437E22"/>
    <w:rsid w:val="00440D07"/>
    <w:rsid w:val="00443071"/>
    <w:rsid w:val="0044403F"/>
    <w:rsid w:val="00446BFF"/>
    <w:rsid w:val="00447BEE"/>
    <w:rsid w:val="00450810"/>
    <w:rsid w:val="00450D7E"/>
    <w:rsid w:val="00451169"/>
    <w:rsid w:val="00451311"/>
    <w:rsid w:val="00451951"/>
    <w:rsid w:val="00452A1A"/>
    <w:rsid w:val="00453A55"/>
    <w:rsid w:val="00453DB7"/>
    <w:rsid w:val="00454A4B"/>
    <w:rsid w:val="00455509"/>
    <w:rsid w:val="00460010"/>
    <w:rsid w:val="004616EB"/>
    <w:rsid w:val="004625FB"/>
    <w:rsid w:val="00462C59"/>
    <w:rsid w:val="004636AA"/>
    <w:rsid w:val="00464741"/>
    <w:rsid w:val="0046617F"/>
    <w:rsid w:val="00467621"/>
    <w:rsid w:val="00470737"/>
    <w:rsid w:val="0047153E"/>
    <w:rsid w:val="0047175B"/>
    <w:rsid w:val="004728DE"/>
    <w:rsid w:val="00472A10"/>
    <w:rsid w:val="00472D40"/>
    <w:rsid w:val="004736DA"/>
    <w:rsid w:val="00475265"/>
    <w:rsid w:val="004756FD"/>
    <w:rsid w:val="00476CFA"/>
    <w:rsid w:val="00477144"/>
    <w:rsid w:val="0048034C"/>
    <w:rsid w:val="00480CAF"/>
    <w:rsid w:val="00481174"/>
    <w:rsid w:val="004823D7"/>
    <w:rsid w:val="00486018"/>
    <w:rsid w:val="004862F2"/>
    <w:rsid w:val="00486816"/>
    <w:rsid w:val="00486C14"/>
    <w:rsid w:val="00490A43"/>
    <w:rsid w:val="00490C81"/>
    <w:rsid w:val="00491380"/>
    <w:rsid w:val="0049459F"/>
    <w:rsid w:val="00494B6D"/>
    <w:rsid w:val="00495058"/>
    <w:rsid w:val="004950E7"/>
    <w:rsid w:val="004954E9"/>
    <w:rsid w:val="00495846"/>
    <w:rsid w:val="00497DB5"/>
    <w:rsid w:val="004A1E29"/>
    <w:rsid w:val="004A29C9"/>
    <w:rsid w:val="004A38DD"/>
    <w:rsid w:val="004A402A"/>
    <w:rsid w:val="004A4A3B"/>
    <w:rsid w:val="004A533E"/>
    <w:rsid w:val="004A53BC"/>
    <w:rsid w:val="004A578E"/>
    <w:rsid w:val="004A5E76"/>
    <w:rsid w:val="004A618D"/>
    <w:rsid w:val="004A6433"/>
    <w:rsid w:val="004B0057"/>
    <w:rsid w:val="004B0741"/>
    <w:rsid w:val="004B198D"/>
    <w:rsid w:val="004B2478"/>
    <w:rsid w:val="004B4105"/>
    <w:rsid w:val="004B43AE"/>
    <w:rsid w:val="004B5077"/>
    <w:rsid w:val="004B5265"/>
    <w:rsid w:val="004C0153"/>
    <w:rsid w:val="004C136F"/>
    <w:rsid w:val="004C138F"/>
    <w:rsid w:val="004C15D1"/>
    <w:rsid w:val="004C187A"/>
    <w:rsid w:val="004C2AF1"/>
    <w:rsid w:val="004C30ED"/>
    <w:rsid w:val="004C3718"/>
    <w:rsid w:val="004C3BC8"/>
    <w:rsid w:val="004C3DC3"/>
    <w:rsid w:val="004C4972"/>
    <w:rsid w:val="004C4F8B"/>
    <w:rsid w:val="004C524A"/>
    <w:rsid w:val="004C64D3"/>
    <w:rsid w:val="004C6AC8"/>
    <w:rsid w:val="004C6C9E"/>
    <w:rsid w:val="004C79AA"/>
    <w:rsid w:val="004D0159"/>
    <w:rsid w:val="004D37B1"/>
    <w:rsid w:val="004D4D13"/>
    <w:rsid w:val="004D4E21"/>
    <w:rsid w:val="004D5675"/>
    <w:rsid w:val="004D7332"/>
    <w:rsid w:val="004D7509"/>
    <w:rsid w:val="004D7779"/>
    <w:rsid w:val="004D7BF1"/>
    <w:rsid w:val="004E03B1"/>
    <w:rsid w:val="004E0F37"/>
    <w:rsid w:val="004E1965"/>
    <w:rsid w:val="004E21BB"/>
    <w:rsid w:val="004E258C"/>
    <w:rsid w:val="004E33E3"/>
    <w:rsid w:val="004E34B2"/>
    <w:rsid w:val="004E5DA2"/>
    <w:rsid w:val="004E78F8"/>
    <w:rsid w:val="004F0229"/>
    <w:rsid w:val="004F0350"/>
    <w:rsid w:val="004F3D35"/>
    <w:rsid w:val="004F4359"/>
    <w:rsid w:val="004F48EA"/>
    <w:rsid w:val="004F5967"/>
    <w:rsid w:val="004F670E"/>
    <w:rsid w:val="004F693A"/>
    <w:rsid w:val="00500ED2"/>
    <w:rsid w:val="00501DF6"/>
    <w:rsid w:val="0050549F"/>
    <w:rsid w:val="0050610B"/>
    <w:rsid w:val="00506196"/>
    <w:rsid w:val="00506994"/>
    <w:rsid w:val="00507110"/>
    <w:rsid w:val="00507D33"/>
    <w:rsid w:val="00507EA8"/>
    <w:rsid w:val="00511BD0"/>
    <w:rsid w:val="00512909"/>
    <w:rsid w:val="0051410D"/>
    <w:rsid w:val="005162A5"/>
    <w:rsid w:val="005163C2"/>
    <w:rsid w:val="00517795"/>
    <w:rsid w:val="00520922"/>
    <w:rsid w:val="00520BE9"/>
    <w:rsid w:val="005211FA"/>
    <w:rsid w:val="00523384"/>
    <w:rsid w:val="00523639"/>
    <w:rsid w:val="00523784"/>
    <w:rsid w:val="005270AC"/>
    <w:rsid w:val="00527504"/>
    <w:rsid w:val="0053058C"/>
    <w:rsid w:val="005313F5"/>
    <w:rsid w:val="00531C1D"/>
    <w:rsid w:val="00531FE5"/>
    <w:rsid w:val="0053477E"/>
    <w:rsid w:val="00534D1F"/>
    <w:rsid w:val="005352FD"/>
    <w:rsid w:val="005353C0"/>
    <w:rsid w:val="00535699"/>
    <w:rsid w:val="005359DF"/>
    <w:rsid w:val="005362DA"/>
    <w:rsid w:val="005363F3"/>
    <w:rsid w:val="005363FD"/>
    <w:rsid w:val="005402FA"/>
    <w:rsid w:val="00540B77"/>
    <w:rsid w:val="00541168"/>
    <w:rsid w:val="005413B1"/>
    <w:rsid w:val="00541F22"/>
    <w:rsid w:val="005427F6"/>
    <w:rsid w:val="00542F0F"/>
    <w:rsid w:val="00544B5B"/>
    <w:rsid w:val="0054518B"/>
    <w:rsid w:val="0054532A"/>
    <w:rsid w:val="005457C8"/>
    <w:rsid w:val="005500E1"/>
    <w:rsid w:val="0055172B"/>
    <w:rsid w:val="00551F56"/>
    <w:rsid w:val="00552C4C"/>
    <w:rsid w:val="00553C0E"/>
    <w:rsid w:val="00555ACC"/>
    <w:rsid w:val="00555D5E"/>
    <w:rsid w:val="00557A64"/>
    <w:rsid w:val="0056034E"/>
    <w:rsid w:val="00560AF2"/>
    <w:rsid w:val="00560EB6"/>
    <w:rsid w:val="00561FF4"/>
    <w:rsid w:val="005640CD"/>
    <w:rsid w:val="00565D87"/>
    <w:rsid w:val="00567EA1"/>
    <w:rsid w:val="0057095B"/>
    <w:rsid w:val="00570B9C"/>
    <w:rsid w:val="00571B42"/>
    <w:rsid w:val="00572964"/>
    <w:rsid w:val="005729BD"/>
    <w:rsid w:val="00572C15"/>
    <w:rsid w:val="00573127"/>
    <w:rsid w:val="00574431"/>
    <w:rsid w:val="005745C7"/>
    <w:rsid w:val="00575374"/>
    <w:rsid w:val="005757AC"/>
    <w:rsid w:val="00575AD3"/>
    <w:rsid w:val="00576483"/>
    <w:rsid w:val="00576665"/>
    <w:rsid w:val="00577B29"/>
    <w:rsid w:val="00580154"/>
    <w:rsid w:val="00580315"/>
    <w:rsid w:val="00581453"/>
    <w:rsid w:val="00582214"/>
    <w:rsid w:val="00583322"/>
    <w:rsid w:val="0058387B"/>
    <w:rsid w:val="00583C39"/>
    <w:rsid w:val="005854E1"/>
    <w:rsid w:val="00586A90"/>
    <w:rsid w:val="0058777E"/>
    <w:rsid w:val="00587859"/>
    <w:rsid w:val="00587F28"/>
    <w:rsid w:val="005909CF"/>
    <w:rsid w:val="0059105C"/>
    <w:rsid w:val="00591132"/>
    <w:rsid w:val="0059192E"/>
    <w:rsid w:val="00591E71"/>
    <w:rsid w:val="0059226D"/>
    <w:rsid w:val="00592EC5"/>
    <w:rsid w:val="00592F59"/>
    <w:rsid w:val="005938E9"/>
    <w:rsid w:val="005945EB"/>
    <w:rsid w:val="005950F4"/>
    <w:rsid w:val="005952BC"/>
    <w:rsid w:val="00596168"/>
    <w:rsid w:val="00596517"/>
    <w:rsid w:val="00597C29"/>
    <w:rsid w:val="005A0D41"/>
    <w:rsid w:val="005A0F53"/>
    <w:rsid w:val="005A256E"/>
    <w:rsid w:val="005A49CA"/>
    <w:rsid w:val="005A4D51"/>
    <w:rsid w:val="005A6CE9"/>
    <w:rsid w:val="005B34A8"/>
    <w:rsid w:val="005B3ECB"/>
    <w:rsid w:val="005B47B4"/>
    <w:rsid w:val="005B48FA"/>
    <w:rsid w:val="005B4EDB"/>
    <w:rsid w:val="005B5A87"/>
    <w:rsid w:val="005B643B"/>
    <w:rsid w:val="005B71BA"/>
    <w:rsid w:val="005B727B"/>
    <w:rsid w:val="005C0DA7"/>
    <w:rsid w:val="005C126E"/>
    <w:rsid w:val="005C257B"/>
    <w:rsid w:val="005C455D"/>
    <w:rsid w:val="005C4DAD"/>
    <w:rsid w:val="005C5FC9"/>
    <w:rsid w:val="005D08A3"/>
    <w:rsid w:val="005D0F75"/>
    <w:rsid w:val="005D0FE5"/>
    <w:rsid w:val="005D296D"/>
    <w:rsid w:val="005D329F"/>
    <w:rsid w:val="005D3395"/>
    <w:rsid w:val="005D3A90"/>
    <w:rsid w:val="005D3E9A"/>
    <w:rsid w:val="005D412B"/>
    <w:rsid w:val="005D4C8F"/>
    <w:rsid w:val="005D5D19"/>
    <w:rsid w:val="005D633D"/>
    <w:rsid w:val="005D66C0"/>
    <w:rsid w:val="005D7352"/>
    <w:rsid w:val="005E03EA"/>
    <w:rsid w:val="005E078D"/>
    <w:rsid w:val="005E1D1D"/>
    <w:rsid w:val="005E2F30"/>
    <w:rsid w:val="005E4AD1"/>
    <w:rsid w:val="005E594F"/>
    <w:rsid w:val="005E7EE8"/>
    <w:rsid w:val="005F0EDA"/>
    <w:rsid w:val="005F175B"/>
    <w:rsid w:val="005F4558"/>
    <w:rsid w:val="005F48ED"/>
    <w:rsid w:val="005F5428"/>
    <w:rsid w:val="005F551A"/>
    <w:rsid w:val="005F5B05"/>
    <w:rsid w:val="005F6B5F"/>
    <w:rsid w:val="005F747D"/>
    <w:rsid w:val="005F7990"/>
    <w:rsid w:val="005F7BA0"/>
    <w:rsid w:val="006003D4"/>
    <w:rsid w:val="006011C8"/>
    <w:rsid w:val="00601732"/>
    <w:rsid w:val="0060203C"/>
    <w:rsid w:val="00602816"/>
    <w:rsid w:val="00602F58"/>
    <w:rsid w:val="00603A27"/>
    <w:rsid w:val="00603E34"/>
    <w:rsid w:val="0060569E"/>
    <w:rsid w:val="006057BD"/>
    <w:rsid w:val="006066DB"/>
    <w:rsid w:val="00606D1E"/>
    <w:rsid w:val="00606E78"/>
    <w:rsid w:val="00607BF1"/>
    <w:rsid w:val="00607F07"/>
    <w:rsid w:val="006122C3"/>
    <w:rsid w:val="006123C1"/>
    <w:rsid w:val="00612FEF"/>
    <w:rsid w:val="00613520"/>
    <w:rsid w:val="006142B6"/>
    <w:rsid w:val="0061467B"/>
    <w:rsid w:val="00615448"/>
    <w:rsid w:val="00615673"/>
    <w:rsid w:val="00616388"/>
    <w:rsid w:val="00616BFE"/>
    <w:rsid w:val="006171AB"/>
    <w:rsid w:val="0061799A"/>
    <w:rsid w:val="00617C0B"/>
    <w:rsid w:val="006200EB"/>
    <w:rsid w:val="006210C2"/>
    <w:rsid w:val="0062657F"/>
    <w:rsid w:val="00627445"/>
    <w:rsid w:val="006275C1"/>
    <w:rsid w:val="00627BEC"/>
    <w:rsid w:val="00630D4D"/>
    <w:rsid w:val="00632334"/>
    <w:rsid w:val="0063258A"/>
    <w:rsid w:val="00632A74"/>
    <w:rsid w:val="00634C34"/>
    <w:rsid w:val="00635ABA"/>
    <w:rsid w:val="00635C51"/>
    <w:rsid w:val="00635D91"/>
    <w:rsid w:val="00641075"/>
    <w:rsid w:val="006410BF"/>
    <w:rsid w:val="006422C5"/>
    <w:rsid w:val="00642F61"/>
    <w:rsid w:val="006432F1"/>
    <w:rsid w:val="00643BB3"/>
    <w:rsid w:val="006445F4"/>
    <w:rsid w:val="00644885"/>
    <w:rsid w:val="006464BB"/>
    <w:rsid w:val="00646667"/>
    <w:rsid w:val="00646C96"/>
    <w:rsid w:val="006509A8"/>
    <w:rsid w:val="00650F73"/>
    <w:rsid w:val="00651009"/>
    <w:rsid w:val="00651105"/>
    <w:rsid w:val="00651A35"/>
    <w:rsid w:val="00652B93"/>
    <w:rsid w:val="00652D94"/>
    <w:rsid w:val="00652FC3"/>
    <w:rsid w:val="0065364B"/>
    <w:rsid w:val="00654D42"/>
    <w:rsid w:val="00654E86"/>
    <w:rsid w:val="00654E98"/>
    <w:rsid w:val="0065587D"/>
    <w:rsid w:val="006561D8"/>
    <w:rsid w:val="00656305"/>
    <w:rsid w:val="00661363"/>
    <w:rsid w:val="0066183C"/>
    <w:rsid w:val="006626B4"/>
    <w:rsid w:val="00662DDE"/>
    <w:rsid w:val="00662E77"/>
    <w:rsid w:val="0066341C"/>
    <w:rsid w:val="006642CF"/>
    <w:rsid w:val="00664F85"/>
    <w:rsid w:val="00665CCF"/>
    <w:rsid w:val="00666243"/>
    <w:rsid w:val="006662A2"/>
    <w:rsid w:val="00666E02"/>
    <w:rsid w:val="00667FCD"/>
    <w:rsid w:val="006700B3"/>
    <w:rsid w:val="0067129A"/>
    <w:rsid w:val="00671C1A"/>
    <w:rsid w:val="00672626"/>
    <w:rsid w:val="0067324A"/>
    <w:rsid w:val="0067382C"/>
    <w:rsid w:val="00674C4C"/>
    <w:rsid w:val="0067683A"/>
    <w:rsid w:val="00676AC4"/>
    <w:rsid w:val="00681583"/>
    <w:rsid w:val="006822FD"/>
    <w:rsid w:val="00682C2D"/>
    <w:rsid w:val="00682E75"/>
    <w:rsid w:val="00682EF0"/>
    <w:rsid w:val="00686C7F"/>
    <w:rsid w:val="00686D3B"/>
    <w:rsid w:val="00690FDC"/>
    <w:rsid w:val="00691642"/>
    <w:rsid w:val="0069294D"/>
    <w:rsid w:val="00692DEE"/>
    <w:rsid w:val="00692F39"/>
    <w:rsid w:val="006936F3"/>
    <w:rsid w:val="00695BF0"/>
    <w:rsid w:val="006965BE"/>
    <w:rsid w:val="0069693F"/>
    <w:rsid w:val="00696C97"/>
    <w:rsid w:val="006A0622"/>
    <w:rsid w:val="006A0BC9"/>
    <w:rsid w:val="006A281E"/>
    <w:rsid w:val="006A3E61"/>
    <w:rsid w:val="006A4655"/>
    <w:rsid w:val="006A4CB4"/>
    <w:rsid w:val="006A6C8C"/>
    <w:rsid w:val="006A7005"/>
    <w:rsid w:val="006A72DB"/>
    <w:rsid w:val="006A7A50"/>
    <w:rsid w:val="006B0202"/>
    <w:rsid w:val="006B1882"/>
    <w:rsid w:val="006B2B3C"/>
    <w:rsid w:val="006B3B1B"/>
    <w:rsid w:val="006B4D9C"/>
    <w:rsid w:val="006B5B81"/>
    <w:rsid w:val="006B6C04"/>
    <w:rsid w:val="006B6C7D"/>
    <w:rsid w:val="006B79EA"/>
    <w:rsid w:val="006C012B"/>
    <w:rsid w:val="006C0872"/>
    <w:rsid w:val="006C1D81"/>
    <w:rsid w:val="006C1DFD"/>
    <w:rsid w:val="006C1F03"/>
    <w:rsid w:val="006C3BD4"/>
    <w:rsid w:val="006C488F"/>
    <w:rsid w:val="006C6F2C"/>
    <w:rsid w:val="006C7038"/>
    <w:rsid w:val="006D1F00"/>
    <w:rsid w:val="006D23E2"/>
    <w:rsid w:val="006D2DE5"/>
    <w:rsid w:val="006D36A0"/>
    <w:rsid w:val="006D3C1A"/>
    <w:rsid w:val="006D56A0"/>
    <w:rsid w:val="006D61D2"/>
    <w:rsid w:val="006D6251"/>
    <w:rsid w:val="006D73C5"/>
    <w:rsid w:val="006D7F12"/>
    <w:rsid w:val="006E0691"/>
    <w:rsid w:val="006E2FD0"/>
    <w:rsid w:val="006E33C4"/>
    <w:rsid w:val="006E73EF"/>
    <w:rsid w:val="006E7715"/>
    <w:rsid w:val="006F01E3"/>
    <w:rsid w:val="006F06C2"/>
    <w:rsid w:val="006F0840"/>
    <w:rsid w:val="006F0AF7"/>
    <w:rsid w:val="006F1A96"/>
    <w:rsid w:val="006F25C1"/>
    <w:rsid w:val="006F3DC1"/>
    <w:rsid w:val="006F4196"/>
    <w:rsid w:val="006F4CAF"/>
    <w:rsid w:val="006F51C3"/>
    <w:rsid w:val="006F5F31"/>
    <w:rsid w:val="006F6097"/>
    <w:rsid w:val="006F63AB"/>
    <w:rsid w:val="006F6EF7"/>
    <w:rsid w:val="00702FF8"/>
    <w:rsid w:val="00705332"/>
    <w:rsid w:val="007053D1"/>
    <w:rsid w:val="007062D5"/>
    <w:rsid w:val="0070693C"/>
    <w:rsid w:val="007075F4"/>
    <w:rsid w:val="007079C9"/>
    <w:rsid w:val="0071055C"/>
    <w:rsid w:val="007137E5"/>
    <w:rsid w:val="00713F77"/>
    <w:rsid w:val="00714C68"/>
    <w:rsid w:val="00714D4D"/>
    <w:rsid w:val="007151F3"/>
    <w:rsid w:val="00715E6F"/>
    <w:rsid w:val="00716622"/>
    <w:rsid w:val="00716758"/>
    <w:rsid w:val="00717B89"/>
    <w:rsid w:val="00721142"/>
    <w:rsid w:val="00722319"/>
    <w:rsid w:val="00722DBD"/>
    <w:rsid w:val="00722FB6"/>
    <w:rsid w:val="0072386F"/>
    <w:rsid w:val="00723F28"/>
    <w:rsid w:val="00723FA0"/>
    <w:rsid w:val="007241E6"/>
    <w:rsid w:val="0072446C"/>
    <w:rsid w:val="0072519E"/>
    <w:rsid w:val="0072639A"/>
    <w:rsid w:val="007265C3"/>
    <w:rsid w:val="007266D3"/>
    <w:rsid w:val="00726A31"/>
    <w:rsid w:val="0072756B"/>
    <w:rsid w:val="0073198B"/>
    <w:rsid w:val="00732029"/>
    <w:rsid w:val="007321F9"/>
    <w:rsid w:val="00732B70"/>
    <w:rsid w:val="00735589"/>
    <w:rsid w:val="00741085"/>
    <w:rsid w:val="00742278"/>
    <w:rsid w:val="007424B8"/>
    <w:rsid w:val="0074363F"/>
    <w:rsid w:val="0074379E"/>
    <w:rsid w:val="007439CB"/>
    <w:rsid w:val="007446F4"/>
    <w:rsid w:val="00745247"/>
    <w:rsid w:val="00745C3E"/>
    <w:rsid w:val="007464B0"/>
    <w:rsid w:val="007464DF"/>
    <w:rsid w:val="00747306"/>
    <w:rsid w:val="00747984"/>
    <w:rsid w:val="007502B9"/>
    <w:rsid w:val="00753E55"/>
    <w:rsid w:val="00753F16"/>
    <w:rsid w:val="007549B8"/>
    <w:rsid w:val="007549FB"/>
    <w:rsid w:val="00754EEA"/>
    <w:rsid w:val="00756A06"/>
    <w:rsid w:val="00757A71"/>
    <w:rsid w:val="007604BB"/>
    <w:rsid w:val="00760653"/>
    <w:rsid w:val="007610DC"/>
    <w:rsid w:val="007616BC"/>
    <w:rsid w:val="0076287F"/>
    <w:rsid w:val="00762EFC"/>
    <w:rsid w:val="0076347C"/>
    <w:rsid w:val="007634A2"/>
    <w:rsid w:val="00765747"/>
    <w:rsid w:val="00765A8D"/>
    <w:rsid w:val="00765C5A"/>
    <w:rsid w:val="00766248"/>
    <w:rsid w:val="007672E6"/>
    <w:rsid w:val="007678B0"/>
    <w:rsid w:val="007720D8"/>
    <w:rsid w:val="00772909"/>
    <w:rsid w:val="00772AD0"/>
    <w:rsid w:val="00773747"/>
    <w:rsid w:val="0077400D"/>
    <w:rsid w:val="00774D05"/>
    <w:rsid w:val="00776C79"/>
    <w:rsid w:val="007772EF"/>
    <w:rsid w:val="00780C89"/>
    <w:rsid w:val="0078110F"/>
    <w:rsid w:val="007821C9"/>
    <w:rsid w:val="00782897"/>
    <w:rsid w:val="007832BE"/>
    <w:rsid w:val="00784D15"/>
    <w:rsid w:val="00785232"/>
    <w:rsid w:val="0078578D"/>
    <w:rsid w:val="00786D0C"/>
    <w:rsid w:val="0078723C"/>
    <w:rsid w:val="00790A19"/>
    <w:rsid w:val="00791366"/>
    <w:rsid w:val="007914F3"/>
    <w:rsid w:val="0079176C"/>
    <w:rsid w:val="00794A02"/>
    <w:rsid w:val="00795DF6"/>
    <w:rsid w:val="0079647A"/>
    <w:rsid w:val="00796FE7"/>
    <w:rsid w:val="0079701E"/>
    <w:rsid w:val="007975AA"/>
    <w:rsid w:val="007A14E7"/>
    <w:rsid w:val="007A16ED"/>
    <w:rsid w:val="007A20FA"/>
    <w:rsid w:val="007A21EB"/>
    <w:rsid w:val="007A248C"/>
    <w:rsid w:val="007A2938"/>
    <w:rsid w:val="007A2DA3"/>
    <w:rsid w:val="007A3466"/>
    <w:rsid w:val="007A5468"/>
    <w:rsid w:val="007A586F"/>
    <w:rsid w:val="007A64B3"/>
    <w:rsid w:val="007A71EF"/>
    <w:rsid w:val="007B08DD"/>
    <w:rsid w:val="007B0930"/>
    <w:rsid w:val="007B0FCC"/>
    <w:rsid w:val="007B13C1"/>
    <w:rsid w:val="007B1A93"/>
    <w:rsid w:val="007B1AE5"/>
    <w:rsid w:val="007B277B"/>
    <w:rsid w:val="007B3EB2"/>
    <w:rsid w:val="007B4705"/>
    <w:rsid w:val="007B5153"/>
    <w:rsid w:val="007B5707"/>
    <w:rsid w:val="007B66B7"/>
    <w:rsid w:val="007B686B"/>
    <w:rsid w:val="007B6FBE"/>
    <w:rsid w:val="007B7383"/>
    <w:rsid w:val="007B79D6"/>
    <w:rsid w:val="007C014B"/>
    <w:rsid w:val="007C31C1"/>
    <w:rsid w:val="007C366E"/>
    <w:rsid w:val="007C36C9"/>
    <w:rsid w:val="007C3DE0"/>
    <w:rsid w:val="007C428E"/>
    <w:rsid w:val="007C4709"/>
    <w:rsid w:val="007C72E1"/>
    <w:rsid w:val="007C757D"/>
    <w:rsid w:val="007D00ED"/>
    <w:rsid w:val="007D07DE"/>
    <w:rsid w:val="007D0EEE"/>
    <w:rsid w:val="007D30D2"/>
    <w:rsid w:val="007D5B0A"/>
    <w:rsid w:val="007D5EF2"/>
    <w:rsid w:val="007D6401"/>
    <w:rsid w:val="007D7161"/>
    <w:rsid w:val="007E01E4"/>
    <w:rsid w:val="007E020D"/>
    <w:rsid w:val="007E120D"/>
    <w:rsid w:val="007E1BE7"/>
    <w:rsid w:val="007E2307"/>
    <w:rsid w:val="007E2CC8"/>
    <w:rsid w:val="007E3E87"/>
    <w:rsid w:val="007E419F"/>
    <w:rsid w:val="007E4D1A"/>
    <w:rsid w:val="007E68D5"/>
    <w:rsid w:val="007E7717"/>
    <w:rsid w:val="007E7A12"/>
    <w:rsid w:val="007F0344"/>
    <w:rsid w:val="007F261E"/>
    <w:rsid w:val="007F2960"/>
    <w:rsid w:val="007F4659"/>
    <w:rsid w:val="007F5839"/>
    <w:rsid w:val="007F6996"/>
    <w:rsid w:val="007F6D0C"/>
    <w:rsid w:val="007F7107"/>
    <w:rsid w:val="007F7498"/>
    <w:rsid w:val="007F794F"/>
    <w:rsid w:val="0080084A"/>
    <w:rsid w:val="00800D4C"/>
    <w:rsid w:val="008017F6"/>
    <w:rsid w:val="008018CC"/>
    <w:rsid w:val="00801C69"/>
    <w:rsid w:val="00802D3A"/>
    <w:rsid w:val="00802F72"/>
    <w:rsid w:val="008038AB"/>
    <w:rsid w:val="00806437"/>
    <w:rsid w:val="00806A8F"/>
    <w:rsid w:val="008100D9"/>
    <w:rsid w:val="00810293"/>
    <w:rsid w:val="0081030F"/>
    <w:rsid w:val="00810939"/>
    <w:rsid w:val="00812F4A"/>
    <w:rsid w:val="00816571"/>
    <w:rsid w:val="00817200"/>
    <w:rsid w:val="0082015E"/>
    <w:rsid w:val="0082087D"/>
    <w:rsid w:val="00821BCE"/>
    <w:rsid w:val="008238F8"/>
    <w:rsid w:val="00824F6F"/>
    <w:rsid w:val="00831D90"/>
    <w:rsid w:val="00832C11"/>
    <w:rsid w:val="00832CEF"/>
    <w:rsid w:val="00833AD5"/>
    <w:rsid w:val="00835771"/>
    <w:rsid w:val="008366DD"/>
    <w:rsid w:val="00836C2A"/>
    <w:rsid w:val="0084059F"/>
    <w:rsid w:val="00840919"/>
    <w:rsid w:val="00841DB1"/>
    <w:rsid w:val="0084223B"/>
    <w:rsid w:val="00842240"/>
    <w:rsid w:val="00842331"/>
    <w:rsid w:val="00842933"/>
    <w:rsid w:val="00842F3A"/>
    <w:rsid w:val="00843C58"/>
    <w:rsid w:val="00843DA2"/>
    <w:rsid w:val="00844B94"/>
    <w:rsid w:val="00845CBB"/>
    <w:rsid w:val="00852EFF"/>
    <w:rsid w:val="0085303C"/>
    <w:rsid w:val="008534BC"/>
    <w:rsid w:val="00854361"/>
    <w:rsid w:val="0085444E"/>
    <w:rsid w:val="00854787"/>
    <w:rsid w:val="00854BEB"/>
    <w:rsid w:val="00854C89"/>
    <w:rsid w:val="00854D0B"/>
    <w:rsid w:val="00854D59"/>
    <w:rsid w:val="0085564B"/>
    <w:rsid w:val="0085769F"/>
    <w:rsid w:val="0086071D"/>
    <w:rsid w:val="0086082C"/>
    <w:rsid w:val="008616FF"/>
    <w:rsid w:val="008628E4"/>
    <w:rsid w:val="00864ADC"/>
    <w:rsid w:val="00865632"/>
    <w:rsid w:val="00866412"/>
    <w:rsid w:val="00866C2E"/>
    <w:rsid w:val="008739EC"/>
    <w:rsid w:val="00873BDF"/>
    <w:rsid w:val="00874B7C"/>
    <w:rsid w:val="008750CF"/>
    <w:rsid w:val="00875B38"/>
    <w:rsid w:val="00880153"/>
    <w:rsid w:val="008809C8"/>
    <w:rsid w:val="00880BE2"/>
    <w:rsid w:val="00880F97"/>
    <w:rsid w:val="0088133A"/>
    <w:rsid w:val="008814AE"/>
    <w:rsid w:val="008824D8"/>
    <w:rsid w:val="00883C46"/>
    <w:rsid w:val="00883DCD"/>
    <w:rsid w:val="00884CAF"/>
    <w:rsid w:val="00886E03"/>
    <w:rsid w:val="00886F69"/>
    <w:rsid w:val="0088702D"/>
    <w:rsid w:val="008872B0"/>
    <w:rsid w:val="0088780B"/>
    <w:rsid w:val="00890181"/>
    <w:rsid w:val="00890A63"/>
    <w:rsid w:val="00890BE8"/>
    <w:rsid w:val="008913BA"/>
    <w:rsid w:val="0089285E"/>
    <w:rsid w:val="00893327"/>
    <w:rsid w:val="00893D35"/>
    <w:rsid w:val="00893D85"/>
    <w:rsid w:val="0089436C"/>
    <w:rsid w:val="00894800"/>
    <w:rsid w:val="00894F4C"/>
    <w:rsid w:val="00896FF8"/>
    <w:rsid w:val="008A0548"/>
    <w:rsid w:val="008A2B45"/>
    <w:rsid w:val="008A443A"/>
    <w:rsid w:val="008A4B5E"/>
    <w:rsid w:val="008A4CA0"/>
    <w:rsid w:val="008A5B66"/>
    <w:rsid w:val="008A5C0D"/>
    <w:rsid w:val="008A6893"/>
    <w:rsid w:val="008A723D"/>
    <w:rsid w:val="008B2DB5"/>
    <w:rsid w:val="008B3827"/>
    <w:rsid w:val="008B38D9"/>
    <w:rsid w:val="008B556F"/>
    <w:rsid w:val="008B64D0"/>
    <w:rsid w:val="008B770A"/>
    <w:rsid w:val="008C0584"/>
    <w:rsid w:val="008C1389"/>
    <w:rsid w:val="008C1424"/>
    <w:rsid w:val="008C217F"/>
    <w:rsid w:val="008C2B23"/>
    <w:rsid w:val="008C34B7"/>
    <w:rsid w:val="008C5891"/>
    <w:rsid w:val="008C5A1F"/>
    <w:rsid w:val="008C6193"/>
    <w:rsid w:val="008C6DAB"/>
    <w:rsid w:val="008C7FAF"/>
    <w:rsid w:val="008D00F9"/>
    <w:rsid w:val="008D0105"/>
    <w:rsid w:val="008D0FBF"/>
    <w:rsid w:val="008D1391"/>
    <w:rsid w:val="008D1763"/>
    <w:rsid w:val="008D365C"/>
    <w:rsid w:val="008D4CF2"/>
    <w:rsid w:val="008D52A5"/>
    <w:rsid w:val="008D5551"/>
    <w:rsid w:val="008D5DF4"/>
    <w:rsid w:val="008D6172"/>
    <w:rsid w:val="008D7622"/>
    <w:rsid w:val="008E0B08"/>
    <w:rsid w:val="008E1F48"/>
    <w:rsid w:val="008E3387"/>
    <w:rsid w:val="008E3663"/>
    <w:rsid w:val="008E3A10"/>
    <w:rsid w:val="008E53C9"/>
    <w:rsid w:val="008E678F"/>
    <w:rsid w:val="008E68A7"/>
    <w:rsid w:val="008E7E51"/>
    <w:rsid w:val="008F15DE"/>
    <w:rsid w:val="008F3E09"/>
    <w:rsid w:val="008F64AA"/>
    <w:rsid w:val="008F6851"/>
    <w:rsid w:val="008F6A7D"/>
    <w:rsid w:val="008F7CDA"/>
    <w:rsid w:val="009002E0"/>
    <w:rsid w:val="00900AFD"/>
    <w:rsid w:val="00900D07"/>
    <w:rsid w:val="009015D8"/>
    <w:rsid w:val="00901BEF"/>
    <w:rsid w:val="00901CBD"/>
    <w:rsid w:val="009021A6"/>
    <w:rsid w:val="009022DC"/>
    <w:rsid w:val="009030BF"/>
    <w:rsid w:val="00903B52"/>
    <w:rsid w:val="00903D9C"/>
    <w:rsid w:val="00905688"/>
    <w:rsid w:val="00905992"/>
    <w:rsid w:val="00905B0F"/>
    <w:rsid w:val="0091032F"/>
    <w:rsid w:val="009110B5"/>
    <w:rsid w:val="00912011"/>
    <w:rsid w:val="00913973"/>
    <w:rsid w:val="00913B59"/>
    <w:rsid w:val="00914368"/>
    <w:rsid w:val="00914A38"/>
    <w:rsid w:val="009169E1"/>
    <w:rsid w:val="009172B5"/>
    <w:rsid w:val="00920465"/>
    <w:rsid w:val="00921008"/>
    <w:rsid w:val="00921BD4"/>
    <w:rsid w:val="00922B75"/>
    <w:rsid w:val="009233E1"/>
    <w:rsid w:val="009252B7"/>
    <w:rsid w:val="00925418"/>
    <w:rsid w:val="00926621"/>
    <w:rsid w:val="00930475"/>
    <w:rsid w:val="00930DD6"/>
    <w:rsid w:val="00931076"/>
    <w:rsid w:val="0093160E"/>
    <w:rsid w:val="00931EDB"/>
    <w:rsid w:val="00932492"/>
    <w:rsid w:val="0093272E"/>
    <w:rsid w:val="00932BF8"/>
    <w:rsid w:val="00933274"/>
    <w:rsid w:val="00933D44"/>
    <w:rsid w:val="009345D9"/>
    <w:rsid w:val="0093478D"/>
    <w:rsid w:val="00934B15"/>
    <w:rsid w:val="00934CA3"/>
    <w:rsid w:val="00936474"/>
    <w:rsid w:val="00937AC3"/>
    <w:rsid w:val="00940C87"/>
    <w:rsid w:val="009419EC"/>
    <w:rsid w:val="00941DBF"/>
    <w:rsid w:val="0094218B"/>
    <w:rsid w:val="00942B62"/>
    <w:rsid w:val="00944968"/>
    <w:rsid w:val="00946B11"/>
    <w:rsid w:val="00950507"/>
    <w:rsid w:val="00952F40"/>
    <w:rsid w:val="0095323B"/>
    <w:rsid w:val="00955261"/>
    <w:rsid w:val="00956046"/>
    <w:rsid w:val="0095610F"/>
    <w:rsid w:val="009563AD"/>
    <w:rsid w:val="00956A0C"/>
    <w:rsid w:val="00956BD9"/>
    <w:rsid w:val="00957007"/>
    <w:rsid w:val="009577F5"/>
    <w:rsid w:val="00960047"/>
    <w:rsid w:val="009620ED"/>
    <w:rsid w:val="00962489"/>
    <w:rsid w:val="00964029"/>
    <w:rsid w:val="009641EE"/>
    <w:rsid w:val="00964630"/>
    <w:rsid w:val="00965042"/>
    <w:rsid w:val="00965614"/>
    <w:rsid w:val="009658ED"/>
    <w:rsid w:val="00965C12"/>
    <w:rsid w:val="00965EFC"/>
    <w:rsid w:val="009661CC"/>
    <w:rsid w:val="00967399"/>
    <w:rsid w:val="00967CD3"/>
    <w:rsid w:val="00967E93"/>
    <w:rsid w:val="00970DE0"/>
    <w:rsid w:val="00972651"/>
    <w:rsid w:val="00973928"/>
    <w:rsid w:val="00973C44"/>
    <w:rsid w:val="00974A74"/>
    <w:rsid w:val="009758D9"/>
    <w:rsid w:val="00976808"/>
    <w:rsid w:val="00976B64"/>
    <w:rsid w:val="009776BB"/>
    <w:rsid w:val="009778A2"/>
    <w:rsid w:val="00980E0C"/>
    <w:rsid w:val="00981037"/>
    <w:rsid w:val="0098422D"/>
    <w:rsid w:val="00984389"/>
    <w:rsid w:val="00985276"/>
    <w:rsid w:val="00985443"/>
    <w:rsid w:val="009856C7"/>
    <w:rsid w:val="00985ABF"/>
    <w:rsid w:val="00986D7D"/>
    <w:rsid w:val="00986F2D"/>
    <w:rsid w:val="00986F8B"/>
    <w:rsid w:val="00986FAC"/>
    <w:rsid w:val="00987C4D"/>
    <w:rsid w:val="009909E4"/>
    <w:rsid w:val="00990C2C"/>
    <w:rsid w:val="00990D3A"/>
    <w:rsid w:val="009912E6"/>
    <w:rsid w:val="00991732"/>
    <w:rsid w:val="00994110"/>
    <w:rsid w:val="009941A1"/>
    <w:rsid w:val="009956E1"/>
    <w:rsid w:val="00996B41"/>
    <w:rsid w:val="00997ECA"/>
    <w:rsid w:val="009A09FD"/>
    <w:rsid w:val="009A0F18"/>
    <w:rsid w:val="009A1554"/>
    <w:rsid w:val="009A2183"/>
    <w:rsid w:val="009A3DE6"/>
    <w:rsid w:val="009A4845"/>
    <w:rsid w:val="009A5171"/>
    <w:rsid w:val="009A58DB"/>
    <w:rsid w:val="009A635E"/>
    <w:rsid w:val="009A7435"/>
    <w:rsid w:val="009A7702"/>
    <w:rsid w:val="009A7BE2"/>
    <w:rsid w:val="009A7CE5"/>
    <w:rsid w:val="009B0F42"/>
    <w:rsid w:val="009B0FD0"/>
    <w:rsid w:val="009B13E0"/>
    <w:rsid w:val="009B19DB"/>
    <w:rsid w:val="009B20A1"/>
    <w:rsid w:val="009B2F1B"/>
    <w:rsid w:val="009B358E"/>
    <w:rsid w:val="009B3753"/>
    <w:rsid w:val="009B5169"/>
    <w:rsid w:val="009B5AAD"/>
    <w:rsid w:val="009B5E55"/>
    <w:rsid w:val="009B6E75"/>
    <w:rsid w:val="009C19C2"/>
    <w:rsid w:val="009C1B52"/>
    <w:rsid w:val="009C1CDC"/>
    <w:rsid w:val="009C235A"/>
    <w:rsid w:val="009C35D7"/>
    <w:rsid w:val="009C4B0F"/>
    <w:rsid w:val="009C573D"/>
    <w:rsid w:val="009C669F"/>
    <w:rsid w:val="009C6A97"/>
    <w:rsid w:val="009C6C5D"/>
    <w:rsid w:val="009C724E"/>
    <w:rsid w:val="009D068A"/>
    <w:rsid w:val="009D24BE"/>
    <w:rsid w:val="009D2527"/>
    <w:rsid w:val="009D258C"/>
    <w:rsid w:val="009D375D"/>
    <w:rsid w:val="009D6BFF"/>
    <w:rsid w:val="009D6E7E"/>
    <w:rsid w:val="009D70E4"/>
    <w:rsid w:val="009D7DC4"/>
    <w:rsid w:val="009E0E74"/>
    <w:rsid w:val="009E0F83"/>
    <w:rsid w:val="009E1784"/>
    <w:rsid w:val="009E1844"/>
    <w:rsid w:val="009E21CB"/>
    <w:rsid w:val="009E24AC"/>
    <w:rsid w:val="009E3807"/>
    <w:rsid w:val="009E3C64"/>
    <w:rsid w:val="009E3F47"/>
    <w:rsid w:val="009E4895"/>
    <w:rsid w:val="009E5E0E"/>
    <w:rsid w:val="009E6F55"/>
    <w:rsid w:val="009E735B"/>
    <w:rsid w:val="009E7932"/>
    <w:rsid w:val="009E7C42"/>
    <w:rsid w:val="009F02EB"/>
    <w:rsid w:val="009F06B2"/>
    <w:rsid w:val="009F0D1B"/>
    <w:rsid w:val="009F299E"/>
    <w:rsid w:val="009F2F20"/>
    <w:rsid w:val="009F3DCE"/>
    <w:rsid w:val="009F4969"/>
    <w:rsid w:val="009F53BD"/>
    <w:rsid w:val="009F5BBD"/>
    <w:rsid w:val="009F5CF6"/>
    <w:rsid w:val="009F5E2A"/>
    <w:rsid w:val="009F696D"/>
    <w:rsid w:val="009F6BC6"/>
    <w:rsid w:val="009F7174"/>
    <w:rsid w:val="009F74EF"/>
    <w:rsid w:val="009F75DA"/>
    <w:rsid w:val="00A00D5C"/>
    <w:rsid w:val="00A01263"/>
    <w:rsid w:val="00A01B79"/>
    <w:rsid w:val="00A02771"/>
    <w:rsid w:val="00A02826"/>
    <w:rsid w:val="00A02F4E"/>
    <w:rsid w:val="00A03111"/>
    <w:rsid w:val="00A037CD"/>
    <w:rsid w:val="00A03BC7"/>
    <w:rsid w:val="00A047CD"/>
    <w:rsid w:val="00A04E1F"/>
    <w:rsid w:val="00A050EA"/>
    <w:rsid w:val="00A05123"/>
    <w:rsid w:val="00A0523E"/>
    <w:rsid w:val="00A10BF3"/>
    <w:rsid w:val="00A1237D"/>
    <w:rsid w:val="00A125CA"/>
    <w:rsid w:val="00A12E55"/>
    <w:rsid w:val="00A139FD"/>
    <w:rsid w:val="00A14A97"/>
    <w:rsid w:val="00A14CE3"/>
    <w:rsid w:val="00A15644"/>
    <w:rsid w:val="00A15D5A"/>
    <w:rsid w:val="00A17328"/>
    <w:rsid w:val="00A20CCF"/>
    <w:rsid w:val="00A22F5D"/>
    <w:rsid w:val="00A23A20"/>
    <w:rsid w:val="00A23AC2"/>
    <w:rsid w:val="00A24443"/>
    <w:rsid w:val="00A268B9"/>
    <w:rsid w:val="00A26E05"/>
    <w:rsid w:val="00A2703A"/>
    <w:rsid w:val="00A30EA0"/>
    <w:rsid w:val="00A310DD"/>
    <w:rsid w:val="00A31681"/>
    <w:rsid w:val="00A32012"/>
    <w:rsid w:val="00A327CE"/>
    <w:rsid w:val="00A32D21"/>
    <w:rsid w:val="00A33DFF"/>
    <w:rsid w:val="00A35115"/>
    <w:rsid w:val="00A36D9A"/>
    <w:rsid w:val="00A446EA"/>
    <w:rsid w:val="00A44A8A"/>
    <w:rsid w:val="00A451DC"/>
    <w:rsid w:val="00A45546"/>
    <w:rsid w:val="00A45E42"/>
    <w:rsid w:val="00A50121"/>
    <w:rsid w:val="00A50CCA"/>
    <w:rsid w:val="00A515E8"/>
    <w:rsid w:val="00A5188A"/>
    <w:rsid w:val="00A51B96"/>
    <w:rsid w:val="00A539D2"/>
    <w:rsid w:val="00A53AE1"/>
    <w:rsid w:val="00A543F2"/>
    <w:rsid w:val="00A554AB"/>
    <w:rsid w:val="00A56658"/>
    <w:rsid w:val="00A57062"/>
    <w:rsid w:val="00A57624"/>
    <w:rsid w:val="00A60210"/>
    <w:rsid w:val="00A60F8A"/>
    <w:rsid w:val="00A61A73"/>
    <w:rsid w:val="00A621B8"/>
    <w:rsid w:val="00A632DC"/>
    <w:rsid w:val="00A65505"/>
    <w:rsid w:val="00A67781"/>
    <w:rsid w:val="00A67A2B"/>
    <w:rsid w:val="00A67A87"/>
    <w:rsid w:val="00A70144"/>
    <w:rsid w:val="00A70564"/>
    <w:rsid w:val="00A723A9"/>
    <w:rsid w:val="00A74D89"/>
    <w:rsid w:val="00A74EC9"/>
    <w:rsid w:val="00A75038"/>
    <w:rsid w:val="00A7557C"/>
    <w:rsid w:val="00A75D0F"/>
    <w:rsid w:val="00A75E2B"/>
    <w:rsid w:val="00A760EC"/>
    <w:rsid w:val="00A760FC"/>
    <w:rsid w:val="00A761F9"/>
    <w:rsid w:val="00A764AF"/>
    <w:rsid w:val="00A77E9C"/>
    <w:rsid w:val="00A80879"/>
    <w:rsid w:val="00A82108"/>
    <w:rsid w:val="00A8223D"/>
    <w:rsid w:val="00A82AA0"/>
    <w:rsid w:val="00A82BE1"/>
    <w:rsid w:val="00A83D9E"/>
    <w:rsid w:val="00A87822"/>
    <w:rsid w:val="00A912E7"/>
    <w:rsid w:val="00A91CC7"/>
    <w:rsid w:val="00A92B53"/>
    <w:rsid w:val="00A92DC2"/>
    <w:rsid w:val="00A92E3E"/>
    <w:rsid w:val="00A93D0E"/>
    <w:rsid w:val="00A94352"/>
    <w:rsid w:val="00A94FA6"/>
    <w:rsid w:val="00A95167"/>
    <w:rsid w:val="00A95D44"/>
    <w:rsid w:val="00A971EB"/>
    <w:rsid w:val="00A97310"/>
    <w:rsid w:val="00AA0B68"/>
    <w:rsid w:val="00AA1675"/>
    <w:rsid w:val="00AA2749"/>
    <w:rsid w:val="00AA44F1"/>
    <w:rsid w:val="00AA49A0"/>
    <w:rsid w:val="00AA503E"/>
    <w:rsid w:val="00AA5DBB"/>
    <w:rsid w:val="00AA63B6"/>
    <w:rsid w:val="00AA6710"/>
    <w:rsid w:val="00AA688F"/>
    <w:rsid w:val="00AA70E7"/>
    <w:rsid w:val="00AA7A2B"/>
    <w:rsid w:val="00AB0681"/>
    <w:rsid w:val="00AB0EBE"/>
    <w:rsid w:val="00AB2C20"/>
    <w:rsid w:val="00AB3264"/>
    <w:rsid w:val="00AB4A72"/>
    <w:rsid w:val="00AB4B5C"/>
    <w:rsid w:val="00AB4E1E"/>
    <w:rsid w:val="00AB4F33"/>
    <w:rsid w:val="00AB5F53"/>
    <w:rsid w:val="00AB687B"/>
    <w:rsid w:val="00AC0262"/>
    <w:rsid w:val="00AC0BB5"/>
    <w:rsid w:val="00AC1584"/>
    <w:rsid w:val="00AC345E"/>
    <w:rsid w:val="00AC3A15"/>
    <w:rsid w:val="00AC3E12"/>
    <w:rsid w:val="00AC3EC8"/>
    <w:rsid w:val="00AC5468"/>
    <w:rsid w:val="00AC5C8C"/>
    <w:rsid w:val="00AC5DB4"/>
    <w:rsid w:val="00AC6B77"/>
    <w:rsid w:val="00AC7168"/>
    <w:rsid w:val="00AC771C"/>
    <w:rsid w:val="00AD0C99"/>
    <w:rsid w:val="00AD1EC7"/>
    <w:rsid w:val="00AD25F0"/>
    <w:rsid w:val="00AD27E4"/>
    <w:rsid w:val="00AD2CE1"/>
    <w:rsid w:val="00AD3C6B"/>
    <w:rsid w:val="00AD520B"/>
    <w:rsid w:val="00AD5996"/>
    <w:rsid w:val="00AD5F8D"/>
    <w:rsid w:val="00AE04AD"/>
    <w:rsid w:val="00AE069A"/>
    <w:rsid w:val="00AE1842"/>
    <w:rsid w:val="00AE3BCC"/>
    <w:rsid w:val="00AE3D65"/>
    <w:rsid w:val="00AE452C"/>
    <w:rsid w:val="00AE4782"/>
    <w:rsid w:val="00AE64B2"/>
    <w:rsid w:val="00AE6805"/>
    <w:rsid w:val="00AE6E7A"/>
    <w:rsid w:val="00AE7264"/>
    <w:rsid w:val="00AF02F3"/>
    <w:rsid w:val="00AF087A"/>
    <w:rsid w:val="00AF0BDD"/>
    <w:rsid w:val="00AF1CFC"/>
    <w:rsid w:val="00AF2116"/>
    <w:rsid w:val="00AF2371"/>
    <w:rsid w:val="00AF238D"/>
    <w:rsid w:val="00AF2909"/>
    <w:rsid w:val="00AF29F5"/>
    <w:rsid w:val="00AF2A80"/>
    <w:rsid w:val="00AF33FE"/>
    <w:rsid w:val="00AF5549"/>
    <w:rsid w:val="00AF592D"/>
    <w:rsid w:val="00AF597D"/>
    <w:rsid w:val="00AF5F87"/>
    <w:rsid w:val="00AF69A0"/>
    <w:rsid w:val="00AF724B"/>
    <w:rsid w:val="00B0501F"/>
    <w:rsid w:val="00B057FF"/>
    <w:rsid w:val="00B05B87"/>
    <w:rsid w:val="00B0699D"/>
    <w:rsid w:val="00B06A70"/>
    <w:rsid w:val="00B06A75"/>
    <w:rsid w:val="00B072D5"/>
    <w:rsid w:val="00B07641"/>
    <w:rsid w:val="00B07E0D"/>
    <w:rsid w:val="00B106F7"/>
    <w:rsid w:val="00B14996"/>
    <w:rsid w:val="00B14B8F"/>
    <w:rsid w:val="00B15B88"/>
    <w:rsid w:val="00B166C4"/>
    <w:rsid w:val="00B166F1"/>
    <w:rsid w:val="00B17658"/>
    <w:rsid w:val="00B17AEC"/>
    <w:rsid w:val="00B17DB9"/>
    <w:rsid w:val="00B20D0D"/>
    <w:rsid w:val="00B217C6"/>
    <w:rsid w:val="00B21DE3"/>
    <w:rsid w:val="00B22981"/>
    <w:rsid w:val="00B22F8C"/>
    <w:rsid w:val="00B231D0"/>
    <w:rsid w:val="00B25D0A"/>
    <w:rsid w:val="00B26444"/>
    <w:rsid w:val="00B26629"/>
    <w:rsid w:val="00B26F93"/>
    <w:rsid w:val="00B300D4"/>
    <w:rsid w:val="00B3044E"/>
    <w:rsid w:val="00B3104E"/>
    <w:rsid w:val="00B315E2"/>
    <w:rsid w:val="00B317D3"/>
    <w:rsid w:val="00B33801"/>
    <w:rsid w:val="00B33DF9"/>
    <w:rsid w:val="00B33E6E"/>
    <w:rsid w:val="00B34459"/>
    <w:rsid w:val="00B35DAA"/>
    <w:rsid w:val="00B36124"/>
    <w:rsid w:val="00B369D7"/>
    <w:rsid w:val="00B37212"/>
    <w:rsid w:val="00B4128E"/>
    <w:rsid w:val="00B425C3"/>
    <w:rsid w:val="00B42BDB"/>
    <w:rsid w:val="00B4390D"/>
    <w:rsid w:val="00B43CA9"/>
    <w:rsid w:val="00B440AD"/>
    <w:rsid w:val="00B4476B"/>
    <w:rsid w:val="00B45023"/>
    <w:rsid w:val="00B4582C"/>
    <w:rsid w:val="00B45E53"/>
    <w:rsid w:val="00B4640B"/>
    <w:rsid w:val="00B475A8"/>
    <w:rsid w:val="00B47812"/>
    <w:rsid w:val="00B479BB"/>
    <w:rsid w:val="00B51C5F"/>
    <w:rsid w:val="00B51DC1"/>
    <w:rsid w:val="00B52684"/>
    <w:rsid w:val="00B52854"/>
    <w:rsid w:val="00B53338"/>
    <w:rsid w:val="00B53409"/>
    <w:rsid w:val="00B53E7E"/>
    <w:rsid w:val="00B53F2A"/>
    <w:rsid w:val="00B53F92"/>
    <w:rsid w:val="00B54071"/>
    <w:rsid w:val="00B54B8B"/>
    <w:rsid w:val="00B5508D"/>
    <w:rsid w:val="00B55926"/>
    <w:rsid w:val="00B563F7"/>
    <w:rsid w:val="00B60D46"/>
    <w:rsid w:val="00B61E2E"/>
    <w:rsid w:val="00B6342E"/>
    <w:rsid w:val="00B64934"/>
    <w:rsid w:val="00B649A1"/>
    <w:rsid w:val="00B656FE"/>
    <w:rsid w:val="00B65854"/>
    <w:rsid w:val="00B65868"/>
    <w:rsid w:val="00B67F01"/>
    <w:rsid w:val="00B70888"/>
    <w:rsid w:val="00B7113F"/>
    <w:rsid w:val="00B715DE"/>
    <w:rsid w:val="00B725A0"/>
    <w:rsid w:val="00B7333F"/>
    <w:rsid w:val="00B745EF"/>
    <w:rsid w:val="00B76517"/>
    <w:rsid w:val="00B767ED"/>
    <w:rsid w:val="00B775F4"/>
    <w:rsid w:val="00B77774"/>
    <w:rsid w:val="00B77987"/>
    <w:rsid w:val="00B77F9A"/>
    <w:rsid w:val="00B800DD"/>
    <w:rsid w:val="00B80952"/>
    <w:rsid w:val="00B80A9D"/>
    <w:rsid w:val="00B8166A"/>
    <w:rsid w:val="00B8166D"/>
    <w:rsid w:val="00B8265C"/>
    <w:rsid w:val="00B82842"/>
    <w:rsid w:val="00B83942"/>
    <w:rsid w:val="00B842B5"/>
    <w:rsid w:val="00B845DC"/>
    <w:rsid w:val="00B87BCA"/>
    <w:rsid w:val="00B90B3F"/>
    <w:rsid w:val="00B90EA6"/>
    <w:rsid w:val="00B913E8"/>
    <w:rsid w:val="00B91466"/>
    <w:rsid w:val="00B92FCA"/>
    <w:rsid w:val="00B93AF5"/>
    <w:rsid w:val="00B942E4"/>
    <w:rsid w:val="00B94908"/>
    <w:rsid w:val="00B9500A"/>
    <w:rsid w:val="00B95FD6"/>
    <w:rsid w:val="00B96648"/>
    <w:rsid w:val="00B9667D"/>
    <w:rsid w:val="00B97003"/>
    <w:rsid w:val="00B97777"/>
    <w:rsid w:val="00B97E5C"/>
    <w:rsid w:val="00BA0A8A"/>
    <w:rsid w:val="00BA1C4D"/>
    <w:rsid w:val="00BA2587"/>
    <w:rsid w:val="00BA2BCF"/>
    <w:rsid w:val="00BA2FAA"/>
    <w:rsid w:val="00BA34C6"/>
    <w:rsid w:val="00BA4AE3"/>
    <w:rsid w:val="00BA4C00"/>
    <w:rsid w:val="00BA5B14"/>
    <w:rsid w:val="00BA65D6"/>
    <w:rsid w:val="00BA66A2"/>
    <w:rsid w:val="00BA73B6"/>
    <w:rsid w:val="00BA7E27"/>
    <w:rsid w:val="00BB1287"/>
    <w:rsid w:val="00BB1408"/>
    <w:rsid w:val="00BB1755"/>
    <w:rsid w:val="00BB2603"/>
    <w:rsid w:val="00BB273C"/>
    <w:rsid w:val="00BB2DE7"/>
    <w:rsid w:val="00BB2E7B"/>
    <w:rsid w:val="00BB3850"/>
    <w:rsid w:val="00BB3FD1"/>
    <w:rsid w:val="00BB41E5"/>
    <w:rsid w:val="00BB44A7"/>
    <w:rsid w:val="00BB4FCD"/>
    <w:rsid w:val="00BB5079"/>
    <w:rsid w:val="00BB6818"/>
    <w:rsid w:val="00BB6CF3"/>
    <w:rsid w:val="00BC04E9"/>
    <w:rsid w:val="00BC1BB8"/>
    <w:rsid w:val="00BC2DCD"/>
    <w:rsid w:val="00BC3579"/>
    <w:rsid w:val="00BC45E2"/>
    <w:rsid w:val="00BC4617"/>
    <w:rsid w:val="00BC4C53"/>
    <w:rsid w:val="00BC6CAF"/>
    <w:rsid w:val="00BC785C"/>
    <w:rsid w:val="00BD0917"/>
    <w:rsid w:val="00BD13EA"/>
    <w:rsid w:val="00BD2B7D"/>
    <w:rsid w:val="00BD3217"/>
    <w:rsid w:val="00BD36E6"/>
    <w:rsid w:val="00BD3C58"/>
    <w:rsid w:val="00BD456B"/>
    <w:rsid w:val="00BD65A9"/>
    <w:rsid w:val="00BD7D51"/>
    <w:rsid w:val="00BE08CB"/>
    <w:rsid w:val="00BE1EF8"/>
    <w:rsid w:val="00BE2084"/>
    <w:rsid w:val="00BE2996"/>
    <w:rsid w:val="00BE2A76"/>
    <w:rsid w:val="00BE2EEB"/>
    <w:rsid w:val="00BE36D1"/>
    <w:rsid w:val="00BE3808"/>
    <w:rsid w:val="00BE3974"/>
    <w:rsid w:val="00BE426B"/>
    <w:rsid w:val="00BE454D"/>
    <w:rsid w:val="00BE67C0"/>
    <w:rsid w:val="00BF08C9"/>
    <w:rsid w:val="00BF0B5D"/>
    <w:rsid w:val="00BF16A9"/>
    <w:rsid w:val="00BF188D"/>
    <w:rsid w:val="00BF24D5"/>
    <w:rsid w:val="00BF4F37"/>
    <w:rsid w:val="00BF5A3C"/>
    <w:rsid w:val="00BF7A71"/>
    <w:rsid w:val="00C002C6"/>
    <w:rsid w:val="00C00524"/>
    <w:rsid w:val="00C00C64"/>
    <w:rsid w:val="00C01DB1"/>
    <w:rsid w:val="00C01EC5"/>
    <w:rsid w:val="00C025D1"/>
    <w:rsid w:val="00C02E8B"/>
    <w:rsid w:val="00C03B88"/>
    <w:rsid w:val="00C061C9"/>
    <w:rsid w:val="00C062E9"/>
    <w:rsid w:val="00C07B64"/>
    <w:rsid w:val="00C07ED2"/>
    <w:rsid w:val="00C103E8"/>
    <w:rsid w:val="00C10504"/>
    <w:rsid w:val="00C10C79"/>
    <w:rsid w:val="00C13721"/>
    <w:rsid w:val="00C13F51"/>
    <w:rsid w:val="00C14601"/>
    <w:rsid w:val="00C14B89"/>
    <w:rsid w:val="00C14FE4"/>
    <w:rsid w:val="00C15647"/>
    <w:rsid w:val="00C15B58"/>
    <w:rsid w:val="00C15C83"/>
    <w:rsid w:val="00C161F1"/>
    <w:rsid w:val="00C21A6F"/>
    <w:rsid w:val="00C224E2"/>
    <w:rsid w:val="00C22E69"/>
    <w:rsid w:val="00C23F9A"/>
    <w:rsid w:val="00C263BB"/>
    <w:rsid w:val="00C26564"/>
    <w:rsid w:val="00C266A5"/>
    <w:rsid w:val="00C2672E"/>
    <w:rsid w:val="00C27F98"/>
    <w:rsid w:val="00C3066D"/>
    <w:rsid w:val="00C314AC"/>
    <w:rsid w:val="00C338CF"/>
    <w:rsid w:val="00C34A21"/>
    <w:rsid w:val="00C3516B"/>
    <w:rsid w:val="00C35D30"/>
    <w:rsid w:val="00C36363"/>
    <w:rsid w:val="00C36720"/>
    <w:rsid w:val="00C3748C"/>
    <w:rsid w:val="00C40717"/>
    <w:rsid w:val="00C40FE3"/>
    <w:rsid w:val="00C42113"/>
    <w:rsid w:val="00C423DD"/>
    <w:rsid w:val="00C43088"/>
    <w:rsid w:val="00C43531"/>
    <w:rsid w:val="00C43D78"/>
    <w:rsid w:val="00C44C0B"/>
    <w:rsid w:val="00C46595"/>
    <w:rsid w:val="00C46D93"/>
    <w:rsid w:val="00C4780B"/>
    <w:rsid w:val="00C47B82"/>
    <w:rsid w:val="00C47C86"/>
    <w:rsid w:val="00C50015"/>
    <w:rsid w:val="00C5052B"/>
    <w:rsid w:val="00C50A48"/>
    <w:rsid w:val="00C51249"/>
    <w:rsid w:val="00C51A6F"/>
    <w:rsid w:val="00C52416"/>
    <w:rsid w:val="00C535DC"/>
    <w:rsid w:val="00C543F4"/>
    <w:rsid w:val="00C55A86"/>
    <w:rsid w:val="00C55C18"/>
    <w:rsid w:val="00C55FBA"/>
    <w:rsid w:val="00C5661A"/>
    <w:rsid w:val="00C573C0"/>
    <w:rsid w:val="00C57D2E"/>
    <w:rsid w:val="00C57E03"/>
    <w:rsid w:val="00C6061D"/>
    <w:rsid w:val="00C6291C"/>
    <w:rsid w:val="00C633CB"/>
    <w:rsid w:val="00C6388F"/>
    <w:rsid w:val="00C65883"/>
    <w:rsid w:val="00C66462"/>
    <w:rsid w:val="00C664CD"/>
    <w:rsid w:val="00C671C2"/>
    <w:rsid w:val="00C67DEC"/>
    <w:rsid w:val="00C709B1"/>
    <w:rsid w:val="00C7117F"/>
    <w:rsid w:val="00C7126A"/>
    <w:rsid w:val="00C71B5F"/>
    <w:rsid w:val="00C7246C"/>
    <w:rsid w:val="00C72500"/>
    <w:rsid w:val="00C72F97"/>
    <w:rsid w:val="00C7365F"/>
    <w:rsid w:val="00C736B7"/>
    <w:rsid w:val="00C741A1"/>
    <w:rsid w:val="00C74229"/>
    <w:rsid w:val="00C7531D"/>
    <w:rsid w:val="00C761AF"/>
    <w:rsid w:val="00C775CB"/>
    <w:rsid w:val="00C801F9"/>
    <w:rsid w:val="00C81D3F"/>
    <w:rsid w:val="00C81D4A"/>
    <w:rsid w:val="00C83949"/>
    <w:rsid w:val="00C83AB7"/>
    <w:rsid w:val="00C85064"/>
    <w:rsid w:val="00C8535A"/>
    <w:rsid w:val="00C86C01"/>
    <w:rsid w:val="00C8762C"/>
    <w:rsid w:val="00C9073F"/>
    <w:rsid w:val="00C90C62"/>
    <w:rsid w:val="00C91462"/>
    <w:rsid w:val="00C91D2E"/>
    <w:rsid w:val="00C930D0"/>
    <w:rsid w:val="00C96847"/>
    <w:rsid w:val="00C97210"/>
    <w:rsid w:val="00C972CB"/>
    <w:rsid w:val="00C97BD0"/>
    <w:rsid w:val="00CA00F9"/>
    <w:rsid w:val="00CA137F"/>
    <w:rsid w:val="00CA1959"/>
    <w:rsid w:val="00CA215A"/>
    <w:rsid w:val="00CA2957"/>
    <w:rsid w:val="00CA2961"/>
    <w:rsid w:val="00CA30B9"/>
    <w:rsid w:val="00CA33B6"/>
    <w:rsid w:val="00CA394E"/>
    <w:rsid w:val="00CA39B7"/>
    <w:rsid w:val="00CA5937"/>
    <w:rsid w:val="00CB0E94"/>
    <w:rsid w:val="00CB110C"/>
    <w:rsid w:val="00CB2FB3"/>
    <w:rsid w:val="00CB44B0"/>
    <w:rsid w:val="00CB4B1E"/>
    <w:rsid w:val="00CB50D7"/>
    <w:rsid w:val="00CB6336"/>
    <w:rsid w:val="00CB70A4"/>
    <w:rsid w:val="00CB7177"/>
    <w:rsid w:val="00CB778B"/>
    <w:rsid w:val="00CB7CED"/>
    <w:rsid w:val="00CC070F"/>
    <w:rsid w:val="00CC0C79"/>
    <w:rsid w:val="00CC0EAB"/>
    <w:rsid w:val="00CC113A"/>
    <w:rsid w:val="00CC1543"/>
    <w:rsid w:val="00CC1977"/>
    <w:rsid w:val="00CC1998"/>
    <w:rsid w:val="00CC20F0"/>
    <w:rsid w:val="00CC2563"/>
    <w:rsid w:val="00CC3A65"/>
    <w:rsid w:val="00CC3D2A"/>
    <w:rsid w:val="00CC4946"/>
    <w:rsid w:val="00CC5725"/>
    <w:rsid w:val="00CC59A8"/>
    <w:rsid w:val="00CC64A1"/>
    <w:rsid w:val="00CC6E40"/>
    <w:rsid w:val="00CC7E48"/>
    <w:rsid w:val="00CD0167"/>
    <w:rsid w:val="00CD0CB7"/>
    <w:rsid w:val="00CD0D8F"/>
    <w:rsid w:val="00CD26C8"/>
    <w:rsid w:val="00CD42EC"/>
    <w:rsid w:val="00CD4BCE"/>
    <w:rsid w:val="00CD59F7"/>
    <w:rsid w:val="00CD6DF1"/>
    <w:rsid w:val="00CE17FE"/>
    <w:rsid w:val="00CE249C"/>
    <w:rsid w:val="00CE2BD0"/>
    <w:rsid w:val="00CE4390"/>
    <w:rsid w:val="00CE4807"/>
    <w:rsid w:val="00CE4A10"/>
    <w:rsid w:val="00CE5C3D"/>
    <w:rsid w:val="00CF222A"/>
    <w:rsid w:val="00CF25C6"/>
    <w:rsid w:val="00CF2A59"/>
    <w:rsid w:val="00CF3361"/>
    <w:rsid w:val="00CF3B11"/>
    <w:rsid w:val="00CF4893"/>
    <w:rsid w:val="00CF4FEC"/>
    <w:rsid w:val="00CF58C4"/>
    <w:rsid w:val="00CF73DD"/>
    <w:rsid w:val="00D01269"/>
    <w:rsid w:val="00D01F31"/>
    <w:rsid w:val="00D024D0"/>
    <w:rsid w:val="00D05477"/>
    <w:rsid w:val="00D05F07"/>
    <w:rsid w:val="00D10F23"/>
    <w:rsid w:val="00D114BD"/>
    <w:rsid w:val="00D12F34"/>
    <w:rsid w:val="00D13260"/>
    <w:rsid w:val="00D13E44"/>
    <w:rsid w:val="00D1414B"/>
    <w:rsid w:val="00D14769"/>
    <w:rsid w:val="00D15854"/>
    <w:rsid w:val="00D15A39"/>
    <w:rsid w:val="00D17464"/>
    <w:rsid w:val="00D2317B"/>
    <w:rsid w:val="00D23B4A"/>
    <w:rsid w:val="00D2406C"/>
    <w:rsid w:val="00D2552E"/>
    <w:rsid w:val="00D261A2"/>
    <w:rsid w:val="00D26588"/>
    <w:rsid w:val="00D270A4"/>
    <w:rsid w:val="00D27696"/>
    <w:rsid w:val="00D27EEA"/>
    <w:rsid w:val="00D27FBA"/>
    <w:rsid w:val="00D3043E"/>
    <w:rsid w:val="00D30951"/>
    <w:rsid w:val="00D30C4A"/>
    <w:rsid w:val="00D31FE9"/>
    <w:rsid w:val="00D32B68"/>
    <w:rsid w:val="00D32C15"/>
    <w:rsid w:val="00D3339E"/>
    <w:rsid w:val="00D33A06"/>
    <w:rsid w:val="00D33B73"/>
    <w:rsid w:val="00D341EE"/>
    <w:rsid w:val="00D34D78"/>
    <w:rsid w:val="00D34E1B"/>
    <w:rsid w:val="00D361CD"/>
    <w:rsid w:val="00D376BA"/>
    <w:rsid w:val="00D37E45"/>
    <w:rsid w:val="00D4070B"/>
    <w:rsid w:val="00D40E9F"/>
    <w:rsid w:val="00D42ABE"/>
    <w:rsid w:val="00D42DD4"/>
    <w:rsid w:val="00D43421"/>
    <w:rsid w:val="00D434A0"/>
    <w:rsid w:val="00D43557"/>
    <w:rsid w:val="00D43C02"/>
    <w:rsid w:val="00D44386"/>
    <w:rsid w:val="00D45634"/>
    <w:rsid w:val="00D45D58"/>
    <w:rsid w:val="00D46234"/>
    <w:rsid w:val="00D46E8A"/>
    <w:rsid w:val="00D46F87"/>
    <w:rsid w:val="00D471DB"/>
    <w:rsid w:val="00D51C10"/>
    <w:rsid w:val="00D51F89"/>
    <w:rsid w:val="00D52E00"/>
    <w:rsid w:val="00D53A06"/>
    <w:rsid w:val="00D53A8D"/>
    <w:rsid w:val="00D55417"/>
    <w:rsid w:val="00D5568A"/>
    <w:rsid w:val="00D55F60"/>
    <w:rsid w:val="00D56162"/>
    <w:rsid w:val="00D5758F"/>
    <w:rsid w:val="00D57A31"/>
    <w:rsid w:val="00D607D1"/>
    <w:rsid w:val="00D612E5"/>
    <w:rsid w:val="00D619E9"/>
    <w:rsid w:val="00D61AA1"/>
    <w:rsid w:val="00D61CAE"/>
    <w:rsid w:val="00D62950"/>
    <w:rsid w:val="00D62D0A"/>
    <w:rsid w:val="00D632DE"/>
    <w:rsid w:val="00D63353"/>
    <w:rsid w:val="00D6356E"/>
    <w:rsid w:val="00D63D73"/>
    <w:rsid w:val="00D64452"/>
    <w:rsid w:val="00D656AB"/>
    <w:rsid w:val="00D6593E"/>
    <w:rsid w:val="00D65C7F"/>
    <w:rsid w:val="00D66CF4"/>
    <w:rsid w:val="00D66E1E"/>
    <w:rsid w:val="00D705B9"/>
    <w:rsid w:val="00D70696"/>
    <w:rsid w:val="00D70B5B"/>
    <w:rsid w:val="00D70DFA"/>
    <w:rsid w:val="00D715CB"/>
    <w:rsid w:val="00D733F9"/>
    <w:rsid w:val="00D73CF1"/>
    <w:rsid w:val="00D73D29"/>
    <w:rsid w:val="00D7449E"/>
    <w:rsid w:val="00D7452A"/>
    <w:rsid w:val="00D75722"/>
    <w:rsid w:val="00D75BC0"/>
    <w:rsid w:val="00D7704B"/>
    <w:rsid w:val="00D80CF5"/>
    <w:rsid w:val="00D81670"/>
    <w:rsid w:val="00D8356C"/>
    <w:rsid w:val="00D8372E"/>
    <w:rsid w:val="00D83B88"/>
    <w:rsid w:val="00D8545D"/>
    <w:rsid w:val="00D8689F"/>
    <w:rsid w:val="00D87340"/>
    <w:rsid w:val="00D87FD2"/>
    <w:rsid w:val="00D906A6"/>
    <w:rsid w:val="00D91DB5"/>
    <w:rsid w:val="00D91F49"/>
    <w:rsid w:val="00D92545"/>
    <w:rsid w:val="00D92D0B"/>
    <w:rsid w:val="00D95172"/>
    <w:rsid w:val="00D9676A"/>
    <w:rsid w:val="00D97410"/>
    <w:rsid w:val="00DA0372"/>
    <w:rsid w:val="00DA0B1A"/>
    <w:rsid w:val="00DA0C23"/>
    <w:rsid w:val="00DA1928"/>
    <w:rsid w:val="00DA19CD"/>
    <w:rsid w:val="00DA2978"/>
    <w:rsid w:val="00DA51B9"/>
    <w:rsid w:val="00DA5B73"/>
    <w:rsid w:val="00DA5BBA"/>
    <w:rsid w:val="00DA6EDF"/>
    <w:rsid w:val="00DA70B9"/>
    <w:rsid w:val="00DA78F6"/>
    <w:rsid w:val="00DB1327"/>
    <w:rsid w:val="00DB13EF"/>
    <w:rsid w:val="00DB1AC1"/>
    <w:rsid w:val="00DB1B9C"/>
    <w:rsid w:val="00DB1C89"/>
    <w:rsid w:val="00DB26D2"/>
    <w:rsid w:val="00DB361C"/>
    <w:rsid w:val="00DB396E"/>
    <w:rsid w:val="00DB4CD0"/>
    <w:rsid w:val="00DB5742"/>
    <w:rsid w:val="00DB67C9"/>
    <w:rsid w:val="00DB67EE"/>
    <w:rsid w:val="00DB6B9A"/>
    <w:rsid w:val="00DB7DB7"/>
    <w:rsid w:val="00DC0674"/>
    <w:rsid w:val="00DC0C95"/>
    <w:rsid w:val="00DC2228"/>
    <w:rsid w:val="00DC2E87"/>
    <w:rsid w:val="00DC3DDE"/>
    <w:rsid w:val="00DC4B22"/>
    <w:rsid w:val="00DC4F0B"/>
    <w:rsid w:val="00DC6AD2"/>
    <w:rsid w:val="00DC6C97"/>
    <w:rsid w:val="00DC6F25"/>
    <w:rsid w:val="00DC74C4"/>
    <w:rsid w:val="00DD0E03"/>
    <w:rsid w:val="00DD0F5D"/>
    <w:rsid w:val="00DD1032"/>
    <w:rsid w:val="00DD18CE"/>
    <w:rsid w:val="00DD24A1"/>
    <w:rsid w:val="00DD273A"/>
    <w:rsid w:val="00DD27E6"/>
    <w:rsid w:val="00DD44D1"/>
    <w:rsid w:val="00DD49DD"/>
    <w:rsid w:val="00DD512E"/>
    <w:rsid w:val="00DD5304"/>
    <w:rsid w:val="00DD5457"/>
    <w:rsid w:val="00DD6580"/>
    <w:rsid w:val="00DD7D03"/>
    <w:rsid w:val="00DE01C7"/>
    <w:rsid w:val="00DE0A34"/>
    <w:rsid w:val="00DE130A"/>
    <w:rsid w:val="00DE1A83"/>
    <w:rsid w:val="00DE1E52"/>
    <w:rsid w:val="00DE3441"/>
    <w:rsid w:val="00DE4BF5"/>
    <w:rsid w:val="00DE4FE6"/>
    <w:rsid w:val="00DE5600"/>
    <w:rsid w:val="00DE6B3A"/>
    <w:rsid w:val="00DE75EE"/>
    <w:rsid w:val="00DF03AF"/>
    <w:rsid w:val="00DF08F9"/>
    <w:rsid w:val="00DF0C72"/>
    <w:rsid w:val="00DF1D9A"/>
    <w:rsid w:val="00DF3312"/>
    <w:rsid w:val="00DF5639"/>
    <w:rsid w:val="00DF74AB"/>
    <w:rsid w:val="00E003A1"/>
    <w:rsid w:val="00E01D7F"/>
    <w:rsid w:val="00E01F72"/>
    <w:rsid w:val="00E026AB"/>
    <w:rsid w:val="00E037EC"/>
    <w:rsid w:val="00E05C03"/>
    <w:rsid w:val="00E062D2"/>
    <w:rsid w:val="00E064BE"/>
    <w:rsid w:val="00E06764"/>
    <w:rsid w:val="00E124E8"/>
    <w:rsid w:val="00E12D0E"/>
    <w:rsid w:val="00E12D87"/>
    <w:rsid w:val="00E13C8F"/>
    <w:rsid w:val="00E143B9"/>
    <w:rsid w:val="00E15497"/>
    <w:rsid w:val="00E166CE"/>
    <w:rsid w:val="00E16D13"/>
    <w:rsid w:val="00E17337"/>
    <w:rsid w:val="00E17C72"/>
    <w:rsid w:val="00E17CDF"/>
    <w:rsid w:val="00E20771"/>
    <w:rsid w:val="00E215ED"/>
    <w:rsid w:val="00E21FC6"/>
    <w:rsid w:val="00E22A86"/>
    <w:rsid w:val="00E22F86"/>
    <w:rsid w:val="00E24291"/>
    <w:rsid w:val="00E24E8E"/>
    <w:rsid w:val="00E25310"/>
    <w:rsid w:val="00E26119"/>
    <w:rsid w:val="00E26310"/>
    <w:rsid w:val="00E27719"/>
    <w:rsid w:val="00E30621"/>
    <w:rsid w:val="00E307FA"/>
    <w:rsid w:val="00E31024"/>
    <w:rsid w:val="00E31C07"/>
    <w:rsid w:val="00E324EE"/>
    <w:rsid w:val="00E3262A"/>
    <w:rsid w:val="00E32A34"/>
    <w:rsid w:val="00E3346E"/>
    <w:rsid w:val="00E34152"/>
    <w:rsid w:val="00E34568"/>
    <w:rsid w:val="00E348A9"/>
    <w:rsid w:val="00E364F5"/>
    <w:rsid w:val="00E369DB"/>
    <w:rsid w:val="00E36FBE"/>
    <w:rsid w:val="00E374F3"/>
    <w:rsid w:val="00E3788A"/>
    <w:rsid w:val="00E379ED"/>
    <w:rsid w:val="00E37FA0"/>
    <w:rsid w:val="00E40745"/>
    <w:rsid w:val="00E40C73"/>
    <w:rsid w:val="00E431A9"/>
    <w:rsid w:val="00E43204"/>
    <w:rsid w:val="00E4466E"/>
    <w:rsid w:val="00E4472A"/>
    <w:rsid w:val="00E4769E"/>
    <w:rsid w:val="00E50A45"/>
    <w:rsid w:val="00E521B2"/>
    <w:rsid w:val="00E5499F"/>
    <w:rsid w:val="00E55063"/>
    <w:rsid w:val="00E568B3"/>
    <w:rsid w:val="00E577C2"/>
    <w:rsid w:val="00E57A3E"/>
    <w:rsid w:val="00E60110"/>
    <w:rsid w:val="00E61A26"/>
    <w:rsid w:val="00E65FF1"/>
    <w:rsid w:val="00E6613D"/>
    <w:rsid w:val="00E6650A"/>
    <w:rsid w:val="00E669E2"/>
    <w:rsid w:val="00E71588"/>
    <w:rsid w:val="00E71E0A"/>
    <w:rsid w:val="00E71FA0"/>
    <w:rsid w:val="00E7295B"/>
    <w:rsid w:val="00E759E4"/>
    <w:rsid w:val="00E75CC8"/>
    <w:rsid w:val="00E75DC6"/>
    <w:rsid w:val="00E76135"/>
    <w:rsid w:val="00E803B1"/>
    <w:rsid w:val="00E805CA"/>
    <w:rsid w:val="00E80F0E"/>
    <w:rsid w:val="00E80FEC"/>
    <w:rsid w:val="00E812E8"/>
    <w:rsid w:val="00E826E4"/>
    <w:rsid w:val="00E82F4F"/>
    <w:rsid w:val="00E84962"/>
    <w:rsid w:val="00E84B3C"/>
    <w:rsid w:val="00E850A4"/>
    <w:rsid w:val="00E864DF"/>
    <w:rsid w:val="00E8787A"/>
    <w:rsid w:val="00E911EE"/>
    <w:rsid w:val="00E95571"/>
    <w:rsid w:val="00E96BB3"/>
    <w:rsid w:val="00E96FC3"/>
    <w:rsid w:val="00E97037"/>
    <w:rsid w:val="00EA0108"/>
    <w:rsid w:val="00EA024E"/>
    <w:rsid w:val="00EA044F"/>
    <w:rsid w:val="00EA0CCF"/>
    <w:rsid w:val="00EA1CA5"/>
    <w:rsid w:val="00EA1E12"/>
    <w:rsid w:val="00EA2FDC"/>
    <w:rsid w:val="00EA3899"/>
    <w:rsid w:val="00EA3FC2"/>
    <w:rsid w:val="00EA4A31"/>
    <w:rsid w:val="00EA4D05"/>
    <w:rsid w:val="00EA53F2"/>
    <w:rsid w:val="00EA78FE"/>
    <w:rsid w:val="00EB0968"/>
    <w:rsid w:val="00EB2198"/>
    <w:rsid w:val="00EB2CC3"/>
    <w:rsid w:val="00EB37F2"/>
    <w:rsid w:val="00EB515D"/>
    <w:rsid w:val="00EB6DA4"/>
    <w:rsid w:val="00EB7DA2"/>
    <w:rsid w:val="00EC0464"/>
    <w:rsid w:val="00EC0B71"/>
    <w:rsid w:val="00EC11D9"/>
    <w:rsid w:val="00EC2844"/>
    <w:rsid w:val="00EC4DA6"/>
    <w:rsid w:val="00EC500D"/>
    <w:rsid w:val="00EC5500"/>
    <w:rsid w:val="00ED0590"/>
    <w:rsid w:val="00ED13E4"/>
    <w:rsid w:val="00ED18F8"/>
    <w:rsid w:val="00ED2D93"/>
    <w:rsid w:val="00ED48A7"/>
    <w:rsid w:val="00ED4AFD"/>
    <w:rsid w:val="00ED4DB0"/>
    <w:rsid w:val="00ED4F2A"/>
    <w:rsid w:val="00ED4FFD"/>
    <w:rsid w:val="00ED5D3B"/>
    <w:rsid w:val="00ED64F6"/>
    <w:rsid w:val="00EE097E"/>
    <w:rsid w:val="00EE12ED"/>
    <w:rsid w:val="00EE204C"/>
    <w:rsid w:val="00EE2D3D"/>
    <w:rsid w:val="00EE4975"/>
    <w:rsid w:val="00EE5696"/>
    <w:rsid w:val="00EE5E6B"/>
    <w:rsid w:val="00EE6EDA"/>
    <w:rsid w:val="00EE714B"/>
    <w:rsid w:val="00EE7374"/>
    <w:rsid w:val="00EE74CD"/>
    <w:rsid w:val="00EE778E"/>
    <w:rsid w:val="00EF0E48"/>
    <w:rsid w:val="00EF1405"/>
    <w:rsid w:val="00EF14C7"/>
    <w:rsid w:val="00EF2443"/>
    <w:rsid w:val="00EF273E"/>
    <w:rsid w:val="00EF2FAB"/>
    <w:rsid w:val="00EF3080"/>
    <w:rsid w:val="00EF4FF1"/>
    <w:rsid w:val="00EF540B"/>
    <w:rsid w:val="00EF58F8"/>
    <w:rsid w:val="00EF5EA3"/>
    <w:rsid w:val="00EF64D7"/>
    <w:rsid w:val="00EF6719"/>
    <w:rsid w:val="00EF6C6C"/>
    <w:rsid w:val="00EF6EC3"/>
    <w:rsid w:val="00EF7039"/>
    <w:rsid w:val="00EF79D8"/>
    <w:rsid w:val="00F001D4"/>
    <w:rsid w:val="00F01752"/>
    <w:rsid w:val="00F02279"/>
    <w:rsid w:val="00F03949"/>
    <w:rsid w:val="00F039A1"/>
    <w:rsid w:val="00F056FC"/>
    <w:rsid w:val="00F0632F"/>
    <w:rsid w:val="00F069AE"/>
    <w:rsid w:val="00F06C1A"/>
    <w:rsid w:val="00F07F05"/>
    <w:rsid w:val="00F10476"/>
    <w:rsid w:val="00F11057"/>
    <w:rsid w:val="00F11485"/>
    <w:rsid w:val="00F122CE"/>
    <w:rsid w:val="00F126DF"/>
    <w:rsid w:val="00F13571"/>
    <w:rsid w:val="00F135D8"/>
    <w:rsid w:val="00F13DD8"/>
    <w:rsid w:val="00F1462D"/>
    <w:rsid w:val="00F151E6"/>
    <w:rsid w:val="00F1541E"/>
    <w:rsid w:val="00F15916"/>
    <w:rsid w:val="00F167BD"/>
    <w:rsid w:val="00F174F0"/>
    <w:rsid w:val="00F179DE"/>
    <w:rsid w:val="00F17E97"/>
    <w:rsid w:val="00F20AA0"/>
    <w:rsid w:val="00F225D5"/>
    <w:rsid w:val="00F2276B"/>
    <w:rsid w:val="00F23104"/>
    <w:rsid w:val="00F23981"/>
    <w:rsid w:val="00F256D0"/>
    <w:rsid w:val="00F2619E"/>
    <w:rsid w:val="00F26594"/>
    <w:rsid w:val="00F26DC9"/>
    <w:rsid w:val="00F27383"/>
    <w:rsid w:val="00F3060E"/>
    <w:rsid w:val="00F311EE"/>
    <w:rsid w:val="00F31299"/>
    <w:rsid w:val="00F330B3"/>
    <w:rsid w:val="00F34B68"/>
    <w:rsid w:val="00F3534A"/>
    <w:rsid w:val="00F355D7"/>
    <w:rsid w:val="00F35BFB"/>
    <w:rsid w:val="00F36ACC"/>
    <w:rsid w:val="00F37359"/>
    <w:rsid w:val="00F405C7"/>
    <w:rsid w:val="00F407ED"/>
    <w:rsid w:val="00F40C31"/>
    <w:rsid w:val="00F4116C"/>
    <w:rsid w:val="00F41F60"/>
    <w:rsid w:val="00F423D4"/>
    <w:rsid w:val="00F44500"/>
    <w:rsid w:val="00F44C62"/>
    <w:rsid w:val="00F45448"/>
    <w:rsid w:val="00F45638"/>
    <w:rsid w:val="00F46018"/>
    <w:rsid w:val="00F4725E"/>
    <w:rsid w:val="00F51014"/>
    <w:rsid w:val="00F51609"/>
    <w:rsid w:val="00F52EFF"/>
    <w:rsid w:val="00F53492"/>
    <w:rsid w:val="00F54283"/>
    <w:rsid w:val="00F54A65"/>
    <w:rsid w:val="00F551F8"/>
    <w:rsid w:val="00F55739"/>
    <w:rsid w:val="00F559F0"/>
    <w:rsid w:val="00F55C25"/>
    <w:rsid w:val="00F57180"/>
    <w:rsid w:val="00F57858"/>
    <w:rsid w:val="00F60314"/>
    <w:rsid w:val="00F606A7"/>
    <w:rsid w:val="00F6089E"/>
    <w:rsid w:val="00F61350"/>
    <w:rsid w:val="00F6339E"/>
    <w:rsid w:val="00F6344A"/>
    <w:rsid w:val="00F636AC"/>
    <w:rsid w:val="00F64820"/>
    <w:rsid w:val="00F6587E"/>
    <w:rsid w:val="00F66BDF"/>
    <w:rsid w:val="00F708CD"/>
    <w:rsid w:val="00F70924"/>
    <w:rsid w:val="00F713BE"/>
    <w:rsid w:val="00F7290B"/>
    <w:rsid w:val="00F73727"/>
    <w:rsid w:val="00F7387B"/>
    <w:rsid w:val="00F74B71"/>
    <w:rsid w:val="00F753FA"/>
    <w:rsid w:val="00F75D05"/>
    <w:rsid w:val="00F76025"/>
    <w:rsid w:val="00F766A7"/>
    <w:rsid w:val="00F77EDA"/>
    <w:rsid w:val="00F8056C"/>
    <w:rsid w:val="00F80A48"/>
    <w:rsid w:val="00F81006"/>
    <w:rsid w:val="00F829B5"/>
    <w:rsid w:val="00F82FDA"/>
    <w:rsid w:val="00F84EB7"/>
    <w:rsid w:val="00F8522C"/>
    <w:rsid w:val="00F85325"/>
    <w:rsid w:val="00F862E5"/>
    <w:rsid w:val="00F870F2"/>
    <w:rsid w:val="00F879A7"/>
    <w:rsid w:val="00F91871"/>
    <w:rsid w:val="00F92801"/>
    <w:rsid w:val="00F933A2"/>
    <w:rsid w:val="00F93BD8"/>
    <w:rsid w:val="00F94CB4"/>
    <w:rsid w:val="00F9510C"/>
    <w:rsid w:val="00F96236"/>
    <w:rsid w:val="00F96302"/>
    <w:rsid w:val="00F9762C"/>
    <w:rsid w:val="00F979D3"/>
    <w:rsid w:val="00FA0247"/>
    <w:rsid w:val="00FA05AA"/>
    <w:rsid w:val="00FA1C3E"/>
    <w:rsid w:val="00FA2211"/>
    <w:rsid w:val="00FA2B01"/>
    <w:rsid w:val="00FA3A10"/>
    <w:rsid w:val="00FA4B98"/>
    <w:rsid w:val="00FA54B8"/>
    <w:rsid w:val="00FA5576"/>
    <w:rsid w:val="00FA70DF"/>
    <w:rsid w:val="00FA714B"/>
    <w:rsid w:val="00FB03BD"/>
    <w:rsid w:val="00FB0F0E"/>
    <w:rsid w:val="00FB1665"/>
    <w:rsid w:val="00FB28CE"/>
    <w:rsid w:val="00FB4BF7"/>
    <w:rsid w:val="00FB5A9A"/>
    <w:rsid w:val="00FB67BC"/>
    <w:rsid w:val="00FB717C"/>
    <w:rsid w:val="00FB7FA4"/>
    <w:rsid w:val="00FC0559"/>
    <w:rsid w:val="00FC1F9A"/>
    <w:rsid w:val="00FC2298"/>
    <w:rsid w:val="00FC29C7"/>
    <w:rsid w:val="00FC2E61"/>
    <w:rsid w:val="00FC314F"/>
    <w:rsid w:val="00FC5000"/>
    <w:rsid w:val="00FC5095"/>
    <w:rsid w:val="00FC5285"/>
    <w:rsid w:val="00FC5413"/>
    <w:rsid w:val="00FC71F2"/>
    <w:rsid w:val="00FC7371"/>
    <w:rsid w:val="00FD0092"/>
    <w:rsid w:val="00FD1EF3"/>
    <w:rsid w:val="00FD2209"/>
    <w:rsid w:val="00FD22B1"/>
    <w:rsid w:val="00FD335C"/>
    <w:rsid w:val="00FD33F1"/>
    <w:rsid w:val="00FD3566"/>
    <w:rsid w:val="00FD5C4F"/>
    <w:rsid w:val="00FD61F2"/>
    <w:rsid w:val="00FD6942"/>
    <w:rsid w:val="00FD694C"/>
    <w:rsid w:val="00FD6A40"/>
    <w:rsid w:val="00FD6F61"/>
    <w:rsid w:val="00FD7689"/>
    <w:rsid w:val="00FD7AB3"/>
    <w:rsid w:val="00FE2894"/>
    <w:rsid w:val="00FE2F07"/>
    <w:rsid w:val="00FE490F"/>
    <w:rsid w:val="00FE5397"/>
    <w:rsid w:val="00FE5E72"/>
    <w:rsid w:val="00FF0063"/>
    <w:rsid w:val="00FF0654"/>
    <w:rsid w:val="00FF0D31"/>
    <w:rsid w:val="00FF0F81"/>
    <w:rsid w:val="00FF148A"/>
    <w:rsid w:val="00FF2293"/>
    <w:rsid w:val="00FF23C8"/>
    <w:rsid w:val="00FF2903"/>
    <w:rsid w:val="00FF3429"/>
    <w:rsid w:val="00FF39E3"/>
    <w:rsid w:val="00FF4D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7"/>
    <o:shapelayout v:ext="edit">
      <o:idmap v:ext="edit" data="1"/>
    </o:shapelayout>
  </w:shapeDefaults>
  <w:decimalSymbol w:val="."/>
  <w:listSeparator w:val=","/>
  <w14:docId w14:val="0284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F0B35"/>
    <w:rPr>
      <w:sz w:val="24"/>
      <w:szCs w:val="24"/>
    </w:rPr>
  </w:style>
  <w:style w:type="paragraph" w:styleId="Heading1">
    <w:name w:val="heading 1"/>
    <w:basedOn w:val="BodyText"/>
    <w:next w:val="BodyText"/>
    <w:rsid w:val="002F0B35"/>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2F0B35"/>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2F0B35"/>
    <w:pPr>
      <w:spacing w:before="560" w:line="320" w:lineRule="exact"/>
      <w:ind w:left="0" w:firstLine="0"/>
      <w:outlineLvl w:val="2"/>
    </w:pPr>
    <w:rPr>
      <w:sz w:val="26"/>
    </w:rPr>
  </w:style>
  <w:style w:type="paragraph" w:styleId="Heading4">
    <w:name w:val="heading 4"/>
    <w:basedOn w:val="Heading3"/>
    <w:next w:val="BodyText"/>
    <w:qFormat/>
    <w:rsid w:val="002F0B35"/>
    <w:pPr>
      <w:spacing w:before="480"/>
      <w:outlineLvl w:val="3"/>
    </w:pPr>
    <w:rPr>
      <w:b w:val="0"/>
      <w:sz w:val="24"/>
    </w:rPr>
  </w:style>
  <w:style w:type="paragraph" w:styleId="Heading5">
    <w:name w:val="heading 5"/>
    <w:basedOn w:val="Heading4"/>
    <w:next w:val="BodyText"/>
    <w:link w:val="Heading5Char"/>
    <w:qFormat/>
    <w:rsid w:val="002F0B35"/>
    <w:pPr>
      <w:outlineLvl w:val="4"/>
    </w:pPr>
    <w:rPr>
      <w:i/>
      <w:sz w:val="22"/>
    </w:rPr>
  </w:style>
  <w:style w:type="paragraph" w:styleId="Heading6">
    <w:name w:val="heading 6"/>
    <w:basedOn w:val="BodyText"/>
    <w:next w:val="BodyText"/>
    <w:semiHidden/>
    <w:rsid w:val="002F0B35"/>
    <w:pPr>
      <w:spacing w:after="60"/>
      <w:jc w:val="left"/>
      <w:outlineLvl w:val="5"/>
    </w:pPr>
    <w:rPr>
      <w:i/>
      <w:sz w:val="22"/>
    </w:rPr>
  </w:style>
  <w:style w:type="paragraph" w:styleId="Heading7">
    <w:name w:val="heading 7"/>
    <w:basedOn w:val="BodyText"/>
    <w:next w:val="BodyText"/>
    <w:semiHidden/>
    <w:rsid w:val="002F0B35"/>
    <w:pPr>
      <w:spacing w:after="60" w:line="240" w:lineRule="auto"/>
      <w:jc w:val="left"/>
      <w:outlineLvl w:val="6"/>
    </w:pPr>
    <w:rPr>
      <w:rFonts w:ascii="Arial" w:hAnsi="Arial"/>
      <w:sz w:val="20"/>
    </w:rPr>
  </w:style>
  <w:style w:type="paragraph" w:styleId="Heading8">
    <w:name w:val="heading 8"/>
    <w:basedOn w:val="BodyText"/>
    <w:next w:val="BodyText"/>
    <w:semiHidden/>
    <w:rsid w:val="002F0B35"/>
    <w:pPr>
      <w:spacing w:after="60" w:line="240" w:lineRule="auto"/>
      <w:jc w:val="left"/>
      <w:outlineLvl w:val="7"/>
    </w:pPr>
    <w:rPr>
      <w:rFonts w:ascii="Arial" w:hAnsi="Arial"/>
      <w:i/>
      <w:sz w:val="20"/>
    </w:rPr>
  </w:style>
  <w:style w:type="paragraph" w:styleId="Heading9">
    <w:name w:val="heading 9"/>
    <w:basedOn w:val="BodyText"/>
    <w:next w:val="BodyText"/>
    <w:semiHidden/>
    <w:rsid w:val="002F0B35"/>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2F0B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0B35"/>
  </w:style>
  <w:style w:type="paragraph" w:styleId="BodyText">
    <w:name w:val="Body Text"/>
    <w:aliases w:val="Body Text1,new legislation style,new legislation style1,new legislation style Ch"/>
    <w:link w:val="BodyTextChar"/>
    <w:qFormat/>
    <w:rsid w:val="002F0B35"/>
    <w:pPr>
      <w:spacing w:before="240" w:line="300" w:lineRule="atLeast"/>
      <w:jc w:val="both"/>
    </w:pPr>
    <w:rPr>
      <w:sz w:val="24"/>
    </w:rPr>
  </w:style>
  <w:style w:type="paragraph" w:styleId="Footer">
    <w:name w:val="footer"/>
    <w:basedOn w:val="BodyText"/>
    <w:link w:val="FooterChar"/>
    <w:rsid w:val="002F0B35"/>
    <w:pPr>
      <w:spacing w:before="80" w:line="200" w:lineRule="exact"/>
      <w:ind w:right="6"/>
      <w:jc w:val="left"/>
    </w:pPr>
    <w:rPr>
      <w:rFonts w:ascii="Arial" w:hAnsi="Arial"/>
      <w:caps/>
      <w:spacing w:val="-4"/>
      <w:sz w:val="16"/>
    </w:rPr>
  </w:style>
  <w:style w:type="paragraph" w:customStyle="1" w:styleId="FooterEnd">
    <w:name w:val="Footer End"/>
    <w:basedOn w:val="Footer"/>
    <w:rsid w:val="002F0B35"/>
    <w:pPr>
      <w:spacing w:before="0" w:line="20" w:lineRule="exact"/>
    </w:pPr>
  </w:style>
  <w:style w:type="paragraph" w:styleId="Header">
    <w:name w:val="header"/>
    <w:basedOn w:val="BodyText"/>
    <w:rsid w:val="002F0B35"/>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2F0B35"/>
    <w:pPr>
      <w:spacing w:line="20" w:lineRule="exact"/>
    </w:pPr>
    <w:rPr>
      <w:sz w:val="16"/>
    </w:rPr>
  </w:style>
  <w:style w:type="paragraph" w:customStyle="1" w:styleId="HeaderEven">
    <w:name w:val="Header Even"/>
    <w:basedOn w:val="Header"/>
    <w:semiHidden/>
    <w:rsid w:val="002F0B35"/>
  </w:style>
  <w:style w:type="paragraph" w:customStyle="1" w:styleId="HeaderOdd">
    <w:name w:val="Header Odd"/>
    <w:basedOn w:val="Header"/>
    <w:semiHidden/>
    <w:rsid w:val="002F0B35"/>
  </w:style>
  <w:style w:type="character" w:styleId="PageNumber">
    <w:name w:val="page number"/>
    <w:basedOn w:val="DefaultParagraphFont"/>
    <w:rsid w:val="002F0B35"/>
    <w:rPr>
      <w:rFonts w:ascii="Arial" w:hAnsi="Arial"/>
      <w:b/>
      <w:sz w:val="16"/>
    </w:rPr>
  </w:style>
  <w:style w:type="paragraph" w:customStyle="1" w:styleId="Abbreviation">
    <w:name w:val="Abbreviation"/>
    <w:basedOn w:val="BodyText"/>
    <w:rsid w:val="002F0B35"/>
    <w:pPr>
      <w:spacing w:before="120"/>
      <w:ind w:left="2381" w:hanging="2381"/>
      <w:jc w:val="left"/>
    </w:pPr>
  </w:style>
  <w:style w:type="paragraph" w:customStyle="1" w:styleId="Box">
    <w:name w:val="Box"/>
    <w:basedOn w:val="BodyText"/>
    <w:qFormat/>
    <w:rsid w:val="002F0B35"/>
    <w:pPr>
      <w:keepNext/>
      <w:spacing w:before="120" w:line="260" w:lineRule="atLeast"/>
    </w:pPr>
    <w:rPr>
      <w:rFonts w:ascii="Arial" w:hAnsi="Arial"/>
      <w:sz w:val="20"/>
    </w:rPr>
  </w:style>
  <w:style w:type="paragraph" w:customStyle="1" w:styleId="BoxContinued">
    <w:name w:val="Box Continued"/>
    <w:basedOn w:val="BodyText"/>
    <w:next w:val="BodyText"/>
    <w:semiHidden/>
    <w:rsid w:val="002F0B35"/>
    <w:pPr>
      <w:spacing w:before="180" w:line="220" w:lineRule="exact"/>
      <w:jc w:val="right"/>
    </w:pPr>
    <w:rPr>
      <w:rFonts w:ascii="Arial" w:hAnsi="Arial"/>
      <w:sz w:val="18"/>
    </w:rPr>
  </w:style>
  <w:style w:type="paragraph" w:customStyle="1" w:styleId="BoxHeading1">
    <w:name w:val="Box Heading 1"/>
    <w:basedOn w:val="BodyText"/>
    <w:next w:val="Box"/>
    <w:rsid w:val="002F0B35"/>
    <w:pPr>
      <w:keepNext/>
      <w:spacing w:before="200" w:line="280" w:lineRule="atLeast"/>
    </w:pPr>
    <w:rPr>
      <w:rFonts w:ascii="Arial" w:hAnsi="Arial"/>
      <w:b/>
      <w:sz w:val="22"/>
    </w:rPr>
  </w:style>
  <w:style w:type="paragraph" w:customStyle="1" w:styleId="BoxHeading2">
    <w:name w:val="Box Heading 2"/>
    <w:basedOn w:val="BoxHeading1"/>
    <w:next w:val="Normal"/>
    <w:rsid w:val="002F0B35"/>
    <w:rPr>
      <w:b w:val="0"/>
      <w:i/>
    </w:rPr>
  </w:style>
  <w:style w:type="paragraph" w:customStyle="1" w:styleId="BoxListBullet">
    <w:name w:val="Box List Bullet"/>
    <w:basedOn w:val="BodyText"/>
    <w:rsid w:val="002F0B35"/>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2F0B35"/>
    <w:pPr>
      <w:numPr>
        <w:numId w:val="13"/>
      </w:numPr>
      <w:ind w:left="568" w:hanging="284"/>
    </w:pPr>
  </w:style>
  <w:style w:type="paragraph" w:customStyle="1" w:styleId="BoxListNumber">
    <w:name w:val="Box List Number"/>
    <w:basedOn w:val="BodyText"/>
    <w:rsid w:val="002F0B35"/>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2F0B35"/>
    <w:pPr>
      <w:numPr>
        <w:ilvl w:val="1"/>
      </w:numPr>
      <w:ind w:left="681" w:hanging="397"/>
    </w:pPr>
  </w:style>
  <w:style w:type="paragraph" w:customStyle="1" w:styleId="BoxQuote">
    <w:name w:val="Box Quote"/>
    <w:basedOn w:val="BodyText"/>
    <w:next w:val="Box"/>
    <w:qFormat/>
    <w:rsid w:val="002F0B35"/>
    <w:pPr>
      <w:keepNext/>
      <w:spacing w:before="60" w:line="240" w:lineRule="exact"/>
      <w:ind w:left="284"/>
    </w:pPr>
    <w:rPr>
      <w:rFonts w:ascii="Arial" w:hAnsi="Arial"/>
      <w:sz w:val="18"/>
    </w:rPr>
  </w:style>
  <w:style w:type="paragraph" w:customStyle="1" w:styleId="Note">
    <w:name w:val="Note"/>
    <w:basedOn w:val="BodyText"/>
    <w:next w:val="BodyText"/>
    <w:link w:val="NoteChar"/>
    <w:rsid w:val="002F0B35"/>
    <w:pPr>
      <w:keepLines/>
      <w:spacing w:before="80" w:line="220" w:lineRule="exact"/>
    </w:pPr>
    <w:rPr>
      <w:rFonts w:ascii="Arial" w:hAnsi="Arial"/>
      <w:sz w:val="18"/>
    </w:rPr>
  </w:style>
  <w:style w:type="paragraph" w:customStyle="1" w:styleId="Source">
    <w:name w:val="Source"/>
    <w:basedOn w:val="Normal"/>
    <w:next w:val="BodyText"/>
    <w:link w:val="SourceChar"/>
    <w:rsid w:val="002F0B35"/>
    <w:pPr>
      <w:keepLines/>
      <w:spacing w:before="80" w:line="220" w:lineRule="exact"/>
      <w:jc w:val="both"/>
    </w:pPr>
    <w:rPr>
      <w:rFonts w:ascii="Arial" w:hAnsi="Arial"/>
      <w:sz w:val="18"/>
      <w:szCs w:val="20"/>
    </w:rPr>
  </w:style>
  <w:style w:type="paragraph" w:customStyle="1" w:styleId="BoxSource">
    <w:name w:val="Box Source"/>
    <w:basedOn w:val="Source"/>
    <w:next w:val="BodyText"/>
    <w:rsid w:val="002F0B35"/>
    <w:pPr>
      <w:spacing w:before="120"/>
    </w:pPr>
  </w:style>
  <w:style w:type="paragraph" w:customStyle="1" w:styleId="BoxSpaceAbove">
    <w:name w:val="Box Space Above"/>
    <w:basedOn w:val="BodyText"/>
    <w:rsid w:val="002F0B35"/>
    <w:pPr>
      <w:keepNext/>
      <w:spacing w:before="360" w:line="80" w:lineRule="exact"/>
      <w:jc w:val="left"/>
    </w:pPr>
  </w:style>
  <w:style w:type="paragraph" w:styleId="Caption">
    <w:name w:val="caption"/>
    <w:basedOn w:val="Normal"/>
    <w:next w:val="BodyText"/>
    <w:rsid w:val="002F0B35"/>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2F0B35"/>
    <w:pPr>
      <w:spacing w:before="120" w:after="0"/>
    </w:pPr>
  </w:style>
  <w:style w:type="paragraph" w:customStyle="1" w:styleId="BoxSubtitle">
    <w:name w:val="Box Subtitle"/>
    <w:basedOn w:val="BoxTitle"/>
    <w:next w:val="Normal"/>
    <w:rsid w:val="002F0B35"/>
    <w:pPr>
      <w:spacing w:after="80" w:line="200" w:lineRule="exact"/>
      <w:ind w:firstLine="0"/>
    </w:pPr>
    <w:rPr>
      <w:b w:val="0"/>
      <w:sz w:val="20"/>
    </w:rPr>
  </w:style>
  <w:style w:type="paragraph" w:customStyle="1" w:styleId="Chapter">
    <w:name w:val="Chapter"/>
    <w:basedOn w:val="Heading1"/>
    <w:next w:val="BodyText"/>
    <w:semiHidden/>
    <w:rsid w:val="002F0B35"/>
    <w:pPr>
      <w:ind w:left="0" w:firstLine="0"/>
      <w:outlineLvl w:val="9"/>
    </w:pPr>
  </w:style>
  <w:style w:type="paragraph" w:customStyle="1" w:styleId="ChapterSummary">
    <w:name w:val="Chapter Summary"/>
    <w:basedOn w:val="BodyText"/>
    <w:rsid w:val="002F0B35"/>
    <w:pPr>
      <w:spacing w:line="280" w:lineRule="atLeast"/>
      <w:ind w:left="907"/>
    </w:pPr>
    <w:rPr>
      <w:rFonts w:ascii="Arial" w:hAnsi="Arial"/>
      <w:b/>
      <w:sz w:val="20"/>
    </w:rPr>
  </w:style>
  <w:style w:type="character" w:styleId="CommentReference">
    <w:name w:val="annotation reference"/>
    <w:basedOn w:val="DefaultParagraphFont"/>
    <w:semiHidden/>
    <w:rsid w:val="002F0B35"/>
    <w:rPr>
      <w:b/>
      <w:vanish/>
      <w:color w:val="FF00FF"/>
      <w:sz w:val="20"/>
    </w:rPr>
  </w:style>
  <w:style w:type="paragraph" w:styleId="CommentText">
    <w:name w:val="annotation text"/>
    <w:basedOn w:val="Normal"/>
    <w:link w:val="CommentTextChar"/>
    <w:semiHidden/>
    <w:rsid w:val="002F0B35"/>
    <w:pPr>
      <w:spacing w:before="120" w:line="240" w:lineRule="atLeast"/>
      <w:ind w:left="567" w:hanging="567"/>
    </w:pPr>
    <w:rPr>
      <w:sz w:val="20"/>
    </w:rPr>
  </w:style>
  <w:style w:type="paragraph" w:customStyle="1" w:styleId="Continued">
    <w:name w:val="Continued"/>
    <w:basedOn w:val="BoxContinued"/>
    <w:next w:val="BodyText"/>
    <w:rsid w:val="002F0B35"/>
  </w:style>
  <w:style w:type="character" w:customStyle="1" w:styleId="DocumentInfo">
    <w:name w:val="Document Info"/>
    <w:basedOn w:val="DefaultParagraphFont"/>
    <w:semiHidden/>
    <w:rsid w:val="002F0B35"/>
    <w:rPr>
      <w:rFonts w:ascii="Arial" w:hAnsi="Arial"/>
      <w:sz w:val="14"/>
    </w:rPr>
  </w:style>
  <w:style w:type="character" w:customStyle="1" w:styleId="DraftingNote">
    <w:name w:val="Drafting Note"/>
    <w:basedOn w:val="DefaultParagraphFont"/>
    <w:rsid w:val="002F0B35"/>
    <w:rPr>
      <w:b/>
      <w:color w:val="FF0000"/>
      <w:sz w:val="24"/>
      <w:u w:val="dotted"/>
    </w:rPr>
  </w:style>
  <w:style w:type="paragraph" w:customStyle="1" w:styleId="Figure">
    <w:name w:val="Figure"/>
    <w:basedOn w:val="BodyText"/>
    <w:rsid w:val="002F0B35"/>
    <w:pPr>
      <w:keepNext/>
      <w:spacing w:before="120" w:after="120" w:line="240" w:lineRule="atLeast"/>
      <w:jc w:val="center"/>
    </w:pPr>
  </w:style>
  <w:style w:type="paragraph" w:customStyle="1" w:styleId="FigureTitle">
    <w:name w:val="Figure Title"/>
    <w:basedOn w:val="Caption"/>
    <w:next w:val="Subtitle"/>
    <w:rsid w:val="002F0B35"/>
    <w:pPr>
      <w:spacing w:before="120"/>
    </w:pPr>
  </w:style>
  <w:style w:type="paragraph" w:styleId="Subtitle">
    <w:name w:val="Subtitle"/>
    <w:basedOn w:val="Caption"/>
    <w:link w:val="SubtitleChar"/>
    <w:qFormat/>
    <w:rsid w:val="002F0B35"/>
    <w:pPr>
      <w:spacing w:before="0" w:line="200" w:lineRule="exact"/>
      <w:ind w:firstLine="0"/>
    </w:pPr>
    <w:rPr>
      <w:b w:val="0"/>
      <w:sz w:val="20"/>
    </w:rPr>
  </w:style>
  <w:style w:type="paragraph" w:customStyle="1" w:styleId="Finding">
    <w:name w:val="Finding"/>
    <w:basedOn w:val="BodyText"/>
    <w:rsid w:val="002F0B35"/>
    <w:pPr>
      <w:keepLines/>
      <w:spacing w:before="120" w:line="280" w:lineRule="atLeast"/>
    </w:pPr>
    <w:rPr>
      <w:rFonts w:ascii="Arial" w:hAnsi="Arial"/>
      <w:sz w:val="22"/>
    </w:rPr>
  </w:style>
  <w:style w:type="paragraph" w:customStyle="1" w:styleId="FindingBullet">
    <w:name w:val="Finding Bullet"/>
    <w:basedOn w:val="Finding"/>
    <w:rsid w:val="002F0B35"/>
    <w:pPr>
      <w:numPr>
        <w:numId w:val="15"/>
      </w:numPr>
      <w:spacing w:before="80"/>
    </w:pPr>
  </w:style>
  <w:style w:type="paragraph" w:customStyle="1" w:styleId="FindingNoTitle">
    <w:name w:val="Finding NoTitle"/>
    <w:basedOn w:val="Finding"/>
    <w:semiHidden/>
    <w:rsid w:val="002F0B35"/>
    <w:pPr>
      <w:spacing w:before="240"/>
    </w:pPr>
  </w:style>
  <w:style w:type="paragraph" w:customStyle="1" w:styleId="RecTitle">
    <w:name w:val="Rec Title"/>
    <w:basedOn w:val="BodyText"/>
    <w:next w:val="Rec"/>
    <w:qFormat/>
    <w:rsid w:val="002F0B35"/>
    <w:pPr>
      <w:keepNext/>
      <w:keepLines/>
      <w:spacing w:line="280" w:lineRule="atLeast"/>
    </w:pPr>
    <w:rPr>
      <w:rFonts w:ascii="Arial" w:hAnsi="Arial"/>
      <w:caps/>
      <w:sz w:val="18"/>
    </w:rPr>
  </w:style>
  <w:style w:type="paragraph" w:customStyle="1" w:styleId="FindingTitle">
    <w:name w:val="Finding Title"/>
    <w:basedOn w:val="RecTitle"/>
    <w:next w:val="Finding"/>
    <w:rsid w:val="002F0B35"/>
  </w:style>
  <w:style w:type="character" w:styleId="FootnoteReference">
    <w:name w:val="footnote reference"/>
    <w:aliases w:val="NO"/>
    <w:basedOn w:val="DefaultParagraphFont"/>
    <w:rsid w:val="002F0B35"/>
    <w:rPr>
      <w:rFonts w:ascii="Times New Roman" w:hAnsi="Times New Roman"/>
      <w:position w:val="6"/>
      <w:sz w:val="20"/>
      <w:vertAlign w:val="baseline"/>
    </w:rPr>
  </w:style>
  <w:style w:type="paragraph" w:styleId="FootnoteText">
    <w:name w:val="footnote text"/>
    <w:aliases w:val="Footnote Text Char1 Char,Footnote Text Char Char Char,Footnote Text Char1 Char Char Char,Footnote Text Char Char Char Char Char,Footnote Text Char1 Char1,Footnote Text Char Char Char1,FN,Footnote Text Char1"/>
    <w:basedOn w:val="BodyText"/>
    <w:link w:val="FootnoteTextChar"/>
    <w:rsid w:val="002F0B35"/>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2F0B35"/>
    <w:rPr>
      <w:i/>
    </w:rPr>
  </w:style>
  <w:style w:type="paragraph" w:customStyle="1" w:styleId="Jurisdictioncommentsbodytext">
    <w:name w:val="Jurisdiction comments body text"/>
    <w:rsid w:val="002F0B35"/>
    <w:pPr>
      <w:spacing w:after="140"/>
      <w:jc w:val="both"/>
    </w:pPr>
    <w:rPr>
      <w:rFonts w:ascii="Arial" w:hAnsi="Arial"/>
      <w:sz w:val="24"/>
      <w:lang w:eastAsia="en-US"/>
    </w:rPr>
  </w:style>
  <w:style w:type="paragraph" w:customStyle="1" w:styleId="Jurisdictioncommentsheading">
    <w:name w:val="Jurisdiction comments heading"/>
    <w:rsid w:val="002F0B35"/>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2F0B35"/>
    <w:pPr>
      <w:numPr>
        <w:numId w:val="2"/>
      </w:numPr>
      <w:spacing w:after="140"/>
      <w:jc w:val="both"/>
    </w:pPr>
    <w:rPr>
      <w:rFonts w:ascii="Arial" w:hAnsi="Arial"/>
      <w:sz w:val="24"/>
      <w:lang w:eastAsia="en-US"/>
    </w:rPr>
  </w:style>
  <w:style w:type="paragraph" w:styleId="ListBullet">
    <w:name w:val="List Bullet"/>
    <w:basedOn w:val="BodyText"/>
    <w:rsid w:val="002F0B35"/>
    <w:pPr>
      <w:numPr>
        <w:numId w:val="3"/>
      </w:numPr>
      <w:spacing w:before="120"/>
    </w:pPr>
  </w:style>
  <w:style w:type="paragraph" w:styleId="ListBullet2">
    <w:name w:val="List Bullet 2"/>
    <w:basedOn w:val="BodyText"/>
    <w:rsid w:val="002F0B35"/>
    <w:pPr>
      <w:numPr>
        <w:numId w:val="4"/>
      </w:numPr>
      <w:spacing w:before="120"/>
    </w:pPr>
  </w:style>
  <w:style w:type="paragraph" w:styleId="ListBullet3">
    <w:name w:val="List Bullet 3"/>
    <w:basedOn w:val="BodyText"/>
    <w:rsid w:val="002F0B35"/>
    <w:pPr>
      <w:numPr>
        <w:numId w:val="5"/>
      </w:numPr>
      <w:spacing w:before="120"/>
      <w:ind w:left="1020" w:hanging="340"/>
    </w:pPr>
  </w:style>
  <w:style w:type="paragraph" w:styleId="ListNumber">
    <w:name w:val="List Number"/>
    <w:basedOn w:val="BodyText"/>
    <w:rsid w:val="002F0B35"/>
    <w:pPr>
      <w:numPr>
        <w:numId w:val="9"/>
      </w:numPr>
      <w:spacing w:before="120"/>
    </w:pPr>
  </w:style>
  <w:style w:type="paragraph" w:styleId="ListNumber2">
    <w:name w:val="List Number 2"/>
    <w:basedOn w:val="ListNumber"/>
    <w:rsid w:val="002F0B35"/>
    <w:pPr>
      <w:numPr>
        <w:ilvl w:val="1"/>
      </w:numPr>
    </w:pPr>
  </w:style>
  <w:style w:type="paragraph" w:styleId="ListNumber3">
    <w:name w:val="List Number 3"/>
    <w:basedOn w:val="ListNumber2"/>
    <w:rsid w:val="002F0B35"/>
    <w:pPr>
      <w:numPr>
        <w:ilvl w:val="2"/>
      </w:numPr>
    </w:pPr>
  </w:style>
  <w:style w:type="character" w:customStyle="1" w:styleId="NoteLabel">
    <w:name w:val="Note Label"/>
    <w:basedOn w:val="DefaultParagraphFont"/>
    <w:rsid w:val="002F0B35"/>
    <w:rPr>
      <w:rFonts w:ascii="Arial" w:hAnsi="Arial"/>
      <w:b/>
      <w:position w:val="6"/>
      <w:sz w:val="18"/>
    </w:rPr>
  </w:style>
  <w:style w:type="paragraph" w:customStyle="1" w:styleId="PartDivider">
    <w:name w:val="Part Divider"/>
    <w:basedOn w:val="BodyText"/>
    <w:next w:val="BodyText"/>
    <w:semiHidden/>
    <w:rsid w:val="002F0B35"/>
    <w:pPr>
      <w:spacing w:before="0" w:line="40" w:lineRule="exact"/>
      <w:jc w:val="right"/>
    </w:pPr>
    <w:rPr>
      <w:smallCaps/>
      <w:sz w:val="16"/>
    </w:rPr>
  </w:style>
  <w:style w:type="paragraph" w:customStyle="1" w:styleId="PartNumber">
    <w:name w:val="Part Number"/>
    <w:basedOn w:val="BodyText"/>
    <w:next w:val="BodyText"/>
    <w:semiHidden/>
    <w:rsid w:val="002F0B35"/>
    <w:pPr>
      <w:spacing w:before="4000" w:line="320" w:lineRule="exact"/>
      <w:ind w:left="6634"/>
      <w:jc w:val="right"/>
    </w:pPr>
    <w:rPr>
      <w:smallCaps/>
      <w:spacing w:val="60"/>
      <w:sz w:val="32"/>
    </w:rPr>
  </w:style>
  <w:style w:type="paragraph" w:customStyle="1" w:styleId="PartTitle">
    <w:name w:val="Part Title"/>
    <w:basedOn w:val="BodyText"/>
    <w:semiHidden/>
    <w:rsid w:val="002F0B35"/>
    <w:pPr>
      <w:spacing w:before="160" w:after="1360" w:line="520" w:lineRule="exact"/>
      <w:ind w:right="2381"/>
      <w:jc w:val="right"/>
    </w:pPr>
    <w:rPr>
      <w:smallCaps/>
      <w:sz w:val="52"/>
    </w:rPr>
  </w:style>
  <w:style w:type="paragraph" w:styleId="Quote">
    <w:name w:val="Quote"/>
    <w:basedOn w:val="BodyText"/>
    <w:next w:val="BodyText"/>
    <w:qFormat/>
    <w:rsid w:val="002F0B35"/>
    <w:pPr>
      <w:spacing w:before="120" w:line="280" w:lineRule="exact"/>
      <w:ind w:left="340"/>
    </w:pPr>
    <w:rPr>
      <w:sz w:val="22"/>
    </w:rPr>
  </w:style>
  <w:style w:type="paragraph" w:customStyle="1" w:styleId="QuoteBullet">
    <w:name w:val="Quote Bullet"/>
    <w:basedOn w:val="Quote"/>
    <w:rsid w:val="002F0B35"/>
    <w:pPr>
      <w:numPr>
        <w:numId w:val="6"/>
      </w:numPr>
    </w:pPr>
  </w:style>
  <w:style w:type="paragraph" w:customStyle="1" w:styleId="Rec">
    <w:name w:val="Rec"/>
    <w:basedOn w:val="BodyText"/>
    <w:qFormat/>
    <w:rsid w:val="002F0B35"/>
    <w:pPr>
      <w:keepLines/>
      <w:spacing w:before="120" w:line="280" w:lineRule="atLeast"/>
    </w:pPr>
    <w:rPr>
      <w:rFonts w:ascii="Arial" w:hAnsi="Arial"/>
      <w:sz w:val="22"/>
    </w:rPr>
  </w:style>
  <w:style w:type="paragraph" w:customStyle="1" w:styleId="RecBullet">
    <w:name w:val="Rec Bullet"/>
    <w:basedOn w:val="Rec"/>
    <w:rsid w:val="002F0B35"/>
    <w:pPr>
      <w:numPr>
        <w:numId w:val="17"/>
      </w:numPr>
      <w:spacing w:before="80"/>
    </w:pPr>
  </w:style>
  <w:style w:type="paragraph" w:customStyle="1" w:styleId="RecB">
    <w:name w:val="RecB"/>
    <w:basedOn w:val="Normal"/>
    <w:semiHidden/>
    <w:rsid w:val="002F0B3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2F0B35"/>
    <w:pPr>
      <w:numPr>
        <w:numId w:val="11"/>
      </w:numPr>
      <w:spacing w:before="80"/>
    </w:pPr>
  </w:style>
  <w:style w:type="paragraph" w:customStyle="1" w:styleId="RecBNoTitle">
    <w:name w:val="RecB NoTitle"/>
    <w:basedOn w:val="RecB"/>
    <w:semiHidden/>
    <w:rsid w:val="002F0B35"/>
    <w:pPr>
      <w:spacing w:before="240"/>
    </w:pPr>
  </w:style>
  <w:style w:type="paragraph" w:customStyle="1" w:styleId="Reference">
    <w:name w:val="Reference"/>
    <w:basedOn w:val="BodyText"/>
    <w:rsid w:val="002F0B35"/>
    <w:pPr>
      <w:spacing w:before="120"/>
      <w:ind w:left="340" w:hanging="340"/>
    </w:pPr>
  </w:style>
  <w:style w:type="paragraph" w:customStyle="1" w:styleId="SequenceInfo">
    <w:name w:val="Sequence Info"/>
    <w:basedOn w:val="BodyText"/>
    <w:semiHidden/>
    <w:rsid w:val="002F0B35"/>
    <w:rPr>
      <w:vanish/>
      <w:sz w:val="16"/>
    </w:rPr>
  </w:style>
  <w:style w:type="paragraph" w:customStyle="1" w:styleId="SideNote">
    <w:name w:val="Side Note"/>
    <w:basedOn w:val="BodyText"/>
    <w:next w:val="BodyText"/>
    <w:semiHidden/>
    <w:rsid w:val="002F0B35"/>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2F0B35"/>
    <w:pPr>
      <w:framePr w:wrap="around"/>
      <w:numPr>
        <w:numId w:val="7"/>
      </w:numPr>
      <w:tabs>
        <w:tab w:val="left" w:pos="227"/>
      </w:tabs>
    </w:pPr>
  </w:style>
  <w:style w:type="paragraph" w:customStyle="1" w:styleId="SideNoteGraphic">
    <w:name w:val="Side Note Graphic"/>
    <w:basedOn w:val="SideNote"/>
    <w:next w:val="BodyText"/>
    <w:semiHidden/>
    <w:rsid w:val="002F0B35"/>
    <w:pPr>
      <w:framePr w:wrap="around"/>
    </w:pPr>
  </w:style>
  <w:style w:type="paragraph" w:customStyle="1" w:styleId="TableBodyText">
    <w:name w:val="Table Body Text"/>
    <w:basedOn w:val="BodyText"/>
    <w:rsid w:val="002F0B35"/>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2F0B35"/>
    <w:pPr>
      <w:numPr>
        <w:numId w:val="8"/>
      </w:numPr>
      <w:jc w:val="left"/>
    </w:pPr>
  </w:style>
  <w:style w:type="paragraph" w:customStyle="1" w:styleId="TableColumnHeading">
    <w:name w:val="Table Column Heading"/>
    <w:basedOn w:val="TableBodyText"/>
    <w:rsid w:val="002F0B35"/>
    <w:pPr>
      <w:spacing w:before="80" w:after="80"/>
    </w:pPr>
    <w:rPr>
      <w:i/>
    </w:rPr>
  </w:style>
  <w:style w:type="paragraph" w:styleId="TOC2">
    <w:name w:val="toc 2"/>
    <w:basedOn w:val="TOC1"/>
    <w:rsid w:val="002F0B35"/>
    <w:pPr>
      <w:ind w:left="1134" w:hanging="624"/>
    </w:pPr>
    <w:rPr>
      <w:b w:val="0"/>
    </w:rPr>
  </w:style>
  <w:style w:type="paragraph" w:styleId="TOC3">
    <w:name w:val="toc 3"/>
    <w:basedOn w:val="TOC2"/>
    <w:rsid w:val="002F0B35"/>
    <w:pPr>
      <w:spacing w:before="60"/>
      <w:ind w:left="1190" w:hanging="680"/>
    </w:pPr>
  </w:style>
  <w:style w:type="paragraph" w:styleId="TableofFigures">
    <w:name w:val="table of figures"/>
    <w:basedOn w:val="TOC3"/>
    <w:next w:val="BodyText"/>
    <w:semiHidden/>
    <w:rsid w:val="002F0B35"/>
    <w:pPr>
      <w:ind w:left="737" w:hanging="737"/>
    </w:pPr>
  </w:style>
  <w:style w:type="paragraph" w:customStyle="1" w:styleId="TableTitle">
    <w:name w:val="Table Title"/>
    <w:basedOn w:val="Caption"/>
    <w:next w:val="Subtitle"/>
    <w:qFormat/>
    <w:rsid w:val="002F0B35"/>
    <w:pPr>
      <w:spacing w:before="120"/>
    </w:pPr>
  </w:style>
  <w:style w:type="paragraph" w:customStyle="1" w:styleId="TableUnitsRow">
    <w:name w:val="Table Units Row"/>
    <w:basedOn w:val="TableBodyText"/>
    <w:rsid w:val="002F0B35"/>
    <w:pPr>
      <w:spacing w:before="40"/>
    </w:pPr>
  </w:style>
  <w:style w:type="paragraph" w:styleId="TOC1">
    <w:name w:val="toc 1"/>
    <w:basedOn w:val="Normal"/>
    <w:next w:val="TOC2"/>
    <w:link w:val="TOC1Char"/>
    <w:rsid w:val="002F0B35"/>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2F0B35"/>
    <w:pPr>
      <w:ind w:left="1191" w:firstLine="0"/>
    </w:pPr>
  </w:style>
  <w:style w:type="paragraph" w:customStyle="1" w:styleId="RecBBullet2">
    <w:name w:val="RecB Bullet 2"/>
    <w:basedOn w:val="ListBullet2"/>
    <w:semiHidden/>
    <w:rsid w:val="002F0B35"/>
    <w:pPr>
      <w:pBdr>
        <w:left w:val="single" w:sz="24" w:space="29" w:color="C0C0C0"/>
      </w:pBdr>
    </w:pPr>
    <w:rPr>
      <w:b/>
      <w:i/>
    </w:rPr>
  </w:style>
  <w:style w:type="paragraph" w:styleId="BalloonText">
    <w:name w:val="Balloon Text"/>
    <w:basedOn w:val="Normal"/>
    <w:link w:val="BalloonTextChar"/>
    <w:rsid w:val="002F0B35"/>
    <w:rPr>
      <w:rFonts w:ascii="Tahoma" w:hAnsi="Tahoma" w:cs="Tahoma"/>
      <w:sz w:val="16"/>
      <w:szCs w:val="16"/>
    </w:rPr>
  </w:style>
  <w:style w:type="character" w:customStyle="1" w:styleId="BalloonTextChar">
    <w:name w:val="Balloon Text Char"/>
    <w:basedOn w:val="DefaultParagraphFont"/>
    <w:link w:val="BalloonText"/>
    <w:rsid w:val="002F0B35"/>
    <w:rPr>
      <w:rFonts w:ascii="Tahoma" w:hAnsi="Tahoma" w:cs="Tahoma"/>
      <w:sz w:val="16"/>
      <w:szCs w:val="16"/>
    </w:rPr>
  </w:style>
  <w:style w:type="character" w:customStyle="1" w:styleId="SubtitleChar">
    <w:name w:val="Subtitle Char"/>
    <w:basedOn w:val="DefaultParagraphFont"/>
    <w:link w:val="Subtitle"/>
    <w:rsid w:val="002F0B35"/>
    <w:rPr>
      <w:rFonts w:ascii="Arial" w:hAnsi="Arial"/>
      <w:szCs w:val="24"/>
    </w:rPr>
  </w:style>
  <w:style w:type="paragraph" w:customStyle="1" w:styleId="BoxListBullet3">
    <w:name w:val="Box List Bullet 3"/>
    <w:basedOn w:val="ListBullet3"/>
    <w:rsid w:val="002F0B35"/>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2F0B35"/>
    <w:rPr>
      <w:i/>
      <w:iCs/>
    </w:rPr>
  </w:style>
  <w:style w:type="paragraph" w:customStyle="1" w:styleId="BoxQuoteBullet">
    <w:name w:val="Box Quote Bullet"/>
    <w:basedOn w:val="BoxQuote"/>
    <w:next w:val="Box"/>
    <w:rsid w:val="002F0B35"/>
    <w:pPr>
      <w:numPr>
        <w:numId w:val="12"/>
      </w:numPr>
      <w:ind w:left="568" w:hanging="284"/>
    </w:pPr>
  </w:style>
  <w:style w:type="paragraph" w:customStyle="1" w:styleId="InformationRequestBullet">
    <w:name w:val="Information Request Bullet"/>
    <w:basedOn w:val="ListBullet"/>
    <w:next w:val="BodyText"/>
    <w:rsid w:val="002F0B35"/>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2F0B35"/>
    <w:pPr>
      <w:keepNext w:val="0"/>
      <w:spacing w:before="60" w:after="60" w:line="80" w:lineRule="exact"/>
    </w:pPr>
    <w:rPr>
      <w:sz w:val="14"/>
    </w:rPr>
  </w:style>
  <w:style w:type="paragraph" w:customStyle="1" w:styleId="KeyPointsListBullet">
    <w:name w:val="Key Points List Bullet"/>
    <w:basedOn w:val="Normal"/>
    <w:qFormat/>
    <w:rsid w:val="002F0B3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2F0B35"/>
    <w:pPr>
      <w:numPr>
        <w:numId w:val="21"/>
      </w:numPr>
      <w:ind w:left="568" w:hanging="284"/>
    </w:pPr>
  </w:style>
  <w:style w:type="paragraph" w:customStyle="1" w:styleId="InformationRequestTitle">
    <w:name w:val="Information Request Title"/>
    <w:basedOn w:val="FindingTitle"/>
    <w:next w:val="InformationRequest"/>
    <w:rsid w:val="002F0B35"/>
    <w:rPr>
      <w:i/>
    </w:rPr>
  </w:style>
  <w:style w:type="paragraph" w:customStyle="1" w:styleId="Space">
    <w:name w:val="Space"/>
    <w:basedOn w:val="Normal"/>
    <w:rsid w:val="002F0B35"/>
    <w:pPr>
      <w:keepNext/>
      <w:spacing w:line="120" w:lineRule="exact"/>
      <w:jc w:val="both"/>
    </w:pPr>
    <w:rPr>
      <w:rFonts w:ascii="Arial" w:hAnsi="Arial"/>
      <w:sz w:val="20"/>
      <w:szCs w:val="20"/>
    </w:rPr>
  </w:style>
  <w:style w:type="paragraph" w:customStyle="1" w:styleId="Heading1nochapterno">
    <w:name w:val="Heading 1 (no chapter no.)"/>
    <w:basedOn w:val="Heading1"/>
    <w:rsid w:val="002F0B35"/>
    <w:pPr>
      <w:spacing w:before="0"/>
      <w:ind w:left="0" w:firstLine="0"/>
    </w:pPr>
  </w:style>
  <w:style w:type="paragraph" w:customStyle="1" w:styleId="Heading2nosectionno">
    <w:name w:val="Heading 2 (no section no.)"/>
    <w:basedOn w:val="Heading2"/>
    <w:rsid w:val="002F0B35"/>
    <w:pPr>
      <w:ind w:left="0" w:firstLine="0"/>
    </w:pPr>
  </w:style>
  <w:style w:type="character" w:customStyle="1" w:styleId="Heading5Char">
    <w:name w:val="Heading 5 Char"/>
    <w:basedOn w:val="DefaultParagraphFont"/>
    <w:link w:val="Heading5"/>
    <w:rsid w:val="002F0B35"/>
    <w:rPr>
      <w:rFonts w:ascii="Arial" w:hAnsi="Arial"/>
      <w:i/>
      <w:sz w:val="22"/>
    </w:rPr>
  </w:style>
  <w:style w:type="paragraph" w:customStyle="1" w:styleId="Figurespace">
    <w:name w:val="Figure space"/>
    <w:basedOn w:val="Box"/>
    <w:rsid w:val="002F0B35"/>
    <w:pPr>
      <w:spacing w:before="0" w:line="120" w:lineRule="exact"/>
    </w:pPr>
  </w:style>
  <w:style w:type="paragraph" w:customStyle="1" w:styleId="FooterDraftReport">
    <w:name w:val="FooterDraftReport"/>
    <w:basedOn w:val="Footer"/>
    <w:link w:val="FooterDraftReportChar"/>
    <w:rsid w:val="002F0B35"/>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Body Text1 Char,new legislation style Char,new legislation style1 Char,new legislation style Ch Char"/>
    <w:basedOn w:val="DefaultParagraphFont"/>
    <w:link w:val="BodyText"/>
    <w:rsid w:val="002F0B35"/>
    <w:rPr>
      <w:sz w:val="24"/>
    </w:rPr>
  </w:style>
  <w:style w:type="character" w:customStyle="1" w:styleId="FooterChar">
    <w:name w:val="Footer Char"/>
    <w:basedOn w:val="BodyTextChar"/>
    <w:link w:val="Footer"/>
    <w:rsid w:val="002F0B35"/>
    <w:rPr>
      <w:rFonts w:ascii="Arial" w:hAnsi="Arial"/>
      <w:caps/>
      <w:spacing w:val="-4"/>
      <w:sz w:val="16"/>
    </w:rPr>
  </w:style>
  <w:style w:type="character" w:customStyle="1" w:styleId="FooterDraftReportChar">
    <w:name w:val="FooterDraftReport Char"/>
    <w:basedOn w:val="FooterChar"/>
    <w:link w:val="FooterDraftReport"/>
    <w:rsid w:val="002F0B35"/>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2F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2F0B35"/>
    <w:rPr>
      <w:rFonts w:ascii="Arial" w:hAnsi="Arial"/>
      <w:b/>
      <w:sz w:val="26"/>
      <w:szCs w:val="26"/>
      <w:lang w:eastAsia="en-US"/>
    </w:rPr>
  </w:style>
  <w:style w:type="character" w:customStyle="1" w:styleId="CommentTextChar">
    <w:name w:val="Comment Text Char"/>
    <w:basedOn w:val="DefaultParagraphFont"/>
    <w:link w:val="CommentText"/>
    <w:semiHidden/>
    <w:rsid w:val="006B79EA"/>
    <w:rPr>
      <w:szCs w:val="24"/>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rsid w:val="0035470A"/>
  </w:style>
  <w:style w:type="paragraph" w:styleId="CommentSubject">
    <w:name w:val="annotation subject"/>
    <w:basedOn w:val="CommentText"/>
    <w:next w:val="CommentText"/>
    <w:link w:val="CommentSubjectChar"/>
    <w:semiHidden/>
    <w:unhideWhenUsed/>
    <w:rsid w:val="00D13260"/>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D13260"/>
    <w:rPr>
      <w:b/>
      <w:bCs/>
      <w:szCs w:val="24"/>
    </w:rPr>
  </w:style>
  <w:style w:type="paragraph" w:styleId="Title">
    <w:name w:val="Title"/>
    <w:basedOn w:val="Normal"/>
    <w:next w:val="Normal"/>
    <w:link w:val="TitleChar"/>
    <w:uiPriority w:val="10"/>
    <w:qFormat/>
    <w:rsid w:val="00AC6B77"/>
    <w:pPr>
      <w:pBdr>
        <w:bottom w:val="single" w:sz="8" w:space="4" w:color="78A22F" w:themeColor="accent1"/>
      </w:pBdr>
      <w:spacing w:after="300"/>
      <w:contextualSpacing/>
    </w:pPr>
    <w:rPr>
      <w:rFonts w:asciiTheme="majorHAnsi" w:eastAsiaTheme="majorEastAsia" w:hAnsiTheme="majorHAnsi" w:cstheme="majorBidi"/>
      <w:color w:val="000000" w:themeColor="text2" w:themeShade="BF"/>
      <w:spacing w:val="5"/>
      <w:kern w:val="28"/>
      <w:sz w:val="52"/>
      <w:szCs w:val="52"/>
      <w:lang w:val="en-US" w:eastAsia="en-US" w:bidi="en-US"/>
    </w:rPr>
  </w:style>
  <w:style w:type="character" w:customStyle="1" w:styleId="TitleChar">
    <w:name w:val="Title Char"/>
    <w:basedOn w:val="DefaultParagraphFont"/>
    <w:link w:val="Title"/>
    <w:uiPriority w:val="10"/>
    <w:rsid w:val="00AC6B77"/>
    <w:rPr>
      <w:rFonts w:asciiTheme="majorHAnsi" w:eastAsiaTheme="majorEastAsia" w:hAnsiTheme="majorHAnsi" w:cstheme="majorBidi"/>
      <w:color w:val="000000" w:themeColor="text2" w:themeShade="BF"/>
      <w:spacing w:val="5"/>
      <w:kern w:val="28"/>
      <w:sz w:val="52"/>
      <w:szCs w:val="52"/>
      <w:lang w:val="en-US" w:eastAsia="en-US" w:bidi="en-US"/>
    </w:rPr>
  </w:style>
  <w:style w:type="paragraph" w:styleId="Revision">
    <w:name w:val="Revision"/>
    <w:hidden/>
    <w:uiPriority w:val="99"/>
    <w:semiHidden/>
    <w:rsid w:val="00BB6818"/>
    <w:rPr>
      <w:sz w:val="24"/>
      <w:szCs w:val="24"/>
    </w:rPr>
  </w:style>
  <w:style w:type="character" w:customStyle="1" w:styleId="SourceChar">
    <w:name w:val="Source Char"/>
    <w:basedOn w:val="DefaultParagraphFont"/>
    <w:link w:val="Source"/>
    <w:rsid w:val="0085564B"/>
    <w:rPr>
      <w:rFonts w:ascii="Arial" w:hAnsi="Arial"/>
      <w:sz w:val="18"/>
    </w:rPr>
  </w:style>
  <w:style w:type="character" w:customStyle="1" w:styleId="NoteChar">
    <w:name w:val="Note Char"/>
    <w:basedOn w:val="DefaultParagraphFont"/>
    <w:link w:val="Note"/>
    <w:rsid w:val="00716758"/>
    <w:rPr>
      <w:rFonts w:ascii="Arial" w:hAnsi="Arial"/>
      <w:sz w:val="18"/>
    </w:rPr>
  </w:style>
  <w:style w:type="paragraph" w:customStyle="1" w:styleId="Gempack">
    <w:name w:val="Gempack"/>
    <w:basedOn w:val="BodyText"/>
    <w:rsid w:val="00135B96"/>
    <w:pPr>
      <w:keepLines/>
      <w:tabs>
        <w:tab w:val="right" w:pos="8280"/>
      </w:tabs>
      <w:spacing w:line="320" w:lineRule="atLeast"/>
      <w:jc w:val="left"/>
    </w:pPr>
    <w:rPr>
      <w:sz w:val="20"/>
    </w:rPr>
  </w:style>
  <w:style w:type="paragraph" w:styleId="NormalWeb">
    <w:name w:val="Normal (Web)"/>
    <w:basedOn w:val="Normal"/>
    <w:uiPriority w:val="99"/>
    <w:semiHidden/>
    <w:unhideWhenUsed/>
    <w:rsid w:val="00886F69"/>
    <w:pPr>
      <w:spacing w:before="100" w:beforeAutospacing="1" w:after="100" w:afterAutospacing="1"/>
    </w:pPr>
    <w:rPr>
      <w:rFonts w:eastAsiaTheme="minorEastAsia"/>
    </w:rPr>
  </w:style>
  <w:style w:type="paragraph" w:styleId="Bibliography">
    <w:name w:val="Bibliography"/>
    <w:basedOn w:val="Normal"/>
    <w:next w:val="Normal"/>
    <w:uiPriority w:val="37"/>
    <w:unhideWhenUsed/>
    <w:rsid w:val="00520922"/>
    <w:pPr>
      <w:spacing w:after="240"/>
      <w:ind w:left="720" w:hanging="720"/>
    </w:pPr>
  </w:style>
  <w:style w:type="character" w:styleId="EndnoteReference">
    <w:name w:val="endnote reference"/>
    <w:basedOn w:val="DefaultParagraphFont"/>
    <w:semiHidden/>
    <w:unhideWhenUsed/>
    <w:rsid w:val="0027715C"/>
    <w:rPr>
      <w:vertAlign w:val="superscript"/>
    </w:rPr>
  </w:style>
  <w:style w:type="paragraph" w:styleId="EndnoteText">
    <w:name w:val="endnote text"/>
    <w:basedOn w:val="Normal"/>
    <w:link w:val="EndnoteTextChar"/>
    <w:semiHidden/>
    <w:unhideWhenUsed/>
    <w:rsid w:val="008809C8"/>
    <w:rPr>
      <w:sz w:val="20"/>
      <w:szCs w:val="20"/>
    </w:rPr>
  </w:style>
  <w:style w:type="character" w:customStyle="1" w:styleId="EndnoteTextChar">
    <w:name w:val="Endnote Text Char"/>
    <w:basedOn w:val="DefaultParagraphFont"/>
    <w:link w:val="EndnoteText"/>
    <w:semiHidden/>
    <w:rsid w:val="008809C8"/>
  </w:style>
  <w:style w:type="character" w:customStyle="1" w:styleId="Continuedintitle">
    <w:name w:val="Continued (in title)"/>
    <w:basedOn w:val="DefaultParagraphFont"/>
    <w:rsid w:val="002F0B35"/>
    <w:rPr>
      <w:rFonts w:ascii="Arial" w:hAnsi="Arial"/>
      <w:b/>
      <w:sz w:val="18"/>
    </w:rPr>
  </w:style>
  <w:style w:type="paragraph" w:customStyle="1" w:styleId="Copyrightheading">
    <w:name w:val="Copyright heading"/>
    <w:basedOn w:val="TOC1"/>
    <w:link w:val="CopyrightheadingChar"/>
    <w:qFormat/>
    <w:rsid w:val="002F0B35"/>
    <w:pPr>
      <w:spacing w:line="300" w:lineRule="exact"/>
    </w:pPr>
    <w:rPr>
      <w:sz w:val="22"/>
    </w:rPr>
  </w:style>
  <w:style w:type="character" w:customStyle="1" w:styleId="CopyrightheadingChar">
    <w:name w:val="Copyright heading Char"/>
    <w:basedOn w:val="TOC1Char"/>
    <w:link w:val="Copyrightheading"/>
    <w:rsid w:val="002F0B35"/>
    <w:rPr>
      <w:rFonts w:ascii="Arial" w:hAnsi="Arial"/>
      <w:b/>
      <w:sz w:val="22"/>
      <w:szCs w:val="26"/>
      <w:lang w:eastAsia="en-US"/>
    </w:rPr>
  </w:style>
  <w:style w:type="paragraph" w:customStyle="1" w:styleId="Copyrightsubtitle">
    <w:name w:val="Copyright subtitle"/>
    <w:basedOn w:val="BodyText"/>
    <w:rsid w:val="002F0B35"/>
    <w:rPr>
      <w:rFonts w:ascii="Arial" w:hAnsi="Arial"/>
      <w:b/>
      <w:sz w:val="22"/>
      <w:szCs w:val="25"/>
    </w:rPr>
  </w:style>
  <w:style w:type="paragraph" w:customStyle="1" w:styleId="Copyrightbodytext">
    <w:name w:val="Copyright bodytext"/>
    <w:basedOn w:val="BodyText"/>
    <w:link w:val="CopyrightbodytextChar"/>
    <w:qFormat/>
    <w:rsid w:val="002F0B35"/>
    <w:pPr>
      <w:spacing w:before="60"/>
    </w:pPr>
  </w:style>
  <w:style w:type="character" w:customStyle="1" w:styleId="CopyrightbodytextChar">
    <w:name w:val="Copyright bodytext Char"/>
    <w:basedOn w:val="BodyTextChar"/>
    <w:link w:val="Copyrightbodytext"/>
    <w:rsid w:val="002F0B35"/>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F0B35"/>
    <w:rPr>
      <w:sz w:val="24"/>
      <w:szCs w:val="24"/>
    </w:rPr>
  </w:style>
  <w:style w:type="paragraph" w:styleId="Heading1">
    <w:name w:val="heading 1"/>
    <w:basedOn w:val="BodyText"/>
    <w:next w:val="BodyText"/>
    <w:rsid w:val="002F0B35"/>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2F0B35"/>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2F0B35"/>
    <w:pPr>
      <w:spacing w:before="560" w:line="320" w:lineRule="exact"/>
      <w:ind w:left="0" w:firstLine="0"/>
      <w:outlineLvl w:val="2"/>
    </w:pPr>
    <w:rPr>
      <w:sz w:val="26"/>
    </w:rPr>
  </w:style>
  <w:style w:type="paragraph" w:styleId="Heading4">
    <w:name w:val="heading 4"/>
    <w:basedOn w:val="Heading3"/>
    <w:next w:val="BodyText"/>
    <w:qFormat/>
    <w:rsid w:val="002F0B35"/>
    <w:pPr>
      <w:spacing w:before="480"/>
      <w:outlineLvl w:val="3"/>
    </w:pPr>
    <w:rPr>
      <w:b w:val="0"/>
      <w:sz w:val="24"/>
    </w:rPr>
  </w:style>
  <w:style w:type="paragraph" w:styleId="Heading5">
    <w:name w:val="heading 5"/>
    <w:basedOn w:val="Heading4"/>
    <w:next w:val="BodyText"/>
    <w:link w:val="Heading5Char"/>
    <w:qFormat/>
    <w:rsid w:val="002F0B35"/>
    <w:pPr>
      <w:outlineLvl w:val="4"/>
    </w:pPr>
    <w:rPr>
      <w:i/>
      <w:sz w:val="22"/>
    </w:rPr>
  </w:style>
  <w:style w:type="paragraph" w:styleId="Heading6">
    <w:name w:val="heading 6"/>
    <w:basedOn w:val="BodyText"/>
    <w:next w:val="BodyText"/>
    <w:semiHidden/>
    <w:rsid w:val="002F0B35"/>
    <w:pPr>
      <w:spacing w:after="60"/>
      <w:jc w:val="left"/>
      <w:outlineLvl w:val="5"/>
    </w:pPr>
    <w:rPr>
      <w:i/>
      <w:sz w:val="22"/>
    </w:rPr>
  </w:style>
  <w:style w:type="paragraph" w:styleId="Heading7">
    <w:name w:val="heading 7"/>
    <w:basedOn w:val="BodyText"/>
    <w:next w:val="BodyText"/>
    <w:semiHidden/>
    <w:rsid w:val="002F0B35"/>
    <w:pPr>
      <w:spacing w:after="60" w:line="240" w:lineRule="auto"/>
      <w:jc w:val="left"/>
      <w:outlineLvl w:val="6"/>
    </w:pPr>
    <w:rPr>
      <w:rFonts w:ascii="Arial" w:hAnsi="Arial"/>
      <w:sz w:val="20"/>
    </w:rPr>
  </w:style>
  <w:style w:type="paragraph" w:styleId="Heading8">
    <w:name w:val="heading 8"/>
    <w:basedOn w:val="BodyText"/>
    <w:next w:val="BodyText"/>
    <w:semiHidden/>
    <w:rsid w:val="002F0B35"/>
    <w:pPr>
      <w:spacing w:after="60" w:line="240" w:lineRule="auto"/>
      <w:jc w:val="left"/>
      <w:outlineLvl w:val="7"/>
    </w:pPr>
    <w:rPr>
      <w:rFonts w:ascii="Arial" w:hAnsi="Arial"/>
      <w:i/>
      <w:sz w:val="20"/>
    </w:rPr>
  </w:style>
  <w:style w:type="paragraph" w:styleId="Heading9">
    <w:name w:val="heading 9"/>
    <w:basedOn w:val="BodyText"/>
    <w:next w:val="BodyText"/>
    <w:semiHidden/>
    <w:rsid w:val="002F0B35"/>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2F0B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0B35"/>
  </w:style>
  <w:style w:type="paragraph" w:styleId="BodyText">
    <w:name w:val="Body Text"/>
    <w:aliases w:val="Body Text1,new legislation style,new legislation style1,new legislation style Ch"/>
    <w:link w:val="BodyTextChar"/>
    <w:qFormat/>
    <w:rsid w:val="002F0B35"/>
    <w:pPr>
      <w:spacing w:before="240" w:line="300" w:lineRule="atLeast"/>
      <w:jc w:val="both"/>
    </w:pPr>
    <w:rPr>
      <w:sz w:val="24"/>
    </w:rPr>
  </w:style>
  <w:style w:type="paragraph" w:styleId="Footer">
    <w:name w:val="footer"/>
    <w:basedOn w:val="BodyText"/>
    <w:link w:val="FooterChar"/>
    <w:rsid w:val="002F0B35"/>
    <w:pPr>
      <w:spacing w:before="80" w:line="200" w:lineRule="exact"/>
      <w:ind w:right="6"/>
      <w:jc w:val="left"/>
    </w:pPr>
    <w:rPr>
      <w:rFonts w:ascii="Arial" w:hAnsi="Arial"/>
      <w:caps/>
      <w:spacing w:val="-4"/>
      <w:sz w:val="16"/>
    </w:rPr>
  </w:style>
  <w:style w:type="paragraph" w:customStyle="1" w:styleId="FooterEnd">
    <w:name w:val="Footer End"/>
    <w:basedOn w:val="Footer"/>
    <w:rsid w:val="002F0B35"/>
    <w:pPr>
      <w:spacing w:before="0" w:line="20" w:lineRule="exact"/>
    </w:pPr>
  </w:style>
  <w:style w:type="paragraph" w:styleId="Header">
    <w:name w:val="header"/>
    <w:basedOn w:val="BodyText"/>
    <w:rsid w:val="002F0B35"/>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2F0B35"/>
    <w:pPr>
      <w:spacing w:line="20" w:lineRule="exact"/>
    </w:pPr>
    <w:rPr>
      <w:sz w:val="16"/>
    </w:rPr>
  </w:style>
  <w:style w:type="paragraph" w:customStyle="1" w:styleId="HeaderEven">
    <w:name w:val="Header Even"/>
    <w:basedOn w:val="Header"/>
    <w:semiHidden/>
    <w:rsid w:val="002F0B35"/>
  </w:style>
  <w:style w:type="paragraph" w:customStyle="1" w:styleId="HeaderOdd">
    <w:name w:val="Header Odd"/>
    <w:basedOn w:val="Header"/>
    <w:semiHidden/>
    <w:rsid w:val="002F0B35"/>
  </w:style>
  <w:style w:type="character" w:styleId="PageNumber">
    <w:name w:val="page number"/>
    <w:basedOn w:val="DefaultParagraphFont"/>
    <w:rsid w:val="002F0B35"/>
    <w:rPr>
      <w:rFonts w:ascii="Arial" w:hAnsi="Arial"/>
      <w:b/>
      <w:sz w:val="16"/>
    </w:rPr>
  </w:style>
  <w:style w:type="paragraph" w:customStyle="1" w:styleId="Abbreviation">
    <w:name w:val="Abbreviation"/>
    <w:basedOn w:val="BodyText"/>
    <w:rsid w:val="002F0B35"/>
    <w:pPr>
      <w:spacing w:before="120"/>
      <w:ind w:left="2381" w:hanging="2381"/>
      <w:jc w:val="left"/>
    </w:pPr>
  </w:style>
  <w:style w:type="paragraph" w:customStyle="1" w:styleId="Box">
    <w:name w:val="Box"/>
    <w:basedOn w:val="BodyText"/>
    <w:qFormat/>
    <w:rsid w:val="002F0B35"/>
    <w:pPr>
      <w:keepNext/>
      <w:spacing w:before="120" w:line="260" w:lineRule="atLeast"/>
    </w:pPr>
    <w:rPr>
      <w:rFonts w:ascii="Arial" w:hAnsi="Arial"/>
      <w:sz w:val="20"/>
    </w:rPr>
  </w:style>
  <w:style w:type="paragraph" w:customStyle="1" w:styleId="BoxContinued">
    <w:name w:val="Box Continued"/>
    <w:basedOn w:val="BodyText"/>
    <w:next w:val="BodyText"/>
    <w:semiHidden/>
    <w:rsid w:val="002F0B35"/>
    <w:pPr>
      <w:spacing w:before="180" w:line="220" w:lineRule="exact"/>
      <w:jc w:val="right"/>
    </w:pPr>
    <w:rPr>
      <w:rFonts w:ascii="Arial" w:hAnsi="Arial"/>
      <w:sz w:val="18"/>
    </w:rPr>
  </w:style>
  <w:style w:type="paragraph" w:customStyle="1" w:styleId="BoxHeading1">
    <w:name w:val="Box Heading 1"/>
    <w:basedOn w:val="BodyText"/>
    <w:next w:val="Box"/>
    <w:rsid w:val="002F0B35"/>
    <w:pPr>
      <w:keepNext/>
      <w:spacing w:before="200" w:line="280" w:lineRule="atLeast"/>
    </w:pPr>
    <w:rPr>
      <w:rFonts w:ascii="Arial" w:hAnsi="Arial"/>
      <w:b/>
      <w:sz w:val="22"/>
    </w:rPr>
  </w:style>
  <w:style w:type="paragraph" w:customStyle="1" w:styleId="BoxHeading2">
    <w:name w:val="Box Heading 2"/>
    <w:basedOn w:val="BoxHeading1"/>
    <w:next w:val="Normal"/>
    <w:rsid w:val="002F0B35"/>
    <w:rPr>
      <w:b w:val="0"/>
      <w:i/>
    </w:rPr>
  </w:style>
  <w:style w:type="paragraph" w:customStyle="1" w:styleId="BoxListBullet">
    <w:name w:val="Box List Bullet"/>
    <w:basedOn w:val="BodyText"/>
    <w:rsid w:val="002F0B35"/>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2F0B35"/>
    <w:pPr>
      <w:numPr>
        <w:numId w:val="13"/>
      </w:numPr>
      <w:ind w:left="568" w:hanging="284"/>
    </w:pPr>
  </w:style>
  <w:style w:type="paragraph" w:customStyle="1" w:styleId="BoxListNumber">
    <w:name w:val="Box List Number"/>
    <w:basedOn w:val="BodyText"/>
    <w:rsid w:val="002F0B35"/>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2F0B35"/>
    <w:pPr>
      <w:numPr>
        <w:ilvl w:val="1"/>
      </w:numPr>
      <w:ind w:left="681" w:hanging="397"/>
    </w:pPr>
  </w:style>
  <w:style w:type="paragraph" w:customStyle="1" w:styleId="BoxQuote">
    <w:name w:val="Box Quote"/>
    <w:basedOn w:val="BodyText"/>
    <w:next w:val="Box"/>
    <w:qFormat/>
    <w:rsid w:val="002F0B35"/>
    <w:pPr>
      <w:keepNext/>
      <w:spacing w:before="60" w:line="240" w:lineRule="exact"/>
      <w:ind w:left="284"/>
    </w:pPr>
    <w:rPr>
      <w:rFonts w:ascii="Arial" w:hAnsi="Arial"/>
      <w:sz w:val="18"/>
    </w:rPr>
  </w:style>
  <w:style w:type="paragraph" w:customStyle="1" w:styleId="Note">
    <w:name w:val="Note"/>
    <w:basedOn w:val="BodyText"/>
    <w:next w:val="BodyText"/>
    <w:link w:val="NoteChar"/>
    <w:rsid w:val="002F0B35"/>
    <w:pPr>
      <w:keepLines/>
      <w:spacing w:before="80" w:line="220" w:lineRule="exact"/>
    </w:pPr>
    <w:rPr>
      <w:rFonts w:ascii="Arial" w:hAnsi="Arial"/>
      <w:sz w:val="18"/>
    </w:rPr>
  </w:style>
  <w:style w:type="paragraph" w:customStyle="1" w:styleId="Source">
    <w:name w:val="Source"/>
    <w:basedOn w:val="Normal"/>
    <w:next w:val="BodyText"/>
    <w:link w:val="SourceChar"/>
    <w:rsid w:val="002F0B35"/>
    <w:pPr>
      <w:keepLines/>
      <w:spacing w:before="80" w:line="220" w:lineRule="exact"/>
      <w:jc w:val="both"/>
    </w:pPr>
    <w:rPr>
      <w:rFonts w:ascii="Arial" w:hAnsi="Arial"/>
      <w:sz w:val="18"/>
      <w:szCs w:val="20"/>
    </w:rPr>
  </w:style>
  <w:style w:type="paragraph" w:customStyle="1" w:styleId="BoxSource">
    <w:name w:val="Box Source"/>
    <w:basedOn w:val="Source"/>
    <w:next w:val="BodyText"/>
    <w:rsid w:val="002F0B35"/>
    <w:pPr>
      <w:spacing w:before="120"/>
    </w:pPr>
  </w:style>
  <w:style w:type="paragraph" w:customStyle="1" w:styleId="BoxSpaceAbove">
    <w:name w:val="Box Space Above"/>
    <w:basedOn w:val="BodyText"/>
    <w:rsid w:val="002F0B35"/>
    <w:pPr>
      <w:keepNext/>
      <w:spacing w:before="360" w:line="80" w:lineRule="exact"/>
      <w:jc w:val="left"/>
    </w:pPr>
  </w:style>
  <w:style w:type="paragraph" w:styleId="Caption">
    <w:name w:val="caption"/>
    <w:basedOn w:val="Normal"/>
    <w:next w:val="BodyText"/>
    <w:rsid w:val="002F0B35"/>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2F0B35"/>
    <w:pPr>
      <w:spacing w:before="120" w:after="0"/>
    </w:pPr>
  </w:style>
  <w:style w:type="paragraph" w:customStyle="1" w:styleId="BoxSubtitle">
    <w:name w:val="Box Subtitle"/>
    <w:basedOn w:val="BoxTitle"/>
    <w:next w:val="Normal"/>
    <w:rsid w:val="002F0B35"/>
    <w:pPr>
      <w:spacing w:after="80" w:line="200" w:lineRule="exact"/>
      <w:ind w:firstLine="0"/>
    </w:pPr>
    <w:rPr>
      <w:b w:val="0"/>
      <w:sz w:val="20"/>
    </w:rPr>
  </w:style>
  <w:style w:type="paragraph" w:customStyle="1" w:styleId="Chapter">
    <w:name w:val="Chapter"/>
    <w:basedOn w:val="Heading1"/>
    <w:next w:val="BodyText"/>
    <w:semiHidden/>
    <w:rsid w:val="002F0B35"/>
    <w:pPr>
      <w:ind w:left="0" w:firstLine="0"/>
      <w:outlineLvl w:val="9"/>
    </w:pPr>
  </w:style>
  <w:style w:type="paragraph" w:customStyle="1" w:styleId="ChapterSummary">
    <w:name w:val="Chapter Summary"/>
    <w:basedOn w:val="BodyText"/>
    <w:rsid w:val="002F0B35"/>
    <w:pPr>
      <w:spacing w:line="280" w:lineRule="atLeast"/>
      <w:ind w:left="907"/>
    </w:pPr>
    <w:rPr>
      <w:rFonts w:ascii="Arial" w:hAnsi="Arial"/>
      <w:b/>
      <w:sz w:val="20"/>
    </w:rPr>
  </w:style>
  <w:style w:type="character" w:styleId="CommentReference">
    <w:name w:val="annotation reference"/>
    <w:basedOn w:val="DefaultParagraphFont"/>
    <w:semiHidden/>
    <w:rsid w:val="002F0B35"/>
    <w:rPr>
      <w:b/>
      <w:vanish/>
      <w:color w:val="FF00FF"/>
      <w:sz w:val="20"/>
    </w:rPr>
  </w:style>
  <w:style w:type="paragraph" w:styleId="CommentText">
    <w:name w:val="annotation text"/>
    <w:basedOn w:val="Normal"/>
    <w:link w:val="CommentTextChar"/>
    <w:semiHidden/>
    <w:rsid w:val="002F0B35"/>
    <w:pPr>
      <w:spacing w:before="120" w:line="240" w:lineRule="atLeast"/>
      <w:ind w:left="567" w:hanging="567"/>
    </w:pPr>
    <w:rPr>
      <w:sz w:val="20"/>
    </w:rPr>
  </w:style>
  <w:style w:type="paragraph" w:customStyle="1" w:styleId="Continued">
    <w:name w:val="Continued"/>
    <w:basedOn w:val="BoxContinued"/>
    <w:next w:val="BodyText"/>
    <w:rsid w:val="002F0B35"/>
  </w:style>
  <w:style w:type="character" w:customStyle="1" w:styleId="DocumentInfo">
    <w:name w:val="Document Info"/>
    <w:basedOn w:val="DefaultParagraphFont"/>
    <w:semiHidden/>
    <w:rsid w:val="002F0B35"/>
    <w:rPr>
      <w:rFonts w:ascii="Arial" w:hAnsi="Arial"/>
      <w:sz w:val="14"/>
    </w:rPr>
  </w:style>
  <w:style w:type="character" w:customStyle="1" w:styleId="DraftingNote">
    <w:name w:val="Drafting Note"/>
    <w:basedOn w:val="DefaultParagraphFont"/>
    <w:rsid w:val="002F0B35"/>
    <w:rPr>
      <w:b/>
      <w:color w:val="FF0000"/>
      <w:sz w:val="24"/>
      <w:u w:val="dotted"/>
    </w:rPr>
  </w:style>
  <w:style w:type="paragraph" w:customStyle="1" w:styleId="Figure">
    <w:name w:val="Figure"/>
    <w:basedOn w:val="BodyText"/>
    <w:rsid w:val="002F0B35"/>
    <w:pPr>
      <w:keepNext/>
      <w:spacing w:before="120" w:after="120" w:line="240" w:lineRule="atLeast"/>
      <w:jc w:val="center"/>
    </w:pPr>
  </w:style>
  <w:style w:type="paragraph" w:customStyle="1" w:styleId="FigureTitle">
    <w:name w:val="Figure Title"/>
    <w:basedOn w:val="Caption"/>
    <w:next w:val="Subtitle"/>
    <w:rsid w:val="002F0B35"/>
    <w:pPr>
      <w:spacing w:before="120"/>
    </w:pPr>
  </w:style>
  <w:style w:type="paragraph" w:styleId="Subtitle">
    <w:name w:val="Subtitle"/>
    <w:basedOn w:val="Caption"/>
    <w:link w:val="SubtitleChar"/>
    <w:qFormat/>
    <w:rsid w:val="002F0B35"/>
    <w:pPr>
      <w:spacing w:before="0" w:line="200" w:lineRule="exact"/>
      <w:ind w:firstLine="0"/>
    </w:pPr>
    <w:rPr>
      <w:b w:val="0"/>
      <w:sz w:val="20"/>
    </w:rPr>
  </w:style>
  <w:style w:type="paragraph" w:customStyle="1" w:styleId="Finding">
    <w:name w:val="Finding"/>
    <w:basedOn w:val="BodyText"/>
    <w:rsid w:val="002F0B35"/>
    <w:pPr>
      <w:keepLines/>
      <w:spacing w:before="120" w:line="280" w:lineRule="atLeast"/>
    </w:pPr>
    <w:rPr>
      <w:rFonts w:ascii="Arial" w:hAnsi="Arial"/>
      <w:sz w:val="22"/>
    </w:rPr>
  </w:style>
  <w:style w:type="paragraph" w:customStyle="1" w:styleId="FindingBullet">
    <w:name w:val="Finding Bullet"/>
    <w:basedOn w:val="Finding"/>
    <w:rsid w:val="002F0B35"/>
    <w:pPr>
      <w:numPr>
        <w:numId w:val="15"/>
      </w:numPr>
      <w:spacing w:before="80"/>
    </w:pPr>
  </w:style>
  <w:style w:type="paragraph" w:customStyle="1" w:styleId="FindingNoTitle">
    <w:name w:val="Finding NoTitle"/>
    <w:basedOn w:val="Finding"/>
    <w:semiHidden/>
    <w:rsid w:val="002F0B35"/>
    <w:pPr>
      <w:spacing w:before="240"/>
    </w:pPr>
  </w:style>
  <w:style w:type="paragraph" w:customStyle="1" w:styleId="RecTitle">
    <w:name w:val="Rec Title"/>
    <w:basedOn w:val="BodyText"/>
    <w:next w:val="Rec"/>
    <w:qFormat/>
    <w:rsid w:val="002F0B35"/>
    <w:pPr>
      <w:keepNext/>
      <w:keepLines/>
      <w:spacing w:line="280" w:lineRule="atLeast"/>
    </w:pPr>
    <w:rPr>
      <w:rFonts w:ascii="Arial" w:hAnsi="Arial"/>
      <w:caps/>
      <w:sz w:val="18"/>
    </w:rPr>
  </w:style>
  <w:style w:type="paragraph" w:customStyle="1" w:styleId="FindingTitle">
    <w:name w:val="Finding Title"/>
    <w:basedOn w:val="RecTitle"/>
    <w:next w:val="Finding"/>
    <w:rsid w:val="002F0B35"/>
  </w:style>
  <w:style w:type="character" w:styleId="FootnoteReference">
    <w:name w:val="footnote reference"/>
    <w:aliases w:val="NO"/>
    <w:basedOn w:val="DefaultParagraphFont"/>
    <w:rsid w:val="002F0B35"/>
    <w:rPr>
      <w:rFonts w:ascii="Times New Roman" w:hAnsi="Times New Roman"/>
      <w:position w:val="6"/>
      <w:sz w:val="20"/>
      <w:vertAlign w:val="baseline"/>
    </w:rPr>
  </w:style>
  <w:style w:type="paragraph" w:styleId="FootnoteText">
    <w:name w:val="footnote text"/>
    <w:aliases w:val="Footnote Text Char1 Char,Footnote Text Char Char Char,Footnote Text Char1 Char Char Char,Footnote Text Char Char Char Char Char,Footnote Text Char1 Char1,Footnote Text Char Char Char1,FN,Footnote Text Char1"/>
    <w:basedOn w:val="BodyText"/>
    <w:link w:val="FootnoteTextChar"/>
    <w:rsid w:val="002F0B35"/>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2F0B35"/>
    <w:rPr>
      <w:i/>
    </w:rPr>
  </w:style>
  <w:style w:type="paragraph" w:customStyle="1" w:styleId="Jurisdictioncommentsbodytext">
    <w:name w:val="Jurisdiction comments body text"/>
    <w:rsid w:val="002F0B35"/>
    <w:pPr>
      <w:spacing w:after="140"/>
      <w:jc w:val="both"/>
    </w:pPr>
    <w:rPr>
      <w:rFonts w:ascii="Arial" w:hAnsi="Arial"/>
      <w:sz w:val="24"/>
      <w:lang w:eastAsia="en-US"/>
    </w:rPr>
  </w:style>
  <w:style w:type="paragraph" w:customStyle="1" w:styleId="Jurisdictioncommentsheading">
    <w:name w:val="Jurisdiction comments heading"/>
    <w:rsid w:val="002F0B35"/>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2F0B35"/>
    <w:pPr>
      <w:numPr>
        <w:numId w:val="2"/>
      </w:numPr>
      <w:spacing w:after="140"/>
      <w:jc w:val="both"/>
    </w:pPr>
    <w:rPr>
      <w:rFonts w:ascii="Arial" w:hAnsi="Arial"/>
      <w:sz w:val="24"/>
      <w:lang w:eastAsia="en-US"/>
    </w:rPr>
  </w:style>
  <w:style w:type="paragraph" w:styleId="ListBullet">
    <w:name w:val="List Bullet"/>
    <w:basedOn w:val="BodyText"/>
    <w:rsid w:val="002F0B35"/>
    <w:pPr>
      <w:numPr>
        <w:numId w:val="3"/>
      </w:numPr>
      <w:spacing w:before="120"/>
    </w:pPr>
  </w:style>
  <w:style w:type="paragraph" w:styleId="ListBullet2">
    <w:name w:val="List Bullet 2"/>
    <w:basedOn w:val="BodyText"/>
    <w:rsid w:val="002F0B35"/>
    <w:pPr>
      <w:numPr>
        <w:numId w:val="4"/>
      </w:numPr>
      <w:spacing w:before="120"/>
    </w:pPr>
  </w:style>
  <w:style w:type="paragraph" w:styleId="ListBullet3">
    <w:name w:val="List Bullet 3"/>
    <w:basedOn w:val="BodyText"/>
    <w:rsid w:val="002F0B35"/>
    <w:pPr>
      <w:numPr>
        <w:numId w:val="5"/>
      </w:numPr>
      <w:spacing w:before="120"/>
      <w:ind w:left="1020" w:hanging="340"/>
    </w:pPr>
  </w:style>
  <w:style w:type="paragraph" w:styleId="ListNumber">
    <w:name w:val="List Number"/>
    <w:basedOn w:val="BodyText"/>
    <w:rsid w:val="002F0B35"/>
    <w:pPr>
      <w:numPr>
        <w:numId w:val="9"/>
      </w:numPr>
      <w:spacing w:before="120"/>
    </w:pPr>
  </w:style>
  <w:style w:type="paragraph" w:styleId="ListNumber2">
    <w:name w:val="List Number 2"/>
    <w:basedOn w:val="ListNumber"/>
    <w:rsid w:val="002F0B35"/>
    <w:pPr>
      <w:numPr>
        <w:ilvl w:val="1"/>
      </w:numPr>
    </w:pPr>
  </w:style>
  <w:style w:type="paragraph" w:styleId="ListNumber3">
    <w:name w:val="List Number 3"/>
    <w:basedOn w:val="ListNumber2"/>
    <w:rsid w:val="002F0B35"/>
    <w:pPr>
      <w:numPr>
        <w:ilvl w:val="2"/>
      </w:numPr>
    </w:pPr>
  </w:style>
  <w:style w:type="character" w:customStyle="1" w:styleId="NoteLabel">
    <w:name w:val="Note Label"/>
    <w:basedOn w:val="DefaultParagraphFont"/>
    <w:rsid w:val="002F0B35"/>
    <w:rPr>
      <w:rFonts w:ascii="Arial" w:hAnsi="Arial"/>
      <w:b/>
      <w:position w:val="6"/>
      <w:sz w:val="18"/>
    </w:rPr>
  </w:style>
  <w:style w:type="paragraph" w:customStyle="1" w:styleId="PartDivider">
    <w:name w:val="Part Divider"/>
    <w:basedOn w:val="BodyText"/>
    <w:next w:val="BodyText"/>
    <w:semiHidden/>
    <w:rsid w:val="002F0B35"/>
    <w:pPr>
      <w:spacing w:before="0" w:line="40" w:lineRule="exact"/>
      <w:jc w:val="right"/>
    </w:pPr>
    <w:rPr>
      <w:smallCaps/>
      <w:sz w:val="16"/>
    </w:rPr>
  </w:style>
  <w:style w:type="paragraph" w:customStyle="1" w:styleId="PartNumber">
    <w:name w:val="Part Number"/>
    <w:basedOn w:val="BodyText"/>
    <w:next w:val="BodyText"/>
    <w:semiHidden/>
    <w:rsid w:val="002F0B35"/>
    <w:pPr>
      <w:spacing w:before="4000" w:line="320" w:lineRule="exact"/>
      <w:ind w:left="6634"/>
      <w:jc w:val="right"/>
    </w:pPr>
    <w:rPr>
      <w:smallCaps/>
      <w:spacing w:val="60"/>
      <w:sz w:val="32"/>
    </w:rPr>
  </w:style>
  <w:style w:type="paragraph" w:customStyle="1" w:styleId="PartTitle">
    <w:name w:val="Part Title"/>
    <w:basedOn w:val="BodyText"/>
    <w:semiHidden/>
    <w:rsid w:val="002F0B35"/>
    <w:pPr>
      <w:spacing w:before="160" w:after="1360" w:line="520" w:lineRule="exact"/>
      <w:ind w:right="2381"/>
      <w:jc w:val="right"/>
    </w:pPr>
    <w:rPr>
      <w:smallCaps/>
      <w:sz w:val="52"/>
    </w:rPr>
  </w:style>
  <w:style w:type="paragraph" w:styleId="Quote">
    <w:name w:val="Quote"/>
    <w:basedOn w:val="BodyText"/>
    <w:next w:val="BodyText"/>
    <w:qFormat/>
    <w:rsid w:val="002F0B35"/>
    <w:pPr>
      <w:spacing w:before="120" w:line="280" w:lineRule="exact"/>
      <w:ind w:left="340"/>
    </w:pPr>
    <w:rPr>
      <w:sz w:val="22"/>
    </w:rPr>
  </w:style>
  <w:style w:type="paragraph" w:customStyle="1" w:styleId="QuoteBullet">
    <w:name w:val="Quote Bullet"/>
    <w:basedOn w:val="Quote"/>
    <w:rsid w:val="002F0B35"/>
    <w:pPr>
      <w:numPr>
        <w:numId w:val="6"/>
      </w:numPr>
    </w:pPr>
  </w:style>
  <w:style w:type="paragraph" w:customStyle="1" w:styleId="Rec">
    <w:name w:val="Rec"/>
    <w:basedOn w:val="BodyText"/>
    <w:qFormat/>
    <w:rsid w:val="002F0B35"/>
    <w:pPr>
      <w:keepLines/>
      <w:spacing w:before="120" w:line="280" w:lineRule="atLeast"/>
    </w:pPr>
    <w:rPr>
      <w:rFonts w:ascii="Arial" w:hAnsi="Arial"/>
      <w:sz w:val="22"/>
    </w:rPr>
  </w:style>
  <w:style w:type="paragraph" w:customStyle="1" w:styleId="RecBullet">
    <w:name w:val="Rec Bullet"/>
    <w:basedOn w:val="Rec"/>
    <w:rsid w:val="002F0B35"/>
    <w:pPr>
      <w:numPr>
        <w:numId w:val="17"/>
      </w:numPr>
      <w:spacing w:before="80"/>
    </w:pPr>
  </w:style>
  <w:style w:type="paragraph" w:customStyle="1" w:styleId="RecB">
    <w:name w:val="RecB"/>
    <w:basedOn w:val="Normal"/>
    <w:semiHidden/>
    <w:rsid w:val="002F0B3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2F0B35"/>
    <w:pPr>
      <w:numPr>
        <w:numId w:val="11"/>
      </w:numPr>
      <w:spacing w:before="80"/>
    </w:pPr>
  </w:style>
  <w:style w:type="paragraph" w:customStyle="1" w:styleId="RecBNoTitle">
    <w:name w:val="RecB NoTitle"/>
    <w:basedOn w:val="RecB"/>
    <w:semiHidden/>
    <w:rsid w:val="002F0B35"/>
    <w:pPr>
      <w:spacing w:before="240"/>
    </w:pPr>
  </w:style>
  <w:style w:type="paragraph" w:customStyle="1" w:styleId="Reference">
    <w:name w:val="Reference"/>
    <w:basedOn w:val="BodyText"/>
    <w:rsid w:val="002F0B35"/>
    <w:pPr>
      <w:spacing w:before="120"/>
      <w:ind w:left="340" w:hanging="340"/>
    </w:pPr>
  </w:style>
  <w:style w:type="paragraph" w:customStyle="1" w:styleId="SequenceInfo">
    <w:name w:val="Sequence Info"/>
    <w:basedOn w:val="BodyText"/>
    <w:semiHidden/>
    <w:rsid w:val="002F0B35"/>
    <w:rPr>
      <w:vanish/>
      <w:sz w:val="16"/>
    </w:rPr>
  </w:style>
  <w:style w:type="paragraph" w:customStyle="1" w:styleId="SideNote">
    <w:name w:val="Side Note"/>
    <w:basedOn w:val="BodyText"/>
    <w:next w:val="BodyText"/>
    <w:semiHidden/>
    <w:rsid w:val="002F0B35"/>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2F0B35"/>
    <w:pPr>
      <w:framePr w:wrap="around"/>
      <w:numPr>
        <w:numId w:val="7"/>
      </w:numPr>
      <w:tabs>
        <w:tab w:val="left" w:pos="227"/>
      </w:tabs>
    </w:pPr>
  </w:style>
  <w:style w:type="paragraph" w:customStyle="1" w:styleId="SideNoteGraphic">
    <w:name w:val="Side Note Graphic"/>
    <w:basedOn w:val="SideNote"/>
    <w:next w:val="BodyText"/>
    <w:semiHidden/>
    <w:rsid w:val="002F0B35"/>
    <w:pPr>
      <w:framePr w:wrap="around"/>
    </w:pPr>
  </w:style>
  <w:style w:type="paragraph" w:customStyle="1" w:styleId="TableBodyText">
    <w:name w:val="Table Body Text"/>
    <w:basedOn w:val="BodyText"/>
    <w:rsid w:val="002F0B35"/>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2F0B35"/>
    <w:pPr>
      <w:numPr>
        <w:numId w:val="8"/>
      </w:numPr>
      <w:jc w:val="left"/>
    </w:pPr>
  </w:style>
  <w:style w:type="paragraph" w:customStyle="1" w:styleId="TableColumnHeading">
    <w:name w:val="Table Column Heading"/>
    <w:basedOn w:val="TableBodyText"/>
    <w:rsid w:val="002F0B35"/>
    <w:pPr>
      <w:spacing w:before="80" w:after="80"/>
    </w:pPr>
    <w:rPr>
      <w:i/>
    </w:rPr>
  </w:style>
  <w:style w:type="paragraph" w:styleId="TOC2">
    <w:name w:val="toc 2"/>
    <w:basedOn w:val="TOC1"/>
    <w:rsid w:val="002F0B35"/>
    <w:pPr>
      <w:ind w:left="1134" w:hanging="624"/>
    </w:pPr>
    <w:rPr>
      <w:b w:val="0"/>
    </w:rPr>
  </w:style>
  <w:style w:type="paragraph" w:styleId="TOC3">
    <w:name w:val="toc 3"/>
    <w:basedOn w:val="TOC2"/>
    <w:rsid w:val="002F0B35"/>
    <w:pPr>
      <w:spacing w:before="60"/>
      <w:ind w:left="1190" w:hanging="680"/>
    </w:pPr>
  </w:style>
  <w:style w:type="paragraph" w:styleId="TableofFigures">
    <w:name w:val="table of figures"/>
    <w:basedOn w:val="TOC3"/>
    <w:next w:val="BodyText"/>
    <w:semiHidden/>
    <w:rsid w:val="002F0B35"/>
    <w:pPr>
      <w:ind w:left="737" w:hanging="737"/>
    </w:pPr>
  </w:style>
  <w:style w:type="paragraph" w:customStyle="1" w:styleId="TableTitle">
    <w:name w:val="Table Title"/>
    <w:basedOn w:val="Caption"/>
    <w:next w:val="Subtitle"/>
    <w:qFormat/>
    <w:rsid w:val="002F0B35"/>
    <w:pPr>
      <w:spacing w:before="120"/>
    </w:pPr>
  </w:style>
  <w:style w:type="paragraph" w:customStyle="1" w:styleId="TableUnitsRow">
    <w:name w:val="Table Units Row"/>
    <w:basedOn w:val="TableBodyText"/>
    <w:rsid w:val="002F0B35"/>
    <w:pPr>
      <w:spacing w:before="40"/>
    </w:pPr>
  </w:style>
  <w:style w:type="paragraph" w:styleId="TOC1">
    <w:name w:val="toc 1"/>
    <w:basedOn w:val="Normal"/>
    <w:next w:val="TOC2"/>
    <w:link w:val="TOC1Char"/>
    <w:rsid w:val="002F0B35"/>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2F0B35"/>
    <w:pPr>
      <w:ind w:left="1191" w:firstLine="0"/>
    </w:pPr>
  </w:style>
  <w:style w:type="paragraph" w:customStyle="1" w:styleId="RecBBullet2">
    <w:name w:val="RecB Bullet 2"/>
    <w:basedOn w:val="ListBullet2"/>
    <w:semiHidden/>
    <w:rsid w:val="002F0B35"/>
    <w:pPr>
      <w:pBdr>
        <w:left w:val="single" w:sz="24" w:space="29" w:color="C0C0C0"/>
      </w:pBdr>
    </w:pPr>
    <w:rPr>
      <w:b/>
      <w:i/>
    </w:rPr>
  </w:style>
  <w:style w:type="paragraph" w:styleId="BalloonText">
    <w:name w:val="Balloon Text"/>
    <w:basedOn w:val="Normal"/>
    <w:link w:val="BalloonTextChar"/>
    <w:rsid w:val="002F0B35"/>
    <w:rPr>
      <w:rFonts w:ascii="Tahoma" w:hAnsi="Tahoma" w:cs="Tahoma"/>
      <w:sz w:val="16"/>
      <w:szCs w:val="16"/>
    </w:rPr>
  </w:style>
  <w:style w:type="character" w:customStyle="1" w:styleId="BalloonTextChar">
    <w:name w:val="Balloon Text Char"/>
    <w:basedOn w:val="DefaultParagraphFont"/>
    <w:link w:val="BalloonText"/>
    <w:rsid w:val="002F0B35"/>
    <w:rPr>
      <w:rFonts w:ascii="Tahoma" w:hAnsi="Tahoma" w:cs="Tahoma"/>
      <w:sz w:val="16"/>
      <w:szCs w:val="16"/>
    </w:rPr>
  </w:style>
  <w:style w:type="character" w:customStyle="1" w:styleId="SubtitleChar">
    <w:name w:val="Subtitle Char"/>
    <w:basedOn w:val="DefaultParagraphFont"/>
    <w:link w:val="Subtitle"/>
    <w:rsid w:val="002F0B35"/>
    <w:rPr>
      <w:rFonts w:ascii="Arial" w:hAnsi="Arial"/>
      <w:szCs w:val="24"/>
    </w:rPr>
  </w:style>
  <w:style w:type="paragraph" w:customStyle="1" w:styleId="BoxListBullet3">
    <w:name w:val="Box List Bullet 3"/>
    <w:basedOn w:val="ListBullet3"/>
    <w:rsid w:val="002F0B35"/>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2F0B35"/>
    <w:rPr>
      <w:i/>
      <w:iCs/>
    </w:rPr>
  </w:style>
  <w:style w:type="paragraph" w:customStyle="1" w:styleId="BoxQuoteBullet">
    <w:name w:val="Box Quote Bullet"/>
    <w:basedOn w:val="BoxQuote"/>
    <w:next w:val="Box"/>
    <w:rsid w:val="002F0B35"/>
    <w:pPr>
      <w:numPr>
        <w:numId w:val="12"/>
      </w:numPr>
      <w:ind w:left="568" w:hanging="284"/>
    </w:pPr>
  </w:style>
  <w:style w:type="paragraph" w:customStyle="1" w:styleId="InformationRequestBullet">
    <w:name w:val="Information Request Bullet"/>
    <w:basedOn w:val="ListBullet"/>
    <w:next w:val="BodyText"/>
    <w:rsid w:val="002F0B35"/>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2F0B35"/>
    <w:pPr>
      <w:keepNext w:val="0"/>
      <w:spacing w:before="60" w:after="60" w:line="80" w:lineRule="exact"/>
    </w:pPr>
    <w:rPr>
      <w:sz w:val="14"/>
    </w:rPr>
  </w:style>
  <w:style w:type="paragraph" w:customStyle="1" w:styleId="KeyPointsListBullet">
    <w:name w:val="Key Points List Bullet"/>
    <w:basedOn w:val="Normal"/>
    <w:qFormat/>
    <w:rsid w:val="002F0B3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2F0B35"/>
    <w:pPr>
      <w:numPr>
        <w:numId w:val="21"/>
      </w:numPr>
      <w:ind w:left="568" w:hanging="284"/>
    </w:pPr>
  </w:style>
  <w:style w:type="paragraph" w:customStyle="1" w:styleId="InformationRequestTitle">
    <w:name w:val="Information Request Title"/>
    <w:basedOn w:val="FindingTitle"/>
    <w:next w:val="InformationRequest"/>
    <w:rsid w:val="002F0B35"/>
    <w:rPr>
      <w:i/>
    </w:rPr>
  </w:style>
  <w:style w:type="paragraph" w:customStyle="1" w:styleId="Space">
    <w:name w:val="Space"/>
    <w:basedOn w:val="Normal"/>
    <w:rsid w:val="002F0B35"/>
    <w:pPr>
      <w:keepNext/>
      <w:spacing w:line="120" w:lineRule="exact"/>
      <w:jc w:val="both"/>
    </w:pPr>
    <w:rPr>
      <w:rFonts w:ascii="Arial" w:hAnsi="Arial"/>
      <w:sz w:val="20"/>
      <w:szCs w:val="20"/>
    </w:rPr>
  </w:style>
  <w:style w:type="paragraph" w:customStyle="1" w:styleId="Heading1nochapterno">
    <w:name w:val="Heading 1 (no chapter no.)"/>
    <w:basedOn w:val="Heading1"/>
    <w:rsid w:val="002F0B35"/>
    <w:pPr>
      <w:spacing w:before="0"/>
      <w:ind w:left="0" w:firstLine="0"/>
    </w:pPr>
  </w:style>
  <w:style w:type="paragraph" w:customStyle="1" w:styleId="Heading2nosectionno">
    <w:name w:val="Heading 2 (no section no.)"/>
    <w:basedOn w:val="Heading2"/>
    <w:rsid w:val="002F0B35"/>
    <w:pPr>
      <w:ind w:left="0" w:firstLine="0"/>
    </w:pPr>
  </w:style>
  <w:style w:type="character" w:customStyle="1" w:styleId="Heading5Char">
    <w:name w:val="Heading 5 Char"/>
    <w:basedOn w:val="DefaultParagraphFont"/>
    <w:link w:val="Heading5"/>
    <w:rsid w:val="002F0B35"/>
    <w:rPr>
      <w:rFonts w:ascii="Arial" w:hAnsi="Arial"/>
      <w:i/>
      <w:sz w:val="22"/>
    </w:rPr>
  </w:style>
  <w:style w:type="paragraph" w:customStyle="1" w:styleId="Figurespace">
    <w:name w:val="Figure space"/>
    <w:basedOn w:val="Box"/>
    <w:rsid w:val="002F0B35"/>
    <w:pPr>
      <w:spacing w:before="0" w:line="120" w:lineRule="exact"/>
    </w:pPr>
  </w:style>
  <w:style w:type="paragraph" w:customStyle="1" w:styleId="FooterDraftReport">
    <w:name w:val="FooterDraftReport"/>
    <w:basedOn w:val="Footer"/>
    <w:link w:val="FooterDraftReportChar"/>
    <w:rsid w:val="002F0B35"/>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aliases w:val="Body Text1 Char,new legislation style Char,new legislation style1 Char,new legislation style Ch Char"/>
    <w:basedOn w:val="DefaultParagraphFont"/>
    <w:link w:val="BodyText"/>
    <w:rsid w:val="002F0B35"/>
    <w:rPr>
      <w:sz w:val="24"/>
    </w:rPr>
  </w:style>
  <w:style w:type="character" w:customStyle="1" w:styleId="FooterChar">
    <w:name w:val="Footer Char"/>
    <w:basedOn w:val="BodyTextChar"/>
    <w:link w:val="Footer"/>
    <w:rsid w:val="002F0B35"/>
    <w:rPr>
      <w:rFonts w:ascii="Arial" w:hAnsi="Arial"/>
      <w:caps/>
      <w:spacing w:val="-4"/>
      <w:sz w:val="16"/>
    </w:rPr>
  </w:style>
  <w:style w:type="character" w:customStyle="1" w:styleId="FooterDraftReportChar">
    <w:name w:val="FooterDraftReport Char"/>
    <w:basedOn w:val="FooterChar"/>
    <w:link w:val="FooterDraftReport"/>
    <w:rsid w:val="002F0B35"/>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2F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2F0B35"/>
    <w:rPr>
      <w:rFonts w:ascii="Arial" w:hAnsi="Arial"/>
      <w:b/>
      <w:sz w:val="26"/>
      <w:szCs w:val="26"/>
      <w:lang w:eastAsia="en-US"/>
    </w:rPr>
  </w:style>
  <w:style w:type="character" w:customStyle="1" w:styleId="CommentTextChar">
    <w:name w:val="Comment Text Char"/>
    <w:basedOn w:val="DefaultParagraphFont"/>
    <w:link w:val="CommentText"/>
    <w:semiHidden/>
    <w:rsid w:val="006B79EA"/>
    <w:rPr>
      <w:szCs w:val="24"/>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Footnote Text Char Char Char1 Char,FN Char"/>
    <w:basedOn w:val="DefaultParagraphFont"/>
    <w:link w:val="FootnoteText"/>
    <w:rsid w:val="0035470A"/>
  </w:style>
  <w:style w:type="paragraph" w:styleId="CommentSubject">
    <w:name w:val="annotation subject"/>
    <w:basedOn w:val="CommentText"/>
    <w:next w:val="CommentText"/>
    <w:link w:val="CommentSubjectChar"/>
    <w:semiHidden/>
    <w:unhideWhenUsed/>
    <w:rsid w:val="00D13260"/>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D13260"/>
    <w:rPr>
      <w:b/>
      <w:bCs/>
      <w:szCs w:val="24"/>
    </w:rPr>
  </w:style>
  <w:style w:type="paragraph" w:styleId="Title">
    <w:name w:val="Title"/>
    <w:basedOn w:val="Normal"/>
    <w:next w:val="Normal"/>
    <w:link w:val="TitleChar"/>
    <w:uiPriority w:val="10"/>
    <w:qFormat/>
    <w:rsid w:val="00AC6B77"/>
    <w:pPr>
      <w:pBdr>
        <w:bottom w:val="single" w:sz="8" w:space="4" w:color="78A22F" w:themeColor="accent1"/>
      </w:pBdr>
      <w:spacing w:after="300"/>
      <w:contextualSpacing/>
    </w:pPr>
    <w:rPr>
      <w:rFonts w:asciiTheme="majorHAnsi" w:eastAsiaTheme="majorEastAsia" w:hAnsiTheme="majorHAnsi" w:cstheme="majorBidi"/>
      <w:color w:val="000000" w:themeColor="text2" w:themeShade="BF"/>
      <w:spacing w:val="5"/>
      <w:kern w:val="28"/>
      <w:sz w:val="52"/>
      <w:szCs w:val="52"/>
      <w:lang w:val="en-US" w:eastAsia="en-US" w:bidi="en-US"/>
    </w:rPr>
  </w:style>
  <w:style w:type="character" w:customStyle="1" w:styleId="TitleChar">
    <w:name w:val="Title Char"/>
    <w:basedOn w:val="DefaultParagraphFont"/>
    <w:link w:val="Title"/>
    <w:uiPriority w:val="10"/>
    <w:rsid w:val="00AC6B77"/>
    <w:rPr>
      <w:rFonts w:asciiTheme="majorHAnsi" w:eastAsiaTheme="majorEastAsia" w:hAnsiTheme="majorHAnsi" w:cstheme="majorBidi"/>
      <w:color w:val="000000" w:themeColor="text2" w:themeShade="BF"/>
      <w:spacing w:val="5"/>
      <w:kern w:val="28"/>
      <w:sz w:val="52"/>
      <w:szCs w:val="52"/>
      <w:lang w:val="en-US" w:eastAsia="en-US" w:bidi="en-US"/>
    </w:rPr>
  </w:style>
  <w:style w:type="paragraph" w:styleId="Revision">
    <w:name w:val="Revision"/>
    <w:hidden/>
    <w:uiPriority w:val="99"/>
    <w:semiHidden/>
    <w:rsid w:val="00BB6818"/>
    <w:rPr>
      <w:sz w:val="24"/>
      <w:szCs w:val="24"/>
    </w:rPr>
  </w:style>
  <w:style w:type="character" w:customStyle="1" w:styleId="SourceChar">
    <w:name w:val="Source Char"/>
    <w:basedOn w:val="DefaultParagraphFont"/>
    <w:link w:val="Source"/>
    <w:rsid w:val="0085564B"/>
    <w:rPr>
      <w:rFonts w:ascii="Arial" w:hAnsi="Arial"/>
      <w:sz w:val="18"/>
    </w:rPr>
  </w:style>
  <w:style w:type="character" w:customStyle="1" w:styleId="NoteChar">
    <w:name w:val="Note Char"/>
    <w:basedOn w:val="DefaultParagraphFont"/>
    <w:link w:val="Note"/>
    <w:rsid w:val="00716758"/>
    <w:rPr>
      <w:rFonts w:ascii="Arial" w:hAnsi="Arial"/>
      <w:sz w:val="18"/>
    </w:rPr>
  </w:style>
  <w:style w:type="paragraph" w:customStyle="1" w:styleId="Gempack">
    <w:name w:val="Gempack"/>
    <w:basedOn w:val="BodyText"/>
    <w:rsid w:val="00135B96"/>
    <w:pPr>
      <w:keepLines/>
      <w:tabs>
        <w:tab w:val="right" w:pos="8280"/>
      </w:tabs>
      <w:spacing w:line="320" w:lineRule="atLeast"/>
      <w:jc w:val="left"/>
    </w:pPr>
    <w:rPr>
      <w:sz w:val="20"/>
    </w:rPr>
  </w:style>
  <w:style w:type="paragraph" w:styleId="NormalWeb">
    <w:name w:val="Normal (Web)"/>
    <w:basedOn w:val="Normal"/>
    <w:uiPriority w:val="99"/>
    <w:semiHidden/>
    <w:unhideWhenUsed/>
    <w:rsid w:val="00886F69"/>
    <w:pPr>
      <w:spacing w:before="100" w:beforeAutospacing="1" w:after="100" w:afterAutospacing="1"/>
    </w:pPr>
    <w:rPr>
      <w:rFonts w:eastAsiaTheme="minorEastAsia"/>
    </w:rPr>
  </w:style>
  <w:style w:type="paragraph" w:styleId="Bibliography">
    <w:name w:val="Bibliography"/>
    <w:basedOn w:val="Normal"/>
    <w:next w:val="Normal"/>
    <w:uiPriority w:val="37"/>
    <w:unhideWhenUsed/>
    <w:rsid w:val="00520922"/>
    <w:pPr>
      <w:spacing w:after="240"/>
      <w:ind w:left="720" w:hanging="720"/>
    </w:pPr>
  </w:style>
  <w:style w:type="character" w:styleId="EndnoteReference">
    <w:name w:val="endnote reference"/>
    <w:basedOn w:val="DefaultParagraphFont"/>
    <w:semiHidden/>
    <w:unhideWhenUsed/>
    <w:rsid w:val="0027715C"/>
    <w:rPr>
      <w:vertAlign w:val="superscript"/>
    </w:rPr>
  </w:style>
  <w:style w:type="paragraph" w:styleId="EndnoteText">
    <w:name w:val="endnote text"/>
    <w:basedOn w:val="Normal"/>
    <w:link w:val="EndnoteTextChar"/>
    <w:semiHidden/>
    <w:unhideWhenUsed/>
    <w:rsid w:val="008809C8"/>
    <w:rPr>
      <w:sz w:val="20"/>
      <w:szCs w:val="20"/>
    </w:rPr>
  </w:style>
  <w:style w:type="character" w:customStyle="1" w:styleId="EndnoteTextChar">
    <w:name w:val="Endnote Text Char"/>
    <w:basedOn w:val="DefaultParagraphFont"/>
    <w:link w:val="EndnoteText"/>
    <w:semiHidden/>
    <w:rsid w:val="008809C8"/>
  </w:style>
  <w:style w:type="character" w:customStyle="1" w:styleId="Continuedintitle">
    <w:name w:val="Continued (in title)"/>
    <w:basedOn w:val="DefaultParagraphFont"/>
    <w:rsid w:val="002F0B35"/>
    <w:rPr>
      <w:rFonts w:ascii="Arial" w:hAnsi="Arial"/>
      <w:b/>
      <w:sz w:val="18"/>
    </w:rPr>
  </w:style>
  <w:style w:type="paragraph" w:customStyle="1" w:styleId="Copyrightheading">
    <w:name w:val="Copyright heading"/>
    <w:basedOn w:val="TOC1"/>
    <w:link w:val="CopyrightheadingChar"/>
    <w:qFormat/>
    <w:rsid w:val="002F0B35"/>
    <w:pPr>
      <w:spacing w:line="300" w:lineRule="exact"/>
    </w:pPr>
    <w:rPr>
      <w:sz w:val="22"/>
    </w:rPr>
  </w:style>
  <w:style w:type="character" w:customStyle="1" w:styleId="CopyrightheadingChar">
    <w:name w:val="Copyright heading Char"/>
    <w:basedOn w:val="TOC1Char"/>
    <w:link w:val="Copyrightheading"/>
    <w:rsid w:val="002F0B35"/>
    <w:rPr>
      <w:rFonts w:ascii="Arial" w:hAnsi="Arial"/>
      <w:b/>
      <w:sz w:val="22"/>
      <w:szCs w:val="26"/>
      <w:lang w:eastAsia="en-US"/>
    </w:rPr>
  </w:style>
  <w:style w:type="paragraph" w:customStyle="1" w:styleId="Copyrightsubtitle">
    <w:name w:val="Copyright subtitle"/>
    <w:basedOn w:val="BodyText"/>
    <w:rsid w:val="002F0B35"/>
    <w:rPr>
      <w:rFonts w:ascii="Arial" w:hAnsi="Arial"/>
      <w:b/>
      <w:sz w:val="22"/>
      <w:szCs w:val="25"/>
    </w:rPr>
  </w:style>
  <w:style w:type="paragraph" w:customStyle="1" w:styleId="Copyrightbodytext">
    <w:name w:val="Copyright bodytext"/>
    <w:basedOn w:val="BodyText"/>
    <w:link w:val="CopyrightbodytextChar"/>
    <w:qFormat/>
    <w:rsid w:val="002F0B35"/>
    <w:pPr>
      <w:spacing w:before="60"/>
    </w:pPr>
  </w:style>
  <w:style w:type="character" w:customStyle="1" w:styleId="CopyrightbodytextChar">
    <w:name w:val="Copyright bodytext Char"/>
    <w:basedOn w:val="BodyTextChar"/>
    <w:link w:val="Copyrightbodytext"/>
    <w:rsid w:val="002F0B3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46103">
      <w:bodyDiv w:val="1"/>
      <w:marLeft w:val="0"/>
      <w:marRight w:val="0"/>
      <w:marTop w:val="0"/>
      <w:marBottom w:val="0"/>
      <w:divBdr>
        <w:top w:val="none" w:sz="0" w:space="0" w:color="auto"/>
        <w:left w:val="none" w:sz="0" w:space="0" w:color="auto"/>
        <w:bottom w:val="none" w:sz="0" w:space="0" w:color="auto"/>
        <w:right w:val="none" w:sz="0" w:space="0" w:color="auto"/>
      </w:divBdr>
    </w:div>
    <w:div w:id="1393893775">
      <w:bodyDiv w:val="1"/>
      <w:marLeft w:val="0"/>
      <w:marRight w:val="0"/>
      <w:marTop w:val="0"/>
      <w:marBottom w:val="0"/>
      <w:divBdr>
        <w:top w:val="none" w:sz="0" w:space="0" w:color="auto"/>
        <w:left w:val="none" w:sz="0" w:space="0" w:color="auto"/>
        <w:bottom w:val="none" w:sz="0" w:space="0" w:color="auto"/>
        <w:right w:val="none" w:sz="0" w:space="0" w:color="auto"/>
      </w:divBdr>
    </w:div>
    <w:div w:id="1486626706">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itsanhonour.gov.au/coat-arms/index.cfm" TargetMode="External"/><Relationship Id="rId26" Type="http://schemas.openxmlformats.org/officeDocument/2006/relationships/image" Target="media/image7.emf"/><Relationship Id="rId39" Type="http://schemas.openxmlformats.org/officeDocument/2006/relationships/image" Target="media/image20.emf"/><Relationship Id="rId21" Type="http://schemas.openxmlformats.org/officeDocument/2006/relationships/footer" Target="footer1.xml"/><Relationship Id="rId34" Type="http://schemas.openxmlformats.org/officeDocument/2006/relationships/image" Target="media/image15.emf"/><Relationship Id="rId42" Type="http://schemas.openxmlformats.org/officeDocument/2006/relationships/image" Target="media/image23.emf"/><Relationship Id="rId47" Type="http://schemas.openxmlformats.org/officeDocument/2006/relationships/image" Target="media/image28.emf"/><Relationship Id="rId50" Type="http://schemas.openxmlformats.org/officeDocument/2006/relationships/image" Target="media/image31.emf"/><Relationship Id="rId55" Type="http://schemas.openxmlformats.org/officeDocument/2006/relationships/image" Target="media/image36.emf"/><Relationship Id="rId63"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eader" Target="header1.xml"/><Relationship Id="rId29" Type="http://schemas.openxmlformats.org/officeDocument/2006/relationships/image" Target="media/image10.emf"/><Relationship Id="rId41" Type="http://schemas.openxmlformats.org/officeDocument/2006/relationships/image" Target="media/image22.emf"/><Relationship Id="rId54" Type="http://schemas.openxmlformats.org/officeDocument/2006/relationships/image" Target="media/image35.emf"/><Relationship Id="rId62"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image" Target="media/image21.emf"/><Relationship Id="rId45" Type="http://schemas.openxmlformats.org/officeDocument/2006/relationships/image" Target="media/image26.emf"/><Relationship Id="rId53" Type="http://schemas.openxmlformats.org/officeDocument/2006/relationships/image" Target="media/image34.emf"/><Relationship Id="rId58" Type="http://schemas.openxmlformats.org/officeDocument/2006/relationships/image" Target="media/image39.emf"/><Relationship Id="rId66"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7.emf"/><Relationship Id="rId49" Type="http://schemas.openxmlformats.org/officeDocument/2006/relationships/image" Target="media/image30.emf"/><Relationship Id="rId57" Type="http://schemas.openxmlformats.org/officeDocument/2006/relationships/image" Target="media/image38.emf"/><Relationship Id="rId61"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www.itsanhonour.gov.au" TargetMode="External"/><Relationship Id="rId31" Type="http://schemas.openxmlformats.org/officeDocument/2006/relationships/image" Target="media/image12.emf"/><Relationship Id="rId44" Type="http://schemas.openxmlformats.org/officeDocument/2006/relationships/image" Target="media/image25.emf"/><Relationship Id="rId52" Type="http://schemas.openxmlformats.org/officeDocument/2006/relationships/image" Target="media/image33.emf"/><Relationship Id="rId60" Type="http://schemas.openxmlformats.org/officeDocument/2006/relationships/image" Target="media/image41.emf"/><Relationship Id="rId65"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image" Target="media/image24.emf"/><Relationship Id="rId48" Type="http://schemas.openxmlformats.org/officeDocument/2006/relationships/image" Target="media/image29.emf"/><Relationship Id="rId56" Type="http://schemas.openxmlformats.org/officeDocument/2006/relationships/image" Target="media/image37.emf"/><Relationship Id="rId64" Type="http://schemas.openxmlformats.org/officeDocument/2006/relationships/footer" Target="footer3.xml"/><Relationship Id="rId8" Type="http://schemas.openxmlformats.org/officeDocument/2006/relationships/styles" Target="styles.xml"/><Relationship Id="rId51" Type="http://schemas.openxmlformats.org/officeDocument/2006/relationships/image" Target="media/image32.e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creativecommons.org/licenses/by/3.0/au" TargetMode="Externa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image" Target="media/image27.emf"/><Relationship Id="rId59" Type="http://schemas.openxmlformats.org/officeDocument/2006/relationships/image" Target="media/image40.emf"/></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7f5eaef2248461c91cd262ee36682e3 xmlns="fa518fac-296c-4bda-9fd0-5be7b29134f5">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ddb653f1-8a2b-466c-9640-19b72d588baa</TermId>
        </TermInfo>
      </Terms>
    </h7f5eaef2248461c91cd262ee36682e3>
    <TaxCatchAll xmlns="3f4bcce7-ac1a-4c9d-aa3e-7e77695652db">
      <Value>226</Value>
    </TaxCatchAll>
  </documentManagement>
</p:properties>
</file>

<file path=customXml/item2.xml><?xml version="1.0" encoding="utf-8"?>
<?mso-contentType ?>
<SharedContentType xmlns="Microsoft.SharePoint.Taxonomy.ContentTypeSync" SourceId="70da5c63-8548-4ac8-9616-83b0f373280e" ContentTypeId="0x0101" PreviousValue="false"/>
</file>

<file path=customXml/item3.xml><?xml version="1.0" encoding="utf-8"?>
<ct:contentTypeSchema xmlns:ct="http://schemas.microsoft.com/office/2006/metadata/contentType" xmlns:ma="http://schemas.microsoft.com/office/2006/metadata/properties/metaAttributes" ct:_="" ma:_="" ma:contentTypeName="Final Report" ma:contentTypeID="0x0101005D8B35F5120D954F8F8E5325D53E4EE01000CF90D709AA80654EB58F9EBF19BB1D26" ma:contentTypeVersion="7" ma:contentTypeDescription="" ma:contentTypeScope="" ma:versionID="b3934524125fe7b6fcae1de47d9aaa0f">
  <xsd:schema xmlns:xsd="http://www.w3.org/2001/XMLSchema" xmlns:xs="http://www.w3.org/2001/XMLSchema" xmlns:p="http://schemas.microsoft.com/office/2006/metadata/properties" xmlns:ns2="3f4bcce7-ac1a-4c9d-aa3e-7e77695652db" xmlns:ns3="fa518fac-296c-4bda-9fd0-5be7b29134f5" targetNamespace="http://schemas.microsoft.com/office/2006/metadata/properties" ma:root="true" ma:fieldsID="41146774b12bab746dcd4b6f16e33223" ns2:_="" ns3:_="">
    <xsd:import namespace="3f4bcce7-ac1a-4c9d-aa3e-7e77695652db"/>
    <xsd:import namespace="fa518fac-296c-4bda-9fd0-5be7b29134f5"/>
    <xsd:element name="properties">
      <xsd:complexType>
        <xsd:sequence>
          <xsd:element name="documentManagement">
            <xsd:complexType>
              <xsd:all>
                <xsd:element ref="ns2:TaxCatchAll" minOccurs="0"/>
                <xsd:element ref="ns2:TaxCatchAllLabel" minOccurs="0"/>
                <xsd:element ref="ns3:h7f5eaef2248461c91cd262ee36682e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518fac-296c-4bda-9fd0-5be7b29134f5" elementFormDefault="qualified">
    <xsd:import namespace="http://schemas.microsoft.com/office/2006/documentManagement/types"/>
    <xsd:import namespace="http://schemas.microsoft.com/office/infopath/2007/PartnerControls"/>
    <xsd:element name="h7f5eaef2248461c91cd262ee36682e3" ma:index="11" nillable="true" ma:taxonomy="true" ma:internalName="h7f5eaef2248461c91cd262ee36682e3" ma:taxonomyFieldName="Record" ma:displayName="Record" ma:default="226;#Reporting|ddb653f1-8a2b-466c-9640-19b72d588baa" ma:fieldId="{17f5eaef-2248-461c-91cd-262ee36682e3}" ma:sspId="70da5c63-8548-4ac8-9616-83b0f373280e" ma:termSetId="e99b77ca-c000-4e3f-a77f-a64077d5e2f2" ma:anchorId="609e2780-d171-4fcc-ba6e-ba515af27ff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23F63-AF34-4D07-98A0-3DDFD27287C6}">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fa518fac-296c-4bda-9fd0-5be7b29134f5"/>
    <ds:schemaRef ds:uri="http://schemas.microsoft.com/office/2006/metadata/properties"/>
    <ds:schemaRef ds:uri="http://www.w3.org/XML/1998/namespace"/>
    <ds:schemaRef ds:uri="3f4bcce7-ac1a-4c9d-aa3e-7e77695652db"/>
    <ds:schemaRef ds:uri="http://purl.org/dc/terms/"/>
  </ds:schemaRefs>
</ds:datastoreItem>
</file>

<file path=customXml/itemProps2.xml><?xml version="1.0" encoding="utf-8"?>
<ds:datastoreItem xmlns:ds="http://schemas.openxmlformats.org/officeDocument/2006/customXml" ds:itemID="{7B41A7AF-D25C-4E71-854E-C89BF4A517A3}">
  <ds:schemaRefs>
    <ds:schemaRef ds:uri="Microsoft.SharePoint.Taxonomy.ContentTypeSync"/>
  </ds:schemaRefs>
</ds:datastoreItem>
</file>

<file path=customXml/itemProps3.xml><?xml version="1.0" encoding="utf-8"?>
<ds:datastoreItem xmlns:ds="http://schemas.openxmlformats.org/officeDocument/2006/customXml" ds:itemID="{C41CCED6-0E68-42A0-B6A8-3C1B7265F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fa518fac-296c-4bda-9fd0-5be7b2913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31A24-2398-4BB4-8548-1B63A172AA21}">
  <ds:schemaRefs>
    <ds:schemaRef ds:uri="http://schemas.microsoft.com/office/2006/metadata/customXsn"/>
  </ds:schemaRefs>
</ds:datastoreItem>
</file>

<file path=customXml/itemProps5.xml><?xml version="1.0" encoding="utf-8"?>
<ds:datastoreItem xmlns:ds="http://schemas.openxmlformats.org/officeDocument/2006/customXml" ds:itemID="{54343083-A5D0-4F0F-AD60-F6735BB05F77}">
  <ds:schemaRefs>
    <ds:schemaRef ds:uri="http://schemas.microsoft.com/sharepoint/v3/contenttype/forms"/>
  </ds:schemaRefs>
</ds:datastoreItem>
</file>

<file path=customXml/itemProps6.xml><?xml version="1.0" encoding="utf-8"?>
<ds:datastoreItem xmlns:ds="http://schemas.openxmlformats.org/officeDocument/2006/customXml" ds:itemID="{233F2825-212E-4719-A9C4-12D454F53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638</TotalTime>
  <Pages>48</Pages>
  <Words>12797</Words>
  <Characters>72076</Characters>
  <Application>Microsoft Office Word</Application>
  <DocSecurity>0</DocSecurity>
  <Lines>1716</Lines>
  <Paragraphs>690</Paragraphs>
  <ScaleCrop>false</ScaleCrop>
  <HeadingPairs>
    <vt:vector size="2" baseType="variant">
      <vt:variant>
        <vt:lpstr>Title</vt:lpstr>
      </vt:variant>
      <vt:variant>
        <vt:i4>1</vt:i4>
      </vt:variant>
    </vt:vector>
  </HeadingPairs>
  <TitlesOfParts>
    <vt:vector size="1" baseType="lpstr">
      <vt:lpstr>The economywide impacts of migration - general equilibrium modelling - Technical Supplement B - Migrant Intake into Australia</vt:lpstr>
    </vt:vector>
  </TitlesOfParts>
  <Company>Productivity Commission</Company>
  <LinksUpToDate>false</LinksUpToDate>
  <CharactersWithSpaces>84183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economywide impacts of migration - general equilibrium modelling - Technical Supplement B - Migrant Intake into Australia</dc:title>
  <dc:subject>MIGRANT INTAKE INTO AUSTRALIA - technical supplement B</dc:subject>
  <dc:creator>Productivity Commission</dc:creator>
  <cp:keywords/>
  <dc:description>B.</dc:description>
  <cp:lastModifiedBy>Michelle Cross</cp:lastModifiedBy>
  <cp:revision>621</cp:revision>
  <cp:lastPrinted>2016-04-20T04:55:00Z</cp:lastPrinted>
  <dcterms:created xsi:type="dcterms:W3CDTF">2016-03-15T23:02:00Z</dcterms:created>
  <dcterms:modified xsi:type="dcterms:W3CDTF">2016-09-08T03:59:00Z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0x0101005D8B35F5120D954F8F8E5325D53E4EE01000CF90D709AA80654EB58F9EBF19BB1D26</vt:lpwstr>
  </property>
  <property fmtid="{D5CDD505-2E9C-101B-9397-08002B2CF9AE}" pid="3" name="Record">
    <vt:lpwstr>226;#Reporting|ddb653f1-8a2b-466c-9640-19b72d588baa</vt:lpwstr>
  </property>
  <property fmtid="{D5CDD505-2E9C-101B-9397-08002B2CF9AE}" pid="4" name="ZOTERO_PREF_2">
    <vt:lpwstr>lue="true"/&gt;&lt;pref name="automaticJournalAbbreviations" value="true"/&gt;&lt;pref name="noteType" value="0"/&gt;&lt;/prefs&gt;&lt;/data&gt;</vt:lpwstr>
  </property>
  <property fmtid="{D5CDD505-2E9C-101B-9397-08002B2CF9AE}" pid="5" name="ZOTERO_PREF_1">
    <vt:lpwstr>&lt;data data-version="3" zotero-version="4.0.20"&gt;&lt;session id="5oJSeL7D"/&gt;&lt;style id="http://www.zotero.org/styles/unisa-harvard" hasBibliography="1" bibliographyStyleHasBeenSet="1"/&gt;&lt;prefs&gt;&lt;pref name="fieldType" value="Field"/&gt;&lt;pref name="storeReferences" va</vt:lpwstr>
  </property>
</Properties>
</file>